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D5" w:rsidRDefault="005F3BD5" w:rsidP="005F3BD5">
      <w:pPr>
        <w:rPr>
          <w:b/>
          <w:sz w:val="28"/>
          <w:szCs w:val="28"/>
        </w:rPr>
      </w:pPr>
      <w:bookmarkStart w:id="0" w:name="_GoBack"/>
      <w:bookmarkEnd w:id="0"/>
      <w:r>
        <w:rPr>
          <w:b/>
          <w:sz w:val="28"/>
          <w:szCs w:val="28"/>
        </w:rPr>
        <w:t>S</w:t>
      </w:r>
      <w:r w:rsidRPr="007A6443">
        <w:rPr>
          <w:b/>
          <w:sz w:val="28"/>
          <w:szCs w:val="28"/>
        </w:rPr>
        <w:t xml:space="preserve">ickness certification for </w:t>
      </w:r>
      <w:r>
        <w:rPr>
          <w:b/>
          <w:sz w:val="28"/>
          <w:szCs w:val="28"/>
        </w:rPr>
        <w:t>common mental disorder</w:t>
      </w:r>
      <w:r w:rsidRPr="007A6443">
        <w:rPr>
          <w:b/>
          <w:sz w:val="28"/>
          <w:szCs w:val="28"/>
        </w:rPr>
        <w:t xml:space="preserve">s and </w:t>
      </w:r>
      <w:r>
        <w:rPr>
          <w:b/>
          <w:sz w:val="28"/>
          <w:szCs w:val="28"/>
        </w:rPr>
        <w:t xml:space="preserve">GP </w:t>
      </w:r>
      <w:r w:rsidRPr="007A6443">
        <w:rPr>
          <w:b/>
          <w:sz w:val="28"/>
          <w:szCs w:val="28"/>
        </w:rPr>
        <w:t>return-to-work advice</w:t>
      </w:r>
    </w:p>
    <w:p w:rsidR="00440848" w:rsidRPr="00FC57A1" w:rsidRDefault="00440848" w:rsidP="00440848">
      <w:pPr>
        <w:pStyle w:val="Heading3"/>
        <w:rPr>
          <w:rFonts w:asciiTheme="minorHAnsi" w:hAnsiTheme="minorHAnsi"/>
          <w:color w:val="auto"/>
          <w:sz w:val="24"/>
          <w:szCs w:val="24"/>
        </w:rPr>
      </w:pPr>
      <w:r w:rsidRPr="00FC57A1">
        <w:rPr>
          <w:rFonts w:asciiTheme="minorHAnsi" w:hAnsiTheme="minorHAnsi"/>
          <w:color w:val="auto"/>
          <w:sz w:val="24"/>
          <w:szCs w:val="24"/>
        </w:rPr>
        <w:t>Mark Gabbay</w:t>
      </w:r>
      <w:r w:rsidRPr="00FC57A1">
        <w:rPr>
          <w:rFonts w:asciiTheme="minorHAnsi" w:hAnsiTheme="minorHAnsi"/>
          <w:color w:val="auto"/>
          <w:sz w:val="24"/>
          <w:szCs w:val="24"/>
          <w:vertAlign w:val="superscript"/>
        </w:rPr>
        <w:t>1</w:t>
      </w:r>
      <w:r w:rsidRPr="00FC57A1">
        <w:rPr>
          <w:rFonts w:asciiTheme="minorHAnsi" w:hAnsiTheme="minorHAnsi"/>
          <w:color w:val="auto"/>
          <w:sz w:val="24"/>
          <w:szCs w:val="24"/>
        </w:rPr>
        <w:t xml:space="preserve"> </w:t>
      </w:r>
      <w:r w:rsidRPr="00FC57A1">
        <w:rPr>
          <w:rFonts w:asciiTheme="minorHAnsi" w:hAnsiTheme="minorHAnsi"/>
          <w:b w:val="0"/>
          <w:color w:val="auto"/>
          <w:sz w:val="24"/>
          <w:szCs w:val="24"/>
        </w:rPr>
        <w:t>MBChB, MD, FRCGP, FHEA, DFSRH, Dip Psychotherapy</w:t>
      </w:r>
    </w:p>
    <w:p w:rsidR="00440848" w:rsidRPr="00FC57A1" w:rsidRDefault="00440848" w:rsidP="00440848">
      <w:pPr>
        <w:spacing w:after="0"/>
        <w:rPr>
          <w:sz w:val="24"/>
          <w:szCs w:val="24"/>
        </w:rPr>
      </w:pPr>
      <w:r w:rsidRPr="00FC57A1">
        <w:rPr>
          <w:b/>
          <w:sz w:val="24"/>
          <w:szCs w:val="24"/>
        </w:rPr>
        <w:t>Chris Shiels</w:t>
      </w:r>
      <w:r w:rsidRPr="00FC57A1">
        <w:rPr>
          <w:b/>
          <w:sz w:val="24"/>
          <w:szCs w:val="24"/>
          <w:vertAlign w:val="superscript"/>
        </w:rPr>
        <w:t>1</w:t>
      </w:r>
      <w:r w:rsidRPr="00FC57A1">
        <w:rPr>
          <w:b/>
          <w:sz w:val="24"/>
          <w:szCs w:val="24"/>
        </w:rPr>
        <w:t xml:space="preserve"> </w:t>
      </w:r>
      <w:r>
        <w:rPr>
          <w:sz w:val="24"/>
          <w:szCs w:val="24"/>
        </w:rPr>
        <w:t>BA (Hons), PG.Dip, M.Phil</w:t>
      </w:r>
    </w:p>
    <w:p w:rsidR="00440848" w:rsidRPr="00FC57A1" w:rsidRDefault="00440848" w:rsidP="00440848">
      <w:pPr>
        <w:spacing w:after="0"/>
        <w:rPr>
          <w:sz w:val="24"/>
          <w:szCs w:val="24"/>
        </w:rPr>
      </w:pPr>
      <w:r w:rsidRPr="00FC57A1">
        <w:rPr>
          <w:b/>
          <w:sz w:val="24"/>
          <w:szCs w:val="24"/>
        </w:rPr>
        <w:t>Jim Hillage</w:t>
      </w:r>
      <w:r w:rsidRPr="00392D94">
        <w:rPr>
          <w:sz w:val="24"/>
          <w:szCs w:val="24"/>
          <w:vertAlign w:val="superscript"/>
        </w:rPr>
        <w:t>2</w:t>
      </w:r>
      <w:r>
        <w:rPr>
          <w:sz w:val="24"/>
          <w:szCs w:val="24"/>
        </w:rPr>
        <w:t xml:space="preserve"> BA, MSc</w:t>
      </w:r>
    </w:p>
    <w:p w:rsidR="00440848" w:rsidRPr="00B93A20" w:rsidRDefault="00440848" w:rsidP="00440848">
      <w:pPr>
        <w:spacing w:after="0"/>
      </w:pPr>
    </w:p>
    <w:p w:rsidR="00440848" w:rsidRPr="00B93A20" w:rsidRDefault="00440848" w:rsidP="00440848">
      <w:pPr>
        <w:spacing w:after="0"/>
      </w:pPr>
      <w:r w:rsidRPr="00B93A20">
        <w:t>1. Division of Health Services Research, University of Liverpool, United Kingdom</w:t>
      </w:r>
    </w:p>
    <w:p w:rsidR="00440848" w:rsidRDefault="00440848" w:rsidP="00440848">
      <w:pPr>
        <w:spacing w:after="0"/>
      </w:pPr>
      <w:r w:rsidRPr="00B93A20">
        <w:t>2. Institute for Employment Studies, Brighton, United Kingdom</w:t>
      </w:r>
    </w:p>
    <w:p w:rsidR="00440848" w:rsidRDefault="00440848" w:rsidP="00440848">
      <w:pPr>
        <w:spacing w:after="0"/>
      </w:pPr>
    </w:p>
    <w:p w:rsidR="00440848" w:rsidRDefault="00440848" w:rsidP="00440848">
      <w:pPr>
        <w:spacing w:after="0"/>
      </w:pPr>
    </w:p>
    <w:p w:rsidR="00440848" w:rsidRDefault="00440848" w:rsidP="00440848">
      <w:pPr>
        <w:spacing w:after="0"/>
      </w:pPr>
    </w:p>
    <w:p w:rsidR="00440848" w:rsidRDefault="00440848" w:rsidP="00440848">
      <w:pPr>
        <w:spacing w:after="0"/>
      </w:pPr>
    </w:p>
    <w:p w:rsidR="00440848" w:rsidRDefault="00440848" w:rsidP="00440848">
      <w:pPr>
        <w:spacing w:after="0"/>
      </w:pPr>
    </w:p>
    <w:p w:rsidR="00440848" w:rsidRDefault="00440848" w:rsidP="00440848">
      <w:pPr>
        <w:spacing w:after="0"/>
      </w:pPr>
    </w:p>
    <w:p w:rsidR="00440848" w:rsidRPr="00FC57A1" w:rsidRDefault="00440848" w:rsidP="00440848">
      <w:pPr>
        <w:spacing w:after="0"/>
        <w:rPr>
          <w:i/>
        </w:rPr>
      </w:pPr>
      <w:r w:rsidRPr="00FC57A1">
        <w:rPr>
          <w:i/>
        </w:rPr>
        <w:t>Correspondence to:</w:t>
      </w:r>
    </w:p>
    <w:p w:rsidR="00440848" w:rsidRDefault="00440848" w:rsidP="00440848">
      <w:pPr>
        <w:spacing w:after="0"/>
      </w:pPr>
      <w:r>
        <w:t xml:space="preserve">Professor Mark Gabbay, </w:t>
      </w:r>
    </w:p>
    <w:p w:rsidR="00440848" w:rsidRDefault="00440848" w:rsidP="00440848">
      <w:pPr>
        <w:spacing w:after="0"/>
      </w:pPr>
      <w:r>
        <w:t xml:space="preserve">Division of Health Services Research, </w:t>
      </w:r>
    </w:p>
    <w:p w:rsidR="00440848" w:rsidRDefault="00440848" w:rsidP="00440848">
      <w:pPr>
        <w:spacing w:after="0"/>
      </w:pPr>
      <w:r>
        <w:t xml:space="preserve">University of Liverpool, </w:t>
      </w:r>
    </w:p>
    <w:p w:rsidR="00440848" w:rsidRDefault="00440848" w:rsidP="00440848">
      <w:pPr>
        <w:spacing w:after="0"/>
      </w:pPr>
      <w:r>
        <w:t>1</w:t>
      </w:r>
      <w:r w:rsidRPr="00B93A20">
        <w:rPr>
          <w:vertAlign w:val="superscript"/>
        </w:rPr>
        <w:t>st</w:t>
      </w:r>
      <w:r>
        <w:t xml:space="preserve"> Floor Block B, </w:t>
      </w:r>
    </w:p>
    <w:p w:rsidR="00440848" w:rsidRDefault="00440848" w:rsidP="00440848">
      <w:pPr>
        <w:spacing w:after="0"/>
      </w:pPr>
      <w:r>
        <w:t xml:space="preserve">Waterhouse Building, </w:t>
      </w:r>
    </w:p>
    <w:p w:rsidR="00440848" w:rsidRDefault="00440848" w:rsidP="00440848">
      <w:pPr>
        <w:spacing w:after="0"/>
      </w:pPr>
      <w:r>
        <w:t xml:space="preserve">Liverpool  L69 3GE, </w:t>
      </w:r>
    </w:p>
    <w:p w:rsidR="00440848" w:rsidRDefault="00440848" w:rsidP="00440848">
      <w:pPr>
        <w:spacing w:after="0"/>
      </w:pPr>
      <w:r>
        <w:t xml:space="preserve">United Kingdom. </w:t>
      </w:r>
    </w:p>
    <w:p w:rsidR="00440848" w:rsidRDefault="00440848" w:rsidP="00440848">
      <w:pPr>
        <w:spacing w:after="0"/>
      </w:pPr>
      <w:r>
        <w:t xml:space="preserve">Email: </w:t>
      </w:r>
      <w:hyperlink r:id="rId8" w:history="1">
        <w:r w:rsidRPr="0026430D">
          <w:rPr>
            <w:rStyle w:val="Hyperlink"/>
          </w:rPr>
          <w:t>mbg@liv.ac.uk</w:t>
        </w:r>
      </w:hyperlink>
    </w:p>
    <w:p w:rsidR="00440848" w:rsidRDefault="00440848" w:rsidP="00440848"/>
    <w:p w:rsidR="00440848" w:rsidRDefault="00440848">
      <w:r>
        <w:br w:type="page"/>
      </w:r>
    </w:p>
    <w:p w:rsidR="00C2679D" w:rsidRDefault="00C2679D"/>
    <w:p w:rsidR="002A2731" w:rsidRPr="00711378" w:rsidRDefault="002A2731">
      <w:pPr>
        <w:rPr>
          <w:sz w:val="28"/>
          <w:szCs w:val="28"/>
        </w:rPr>
      </w:pPr>
      <w:r w:rsidRPr="00711378">
        <w:rPr>
          <w:b/>
          <w:sz w:val="28"/>
          <w:szCs w:val="28"/>
        </w:rPr>
        <w:t>Abstract</w:t>
      </w:r>
    </w:p>
    <w:p w:rsidR="00500472" w:rsidRDefault="00500472">
      <w:r w:rsidRPr="005F5926">
        <w:rPr>
          <w:b/>
        </w:rPr>
        <w:t>Aim</w:t>
      </w:r>
      <w:r w:rsidR="00711378" w:rsidRPr="005F5926">
        <w:rPr>
          <w:b/>
        </w:rPr>
        <w:t xml:space="preserve"> </w:t>
      </w:r>
      <w:r w:rsidR="00711378">
        <w:t xml:space="preserve">To report the types and duration of sickness certification for </w:t>
      </w:r>
      <w:r w:rsidR="001150C0">
        <w:t xml:space="preserve">different </w:t>
      </w:r>
      <w:r w:rsidR="00711378">
        <w:t>common mental disorders (CMDs)</w:t>
      </w:r>
      <w:r w:rsidR="001150C0">
        <w:t xml:space="preserve"> and </w:t>
      </w:r>
      <w:r w:rsidR="00144F80">
        <w:t xml:space="preserve">the </w:t>
      </w:r>
      <w:r w:rsidR="001150C0">
        <w:t>prevalence of GP advice aimed at returning the patient to work.</w:t>
      </w:r>
      <w:r w:rsidR="00711378">
        <w:t xml:space="preserve"> </w:t>
      </w:r>
    </w:p>
    <w:p w:rsidR="00500472" w:rsidRDefault="00500472">
      <w:r w:rsidRPr="005F5926">
        <w:rPr>
          <w:b/>
        </w:rPr>
        <w:t>Background</w:t>
      </w:r>
      <w:r w:rsidR="00144F80">
        <w:t xml:space="preserve">  </w:t>
      </w:r>
      <w:r w:rsidR="00603004">
        <w:t xml:space="preserve"> In the UK, common m</w:t>
      </w:r>
      <w:r w:rsidR="00144F80">
        <w:t>ental health problems</w:t>
      </w:r>
      <w:r w:rsidR="00603004">
        <w:t xml:space="preserve">, such and depression and stress, </w:t>
      </w:r>
      <w:r w:rsidR="00144F80">
        <w:t xml:space="preserve">have become the </w:t>
      </w:r>
      <w:r w:rsidR="00603004">
        <w:t>main</w:t>
      </w:r>
      <w:r w:rsidR="008B00D8">
        <w:t xml:space="preserve"> reasons for patients </w:t>
      </w:r>
      <w:r w:rsidR="00603004">
        <w:t>requesting a sickness certificate to abstain from usual employment. I</w:t>
      </w:r>
      <w:r w:rsidR="00603004" w:rsidRPr="007A6443">
        <w:t>ncreasing attention is being paid to mental health and its impact on employability and work capacity in all parts of the welfare system</w:t>
      </w:r>
      <w:r w:rsidR="00603004">
        <w:t>. However, relatively little is known about</w:t>
      </w:r>
      <w:r w:rsidR="00F0352C">
        <w:t xml:space="preserve"> the extent to which </w:t>
      </w:r>
      <w:r w:rsidR="00603004">
        <w:t>different mental health diagnoses impact upon sickness certification outcomes, and how the GP has used the new fit note (introduced in 2010)</w:t>
      </w:r>
      <w:r w:rsidR="00D63451">
        <w:t xml:space="preserve"> to support a return to work for patient</w:t>
      </w:r>
      <w:r w:rsidR="005F5926">
        <w:t>s</w:t>
      </w:r>
      <w:r w:rsidR="00D63451">
        <w:t xml:space="preserve"> with mental health diagnoses.</w:t>
      </w:r>
    </w:p>
    <w:p w:rsidR="00500472" w:rsidRDefault="00500472">
      <w:r w:rsidRPr="005F5926">
        <w:rPr>
          <w:b/>
        </w:rPr>
        <w:t>Methods</w:t>
      </w:r>
      <w:r w:rsidR="00D63451" w:rsidRPr="005F5926">
        <w:rPr>
          <w:b/>
        </w:rPr>
        <w:t xml:space="preserve"> </w:t>
      </w:r>
      <w:r w:rsidR="00D63451">
        <w:t>Sickness certification data was collected from 68 UK-based general practices for a period of 12 months.</w:t>
      </w:r>
    </w:p>
    <w:p w:rsidR="00500472" w:rsidRDefault="00500472">
      <w:r w:rsidRPr="005F5926">
        <w:rPr>
          <w:b/>
        </w:rPr>
        <w:t>Findings</w:t>
      </w:r>
      <w:r w:rsidR="00D63451">
        <w:t xml:space="preserve"> </w:t>
      </w:r>
      <w:r w:rsidR="00F0352C">
        <w:t xml:space="preserve"> </w:t>
      </w:r>
      <w:r w:rsidR="00F0352C" w:rsidRPr="007A6443">
        <w:t xml:space="preserve">The study found a large part of all sickness absence certified by GPs was due to </w:t>
      </w:r>
      <w:r w:rsidR="00F0352C">
        <w:t xml:space="preserve">CMDs </w:t>
      </w:r>
      <w:r w:rsidR="00F0352C" w:rsidRPr="007A6443">
        <w:t xml:space="preserve">(29% of </w:t>
      </w:r>
      <w:r w:rsidR="00F0352C">
        <w:t xml:space="preserve">all </w:t>
      </w:r>
      <w:r w:rsidR="00F0352C" w:rsidRPr="007A6443">
        <w:t xml:space="preserve">sickness absence episodes).  </w:t>
      </w:r>
      <w:r w:rsidR="00293202">
        <w:t>Fem</w:t>
      </w:r>
      <w:r w:rsidR="00D63451">
        <w:t>ales, younger patients and those l</w:t>
      </w:r>
      <w:r w:rsidR="005F5926">
        <w:t>iving in deprived areas were more</w:t>
      </w:r>
      <w:r w:rsidR="00D63451">
        <w:t xml:space="preserve"> likely to receive a fit note for a CMD (compared to one for a physical health problem).</w:t>
      </w:r>
      <w:r w:rsidR="005F5926">
        <w:t xml:space="preserve"> The highest proportion of CMD fit notes were issued for ‘stress’. </w:t>
      </w:r>
      <w:r w:rsidR="00F0352C">
        <w:t xml:space="preserve"> </w:t>
      </w:r>
      <w:r w:rsidR="005F5926">
        <w:t>However, sickness certification for depression contributed nearly half of all weeks certified for mental health problems. Only 7% of CMD fit notes included any ‘may be fit’ advice from the GP</w:t>
      </w:r>
      <w:r w:rsidR="00F0352C">
        <w:t>, with type of advice varying by mental health diagnostic category. Patients living in the most socially deprived neighbourho</w:t>
      </w:r>
      <w:r w:rsidR="00251D90">
        <w:t>ods were less likely to receive ‘may be fit’ advice on their CMD fit note</w:t>
      </w:r>
      <w:r w:rsidR="00B35936">
        <w:t>s</w:t>
      </w:r>
      <w:r w:rsidR="00F0352C">
        <w:t>.</w:t>
      </w:r>
    </w:p>
    <w:p w:rsidR="00500472" w:rsidRDefault="00500472"/>
    <w:p w:rsidR="00500472" w:rsidRDefault="00500472"/>
    <w:p w:rsidR="00500472" w:rsidRDefault="00500472"/>
    <w:p w:rsidR="002A2731" w:rsidRDefault="00500472">
      <w:r w:rsidRPr="00830BED">
        <w:rPr>
          <w:b/>
        </w:rPr>
        <w:t>Key words</w:t>
      </w:r>
      <w:r w:rsidR="00830BED">
        <w:t>: sickness absence; sickness certification; common mental disorders; return-to-work advice</w:t>
      </w:r>
      <w:r w:rsidR="002A2731">
        <w:br w:type="page"/>
      </w:r>
    </w:p>
    <w:p w:rsidR="002A2731" w:rsidRPr="00C2679D" w:rsidRDefault="002A2731"/>
    <w:p w:rsidR="005474BD" w:rsidRPr="00711378" w:rsidRDefault="00711378">
      <w:pPr>
        <w:rPr>
          <w:b/>
          <w:sz w:val="28"/>
          <w:szCs w:val="28"/>
        </w:rPr>
      </w:pPr>
      <w:r w:rsidRPr="00711378">
        <w:rPr>
          <w:b/>
          <w:sz w:val="28"/>
          <w:szCs w:val="28"/>
        </w:rPr>
        <w:t>Introduction</w:t>
      </w:r>
    </w:p>
    <w:p w:rsidR="00D124A4" w:rsidRPr="007A6443" w:rsidRDefault="00D71121">
      <w:r>
        <w:t>Common mental disorder</w:t>
      </w:r>
      <w:r w:rsidR="00180429">
        <w:t>s (CMDs</w:t>
      </w:r>
      <w:r w:rsidR="001E3225" w:rsidRPr="007A6443">
        <w:t>) are widespread and contribute significantly to the glob</w:t>
      </w:r>
      <w:r w:rsidR="009119A2">
        <w:t>al prevalence of disability</w:t>
      </w:r>
      <w:r w:rsidR="0020682D">
        <w:t xml:space="preserve"> (</w:t>
      </w:r>
      <w:r w:rsidR="0020682D" w:rsidRPr="00B261CB">
        <w:rPr>
          <w:color w:val="FF0000"/>
        </w:rPr>
        <w:t xml:space="preserve">Vos </w:t>
      </w:r>
      <w:r w:rsidR="0020682D" w:rsidRPr="00B261CB">
        <w:rPr>
          <w:i/>
          <w:color w:val="FF0000"/>
        </w:rPr>
        <w:t>et al</w:t>
      </w:r>
      <w:r w:rsidR="0020682D" w:rsidRPr="00B261CB">
        <w:rPr>
          <w:color w:val="FF0000"/>
        </w:rPr>
        <w:t>., 2012</w:t>
      </w:r>
      <w:r w:rsidR="0020682D">
        <w:t>)</w:t>
      </w:r>
      <w:r w:rsidR="00916F7E">
        <w:t>.</w:t>
      </w:r>
      <w:r w:rsidR="001E3225" w:rsidRPr="007A6443">
        <w:t xml:space="preserve"> It has been estimated that, at any one time, one adult in six may experience symptoms of anxiety or depression. Within the workforce, a similar proportion of workers may suffer stress-related health problems</w:t>
      </w:r>
      <w:r w:rsidR="0020682D">
        <w:t xml:space="preserve"> (</w:t>
      </w:r>
      <w:r w:rsidR="0020682D" w:rsidRPr="00B261CB">
        <w:rPr>
          <w:color w:val="FF0000"/>
        </w:rPr>
        <w:t>Seymour, 2010</w:t>
      </w:r>
      <w:r w:rsidR="0020682D">
        <w:t>)</w:t>
      </w:r>
      <w:r w:rsidR="00DB3D82" w:rsidRPr="007A6443">
        <w:t>.  In addition to the costs to the individual</w:t>
      </w:r>
      <w:r w:rsidR="00513643">
        <w:t>,</w:t>
      </w:r>
      <w:r w:rsidR="00DB3D82" w:rsidRPr="007A6443">
        <w:t xml:space="preserve"> the level of psychological morbidity within the working-age population can have a significant negative impact on the economy. In the UK, approximately 160 million working days are lost a year to sickness absence</w:t>
      </w:r>
      <w:r w:rsidR="005A2CC0" w:rsidRPr="007A6443">
        <w:t>, 2 in 5 due to m</w:t>
      </w:r>
      <w:r w:rsidR="00916F7E">
        <w:t>ental health problems</w:t>
      </w:r>
      <w:r w:rsidR="0020682D">
        <w:t xml:space="preserve"> (</w:t>
      </w:r>
      <w:r w:rsidR="0020682D" w:rsidRPr="00B261CB">
        <w:rPr>
          <w:color w:val="FF0000"/>
        </w:rPr>
        <w:t>Sainsbury Centre for Mental Health, 2007</w:t>
      </w:r>
      <w:r w:rsidR="0020682D">
        <w:t>)</w:t>
      </w:r>
      <w:r w:rsidR="00916F7E">
        <w:t>.</w:t>
      </w:r>
      <w:r w:rsidR="0020682D">
        <w:rPr>
          <w:color w:val="FF0000"/>
          <w:vertAlign w:val="superscript"/>
        </w:rPr>
        <w:t xml:space="preserve"> </w:t>
      </w:r>
      <w:r w:rsidR="005A2CC0" w:rsidRPr="007A6443">
        <w:t>Mental ill-health costs the UK economy an estimated £70 billion a year, through lost produc</w:t>
      </w:r>
      <w:r w:rsidR="00E20066" w:rsidRPr="007A6443">
        <w:t>tivity, social security benefits and</w:t>
      </w:r>
      <w:r w:rsidR="00916F7E">
        <w:t xml:space="preserve"> health service use </w:t>
      </w:r>
      <w:r w:rsidR="0020682D">
        <w:t>(</w:t>
      </w:r>
      <w:r w:rsidR="0020682D" w:rsidRPr="00B261CB">
        <w:rPr>
          <w:color w:val="FF0000"/>
        </w:rPr>
        <w:t>OECD, 2014</w:t>
      </w:r>
      <w:r w:rsidR="0020682D">
        <w:t>)</w:t>
      </w:r>
      <w:r w:rsidR="00293202">
        <w:t>. M</w:t>
      </w:r>
      <w:r w:rsidR="00E20066" w:rsidRPr="007A6443">
        <w:t xml:space="preserve">ental and behavioural problems account for over 40% of claims for the main UK disability benefit, Employment </w:t>
      </w:r>
      <w:r w:rsidR="00293202">
        <w:t xml:space="preserve">and </w:t>
      </w:r>
      <w:r w:rsidR="00E20066" w:rsidRPr="007A6443">
        <w:t>Su</w:t>
      </w:r>
      <w:r w:rsidR="00C36C74">
        <w:t>pport Allowance (ESA)</w:t>
      </w:r>
      <w:r w:rsidR="0020682D">
        <w:t xml:space="preserve"> (</w:t>
      </w:r>
      <w:r w:rsidR="0020682D" w:rsidRPr="00B261CB">
        <w:rPr>
          <w:color w:val="FF0000"/>
        </w:rPr>
        <w:t>DWP, 2015</w:t>
      </w:r>
      <w:r w:rsidR="00A71936">
        <w:rPr>
          <w:color w:val="FF0000"/>
        </w:rPr>
        <w:t>a</w:t>
      </w:r>
      <w:r w:rsidR="0020682D">
        <w:t>)</w:t>
      </w:r>
      <w:r w:rsidR="00293202">
        <w:t>. T</w:t>
      </w:r>
      <w:r w:rsidR="00E20066" w:rsidRPr="007A6443">
        <w:t>hose suffering from a mental illness are also significantly more likely to be relying o</w:t>
      </w:r>
      <w:r w:rsidR="00EF6EB8" w:rsidRPr="007A6443">
        <w:t>n other state benefits such as income s</w:t>
      </w:r>
      <w:r w:rsidR="00C36C74">
        <w:t>upport and housing benefit</w:t>
      </w:r>
      <w:r w:rsidR="0020682D">
        <w:t xml:space="preserve"> (</w:t>
      </w:r>
      <w:r w:rsidR="004779A8">
        <w:rPr>
          <w:color w:val="FF0000"/>
        </w:rPr>
        <w:t xml:space="preserve">McManus </w:t>
      </w:r>
      <w:r w:rsidR="004779A8" w:rsidRPr="004779A8">
        <w:rPr>
          <w:i/>
          <w:color w:val="FF0000"/>
        </w:rPr>
        <w:t>et al</w:t>
      </w:r>
      <w:r w:rsidR="0020682D" w:rsidRPr="00B261CB">
        <w:rPr>
          <w:color w:val="FF0000"/>
        </w:rPr>
        <w:t>, 2009</w:t>
      </w:r>
      <w:r w:rsidR="0020682D">
        <w:t>)</w:t>
      </w:r>
      <w:r w:rsidR="00E20066" w:rsidRPr="007A6443">
        <w:t>.</w:t>
      </w:r>
    </w:p>
    <w:p w:rsidR="00E20066" w:rsidRPr="007A6443" w:rsidRDefault="00E20066">
      <w:r w:rsidRPr="007A6443">
        <w:t xml:space="preserve">For employees with a </w:t>
      </w:r>
      <w:r w:rsidR="00D71121">
        <w:t>common mental disorder</w:t>
      </w:r>
      <w:r w:rsidRPr="007A6443">
        <w:t xml:space="preserve"> the route to potential long-term work incapacity begins with the receipt of a sickness certificate from a general practitioner (GP). In the UK such a certificate is required by the employee after seven days of self-certification. Since 2010, </w:t>
      </w:r>
      <w:r w:rsidR="00231D8B" w:rsidRPr="007A6443">
        <w:t>this certificate has been in the form of a ‘fit note’, offering the GP an opportunity to advise that the patient-employee may be fit to return to work with an appropriate level of support provided by the employer. The introduction of the new certificate, replacing the long-established ‘sick note’</w:t>
      </w:r>
      <w:r w:rsidR="006050F7" w:rsidRPr="007A6443">
        <w:t xml:space="preserve">, </w:t>
      </w:r>
      <w:r w:rsidR="00231D8B" w:rsidRPr="007A6443">
        <w:t xml:space="preserve"> was a recognition that the patient did not have to be sym</w:t>
      </w:r>
      <w:r w:rsidR="007A6443">
        <w:t>ptom-</w:t>
      </w:r>
      <w:r w:rsidR="007E3A6E" w:rsidRPr="007A6443">
        <w:t>free to remain in</w:t>
      </w:r>
      <w:r w:rsidR="00231D8B" w:rsidRPr="007A6443">
        <w:t xml:space="preserve"> work, </w:t>
      </w:r>
      <w:r w:rsidR="007E3A6E" w:rsidRPr="007A6443">
        <w:t>and offered the GP a potentially key role in work retention or return-to-work</w:t>
      </w:r>
      <w:r w:rsidR="00C36C74">
        <w:t xml:space="preserve"> interventions</w:t>
      </w:r>
      <w:r w:rsidR="0020682D">
        <w:t xml:space="preserve"> (</w:t>
      </w:r>
      <w:r w:rsidR="0020682D" w:rsidRPr="00B261CB">
        <w:rPr>
          <w:color w:val="FF0000"/>
        </w:rPr>
        <w:t>Black, 2008</w:t>
      </w:r>
      <w:r w:rsidR="0020682D">
        <w:t>)</w:t>
      </w:r>
      <w:r w:rsidR="00C36C74">
        <w:t xml:space="preserve"> </w:t>
      </w:r>
      <w:r w:rsidR="007E3A6E" w:rsidRPr="007A6443">
        <w:t>.</w:t>
      </w:r>
      <w:r w:rsidR="00B122CC" w:rsidRPr="007A6443">
        <w:t xml:space="preserve"> It has also become </w:t>
      </w:r>
      <w:r w:rsidR="006050F7" w:rsidRPr="007A6443">
        <w:t>apparent that, similar to the prescribing of medications, the issue of a sickness certificate may have a therapeutic effect in the short-term (ie. taking a break from full-time work) but may have more negative long-term consequences (ie. worklessness).</w:t>
      </w:r>
      <w:r w:rsidR="00FF7F1D" w:rsidRPr="007A6443">
        <w:t xml:space="preserve"> This may be</w:t>
      </w:r>
      <w:r w:rsidR="006050F7" w:rsidRPr="007A6443">
        <w:t xml:space="preserve"> particularly </w:t>
      </w:r>
      <w:r w:rsidR="00FF7F1D" w:rsidRPr="007A6443">
        <w:t>relevant when</w:t>
      </w:r>
      <w:r w:rsidR="006050F7" w:rsidRPr="007A6443">
        <w:t xml:space="preserve"> certificates are issued to patients wi</w:t>
      </w:r>
      <w:r w:rsidR="00867795" w:rsidRPr="007A6443">
        <w:t xml:space="preserve">th </w:t>
      </w:r>
      <w:r w:rsidR="00D71121">
        <w:t>CMD</w:t>
      </w:r>
      <w:r w:rsidR="00867795" w:rsidRPr="007A6443">
        <w:t>s</w:t>
      </w:r>
      <w:r w:rsidR="006050F7" w:rsidRPr="007A6443">
        <w:t xml:space="preserve"> such as d</w:t>
      </w:r>
      <w:r w:rsidR="00C36C74">
        <w:t>epression</w:t>
      </w:r>
      <w:r w:rsidR="0020682D">
        <w:t xml:space="preserve"> (</w:t>
      </w:r>
      <w:r w:rsidR="0020682D" w:rsidRPr="00B261CB">
        <w:rPr>
          <w:color w:val="FF0000"/>
        </w:rPr>
        <w:t xml:space="preserve">McDonald </w:t>
      </w:r>
      <w:r w:rsidR="0020682D" w:rsidRPr="00B261CB">
        <w:rPr>
          <w:i/>
          <w:color w:val="FF0000"/>
        </w:rPr>
        <w:t>et al</w:t>
      </w:r>
      <w:r w:rsidR="0020682D" w:rsidRPr="00B261CB">
        <w:rPr>
          <w:color w:val="FF0000"/>
        </w:rPr>
        <w:t>., 2012</w:t>
      </w:r>
      <w:r w:rsidR="0020682D">
        <w:t>)</w:t>
      </w:r>
      <w:r w:rsidR="006050F7" w:rsidRPr="007A6443">
        <w:t>.</w:t>
      </w:r>
    </w:p>
    <w:p w:rsidR="007E3A6E" w:rsidRPr="007A6443" w:rsidRDefault="007E3A6E">
      <w:r w:rsidRPr="007A6443">
        <w:t>The</w:t>
      </w:r>
      <w:r w:rsidR="00B122CC" w:rsidRPr="007A6443">
        <w:t xml:space="preserve"> level of mental-health related sickness certification does not equate to the</w:t>
      </w:r>
      <w:r w:rsidRPr="007A6443">
        <w:t xml:space="preserve"> prevalence of mild to moderate mental</w:t>
      </w:r>
      <w:r w:rsidR="00B76E5F" w:rsidRPr="007A6443">
        <w:t xml:space="preserve"> disorders in the </w:t>
      </w:r>
      <w:r w:rsidRPr="007A6443">
        <w:t>working</w:t>
      </w:r>
      <w:r w:rsidR="00B122CC" w:rsidRPr="007A6443">
        <w:t xml:space="preserve"> age</w:t>
      </w:r>
      <w:r w:rsidR="00B76E5F" w:rsidRPr="007A6443">
        <w:t xml:space="preserve"> population at large</w:t>
      </w:r>
      <w:r w:rsidR="00513643">
        <w:t>. It has been</w:t>
      </w:r>
      <w:r w:rsidRPr="007A6443">
        <w:t xml:space="preserve"> reported that for every 10 general practice consultations relating to reported depression</w:t>
      </w:r>
      <w:r w:rsidR="00B122CC" w:rsidRPr="007A6443">
        <w:t xml:space="preserve"> </w:t>
      </w:r>
      <w:r w:rsidR="007A6443">
        <w:t xml:space="preserve">only </w:t>
      </w:r>
      <w:r w:rsidR="00B122CC" w:rsidRPr="007A6443">
        <w:t>three</w:t>
      </w:r>
      <w:r w:rsidRPr="007A6443">
        <w:t xml:space="preserve"> resulted in a certifi</w:t>
      </w:r>
      <w:r w:rsidR="00C36C74">
        <w:t>cation outcome</w:t>
      </w:r>
      <w:r w:rsidR="0020682D">
        <w:t xml:space="preserve"> (</w:t>
      </w:r>
      <w:r w:rsidR="0020682D" w:rsidRPr="00B261CB">
        <w:rPr>
          <w:color w:val="FF0000"/>
        </w:rPr>
        <w:t xml:space="preserve">Mallen </w:t>
      </w:r>
      <w:r w:rsidR="0020682D" w:rsidRPr="00B261CB">
        <w:rPr>
          <w:i/>
          <w:color w:val="FF0000"/>
        </w:rPr>
        <w:t>et al</w:t>
      </w:r>
      <w:r w:rsidR="0020682D" w:rsidRPr="00B261CB">
        <w:rPr>
          <w:color w:val="FF0000"/>
        </w:rPr>
        <w:t>., 2011</w:t>
      </w:r>
      <w:r w:rsidR="0020682D">
        <w:t>)</w:t>
      </w:r>
      <w:r w:rsidRPr="007A6443">
        <w:t xml:space="preserve">. However, in most developed countries mental disorders have replaced </w:t>
      </w:r>
      <w:r w:rsidR="00B122CC" w:rsidRPr="007A6443">
        <w:t>musculoskeletal problems as the main cause of sick</w:t>
      </w:r>
      <w:r w:rsidR="00C36C74">
        <w:t>ness absence</w:t>
      </w:r>
      <w:r w:rsidR="0020682D">
        <w:t xml:space="preserve"> (</w:t>
      </w:r>
      <w:r w:rsidR="0020682D" w:rsidRPr="002A2731">
        <w:rPr>
          <w:color w:val="FF0000"/>
        </w:rPr>
        <w:t>Harvey et al., 2013</w:t>
      </w:r>
      <w:r w:rsidR="0020682D">
        <w:t>)</w:t>
      </w:r>
      <w:r w:rsidR="00B122CC" w:rsidRPr="007A6443">
        <w:t>. Empirical studies conducted in the UK have found that approximately a third of all fit notes issued by GPs are for mild to mo</w:t>
      </w:r>
      <w:r w:rsidR="00C36C74">
        <w:t>derate mental disorders</w:t>
      </w:r>
      <w:r w:rsidR="00F217E5">
        <w:t xml:space="preserve"> (</w:t>
      </w:r>
      <w:r w:rsidR="00F217E5" w:rsidRPr="00B261CB">
        <w:rPr>
          <w:color w:val="FF0000"/>
        </w:rPr>
        <w:t xml:space="preserve">Gabbay </w:t>
      </w:r>
      <w:r w:rsidR="00F217E5" w:rsidRPr="00B261CB">
        <w:rPr>
          <w:i/>
          <w:color w:val="FF0000"/>
        </w:rPr>
        <w:t>et al</w:t>
      </w:r>
      <w:r w:rsidR="00F217E5" w:rsidRPr="00B261CB">
        <w:rPr>
          <w:color w:val="FF0000"/>
        </w:rPr>
        <w:t>., 2015</w:t>
      </w:r>
      <w:r w:rsidR="00F217E5">
        <w:t>)</w:t>
      </w:r>
      <w:r w:rsidR="00C36C74">
        <w:t>.</w:t>
      </w:r>
    </w:p>
    <w:p w:rsidR="00FF7F1D" w:rsidRPr="007A6443" w:rsidRDefault="007A6443">
      <w:r>
        <w:t xml:space="preserve">In the context of a changing </w:t>
      </w:r>
      <w:r w:rsidR="00B76E5F" w:rsidRPr="007A6443">
        <w:t>UK welfare policy arena, where increasing attention is being paid to mental health and its impact on employability and work capacity in all parts of the welfare system, this study uses data from a national fit note database in order to focus upon three aspects of mental health-related sickness certification:</w:t>
      </w:r>
    </w:p>
    <w:p w:rsidR="00B76E5F" w:rsidRPr="007A6443" w:rsidRDefault="00B76E5F" w:rsidP="00B76E5F">
      <w:r w:rsidRPr="007A6443">
        <w:t>1.  The likelihood of having a cer</w:t>
      </w:r>
      <w:r w:rsidR="00867795" w:rsidRPr="007A6443">
        <w:t xml:space="preserve">tified sickness episode for a </w:t>
      </w:r>
      <w:r w:rsidR="00D71121">
        <w:t>CMD</w:t>
      </w:r>
      <w:r w:rsidR="00B354A8" w:rsidRPr="007A6443">
        <w:t>.</w:t>
      </w:r>
    </w:p>
    <w:p w:rsidR="00B354A8" w:rsidRPr="007A6443" w:rsidRDefault="00B354A8" w:rsidP="00B76E5F">
      <w:r w:rsidRPr="007A6443">
        <w:lastRenderedPageBreak/>
        <w:t xml:space="preserve">2. The prevalence of long-term </w:t>
      </w:r>
      <w:r w:rsidR="00867795" w:rsidRPr="007A6443">
        <w:t xml:space="preserve">certification </w:t>
      </w:r>
      <w:r w:rsidRPr="007A6443">
        <w:t>episodes e</w:t>
      </w:r>
      <w:r w:rsidR="00D817AF" w:rsidRPr="007A6443">
        <w:t xml:space="preserve">xperienced by patients </w:t>
      </w:r>
      <w:r w:rsidR="00867795" w:rsidRPr="007A6443">
        <w:t>with</w:t>
      </w:r>
      <w:r w:rsidR="008E43F9" w:rsidRPr="007A6443">
        <w:t xml:space="preserve"> different </w:t>
      </w:r>
      <w:r w:rsidR="00D71121">
        <w:t>CMD</w:t>
      </w:r>
      <w:r w:rsidRPr="007A6443">
        <w:t xml:space="preserve"> diagnoses.</w:t>
      </w:r>
    </w:p>
    <w:p w:rsidR="00B354A8" w:rsidRPr="007A6443" w:rsidRDefault="00B354A8" w:rsidP="00B76E5F">
      <w:r w:rsidRPr="007A6443">
        <w:t>3. The prevalence and types of ‘may be fit’ advice given by GPs issuing fit notes for d</w:t>
      </w:r>
      <w:r w:rsidR="008E43F9" w:rsidRPr="007A6443">
        <w:t xml:space="preserve">ifferent </w:t>
      </w:r>
      <w:r w:rsidR="00D71121">
        <w:t>CMD</w:t>
      </w:r>
      <w:r w:rsidR="00867795" w:rsidRPr="007A6443">
        <w:t>s</w:t>
      </w:r>
    </w:p>
    <w:p w:rsidR="00462C3A" w:rsidRPr="007A6443" w:rsidRDefault="00462C3A" w:rsidP="00B76E5F"/>
    <w:p w:rsidR="00462C3A" w:rsidRPr="007A6443" w:rsidRDefault="00462C3A" w:rsidP="00B76E5F">
      <w:pPr>
        <w:rPr>
          <w:b/>
          <w:sz w:val="28"/>
          <w:szCs w:val="28"/>
        </w:rPr>
      </w:pPr>
      <w:r w:rsidRPr="007A6443">
        <w:rPr>
          <w:b/>
          <w:sz w:val="28"/>
          <w:szCs w:val="28"/>
        </w:rPr>
        <w:t>Methods</w:t>
      </w:r>
    </w:p>
    <w:p w:rsidR="00462C3A" w:rsidRPr="007A6443" w:rsidRDefault="00462C3A" w:rsidP="00B76E5F">
      <w:pPr>
        <w:rPr>
          <w:b/>
        </w:rPr>
      </w:pPr>
      <w:r w:rsidRPr="007A6443">
        <w:rPr>
          <w:b/>
        </w:rPr>
        <w:t>Fit note data collection</w:t>
      </w:r>
    </w:p>
    <w:p w:rsidR="00462C3A" w:rsidRPr="007A6443" w:rsidRDefault="00E628D5" w:rsidP="00462C3A">
      <w:r>
        <w:t>Fit note data for the study were</w:t>
      </w:r>
      <w:r w:rsidR="00462C3A" w:rsidRPr="007A6443">
        <w:t xml:space="preserve"> generated from two projects commissioned and funded by the UK Department for Work and Pensions (DWP): the national evaluation of the fit note and the evaluation of Fit for Work Service (FFWS) pilots. The former recruited 49 general practices from five geographical areas of the UK (Scotland, Wales, Derbyshire, North West and South East England). The latter involved 19 practices sited in three FFWS pilot sites (Greater Manchester, Leicestershire and North Staffordshire). These practices varied in list size (small, medium and large), location (urban, suburban, rural) and deprivation. Although the evaluations had different objectives, both used a similar method of data collection, requesting GPs to use ‘carbonised’ pads of fit notes for a period of 12 months. Using the specialised pads ensured that details of every fit note issued in the period were retained on duplicate sheets.  The FFWS evaluation practices started recording fit note data in July/August 2011 and the national fit note evaluation practices in November/December 2011</w:t>
      </w:r>
      <w:r w:rsidR="00F217E5">
        <w:t xml:space="preserve"> (</w:t>
      </w:r>
      <w:r w:rsidR="00F217E5" w:rsidRPr="00B261CB">
        <w:rPr>
          <w:color w:val="FF0000"/>
        </w:rPr>
        <w:t xml:space="preserve">Shiels </w:t>
      </w:r>
      <w:r w:rsidR="00F217E5" w:rsidRPr="00B261CB">
        <w:rPr>
          <w:i/>
          <w:color w:val="FF0000"/>
        </w:rPr>
        <w:t>et al</w:t>
      </w:r>
      <w:r w:rsidR="00F217E5" w:rsidRPr="00B261CB">
        <w:rPr>
          <w:color w:val="FF0000"/>
        </w:rPr>
        <w:t xml:space="preserve">., 2013; Gabbay </w:t>
      </w:r>
      <w:r w:rsidR="00F217E5" w:rsidRPr="00B261CB">
        <w:rPr>
          <w:i/>
          <w:color w:val="FF0000"/>
        </w:rPr>
        <w:t>et al</w:t>
      </w:r>
      <w:r w:rsidR="00F217E5" w:rsidRPr="00B261CB">
        <w:rPr>
          <w:color w:val="FF0000"/>
        </w:rPr>
        <w:t>., 2015</w:t>
      </w:r>
      <w:r w:rsidR="00F217E5">
        <w:t>)</w:t>
      </w:r>
      <w:r w:rsidR="00462C3A" w:rsidRPr="007A6443">
        <w:t xml:space="preserve">. </w:t>
      </w:r>
    </w:p>
    <w:p w:rsidR="00462C3A" w:rsidRPr="007A6443" w:rsidRDefault="00462C3A" w:rsidP="00462C3A">
      <w:r w:rsidRPr="007A6443">
        <w:t>In addition to the details on the note (date of issue, diagnosis, period to abstain from work, whether the patient ‘may be fit’ to do some work, whether the patient needed to be re-assessed at the expiry of the note and the certifying GP) a number of additional items were collected from the patient practice record that have been shown to influence sickness absence risk. These included gender, year of birth and post code. The latter was transformed by practice staff into a neighbourhood deprivation score for the patient. Deprivation scores were based on lower-level Super Output Area and Data Zone scores in the most recent Indices of Multiple Deprivation (IMD) for England, Wales and Scotland.</w:t>
      </w:r>
      <w:r w:rsidR="00A36A2C" w:rsidRPr="007A6443">
        <w:t xml:space="preserve"> An attempt was also made to establish whether the person receiving the</w:t>
      </w:r>
      <w:r w:rsidR="00BE482E" w:rsidRPr="007A6443">
        <w:t xml:space="preserve"> fit note was normally in paid employment. However, for the majority of patients this information was not available.</w:t>
      </w:r>
    </w:p>
    <w:p w:rsidR="00462C3A" w:rsidRPr="007A6443" w:rsidRDefault="00462C3A" w:rsidP="00462C3A">
      <w:r w:rsidRPr="007A6443">
        <w:t>A more detailed description o</w:t>
      </w:r>
      <w:r w:rsidR="005F3BD5">
        <w:t xml:space="preserve">f the data collection process has been </w:t>
      </w:r>
      <w:r w:rsidR="00774AE4">
        <w:t>reported</w:t>
      </w:r>
      <w:r w:rsidR="005F3BD5">
        <w:t xml:space="preserve"> previously </w:t>
      </w:r>
      <w:r w:rsidR="00F217E5">
        <w:t>(</w:t>
      </w:r>
      <w:r w:rsidR="00F217E5" w:rsidRPr="00B261CB">
        <w:rPr>
          <w:color w:val="FF0000"/>
        </w:rPr>
        <w:t xml:space="preserve">Shiels </w:t>
      </w:r>
      <w:r w:rsidR="00F217E5" w:rsidRPr="00B261CB">
        <w:rPr>
          <w:i/>
          <w:color w:val="FF0000"/>
        </w:rPr>
        <w:t>et al</w:t>
      </w:r>
      <w:r w:rsidR="00F217E5" w:rsidRPr="00B261CB">
        <w:rPr>
          <w:color w:val="FF0000"/>
        </w:rPr>
        <w:t>., 2013</w:t>
      </w:r>
      <w:r w:rsidR="00F217E5">
        <w:t>)</w:t>
      </w:r>
      <w:r w:rsidRPr="007A6443">
        <w:t>.</w:t>
      </w:r>
      <w:r w:rsidR="008D3437">
        <w:rPr>
          <w:color w:val="FF0000"/>
          <w:vertAlign w:val="superscript"/>
        </w:rPr>
        <w:t xml:space="preserve"> </w:t>
      </w:r>
      <w:r w:rsidRPr="007A6443">
        <w:t>Ethical approval for data collection was obtained from the (UK) National Research Ethics Service in June 2011.</w:t>
      </w:r>
    </w:p>
    <w:p w:rsidR="00462C3A" w:rsidRPr="007A6443" w:rsidRDefault="00BE482E" w:rsidP="00B76E5F">
      <w:pPr>
        <w:rPr>
          <w:b/>
        </w:rPr>
      </w:pPr>
      <w:r w:rsidRPr="007A6443">
        <w:rPr>
          <w:b/>
        </w:rPr>
        <w:t>Data</w:t>
      </w:r>
      <w:r w:rsidR="00462C3A" w:rsidRPr="007A6443">
        <w:rPr>
          <w:b/>
        </w:rPr>
        <w:t xml:space="preserve"> analysis</w:t>
      </w:r>
    </w:p>
    <w:p w:rsidR="00BE482E" w:rsidRPr="007A6443" w:rsidRDefault="00BE482E" w:rsidP="00B76E5F">
      <w:r w:rsidRPr="007A6443">
        <w:t xml:space="preserve">Only patients who were recorded as being sickness absentees, i.e. normally in paid employment, were included in data analysis. Patients were excluded from the study if there was a record that they were not in work (and </w:t>
      </w:r>
      <w:r w:rsidR="00293202">
        <w:t xml:space="preserve">only </w:t>
      </w:r>
      <w:r w:rsidRPr="007A6443">
        <w:t>claiming fit notes to support a benefit claim) or if there was no record of their current employment status.</w:t>
      </w:r>
    </w:p>
    <w:p w:rsidR="00462C3A" w:rsidRPr="007A6443" w:rsidRDefault="00BE482E" w:rsidP="00B76E5F">
      <w:r w:rsidRPr="007A6443">
        <w:t xml:space="preserve">Non-parametrical statistical tests </w:t>
      </w:r>
      <w:r w:rsidR="00BF023F" w:rsidRPr="007A6443">
        <w:t>(chi-square, Mann-W</w:t>
      </w:r>
      <w:r w:rsidRPr="007A6443">
        <w:t>hitney) were</w:t>
      </w:r>
      <w:r w:rsidR="00BF023F" w:rsidRPr="007A6443">
        <w:t xml:space="preserve"> used to test for significant differences in patient proportions and median duration of sickness episodes. Logistic regression </w:t>
      </w:r>
      <w:r w:rsidR="00BF023F" w:rsidRPr="007A6443">
        <w:lastRenderedPageBreak/>
        <w:t>models were run in order to test the independent effects of patient and diagnostic characteristics on likelihood of dichotomous sickness certification outcomes. Random-intercept (mu</w:t>
      </w:r>
      <w:r w:rsidR="007A6443">
        <w:t>ltilevel) models were used in</w:t>
      </w:r>
      <w:r w:rsidR="009F3F4C" w:rsidRPr="007A6443">
        <w:t xml:space="preserve"> the regression analysis in order to take account of the hierarchical nature of the data (patient/certifying GP/general practice). Odds Ratios (ORs) and 95% CIs are reported for each covariate.</w:t>
      </w:r>
    </w:p>
    <w:p w:rsidR="009F3F4C" w:rsidRPr="007A6443" w:rsidRDefault="009F3F4C" w:rsidP="00B76E5F">
      <w:r w:rsidRPr="007A6443">
        <w:t>For both univariate and multivariate analysis a conventional criterion of statistical significance (P&lt;0.05) is assumed.</w:t>
      </w:r>
    </w:p>
    <w:p w:rsidR="009F3F4C" w:rsidRPr="007A6443" w:rsidRDefault="009F3F4C" w:rsidP="00B76E5F">
      <w:r w:rsidRPr="007A6443">
        <w:t>Data were analysed using SPSS for Windows 22.0 and STATA IC</w:t>
      </w:r>
      <w:r w:rsidR="00012BD6" w:rsidRPr="007A6443">
        <w:t xml:space="preserve"> </w:t>
      </w:r>
      <w:r w:rsidRPr="007A6443">
        <w:t>10.</w:t>
      </w:r>
    </w:p>
    <w:p w:rsidR="00462C3A" w:rsidRPr="007A6443" w:rsidRDefault="00462C3A" w:rsidP="00B76E5F">
      <w:pPr>
        <w:rPr>
          <w:b/>
        </w:rPr>
      </w:pPr>
    </w:p>
    <w:p w:rsidR="00462C3A" w:rsidRPr="007A6443" w:rsidRDefault="00462C3A" w:rsidP="00B76E5F">
      <w:pPr>
        <w:rPr>
          <w:b/>
          <w:sz w:val="28"/>
          <w:szCs w:val="28"/>
        </w:rPr>
      </w:pPr>
      <w:r w:rsidRPr="007A6443">
        <w:rPr>
          <w:b/>
          <w:sz w:val="28"/>
          <w:szCs w:val="28"/>
        </w:rPr>
        <w:t>Results</w:t>
      </w:r>
    </w:p>
    <w:p w:rsidR="00EF6EB8" w:rsidRPr="007A6443" w:rsidRDefault="00EF6EB8" w:rsidP="00B76E5F">
      <w:pPr>
        <w:rPr>
          <w:b/>
          <w:sz w:val="28"/>
          <w:szCs w:val="28"/>
        </w:rPr>
      </w:pPr>
    </w:p>
    <w:p w:rsidR="00EF6EB8" w:rsidRPr="00700340" w:rsidRDefault="00EF6EB8" w:rsidP="00B76E5F">
      <w:pPr>
        <w:rPr>
          <w:b/>
          <w:sz w:val="24"/>
          <w:szCs w:val="24"/>
        </w:rPr>
      </w:pPr>
      <w:r w:rsidRPr="00700340">
        <w:rPr>
          <w:b/>
          <w:sz w:val="24"/>
          <w:szCs w:val="24"/>
        </w:rPr>
        <w:t>The fit note database</w:t>
      </w:r>
    </w:p>
    <w:p w:rsidR="006F6026" w:rsidRPr="00700340" w:rsidRDefault="000526FA" w:rsidP="000526FA">
      <w:r w:rsidRPr="00700340">
        <w:rPr>
          <w:rFonts w:cs="Times New Roman"/>
        </w:rPr>
        <w:t>The fit note data collec</w:t>
      </w:r>
      <w:r w:rsidR="00A017BE" w:rsidRPr="00700340">
        <w:rPr>
          <w:rFonts w:cs="Times New Roman"/>
        </w:rPr>
        <w:t>ted from the two evaluations were</w:t>
      </w:r>
      <w:r w:rsidRPr="00700340">
        <w:rPr>
          <w:rFonts w:cs="Times New Roman"/>
        </w:rPr>
        <w:t xml:space="preserve"> merged by staff at the University of Liverpool, and a database was constructed. </w:t>
      </w:r>
      <w:r w:rsidR="006F6026" w:rsidRPr="00700340">
        <w:t xml:space="preserve">Twenty two general practices providing data had small patient list sizes (&lt;5000 registered patients). Seventeen had more than 10,000 patients on their register. Forty five practices were located in an urban or suburban setting, and 23 served a largely rural population. Twenty six practices were classed as having ‘highly deprived’ patient populations (over 70% of their patients living in the 20% most deprived neighbourhoods in the country) and 24 were estimated to be ‘low deprivation’ practices (less than 20% of patients in the most deprived areas). The median </w:t>
      </w:r>
      <w:r w:rsidR="00C564B6" w:rsidRPr="00700340">
        <w:t xml:space="preserve">weighted </w:t>
      </w:r>
      <w:r w:rsidR="006F6026" w:rsidRPr="00700340">
        <w:t xml:space="preserve">Index of Deprivation </w:t>
      </w:r>
      <w:r w:rsidR="00C564B6" w:rsidRPr="00700340">
        <w:t xml:space="preserve">(IMD) </w:t>
      </w:r>
      <w:r w:rsidR="006F6026" w:rsidRPr="00700340">
        <w:t>score for the 50 English practices in the study was 20.3, approximating the median deprivation score (22.1) for all 8,231 practices registered in England in 2012.</w:t>
      </w:r>
    </w:p>
    <w:p w:rsidR="000526FA" w:rsidRPr="00700340" w:rsidRDefault="000526FA" w:rsidP="000526FA">
      <w:pPr>
        <w:rPr>
          <w:rFonts w:cs="Times New Roman"/>
        </w:rPr>
      </w:pPr>
      <w:r w:rsidRPr="00700340">
        <w:rPr>
          <w:rFonts w:cs="Times New Roman"/>
        </w:rPr>
        <w:t>The 68 practices submitted details of 79,815 fit notes issued to 33,768 patients in the data collection period. A total of 42,402 discrete certified sickness absence ‘episodes’ (containing one or more continuous fit notes) were identified. However, for only 10,969 patients (32</w:t>
      </w:r>
      <w:r w:rsidR="00C02BC7" w:rsidRPr="00700340">
        <w:rPr>
          <w:rFonts w:cs="Times New Roman"/>
        </w:rPr>
        <w:t xml:space="preserve">% of patients in database), </w:t>
      </w:r>
      <w:r w:rsidRPr="00700340">
        <w:rPr>
          <w:rFonts w:cs="Times New Roman"/>
        </w:rPr>
        <w:t xml:space="preserve">13,694 certified sickness episodes </w:t>
      </w:r>
      <w:r w:rsidR="00C02BC7" w:rsidRPr="00700340">
        <w:rPr>
          <w:rFonts w:cs="Times New Roman"/>
        </w:rPr>
        <w:t xml:space="preserve">and 25,078 fit notes </w:t>
      </w:r>
      <w:r w:rsidRPr="00700340">
        <w:rPr>
          <w:rFonts w:cs="Times New Roman"/>
        </w:rPr>
        <w:t>was there a record that the patient receiving the fit note(s) was normally in paid employment. There were no statistically differences in patient characteristics (gender, age, social deprivation) between the recorded employment group and the remainder of patients (recorded as ‘not in work’ or with no record of employment status) that were excluded from subsequent analysis.</w:t>
      </w:r>
      <w:r w:rsidR="007A6443" w:rsidRPr="00700340">
        <w:rPr>
          <w:rFonts w:cs="Times New Roman"/>
        </w:rPr>
        <w:t xml:space="preserve"> </w:t>
      </w:r>
      <w:r w:rsidRPr="00700340">
        <w:rPr>
          <w:rFonts w:cs="Times New Roman"/>
        </w:rPr>
        <w:t>Nearly 29% (3,950/13,694</w:t>
      </w:r>
      <w:r w:rsidR="00F6215D" w:rsidRPr="00700340">
        <w:rPr>
          <w:rFonts w:cs="Times New Roman"/>
        </w:rPr>
        <w:t xml:space="preserve">) of </w:t>
      </w:r>
      <w:r w:rsidR="009002C7" w:rsidRPr="00700340">
        <w:rPr>
          <w:rFonts w:cs="Times New Roman"/>
        </w:rPr>
        <w:t>episodes were for a CMD</w:t>
      </w:r>
      <w:r w:rsidRPr="00700340">
        <w:rPr>
          <w:rFonts w:cs="Times New Roman"/>
        </w:rPr>
        <w:t xml:space="preserve">. The likelihood of having an episode of certified sickness absence for a mental health reason (rather than for a physical health problem) was associated with female gender, younger age and higher social deprivation. A higher proportion of female patients had at least one mental health related episode (34% (2,174/6,461)), compared to 26% (1,190/4,508) of males, P&lt;0.001). Nearly 34% (1,925/5,752) of patients below the age of 45 had a mental health-related episode, compared to 28% (1,436/5,201) of the older patients (P&lt;0.001). Nearly 33% (968/2,999) of patients living in the 20% most deprived neighbourhoods of their country had a </w:t>
      </w:r>
      <w:r w:rsidR="00D71121" w:rsidRPr="00700340">
        <w:rPr>
          <w:rFonts w:cs="Times New Roman"/>
        </w:rPr>
        <w:t>CMD</w:t>
      </w:r>
      <w:r w:rsidRPr="00700340">
        <w:rPr>
          <w:rFonts w:cs="Times New Roman"/>
        </w:rPr>
        <w:t xml:space="preserve"> episode, compared to 30% (2,318/7,701) of those residing in less deprived areas</w:t>
      </w:r>
      <w:r w:rsidR="00ED67F9" w:rsidRPr="00700340">
        <w:rPr>
          <w:rFonts w:cs="Times New Roman"/>
        </w:rPr>
        <w:t xml:space="preserve"> (P=0.02)</w:t>
      </w:r>
      <w:r w:rsidRPr="00700340">
        <w:rPr>
          <w:rFonts w:cs="Times New Roman"/>
        </w:rPr>
        <w:t xml:space="preserve">. When the three patient variables (gender, age, social deprivation) were entered as covariates in a logistic regression </w:t>
      </w:r>
      <w:r w:rsidRPr="00700340">
        <w:rPr>
          <w:rFonts w:cs="Times New Roman"/>
        </w:rPr>
        <w:lastRenderedPageBreak/>
        <w:t xml:space="preserve">model, they all retained a significant effect on likelihood of a </w:t>
      </w:r>
      <w:r w:rsidR="00D71121" w:rsidRPr="00700340">
        <w:rPr>
          <w:rFonts w:cs="Times New Roman"/>
        </w:rPr>
        <w:t>CMD</w:t>
      </w:r>
      <w:r w:rsidR="00513643" w:rsidRPr="00700340">
        <w:rPr>
          <w:rFonts w:cs="Times New Roman"/>
        </w:rPr>
        <w:t xml:space="preserve"> outcome: female, </w:t>
      </w:r>
      <w:r w:rsidRPr="00700340">
        <w:rPr>
          <w:rFonts w:cs="Times New Roman"/>
        </w:rPr>
        <w:t>OR=1.41 (95% CI 1.30-1.54); aged under 45, OR= 1.30 (95% CI 1.20-1.41); most deprived, OR= 1.09 (95% CI 1.01-1.20).</w:t>
      </w:r>
    </w:p>
    <w:p w:rsidR="006E252F" w:rsidRPr="00700340" w:rsidRDefault="006E252F" w:rsidP="00B76E5F">
      <w:pPr>
        <w:rPr>
          <w:rFonts w:cs="Times New Roman"/>
        </w:rPr>
      </w:pPr>
    </w:p>
    <w:p w:rsidR="00016F6D" w:rsidRPr="00700340" w:rsidRDefault="00C5764D" w:rsidP="00B76E5F">
      <w:pPr>
        <w:rPr>
          <w:rFonts w:cs="Times New Roman"/>
          <w:color w:val="FF0000"/>
        </w:rPr>
      </w:pPr>
      <w:r w:rsidRPr="00700340">
        <w:rPr>
          <w:rFonts w:cs="Times New Roman"/>
          <w:color w:val="FF0000"/>
        </w:rPr>
        <w:t>Table 1</w:t>
      </w:r>
    </w:p>
    <w:p w:rsidR="00016F6D" w:rsidRPr="00700340" w:rsidRDefault="00016F6D" w:rsidP="00B76E5F">
      <w:pPr>
        <w:rPr>
          <w:rFonts w:cs="Times New Roman"/>
        </w:rPr>
      </w:pPr>
    </w:p>
    <w:p w:rsidR="00462C3A" w:rsidRPr="00700340" w:rsidRDefault="00952C9C" w:rsidP="00B76E5F">
      <w:pPr>
        <w:rPr>
          <w:b/>
        </w:rPr>
      </w:pPr>
      <w:r w:rsidRPr="00700340">
        <w:rPr>
          <w:b/>
        </w:rPr>
        <w:t>Fit notes for different mental health problems</w:t>
      </w:r>
    </w:p>
    <w:p w:rsidR="00661961" w:rsidRPr="00700340" w:rsidRDefault="00661961" w:rsidP="00B76E5F">
      <w:pPr>
        <w:rPr>
          <w:b/>
        </w:rPr>
      </w:pPr>
    </w:p>
    <w:p w:rsidR="00432FBC" w:rsidRPr="00700340" w:rsidRDefault="00661961" w:rsidP="00B76E5F">
      <w:r w:rsidRPr="00700340">
        <w:t xml:space="preserve">A total of 27,792 fit notes in the database were issued </w:t>
      </w:r>
      <w:r w:rsidR="00A36A2C" w:rsidRPr="00700340">
        <w:t>to patients</w:t>
      </w:r>
      <w:r w:rsidR="00F1206E" w:rsidRPr="00700340">
        <w:t xml:space="preserve"> </w:t>
      </w:r>
      <w:r w:rsidR="00A36A2C" w:rsidRPr="00700340">
        <w:t xml:space="preserve">presenting with a </w:t>
      </w:r>
      <w:r w:rsidR="00D71121" w:rsidRPr="00700340">
        <w:t>CMD</w:t>
      </w:r>
      <w:r w:rsidR="00A36A2C" w:rsidRPr="00700340">
        <w:t xml:space="preserve"> as the reason for sickness absence</w:t>
      </w:r>
      <w:r w:rsidRPr="00700340">
        <w:t>.</w:t>
      </w:r>
      <w:r w:rsidR="00432FBC" w:rsidRPr="00700340">
        <w:t xml:space="preserve"> However, a definitive record that the </w:t>
      </w:r>
      <w:r w:rsidR="00D71121" w:rsidRPr="00700340">
        <w:t>CMD</w:t>
      </w:r>
      <w:r w:rsidR="00432FBC" w:rsidRPr="00700340">
        <w:t xml:space="preserve"> patient receiving the fit note was normally in paid employment was only available for 3,288 patients receiving a total of 8,074 fit notes.</w:t>
      </w:r>
    </w:p>
    <w:p w:rsidR="002A732A" w:rsidRPr="00700340" w:rsidRDefault="00661961" w:rsidP="00B76E5F">
      <w:r w:rsidRPr="00700340">
        <w:t xml:space="preserve"> Table 1 reports the number </w:t>
      </w:r>
      <w:r w:rsidR="00432FBC" w:rsidRPr="00700340">
        <w:t xml:space="preserve">and proportion </w:t>
      </w:r>
      <w:r w:rsidRPr="00700340">
        <w:t xml:space="preserve">of </w:t>
      </w:r>
      <w:r w:rsidR="00432FBC" w:rsidRPr="00700340">
        <w:t>the</w:t>
      </w:r>
      <w:r w:rsidR="002A732A" w:rsidRPr="00700340">
        <w:t>se</w:t>
      </w:r>
      <w:r w:rsidR="00432FBC" w:rsidRPr="00700340">
        <w:t xml:space="preserve"> 8,074 </w:t>
      </w:r>
      <w:r w:rsidRPr="00700340">
        <w:t>fit notes within mental health diagnostic categ</w:t>
      </w:r>
      <w:r w:rsidR="00AC1F25" w:rsidRPr="00700340">
        <w:t xml:space="preserve">ories. </w:t>
      </w:r>
      <w:r w:rsidR="00B547E4" w:rsidRPr="00700340">
        <w:t xml:space="preserve">Fit notes to certify sickness absence due to stress were the most prevalent, contributing over 36% of the total notes issued for </w:t>
      </w:r>
      <w:r w:rsidR="00D71121" w:rsidRPr="00700340">
        <w:t>CMD</w:t>
      </w:r>
      <w:r w:rsidR="00B547E4" w:rsidRPr="00700340">
        <w:t xml:space="preserve">s. However, </w:t>
      </w:r>
      <w:r w:rsidR="00A321BA" w:rsidRPr="00700340">
        <w:t>sickness</w:t>
      </w:r>
      <w:r w:rsidR="00B547E4" w:rsidRPr="00700340">
        <w:t xml:space="preserve"> certificates issued for depression, either alone or mixed wi</w:t>
      </w:r>
      <w:r w:rsidR="00A321BA" w:rsidRPr="00700340">
        <w:t>th anxiety symptoms, accounted for</w:t>
      </w:r>
      <w:r w:rsidR="00B547E4" w:rsidRPr="00700340">
        <w:t xml:space="preserve"> over 47% of all wee</w:t>
      </w:r>
      <w:r w:rsidR="00EC3E17" w:rsidRPr="00700340">
        <w:t>ks certified</w:t>
      </w:r>
      <w:r w:rsidR="00A321BA" w:rsidRPr="00700340">
        <w:t xml:space="preserve"> by the CMD fit notes</w:t>
      </w:r>
      <w:r w:rsidR="00EC3E17" w:rsidRPr="00700340">
        <w:t>.</w:t>
      </w:r>
    </w:p>
    <w:p w:rsidR="000605B6" w:rsidRPr="00700340" w:rsidRDefault="00B547E4" w:rsidP="00B76E5F">
      <w:r w:rsidRPr="00700340">
        <w:t>For the group of 3,288</w:t>
      </w:r>
      <w:r w:rsidR="008F7CD3" w:rsidRPr="00700340">
        <w:t xml:space="preserve"> patients that received a fit note fo</w:t>
      </w:r>
      <w:r w:rsidR="008E43F9" w:rsidRPr="00700340">
        <w:t xml:space="preserve">r a </w:t>
      </w:r>
      <w:r w:rsidR="00D71121" w:rsidRPr="00700340">
        <w:t>CMD</w:t>
      </w:r>
      <w:r w:rsidR="000605B6" w:rsidRPr="00700340">
        <w:t xml:space="preserve">, there were gender and age </w:t>
      </w:r>
      <w:r w:rsidR="008F7CD3" w:rsidRPr="00700340">
        <w:t>differences in the type of note they received.</w:t>
      </w:r>
      <w:r w:rsidR="008E43F9" w:rsidRPr="00700340">
        <w:t xml:space="preserve"> </w:t>
      </w:r>
      <w:r w:rsidR="0040348B" w:rsidRPr="00700340">
        <w:t>A significantly higher propo</w:t>
      </w:r>
      <w:r w:rsidR="00D35482" w:rsidRPr="00700340">
        <w:t>rtion of male patients had at least one fit note for</w:t>
      </w:r>
      <w:r w:rsidR="000605B6" w:rsidRPr="00700340">
        <w:t xml:space="preserve"> depression (36% </w:t>
      </w:r>
      <w:r w:rsidR="006200DB" w:rsidRPr="00700340">
        <w:t xml:space="preserve">(399/1,124) </w:t>
      </w:r>
      <w:r w:rsidR="000605B6" w:rsidRPr="00700340">
        <w:t>v 31</w:t>
      </w:r>
      <w:r w:rsidR="0040348B" w:rsidRPr="00700340">
        <w:t>%</w:t>
      </w:r>
      <w:r w:rsidR="000605B6" w:rsidRPr="00700340">
        <w:t xml:space="preserve"> </w:t>
      </w:r>
      <w:r w:rsidR="006200DB" w:rsidRPr="00700340">
        <w:t xml:space="preserve">(677/2164) </w:t>
      </w:r>
      <w:r w:rsidR="000605B6" w:rsidRPr="00700340">
        <w:t xml:space="preserve">of females, P=0.02) and substance misuse (3% </w:t>
      </w:r>
      <w:r w:rsidR="006200DB" w:rsidRPr="00700340">
        <w:t xml:space="preserve">(28/1,124) </w:t>
      </w:r>
      <w:r w:rsidR="000605B6" w:rsidRPr="00700340">
        <w:t>v 1</w:t>
      </w:r>
      <w:r w:rsidR="0040348B" w:rsidRPr="00700340">
        <w:t>%</w:t>
      </w:r>
      <w:r w:rsidR="000605B6" w:rsidRPr="00700340">
        <w:t xml:space="preserve"> </w:t>
      </w:r>
      <w:r w:rsidR="006200DB" w:rsidRPr="00700340">
        <w:t xml:space="preserve">(14/2,164) </w:t>
      </w:r>
      <w:r w:rsidR="000605B6" w:rsidRPr="00700340">
        <w:t>of females, P&lt;0.001). However, a significantly higher proportion of female patients received certified sickness absence for a bereavement (11%</w:t>
      </w:r>
      <w:r w:rsidR="006200DB" w:rsidRPr="00700340">
        <w:t xml:space="preserve"> (246/2,164)</w:t>
      </w:r>
      <w:r w:rsidR="000605B6" w:rsidRPr="00700340">
        <w:t xml:space="preserve"> v 8% </w:t>
      </w:r>
      <w:r w:rsidR="006200DB" w:rsidRPr="00700340">
        <w:t xml:space="preserve">(95/1,124) </w:t>
      </w:r>
      <w:r w:rsidR="000605B6" w:rsidRPr="00700340">
        <w:t>of males, P=0.009)</w:t>
      </w:r>
      <w:r w:rsidR="0040348B" w:rsidRPr="00700340">
        <w:t xml:space="preserve">. </w:t>
      </w:r>
      <w:r w:rsidR="00D35482" w:rsidRPr="00700340">
        <w:t xml:space="preserve">Younger patients (aged under 45) were more likely than older patients to have had a fit note for depression (35% </w:t>
      </w:r>
      <w:r w:rsidR="006200DB" w:rsidRPr="00700340">
        <w:t xml:space="preserve">661/1,897) </w:t>
      </w:r>
      <w:r w:rsidR="00D35482" w:rsidRPr="00700340">
        <w:t>v 29%</w:t>
      </w:r>
      <w:r w:rsidR="006200DB" w:rsidRPr="00700340">
        <w:t xml:space="preserve"> (414/1,388)</w:t>
      </w:r>
      <w:r w:rsidR="00D35482" w:rsidRPr="00700340">
        <w:t xml:space="preserve">, P=0.002) or depression with anxiety (12% </w:t>
      </w:r>
      <w:r w:rsidR="006200DB" w:rsidRPr="00700340">
        <w:t xml:space="preserve">(223/1,897) </w:t>
      </w:r>
      <w:r w:rsidR="00D35482" w:rsidRPr="00700340">
        <w:t>v 9%</w:t>
      </w:r>
      <w:r w:rsidR="006200DB" w:rsidRPr="00700340">
        <w:t xml:space="preserve"> 132/1,388)</w:t>
      </w:r>
      <w:r w:rsidR="00D35482" w:rsidRPr="00700340">
        <w:t xml:space="preserve">, P=0.04). However a higher proportion of patients in the older group received a fit note for a bereavement (15% </w:t>
      </w:r>
      <w:r w:rsidR="006200DB" w:rsidRPr="00700340">
        <w:t xml:space="preserve">(198/1,388) </w:t>
      </w:r>
      <w:r w:rsidR="00D35482" w:rsidRPr="00700340">
        <w:t>v 8%</w:t>
      </w:r>
      <w:r w:rsidR="006200DB" w:rsidRPr="00700340">
        <w:t xml:space="preserve"> (142/1,897)</w:t>
      </w:r>
      <w:r w:rsidR="00D35482" w:rsidRPr="00700340">
        <w:t xml:space="preserve">, </w:t>
      </w:r>
      <w:r w:rsidR="006200DB" w:rsidRPr="00700340">
        <w:t>P</w:t>
      </w:r>
      <w:r w:rsidR="00D35482" w:rsidRPr="00700340">
        <w:t>&lt;0.001).</w:t>
      </w:r>
      <w:r w:rsidR="006A2CEF" w:rsidRPr="00700340">
        <w:t xml:space="preserve"> No significant differences were found between the group of patients living in the 20% most deprived neighbourhoods in their country (n=919) and the less deprived patients, in terms of the </w:t>
      </w:r>
      <w:r w:rsidR="006200DB" w:rsidRPr="00700340">
        <w:t xml:space="preserve">diagnostic category of </w:t>
      </w:r>
      <w:r w:rsidR="00FE6625" w:rsidRPr="00700340">
        <w:t>CMD</w:t>
      </w:r>
      <w:r w:rsidR="006A2CEF" w:rsidRPr="00700340">
        <w:t xml:space="preserve"> fit notes they received.</w:t>
      </w:r>
    </w:p>
    <w:p w:rsidR="00C5764D" w:rsidRPr="00700340" w:rsidRDefault="00C5764D" w:rsidP="00B76E5F">
      <w:pPr>
        <w:rPr>
          <w:color w:val="FF0000"/>
        </w:rPr>
      </w:pPr>
      <w:r w:rsidRPr="00700340">
        <w:rPr>
          <w:color w:val="FF0000"/>
        </w:rPr>
        <w:t>Table 2</w:t>
      </w:r>
    </w:p>
    <w:p w:rsidR="00A3172C" w:rsidRPr="00700340" w:rsidRDefault="00A3172C" w:rsidP="00A3172C">
      <w:pPr>
        <w:rPr>
          <w:b/>
        </w:rPr>
      </w:pPr>
      <w:r w:rsidRPr="00700340">
        <w:rPr>
          <w:b/>
        </w:rPr>
        <w:t>Type and duration of mental health-related episodes</w:t>
      </w:r>
    </w:p>
    <w:p w:rsidR="00623090" w:rsidRPr="00700340" w:rsidRDefault="00A3172C" w:rsidP="00661961">
      <w:r w:rsidRPr="00700340">
        <w:t xml:space="preserve">From the 8,074 </w:t>
      </w:r>
      <w:r w:rsidR="00FE6625" w:rsidRPr="00700340">
        <w:t>CMD</w:t>
      </w:r>
      <w:r w:rsidRPr="00700340">
        <w:t xml:space="preserve"> fit notes issued to working patients, a total of 3,950 discrete continuous episodes of c</w:t>
      </w:r>
      <w:r w:rsidR="00EC3E17" w:rsidRPr="00700340">
        <w:t>ertified sickness were identified</w:t>
      </w:r>
      <w:r w:rsidRPr="00700340">
        <w:t>. Nearly 48% (n=1,878) of episodes consisted of more than one fit note. Fifteen percent (492/3,288) of patients had more than one mental health-related episode in the data collection period. Nearly 39% of episodes were for stress, 28% for depression, 13% for anxiety, 8% for mixed anxiety and depression, 8% for bereavement and just over 1% for substance misuse.</w:t>
      </w:r>
    </w:p>
    <w:p w:rsidR="002C10DE" w:rsidRPr="00700340" w:rsidRDefault="002C10DE" w:rsidP="00B76E5F">
      <w:r w:rsidRPr="00700340">
        <w:lastRenderedPageBreak/>
        <w:t xml:space="preserve">In terms of duration of </w:t>
      </w:r>
      <w:r w:rsidR="00D71121" w:rsidRPr="00700340">
        <w:t>CMD</w:t>
      </w:r>
      <w:r w:rsidRPr="00700340">
        <w:t xml:space="preserve"> episodes, </w:t>
      </w:r>
      <w:r w:rsidR="001477A4" w:rsidRPr="00700340">
        <w:t>38% lasted less than 3 weeks, 29</w:t>
      </w:r>
      <w:r w:rsidRPr="00700340">
        <w:t>% betw</w:t>
      </w:r>
      <w:r w:rsidR="001477A4" w:rsidRPr="00700340">
        <w:t>een 3 and 6 weeks, 17</w:t>
      </w:r>
      <w:r w:rsidRPr="00700340">
        <w:t>% between</w:t>
      </w:r>
      <w:r w:rsidR="001477A4" w:rsidRPr="00700340">
        <w:t xml:space="preserve"> 6 and 12 weeks and 16</w:t>
      </w:r>
      <w:r w:rsidR="00FD44CA" w:rsidRPr="00700340">
        <w:t>% were considered ‘long-term’ (at 12 weeks or more)(Table 2).  The majority of the epis</w:t>
      </w:r>
      <w:r w:rsidR="001477A4" w:rsidRPr="00700340">
        <w:t>odes for bereavement and 46</w:t>
      </w:r>
      <w:r w:rsidR="00FD44CA" w:rsidRPr="00700340">
        <w:t xml:space="preserve">% of those for stress were relatively short-term, lasting under 3 weeks in duration. </w:t>
      </w:r>
      <w:r w:rsidR="001477A4" w:rsidRPr="00700340">
        <w:t>S</w:t>
      </w:r>
      <w:r w:rsidR="001F276B" w:rsidRPr="00700340">
        <w:t>ickness episodes certified because of pati</w:t>
      </w:r>
      <w:r w:rsidR="00986203" w:rsidRPr="00700340">
        <w:t>e</w:t>
      </w:r>
      <w:r w:rsidR="001477A4" w:rsidRPr="00700340">
        <w:t>nt substance</w:t>
      </w:r>
      <w:r w:rsidR="00293202" w:rsidRPr="00700340">
        <w:t xml:space="preserve"> misuse</w:t>
      </w:r>
      <w:r w:rsidR="001477A4" w:rsidRPr="00700340">
        <w:t xml:space="preserve"> were relatively few in number (n=55) but nearly 42% reached</w:t>
      </w:r>
      <w:r w:rsidR="001F276B" w:rsidRPr="00700340">
        <w:t xml:space="preserve"> the 12 week l</w:t>
      </w:r>
      <w:r w:rsidR="001477A4" w:rsidRPr="00700340">
        <w:t xml:space="preserve">ong-term threshold. Similar proportions of </w:t>
      </w:r>
      <w:r w:rsidR="001F276B" w:rsidRPr="00700340">
        <w:t xml:space="preserve">depression episodes </w:t>
      </w:r>
      <w:r w:rsidR="001477A4" w:rsidRPr="00700340">
        <w:t xml:space="preserve">and those for depression mixed with anxiety </w:t>
      </w:r>
      <w:r w:rsidR="001F276B" w:rsidRPr="00700340">
        <w:t>lasted 12 weeks or more</w:t>
      </w:r>
      <w:r w:rsidR="001477A4" w:rsidRPr="00700340">
        <w:t xml:space="preserve"> (21%)</w:t>
      </w:r>
      <w:r w:rsidR="001F276B" w:rsidRPr="00700340">
        <w:t>.</w:t>
      </w:r>
      <w:r w:rsidR="005D5F40" w:rsidRPr="00700340">
        <w:t xml:space="preserve"> Depression (alone or</w:t>
      </w:r>
      <w:r w:rsidR="001477A4" w:rsidRPr="00700340">
        <w:t xml:space="preserve"> with anxiety</w:t>
      </w:r>
      <w:r w:rsidR="005D5F40" w:rsidRPr="00700340">
        <w:t xml:space="preserve">) accounted for 47% </w:t>
      </w:r>
      <w:r w:rsidR="00A321BA" w:rsidRPr="00700340">
        <w:t xml:space="preserve">(294/619) </w:t>
      </w:r>
      <w:r w:rsidR="005D5F40" w:rsidRPr="00700340">
        <w:t>o</w:t>
      </w:r>
      <w:r w:rsidR="00A321BA" w:rsidRPr="00700340">
        <w:t>f all long-term CMD episodes</w:t>
      </w:r>
      <w:r w:rsidR="005D5F40" w:rsidRPr="00700340">
        <w:t>.</w:t>
      </w:r>
    </w:p>
    <w:p w:rsidR="005D5F40" w:rsidRPr="00700340" w:rsidRDefault="005D5F40" w:rsidP="00B76E5F">
      <w:r w:rsidRPr="00700340">
        <w:t xml:space="preserve">A significantly higher proportion of the older age-group (≥ 45 years of age) of patients had a long-term certified episode for a </w:t>
      </w:r>
      <w:r w:rsidR="00FE6625" w:rsidRPr="00700340">
        <w:t>CMD</w:t>
      </w:r>
      <w:r w:rsidRPr="00700340">
        <w:t xml:space="preserve"> (20%</w:t>
      </w:r>
      <w:r w:rsidR="00EA22F6" w:rsidRPr="00700340">
        <w:t xml:space="preserve"> (280/1,383)</w:t>
      </w:r>
      <w:r w:rsidRPr="00700340">
        <w:t xml:space="preserve"> v 15%</w:t>
      </w:r>
      <w:r w:rsidR="00EA22F6" w:rsidRPr="00700340">
        <w:t xml:space="preserve"> (284/1,896)</w:t>
      </w:r>
      <w:r w:rsidRPr="00700340">
        <w:t>, P&lt;0.001). There were no significant associations between having an episode of 12 weeks and patient gender or social deprivation of residential area.</w:t>
      </w:r>
    </w:p>
    <w:p w:rsidR="005E63BF" w:rsidRPr="00700340" w:rsidRDefault="005E63BF" w:rsidP="00B76E5F">
      <w:r w:rsidRPr="00700340">
        <w:t xml:space="preserve">When the three patient variables </w:t>
      </w:r>
      <w:r w:rsidR="006200DB" w:rsidRPr="00700340">
        <w:t>(gender, age-group and social deprivation)</w:t>
      </w:r>
      <w:r w:rsidRPr="00700340">
        <w:t xml:space="preserve"> and the seven </w:t>
      </w:r>
      <w:r w:rsidR="00D71121" w:rsidRPr="00700340">
        <w:t>CMD</w:t>
      </w:r>
      <w:r w:rsidRPr="00700340">
        <w:t xml:space="preserve"> categories were entered as covariates into a log</w:t>
      </w:r>
      <w:r w:rsidR="006200DB" w:rsidRPr="00700340">
        <w:t xml:space="preserve">istic regression model, </w:t>
      </w:r>
      <w:r w:rsidR="007C16B0" w:rsidRPr="00700340">
        <w:t xml:space="preserve">patient </w:t>
      </w:r>
      <w:r w:rsidR="006200DB" w:rsidRPr="00700340">
        <w:t xml:space="preserve">age </w:t>
      </w:r>
      <w:r w:rsidR="007C16B0" w:rsidRPr="00700340">
        <w:t>retained the</w:t>
      </w:r>
      <w:r w:rsidRPr="00700340">
        <w:t xml:space="preserve"> independent significant association with t</w:t>
      </w:r>
      <w:r w:rsidR="007C16B0" w:rsidRPr="00700340">
        <w:t>he 12 week episode outcome: age 45 and over</w:t>
      </w:r>
      <w:r w:rsidRPr="00700340">
        <w:t>, OR=1.</w:t>
      </w:r>
      <w:r w:rsidR="007C16B0" w:rsidRPr="00700340">
        <w:t>64 (95% CI 1.35-1.98)</w:t>
      </w:r>
      <w:r w:rsidR="00A321BA" w:rsidRPr="00700340">
        <w:t xml:space="preserve">. Compared to the stress reference category, </w:t>
      </w:r>
      <w:r w:rsidR="007C16B0" w:rsidRPr="00700340">
        <w:t xml:space="preserve">patients in </w:t>
      </w:r>
      <w:r w:rsidRPr="00700340">
        <w:t xml:space="preserve">other major categories had a significantly raised risk of </w:t>
      </w:r>
      <w:r w:rsidR="00A435ED" w:rsidRPr="00700340">
        <w:t xml:space="preserve">the 12 week outcome: substance misuse, </w:t>
      </w:r>
      <w:r w:rsidR="007C16B0" w:rsidRPr="00700340">
        <w:t>OR= 5.90 (95% CI 2.97-11.7</w:t>
      </w:r>
      <w:r w:rsidR="00A435ED" w:rsidRPr="00700340">
        <w:t xml:space="preserve">); </w:t>
      </w:r>
      <w:r w:rsidR="007C16B0" w:rsidRPr="00700340">
        <w:t xml:space="preserve">depression, OR= 2.32 (95% CI 1.86-2.86); </w:t>
      </w:r>
      <w:r w:rsidR="00A435ED" w:rsidRPr="00700340">
        <w:t>dep</w:t>
      </w:r>
      <w:r w:rsidR="007C16B0" w:rsidRPr="00700340">
        <w:t>ression (with anxiety), OR= 2.30 (95% CI 1.68-3.16</w:t>
      </w:r>
      <w:r w:rsidR="00A435ED" w:rsidRPr="00700340">
        <w:t>);</w:t>
      </w:r>
      <w:r w:rsidR="007C16B0" w:rsidRPr="00700340">
        <w:t xml:space="preserve"> anxiety, OR=1.67 (95% CI 1.26-2.2</w:t>
      </w:r>
      <w:r w:rsidR="00A435ED" w:rsidRPr="00700340">
        <w:t>2).</w:t>
      </w:r>
    </w:p>
    <w:p w:rsidR="00C5764D" w:rsidRPr="00700340" w:rsidRDefault="00C5764D" w:rsidP="00B76E5F">
      <w:pPr>
        <w:rPr>
          <w:color w:val="FF0000"/>
        </w:rPr>
      </w:pPr>
      <w:r w:rsidRPr="00700340">
        <w:rPr>
          <w:color w:val="FF0000"/>
        </w:rPr>
        <w:t>Table 3</w:t>
      </w:r>
    </w:p>
    <w:p w:rsidR="00623090" w:rsidRPr="00700340" w:rsidRDefault="00623090" w:rsidP="00623090">
      <w:pPr>
        <w:rPr>
          <w:b/>
        </w:rPr>
      </w:pPr>
      <w:r w:rsidRPr="00700340">
        <w:rPr>
          <w:b/>
        </w:rPr>
        <w:t>‘May be fit’ advice in mental health episodes</w:t>
      </w:r>
    </w:p>
    <w:p w:rsidR="00450D63" w:rsidRPr="00700340" w:rsidRDefault="00623090" w:rsidP="00B76E5F">
      <w:r w:rsidRPr="00700340">
        <w:t>The format of the fit note provides an o</w:t>
      </w:r>
      <w:r w:rsidR="00142977" w:rsidRPr="00700340">
        <w:t>pportunity for the GP to advise</w:t>
      </w:r>
      <w:r w:rsidRPr="00700340">
        <w:t xml:space="preserve"> that the patient may be able to return to work (even if not fully symptom-free) provided there is an appropriate source of support. Structured options of support listed on the fit note are ‘amended duties’, ‘altered hours, ‘phased return’ and ‘workplace adaptations’ The GP can check one or more of these options, and/or add free-text in an ‘additional comments’ section.</w:t>
      </w:r>
    </w:p>
    <w:p w:rsidR="00320F11" w:rsidRPr="00700340" w:rsidRDefault="00CF3C56" w:rsidP="00B76E5F">
      <w:r w:rsidRPr="00700340">
        <w:t xml:space="preserve">Seven percent of </w:t>
      </w:r>
      <w:r w:rsidR="00D71121" w:rsidRPr="00700340">
        <w:t>CMD</w:t>
      </w:r>
      <w:r w:rsidRPr="00700340">
        <w:t xml:space="preserve"> fit notes included ‘may be fit’ advice from the certifying doctor</w:t>
      </w:r>
      <w:r w:rsidR="00320F11" w:rsidRPr="00700340">
        <w:t>. The rate of issuing this type of note was similar across the depression, stress and anxiety categories</w:t>
      </w:r>
      <w:r w:rsidRPr="00700340">
        <w:t xml:space="preserve"> </w:t>
      </w:r>
      <w:r w:rsidR="00320F11" w:rsidRPr="00700340">
        <w:t>(Table 3)</w:t>
      </w:r>
      <w:r w:rsidR="00C147EF" w:rsidRPr="00700340">
        <w:t xml:space="preserve">. </w:t>
      </w:r>
      <w:r w:rsidR="00320F11" w:rsidRPr="00700340">
        <w:t xml:space="preserve">Nearly 10% of certified sickness absence episodes had ‘may be fit’ advice on the final fit note, thus completing the episode. </w:t>
      </w:r>
      <w:r w:rsidR="00EA259C" w:rsidRPr="00700340">
        <w:t>These ‘may be fit’ episodes were longer than those episodes where no return to work advice was offered (median weeks 5.5 weeks compared to 4 weeks, P&lt;0.001)</w:t>
      </w:r>
      <w:r w:rsidR="008C4946" w:rsidRPr="00700340">
        <w:t>.</w:t>
      </w:r>
      <w:r w:rsidR="00EA259C" w:rsidRPr="00700340">
        <w:t xml:space="preserve"> Longer duration of these ‘may be fit’ episodes was found for stress (5.4 v 3.0 weeks, P&lt;0.001), depression (5.8 v 4.4 weeks, P=0.38), anxiety (5.8 v 4.0 weeks, P=0.08), bereavement (4.2 v 2.1 weeks, P&lt;0.001) and depression with anxiety (4.2 v 4.1 weeks, P=0.98).</w:t>
      </w:r>
    </w:p>
    <w:p w:rsidR="00BD6742" w:rsidRPr="00700340" w:rsidRDefault="004D24F7" w:rsidP="00B76E5F">
      <w:r w:rsidRPr="00700340">
        <w:t>No significant asso</w:t>
      </w:r>
      <w:r w:rsidR="009B09CB" w:rsidRPr="00700340">
        <w:t>ciations were found between either the patient’s gender or</w:t>
      </w:r>
      <w:r w:rsidRPr="00700340">
        <w:t xml:space="preserve"> age, and the likelihood of receiving any ‘may be fit’ notes for a </w:t>
      </w:r>
      <w:r w:rsidR="00FE6625" w:rsidRPr="00700340">
        <w:t>CMD</w:t>
      </w:r>
      <w:r w:rsidRPr="00700340">
        <w:t xml:space="preserve"> during the period of data collection. However, a significantly lower proportion of patients living in the 20% most deprived neighbourhoods in the country had received a ‘may be fit’ note (11% (105/919) compared to </w:t>
      </w:r>
      <w:r w:rsidR="00BB62CC" w:rsidRPr="00700340">
        <w:t>14% (318/2292) of those living in less socially deprived areas</w:t>
      </w:r>
      <w:r w:rsidR="005155DF" w:rsidRPr="00700340">
        <w:t>, P=0.04</w:t>
      </w:r>
      <w:r w:rsidR="00BB62CC" w:rsidRPr="00700340">
        <w:t>).</w:t>
      </w:r>
    </w:p>
    <w:p w:rsidR="00142977" w:rsidRPr="00700340" w:rsidRDefault="000D103A" w:rsidP="00623090">
      <w:r w:rsidRPr="00700340">
        <w:lastRenderedPageBreak/>
        <w:t>For the 562</w:t>
      </w:r>
      <w:r w:rsidR="001C50A9" w:rsidRPr="00700340">
        <w:t xml:space="preserve"> </w:t>
      </w:r>
      <w:r w:rsidR="00D71121" w:rsidRPr="00700340">
        <w:t>CMD</w:t>
      </w:r>
      <w:r w:rsidR="001C50A9" w:rsidRPr="00700340">
        <w:t xml:space="preserve"> fit notes that did include ‘may be fit’ advice the most common recommendation for adjustment to facilitate a return to work was for the patient to be allowed to phase a return to work  (Table 4). This opti</w:t>
      </w:r>
      <w:r w:rsidRPr="00700340">
        <w:t>on was indicated by the GP on nearly 57</w:t>
      </w:r>
      <w:r w:rsidR="001C50A9" w:rsidRPr="00700340">
        <w:t xml:space="preserve">% of all </w:t>
      </w:r>
      <w:r w:rsidR="00E450C8" w:rsidRPr="00700340">
        <w:t xml:space="preserve">‘may be fit’ notes, either alone or with other advice. For depression fit notes, the </w:t>
      </w:r>
      <w:r w:rsidRPr="00700340">
        <w:t>proportion was higher at nearly 63</w:t>
      </w:r>
      <w:r w:rsidR="00E450C8" w:rsidRPr="00700340">
        <w:t>%.</w:t>
      </w:r>
      <w:r w:rsidRPr="00700340">
        <w:t xml:space="preserve"> Over 30</w:t>
      </w:r>
      <w:r w:rsidR="00D829BC" w:rsidRPr="00700340">
        <w:t xml:space="preserve">% of all </w:t>
      </w:r>
      <w:r w:rsidR="00D71121" w:rsidRPr="00700340">
        <w:t>CMD</w:t>
      </w:r>
      <w:r w:rsidR="00D829BC" w:rsidRPr="00700340">
        <w:t xml:space="preserve"> ‘may be fit’ notes included GP advice that the patient’s normal hours of work should be altered in order to enable a prompter return to work. </w:t>
      </w:r>
      <w:r w:rsidR="00623090" w:rsidRPr="00700340">
        <w:t xml:space="preserve">This type of advice was more prevalent on depression fit notes (over 34% including this advice). </w:t>
      </w:r>
    </w:p>
    <w:p w:rsidR="00623090" w:rsidRPr="00700340" w:rsidRDefault="00623090" w:rsidP="00623090">
      <w:r w:rsidRPr="00700340">
        <w:t>Twenty three percent of ‘may be fit’ notes recommended that the return to work might be facilitated by amending the patient’s normal work duties. This advice was more likely to be found on stress (28%) and anxiety (30%) notes rather than those issued for depression (18%). The recommendation for workplace adaptations to be made by the employer to enable the patient to end their sickness absence was least prevalent (found on nearly 8% of all ‘may be fit’ notes). Over 57% of notes included a written comment from the GP, usually clarifying the advice indicated by a structured option.</w:t>
      </w:r>
    </w:p>
    <w:p w:rsidR="00BD6742" w:rsidRPr="00700340" w:rsidRDefault="00C5764D" w:rsidP="00B76E5F">
      <w:pPr>
        <w:rPr>
          <w:color w:val="FF0000"/>
        </w:rPr>
      </w:pPr>
      <w:r w:rsidRPr="00700340">
        <w:rPr>
          <w:color w:val="FF0000"/>
        </w:rPr>
        <w:t>Table 4</w:t>
      </w:r>
    </w:p>
    <w:p w:rsidR="00263DBF" w:rsidRPr="00700340" w:rsidRDefault="00263DBF" w:rsidP="00B76E5F">
      <w:pPr>
        <w:rPr>
          <w:b/>
          <w:sz w:val="28"/>
          <w:szCs w:val="28"/>
        </w:rPr>
      </w:pPr>
      <w:r w:rsidRPr="00700340">
        <w:rPr>
          <w:b/>
          <w:sz w:val="28"/>
          <w:szCs w:val="28"/>
        </w:rPr>
        <w:t>Discussion</w:t>
      </w:r>
    </w:p>
    <w:p w:rsidR="00263DBF" w:rsidRPr="00700340" w:rsidRDefault="008C3983" w:rsidP="00B76E5F">
      <w:pPr>
        <w:rPr>
          <w:b/>
        </w:rPr>
      </w:pPr>
      <w:r w:rsidRPr="00700340">
        <w:rPr>
          <w:b/>
        </w:rPr>
        <w:t>Summary of m</w:t>
      </w:r>
      <w:r w:rsidR="00263DBF" w:rsidRPr="00700340">
        <w:rPr>
          <w:b/>
        </w:rPr>
        <w:t>ain findings</w:t>
      </w:r>
    </w:p>
    <w:p w:rsidR="00263DBF" w:rsidRPr="00700340" w:rsidRDefault="00295562" w:rsidP="00B76E5F">
      <w:r w:rsidRPr="00700340">
        <w:t>The study found a</w:t>
      </w:r>
      <w:r w:rsidR="00D9250E" w:rsidRPr="00700340">
        <w:t xml:space="preserve"> large part of all sickness absence certi</w:t>
      </w:r>
      <w:r w:rsidRPr="00700340">
        <w:t>fied by GPs was</w:t>
      </w:r>
      <w:r w:rsidR="00D9250E" w:rsidRPr="00700340">
        <w:t xml:space="preserve"> due to </w:t>
      </w:r>
      <w:r w:rsidR="00D71121" w:rsidRPr="00700340">
        <w:t>common mental disorder</w:t>
      </w:r>
      <w:r w:rsidR="00D9250E" w:rsidRPr="00700340">
        <w:t xml:space="preserve">s (29% of sickness absence episodes).  This mental health –related sickness certification was more prevalent among </w:t>
      </w:r>
      <w:r w:rsidR="00293202" w:rsidRPr="00700340">
        <w:t>fe</w:t>
      </w:r>
      <w:r w:rsidR="00D9250E" w:rsidRPr="00700340">
        <w:t xml:space="preserve">males, the younger group of patients and those living in the most socially deprived neighbourhoods. In terms of different mental health diagnoses, fit notes for stress were the most prevalent, but depression (alone or with anxiety symptoms) had the largest impact on the total duration of </w:t>
      </w:r>
      <w:r w:rsidR="00D71121" w:rsidRPr="00700340">
        <w:t>CMD</w:t>
      </w:r>
      <w:r w:rsidR="00D9250E" w:rsidRPr="00700340">
        <w:t xml:space="preserve"> sicknes</w:t>
      </w:r>
      <w:r w:rsidR="00EC3E17" w:rsidRPr="00700340">
        <w:t>s absence (47% of all weeks certified by CMD fit notes</w:t>
      </w:r>
      <w:r w:rsidR="00D9250E" w:rsidRPr="00700340">
        <w:t>).</w:t>
      </w:r>
    </w:p>
    <w:p w:rsidR="00D9250E" w:rsidRPr="00700340" w:rsidRDefault="00D9250E" w:rsidP="00B76E5F">
      <w:r w:rsidRPr="00700340">
        <w:t xml:space="preserve">Nearly 16% of all </w:t>
      </w:r>
      <w:r w:rsidR="00D71121" w:rsidRPr="00700340">
        <w:t>CMD</w:t>
      </w:r>
      <w:r w:rsidRPr="00700340">
        <w:t xml:space="preserve"> episodes were classed as ‘long-term’ (lasting 12 weeks or </w:t>
      </w:r>
      <w:r w:rsidR="00620A8F" w:rsidRPr="00700340">
        <w:t xml:space="preserve">more). However, distribution of episode duration varied across diagnostic categories. The majority of episodes for bereavement and nearly half of stress episodes were ‘short-term’ (less than 3 weeks in length). Older patients were more likely to have a long-term episode (for any </w:t>
      </w:r>
      <w:r w:rsidR="00D71121" w:rsidRPr="00700340">
        <w:t>CMD</w:t>
      </w:r>
      <w:r w:rsidR="00620A8F" w:rsidRPr="00700340">
        <w:t xml:space="preserve">). Substance misuse (although contributing relatively few fit notes and episodes) was most likely to result in a long-term episode, with depression also an important diagnostic predictor of a 12 week episode. </w:t>
      </w:r>
    </w:p>
    <w:p w:rsidR="005474BD" w:rsidRPr="00700340" w:rsidRDefault="00620A8F" w:rsidP="00B76E5F">
      <w:r w:rsidRPr="00700340">
        <w:t xml:space="preserve">Only 7% of </w:t>
      </w:r>
      <w:r w:rsidR="00D71121" w:rsidRPr="00700340">
        <w:t>CMD</w:t>
      </w:r>
      <w:r w:rsidRPr="00700340">
        <w:t xml:space="preserve"> fit notes had the ‘may be fit’ section completed</w:t>
      </w:r>
      <w:r w:rsidR="00295562" w:rsidRPr="00700340">
        <w:t xml:space="preserve">, whereby the GP could recommend a return to work provided there was appropriate support available or adjustments made. Patients living in the most deprived neighbourhoods were </w:t>
      </w:r>
      <w:r w:rsidR="00295562" w:rsidRPr="00700340">
        <w:rPr>
          <w:i/>
        </w:rPr>
        <w:t>less</w:t>
      </w:r>
      <w:r w:rsidR="00295562" w:rsidRPr="00700340">
        <w:t xml:space="preserve"> likely to have received this type of note for their </w:t>
      </w:r>
      <w:r w:rsidR="00D71121" w:rsidRPr="00700340">
        <w:t>CMD</w:t>
      </w:r>
      <w:r w:rsidR="00295562" w:rsidRPr="00700340">
        <w:t>. The most common items of advice indicated by GPs were for the patient to be allowed to phase a return to work (57% of all ‘may be fit’ notes) and for the employer to allow the patient to alter normal working hours (30%).</w:t>
      </w:r>
      <w:r w:rsidR="00293202" w:rsidRPr="00700340">
        <w:t xml:space="preserve"> Advice relating to an amendment of the patient’s normal work duties (23% of all ‘may be fit</w:t>
      </w:r>
      <w:r w:rsidR="00F20895" w:rsidRPr="00700340">
        <w:t xml:space="preserve">’ </w:t>
      </w:r>
      <w:r w:rsidR="00293202" w:rsidRPr="00700340">
        <w:t>notes)</w:t>
      </w:r>
      <w:r w:rsidR="00F20895" w:rsidRPr="00700340">
        <w:t xml:space="preserve"> was more prevalent on sickness certificates issued for anxiety or stress (rather than depression).</w:t>
      </w:r>
    </w:p>
    <w:p w:rsidR="00263DBF" w:rsidRPr="00700340" w:rsidRDefault="00263DBF" w:rsidP="00B76E5F">
      <w:pPr>
        <w:rPr>
          <w:b/>
        </w:rPr>
      </w:pPr>
      <w:r w:rsidRPr="00700340">
        <w:rPr>
          <w:b/>
        </w:rPr>
        <w:t>Strengths and weaknesses of study</w:t>
      </w:r>
    </w:p>
    <w:p w:rsidR="006736C9" w:rsidRPr="00700340" w:rsidRDefault="00817C98" w:rsidP="00B76E5F">
      <w:r w:rsidRPr="00700340">
        <w:lastRenderedPageBreak/>
        <w:t>The main strength of the study is its use of data extracted from the University of Liverpool fit note database, the largest collection of routine sickness certification data in the UK. The 68 general practices providing details were a representative national sample in terms of geographical location, patient list size and social deprivation of practice catchment areas</w:t>
      </w:r>
      <w:r w:rsidR="006F6026" w:rsidRPr="00700340">
        <w:t xml:space="preserve">. </w:t>
      </w:r>
      <w:r w:rsidRPr="00700340">
        <w:t xml:space="preserve">An important limitation of the study is the dependence on the patient general practice medical record as the source of potential explanatory data items. This restricted </w:t>
      </w:r>
      <w:r w:rsidR="007145E2" w:rsidRPr="00700340">
        <w:t>patient characteristics to gender, age and social deprivation (derived from patient post code of residence). No other patient data is routinely and consistently recorded at general practices in the UK. Th</w:t>
      </w:r>
      <w:r w:rsidR="00305BEA" w:rsidRPr="00700340">
        <w:t>e study would have been strengthen</w:t>
      </w:r>
      <w:r w:rsidR="007145E2" w:rsidRPr="00700340">
        <w:t xml:space="preserve">ed by the availability of </w:t>
      </w:r>
      <w:r w:rsidR="006736C9" w:rsidRPr="00700340">
        <w:t xml:space="preserve">employment and </w:t>
      </w:r>
      <w:r w:rsidR="007145E2" w:rsidRPr="00700340">
        <w:t xml:space="preserve">occupational data. </w:t>
      </w:r>
    </w:p>
    <w:p w:rsidR="00D80D35" w:rsidRPr="00700340" w:rsidRDefault="00D80D35" w:rsidP="00B76E5F">
      <w:pPr>
        <w:rPr>
          <w:b/>
        </w:rPr>
      </w:pPr>
      <w:r w:rsidRPr="00700340">
        <w:rPr>
          <w:b/>
        </w:rPr>
        <w:t>Relation to previous research</w:t>
      </w:r>
    </w:p>
    <w:p w:rsidR="00D80D35" w:rsidRPr="00700340" w:rsidRDefault="00D80D35" w:rsidP="00B76E5F">
      <w:r w:rsidRPr="00700340">
        <w:t xml:space="preserve">Similar proportions of mental health-related sickness certification were found in previous studies </w:t>
      </w:r>
      <w:r w:rsidR="006974D1" w:rsidRPr="00700340">
        <w:t>utilising all or part of the sam</w:t>
      </w:r>
      <w:r w:rsidRPr="00700340">
        <w:t>e</w:t>
      </w:r>
      <w:r w:rsidR="00C36C74" w:rsidRPr="00700340">
        <w:t xml:space="preserve"> fit note database</w:t>
      </w:r>
      <w:r w:rsidR="00F217E5" w:rsidRPr="00700340">
        <w:t xml:space="preserve"> (</w:t>
      </w:r>
      <w:r w:rsidR="00F217E5" w:rsidRPr="00700340">
        <w:rPr>
          <w:color w:val="FF0000"/>
        </w:rPr>
        <w:t xml:space="preserve">Shiels </w:t>
      </w:r>
      <w:r w:rsidR="00F217E5" w:rsidRPr="00700340">
        <w:rPr>
          <w:i/>
          <w:color w:val="FF0000"/>
        </w:rPr>
        <w:t>et al</w:t>
      </w:r>
      <w:r w:rsidR="00F217E5" w:rsidRPr="00700340">
        <w:rPr>
          <w:color w:val="FF0000"/>
        </w:rPr>
        <w:t xml:space="preserve">., 2013; Gabbay </w:t>
      </w:r>
      <w:r w:rsidR="00F217E5" w:rsidRPr="00700340">
        <w:rPr>
          <w:i/>
          <w:color w:val="FF0000"/>
        </w:rPr>
        <w:t>et al</w:t>
      </w:r>
      <w:r w:rsidR="00F217E5" w:rsidRPr="00700340">
        <w:rPr>
          <w:color w:val="FF0000"/>
        </w:rPr>
        <w:t>., 2015</w:t>
      </w:r>
      <w:r w:rsidR="00F217E5" w:rsidRPr="00700340">
        <w:t>)</w:t>
      </w:r>
      <w:r w:rsidR="006974D1" w:rsidRPr="00700340">
        <w:t xml:space="preserve">.While in advanced industrial societies musculoskeletal health problems have long been the major cause of work incapacity, in recent years the importance of </w:t>
      </w:r>
      <w:r w:rsidR="00D71121" w:rsidRPr="00700340">
        <w:t>CMD</w:t>
      </w:r>
      <w:r w:rsidR="006974D1" w:rsidRPr="00700340">
        <w:t>s as a proportion of all sickness abse</w:t>
      </w:r>
      <w:r w:rsidR="00C36C74" w:rsidRPr="00700340">
        <w:t>nce has increased</w:t>
      </w:r>
      <w:r w:rsidR="00F217E5" w:rsidRPr="00700340">
        <w:t xml:space="preserve"> (</w:t>
      </w:r>
      <w:r w:rsidR="00F217E5" w:rsidRPr="00700340">
        <w:rPr>
          <w:color w:val="FF0000"/>
        </w:rPr>
        <w:t xml:space="preserve">Martin </w:t>
      </w:r>
      <w:r w:rsidR="00F217E5" w:rsidRPr="00700340">
        <w:rPr>
          <w:i/>
          <w:color w:val="FF0000"/>
        </w:rPr>
        <w:t>et al</w:t>
      </w:r>
      <w:r w:rsidR="00F217E5" w:rsidRPr="00700340">
        <w:rPr>
          <w:color w:val="FF0000"/>
        </w:rPr>
        <w:t>., 2009</w:t>
      </w:r>
      <w:r w:rsidR="00F217E5" w:rsidRPr="00700340">
        <w:t>)</w:t>
      </w:r>
      <w:r w:rsidR="006974D1" w:rsidRPr="00700340">
        <w:t>. In countries with a large manufacturing sector, such as those in Eastern Europe (Poland, Slovakia), physical health problems still dominate claims for disability benefits. However</w:t>
      </w:r>
      <w:r w:rsidR="007A6443" w:rsidRPr="00700340">
        <w:t xml:space="preserve"> in other countries</w:t>
      </w:r>
      <w:r w:rsidR="00E508B0" w:rsidRPr="00700340">
        <w:t>,</w:t>
      </w:r>
      <w:r w:rsidR="007A6443" w:rsidRPr="00700340">
        <w:t xml:space="preserve"> with a relatively</w:t>
      </w:r>
      <w:r w:rsidR="006974D1" w:rsidRPr="00700340">
        <w:t xml:space="preserve"> large service sector, mental health problems have become the primary</w:t>
      </w:r>
      <w:r w:rsidR="00C36C74" w:rsidRPr="00700340">
        <w:t xml:space="preserve"> cause of long-term incapacity</w:t>
      </w:r>
      <w:r w:rsidR="00F217E5" w:rsidRPr="00700340">
        <w:t xml:space="preserve"> (</w:t>
      </w:r>
      <w:r w:rsidR="00F217E5" w:rsidRPr="00700340">
        <w:rPr>
          <w:color w:val="FF0000"/>
        </w:rPr>
        <w:t>EFILWC., 2007</w:t>
      </w:r>
      <w:r w:rsidR="00F217E5" w:rsidRPr="00700340">
        <w:t>)</w:t>
      </w:r>
      <w:r w:rsidR="006A6DBB" w:rsidRPr="00700340">
        <w:rPr>
          <w:iCs/>
        </w:rPr>
        <w:t>.</w:t>
      </w:r>
      <w:r w:rsidR="00F217E5" w:rsidRPr="00700340">
        <w:rPr>
          <w:iCs/>
          <w:color w:val="FF0000"/>
          <w:vertAlign w:val="superscript"/>
        </w:rPr>
        <w:t xml:space="preserve"> </w:t>
      </w:r>
      <w:r w:rsidR="006A6DBB" w:rsidRPr="00700340">
        <w:rPr>
          <w:iCs/>
        </w:rPr>
        <w:t xml:space="preserve">In the UK there is some evidence that the proportion of </w:t>
      </w:r>
      <w:r w:rsidR="00D71121" w:rsidRPr="00700340">
        <w:rPr>
          <w:iCs/>
        </w:rPr>
        <w:t>CMD</w:t>
      </w:r>
      <w:r w:rsidR="00A5249E" w:rsidRPr="00700340">
        <w:rPr>
          <w:iCs/>
        </w:rPr>
        <w:t xml:space="preserve"> sickness certification has </w:t>
      </w:r>
      <w:r w:rsidR="006A6DBB" w:rsidRPr="00700340">
        <w:rPr>
          <w:iCs/>
        </w:rPr>
        <w:t>increased considerably</w:t>
      </w:r>
      <w:r w:rsidR="00C36C74" w:rsidRPr="00700340">
        <w:rPr>
          <w:iCs/>
        </w:rPr>
        <w:t xml:space="preserve"> in the last decade</w:t>
      </w:r>
      <w:r w:rsidR="00F217E5" w:rsidRPr="00700340">
        <w:rPr>
          <w:iCs/>
        </w:rPr>
        <w:t xml:space="preserve"> (</w:t>
      </w:r>
      <w:r w:rsidR="00F217E5" w:rsidRPr="00700340">
        <w:rPr>
          <w:iCs/>
          <w:color w:val="FF0000"/>
        </w:rPr>
        <w:t xml:space="preserve">Gabbay </w:t>
      </w:r>
      <w:r w:rsidR="00F217E5" w:rsidRPr="00700340">
        <w:rPr>
          <w:i/>
          <w:iCs/>
          <w:color w:val="FF0000"/>
        </w:rPr>
        <w:t>et al</w:t>
      </w:r>
      <w:r w:rsidR="00F217E5" w:rsidRPr="00700340">
        <w:rPr>
          <w:iCs/>
          <w:color w:val="FF0000"/>
        </w:rPr>
        <w:t>., 2015</w:t>
      </w:r>
      <w:r w:rsidR="00F217E5" w:rsidRPr="00700340">
        <w:rPr>
          <w:iCs/>
        </w:rPr>
        <w:t>)</w:t>
      </w:r>
      <w:r w:rsidR="00C36C74" w:rsidRPr="00700340">
        <w:rPr>
          <w:iCs/>
        </w:rPr>
        <w:t>.</w:t>
      </w:r>
    </w:p>
    <w:p w:rsidR="00D80D35" w:rsidRPr="00700340" w:rsidRDefault="006A6DBB" w:rsidP="00B76E5F">
      <w:r w:rsidRPr="00700340">
        <w:t xml:space="preserve">Of all the various mental health diagnoses, this study found that diagnoses of depression made the greatest contribution to the total period of certified sickness absence. This </w:t>
      </w:r>
      <w:r w:rsidR="00E1298B" w:rsidRPr="00700340">
        <w:t xml:space="preserve">relative </w:t>
      </w:r>
      <w:r w:rsidRPr="00700340">
        <w:t xml:space="preserve">importance of depression vis-à-vis other </w:t>
      </w:r>
      <w:r w:rsidR="00D71121" w:rsidRPr="00700340">
        <w:t>CMD</w:t>
      </w:r>
      <w:r w:rsidRPr="00700340">
        <w:t>s has be</w:t>
      </w:r>
      <w:r w:rsidR="00E508B0" w:rsidRPr="00700340">
        <w:t>en reflected in its predominant</w:t>
      </w:r>
      <w:r w:rsidRPr="00700340">
        <w:t xml:space="preserve"> use in previous studies focusing on association between </w:t>
      </w:r>
      <w:r w:rsidR="00E1298B" w:rsidRPr="00700340">
        <w:t>sickness absence and mental</w:t>
      </w:r>
      <w:r w:rsidR="00C36C74" w:rsidRPr="00700340">
        <w:t xml:space="preserve"> health disorders</w:t>
      </w:r>
      <w:r w:rsidR="00F217E5" w:rsidRPr="00700340">
        <w:t xml:space="preserve"> (</w:t>
      </w:r>
      <w:r w:rsidR="00F217E5" w:rsidRPr="00700340">
        <w:rPr>
          <w:color w:val="FF0000"/>
        </w:rPr>
        <w:t>Knudsen et al., 2013</w:t>
      </w:r>
      <w:r w:rsidR="00F217E5" w:rsidRPr="00700340">
        <w:t>)</w:t>
      </w:r>
      <w:r w:rsidR="00E1298B" w:rsidRPr="00700340">
        <w:t>. Anxiety, despite having potentially similar negative functi</w:t>
      </w:r>
      <w:r w:rsidR="00A5249E" w:rsidRPr="00700340">
        <w:t xml:space="preserve">onal outcomes, has been rarely </w:t>
      </w:r>
      <w:r w:rsidR="00E1298B" w:rsidRPr="00700340">
        <w:t>used as the mental health problem of interest in</w:t>
      </w:r>
      <w:r w:rsidR="00CF42E2" w:rsidRPr="00700340">
        <w:t xml:space="preserve"> sickness absence research</w:t>
      </w:r>
      <w:r w:rsidR="00F217E5" w:rsidRPr="00700340">
        <w:t xml:space="preserve"> (</w:t>
      </w:r>
      <w:r w:rsidR="00B96E57" w:rsidRPr="00700340">
        <w:rPr>
          <w:color w:val="FF0000"/>
        </w:rPr>
        <w:t xml:space="preserve">Laitinen-Krispijn and Bijl, 2000; Knudsen </w:t>
      </w:r>
      <w:r w:rsidR="00B96E57" w:rsidRPr="00700340">
        <w:rPr>
          <w:i/>
          <w:color w:val="FF0000"/>
        </w:rPr>
        <w:t>et al</w:t>
      </w:r>
      <w:r w:rsidR="00B96E57" w:rsidRPr="00700340">
        <w:rPr>
          <w:color w:val="FF0000"/>
        </w:rPr>
        <w:t>., 2013</w:t>
      </w:r>
      <w:r w:rsidR="00B96E57" w:rsidRPr="00700340">
        <w:t>)</w:t>
      </w:r>
      <w:r w:rsidR="00E1298B" w:rsidRPr="00700340">
        <w:t>.</w:t>
      </w:r>
    </w:p>
    <w:p w:rsidR="00E1298B" w:rsidRPr="00700340" w:rsidRDefault="00E1298B" w:rsidP="00B76E5F">
      <w:r w:rsidRPr="00700340">
        <w:t>Our definition of a ‘long-term’ episode is based largely on post-hoc analysis of distribution of episode duration in the fit note database. The 12 week threshold was identified as a key point in the path to long-term work incapacity. While the</w:t>
      </w:r>
      <w:r w:rsidR="001E1E5F" w:rsidRPr="00700340">
        <w:t xml:space="preserve"> definition of ‘long-term’ varies between studies (often linked to the social insurance system in the respective country of the study) some important Scandinavian studies have used a </w:t>
      </w:r>
      <w:r w:rsidR="00A5249E" w:rsidRPr="00700340">
        <w:t xml:space="preserve">similar </w:t>
      </w:r>
      <w:r w:rsidR="001E1E5F" w:rsidRPr="00700340">
        <w:t>90-day threshold in focusing on the impact of mental health on long-term sickness abs</w:t>
      </w:r>
      <w:r w:rsidR="00CF42E2" w:rsidRPr="00700340">
        <w:t>ence</w:t>
      </w:r>
      <w:r w:rsidR="00B96E57" w:rsidRPr="00700340">
        <w:t xml:space="preserve"> (</w:t>
      </w:r>
      <w:r w:rsidR="00B96E57" w:rsidRPr="00700340">
        <w:rPr>
          <w:color w:val="FF0000"/>
        </w:rPr>
        <w:t xml:space="preserve">Hensing </w:t>
      </w:r>
      <w:r w:rsidR="00B96E57" w:rsidRPr="00700340">
        <w:rPr>
          <w:i/>
          <w:color w:val="FF0000"/>
        </w:rPr>
        <w:t>et al</w:t>
      </w:r>
      <w:r w:rsidR="00B96E57" w:rsidRPr="00700340">
        <w:rPr>
          <w:color w:val="FF0000"/>
        </w:rPr>
        <w:t xml:space="preserve">., 1996; Vaez </w:t>
      </w:r>
      <w:r w:rsidR="00B96E57" w:rsidRPr="00700340">
        <w:rPr>
          <w:i/>
          <w:color w:val="FF0000"/>
        </w:rPr>
        <w:t>et al</w:t>
      </w:r>
      <w:r w:rsidR="001E1E5F" w:rsidRPr="00700340">
        <w:rPr>
          <w:color w:val="FF0000"/>
        </w:rPr>
        <w:t>.</w:t>
      </w:r>
      <w:r w:rsidR="00B96E57" w:rsidRPr="00700340">
        <w:rPr>
          <w:color w:val="FF0000"/>
        </w:rPr>
        <w:t xml:space="preserve">, 2007; Knudsen </w:t>
      </w:r>
      <w:r w:rsidR="00B96E57" w:rsidRPr="00700340">
        <w:rPr>
          <w:i/>
          <w:color w:val="FF0000"/>
        </w:rPr>
        <w:t>et al</w:t>
      </w:r>
      <w:r w:rsidR="00B96E57" w:rsidRPr="00700340">
        <w:rPr>
          <w:color w:val="FF0000"/>
        </w:rPr>
        <w:t>., 2013</w:t>
      </w:r>
      <w:r w:rsidR="00B96E57" w:rsidRPr="00700340">
        <w:t>)</w:t>
      </w:r>
      <w:r w:rsidR="002A2731" w:rsidRPr="00700340">
        <w:t xml:space="preserve">. </w:t>
      </w:r>
      <w:r w:rsidR="001E1E5F" w:rsidRPr="00700340">
        <w:t xml:space="preserve">The influential Hordaland Health Study found that nearly a quarter of </w:t>
      </w:r>
      <w:r w:rsidR="00356B2B" w:rsidRPr="00700340">
        <w:t>mental health sickness episodes were for longer than 90 days. A</w:t>
      </w:r>
      <w:r w:rsidR="001E1E5F" w:rsidRPr="00700340">
        <w:t>nxiety and mixed anxiety with depression were significant factors for sickness absence in general, but depression was a major p</w:t>
      </w:r>
      <w:r w:rsidR="00CF42E2" w:rsidRPr="00700340">
        <w:t>redictor of the longer episodes</w:t>
      </w:r>
      <w:r w:rsidR="00B96E57" w:rsidRPr="00700340">
        <w:t xml:space="preserve"> (</w:t>
      </w:r>
      <w:r w:rsidR="00B96E57" w:rsidRPr="00700340">
        <w:rPr>
          <w:color w:val="FF0000"/>
        </w:rPr>
        <w:t xml:space="preserve">Knudsen </w:t>
      </w:r>
      <w:r w:rsidR="00B96E57" w:rsidRPr="00700340">
        <w:rPr>
          <w:i/>
          <w:color w:val="FF0000"/>
        </w:rPr>
        <w:t>et al</w:t>
      </w:r>
      <w:r w:rsidR="00B96E57" w:rsidRPr="00700340">
        <w:rPr>
          <w:color w:val="FF0000"/>
        </w:rPr>
        <w:t>., 2013</w:t>
      </w:r>
      <w:r w:rsidR="00B96E57" w:rsidRPr="00700340">
        <w:t>)</w:t>
      </w:r>
      <w:r w:rsidR="001E1E5F" w:rsidRPr="00700340">
        <w:t>.</w:t>
      </w:r>
    </w:p>
    <w:p w:rsidR="00356B2B" w:rsidRPr="00700340" w:rsidRDefault="00EE756C" w:rsidP="00B76E5F">
      <w:pPr>
        <w:rPr>
          <w:b/>
        </w:rPr>
      </w:pPr>
      <w:r w:rsidRPr="00700340">
        <w:rPr>
          <w:b/>
        </w:rPr>
        <w:t>Implications for policy and practice</w:t>
      </w:r>
    </w:p>
    <w:p w:rsidR="00E535B9" w:rsidRPr="00700340" w:rsidRDefault="007E2351" w:rsidP="00B76E5F">
      <w:r w:rsidRPr="00700340">
        <w:t xml:space="preserve"> It was anticipated that the introduction of the fit note in 2010 would encourage GPs to have a more active role in supporting sickness absentees back to work. In particular it was hoped that the new sickness certificate would make it easier for the GP to initiate discussion with the patient about a </w:t>
      </w:r>
      <w:r w:rsidRPr="00700340">
        <w:lastRenderedPageBreak/>
        <w:t>possible return to work, and would result in an improved level of communication between the GP, em</w:t>
      </w:r>
      <w:r w:rsidR="00CF42E2" w:rsidRPr="00700340">
        <w:t xml:space="preserve">ployer and employee </w:t>
      </w:r>
      <w:r w:rsidR="00B96E57" w:rsidRPr="00700340">
        <w:t xml:space="preserve"> (</w:t>
      </w:r>
      <w:r w:rsidR="00B96E57" w:rsidRPr="00700340">
        <w:rPr>
          <w:color w:val="FF0000"/>
        </w:rPr>
        <w:t>Black, 2008</w:t>
      </w:r>
      <w:r w:rsidR="00B96E57" w:rsidRPr="00700340">
        <w:t>)</w:t>
      </w:r>
      <w:r w:rsidRPr="00700340">
        <w:t>.</w:t>
      </w:r>
      <w:r w:rsidR="00B96E57" w:rsidRPr="00700340">
        <w:rPr>
          <w:color w:val="FF0000"/>
          <w:vertAlign w:val="superscript"/>
        </w:rPr>
        <w:t xml:space="preserve"> </w:t>
      </w:r>
      <w:r w:rsidRPr="00700340">
        <w:t xml:space="preserve"> </w:t>
      </w:r>
      <w:r w:rsidR="00F3711F" w:rsidRPr="00700340">
        <w:t xml:space="preserve">Qualitative research evidence suggests that it may indeed have improved the levels of discussion </w:t>
      </w:r>
      <w:r w:rsidR="00CF42E2" w:rsidRPr="00700340">
        <w:t>and communication</w:t>
      </w:r>
      <w:r w:rsidR="00B96E57" w:rsidRPr="00700340">
        <w:t xml:space="preserve"> (</w:t>
      </w:r>
      <w:r w:rsidR="00B96E57" w:rsidRPr="00700340">
        <w:rPr>
          <w:color w:val="FF0000"/>
        </w:rPr>
        <w:t>Chenery, 2013</w:t>
      </w:r>
      <w:r w:rsidR="00B96E57" w:rsidRPr="00700340">
        <w:t>)</w:t>
      </w:r>
      <w:r w:rsidR="00F3711F" w:rsidRPr="00700340">
        <w:t xml:space="preserve">. </w:t>
      </w:r>
      <w:r w:rsidR="002D28F9" w:rsidRPr="00700340">
        <w:t>However, research aimed at eliciting GP views of the new sickness certificate has reported perceived difficulties in completing the ‘may be fit’ options, a reluctance to compromise the GP-patient relationship by advising a return to work and dissatisfaction with the lack of feedback provided by the employer on the efficacy of the GP advice on the fit note (</w:t>
      </w:r>
      <w:r w:rsidR="00F50786" w:rsidRPr="00700340">
        <w:rPr>
          <w:color w:val="FF0000"/>
        </w:rPr>
        <w:t>Hann and Sibbald, 2013</w:t>
      </w:r>
      <w:r w:rsidR="00F50786" w:rsidRPr="00700340">
        <w:t xml:space="preserve">). </w:t>
      </w:r>
      <w:r w:rsidR="002D28F9" w:rsidRPr="00700340">
        <w:t xml:space="preserve"> </w:t>
      </w:r>
      <w:r w:rsidR="00F50786" w:rsidRPr="00700340">
        <w:t>E</w:t>
      </w:r>
      <w:r w:rsidRPr="00700340">
        <w:t>valuation of the fit no</w:t>
      </w:r>
      <w:r w:rsidR="003E78E3" w:rsidRPr="00700340">
        <w:t xml:space="preserve">te </w:t>
      </w:r>
      <w:r w:rsidR="00F3711F" w:rsidRPr="00700340">
        <w:t xml:space="preserve">in practice </w:t>
      </w:r>
      <w:r w:rsidR="003E78E3" w:rsidRPr="00700340">
        <w:t xml:space="preserve">suggests that the </w:t>
      </w:r>
      <w:r w:rsidR="00FF3A84" w:rsidRPr="00700340">
        <w:t xml:space="preserve">opportunity for the GP to recommend that the patient may be fit to return to work, with appropriate support, has not been utilised to the optimal degree. This lack of ‘may be fit’ advice is particularly evident in the case of sickness absentees </w:t>
      </w:r>
      <w:r w:rsidR="00094F7A" w:rsidRPr="00700340">
        <w:t xml:space="preserve">presenting </w:t>
      </w:r>
      <w:r w:rsidR="00FF3A84" w:rsidRPr="00700340">
        <w:t>with ment</w:t>
      </w:r>
      <w:r w:rsidR="00CF42E2" w:rsidRPr="00700340">
        <w:t>al health problems</w:t>
      </w:r>
      <w:r w:rsidR="00B96E57" w:rsidRPr="00700340">
        <w:t xml:space="preserve"> (</w:t>
      </w:r>
      <w:r w:rsidR="00B96E57" w:rsidRPr="00700340">
        <w:rPr>
          <w:color w:val="FF0000"/>
        </w:rPr>
        <w:t xml:space="preserve">Shiels </w:t>
      </w:r>
      <w:r w:rsidR="00B96E57" w:rsidRPr="00700340">
        <w:rPr>
          <w:i/>
          <w:color w:val="FF0000"/>
        </w:rPr>
        <w:t>et al.</w:t>
      </w:r>
      <w:r w:rsidR="00B96E57" w:rsidRPr="00700340">
        <w:rPr>
          <w:color w:val="FF0000"/>
        </w:rPr>
        <w:t>, 2014</w:t>
      </w:r>
      <w:r w:rsidR="00B96E57" w:rsidRPr="00700340">
        <w:t>)</w:t>
      </w:r>
      <w:r w:rsidR="00FF3A84" w:rsidRPr="00700340">
        <w:t>.</w:t>
      </w:r>
    </w:p>
    <w:p w:rsidR="00300EA3" w:rsidRPr="00700340" w:rsidRDefault="00FF3A84" w:rsidP="00B76E5F">
      <w:r w:rsidRPr="00700340">
        <w:t>The need for the GP to play a more active role in interventions is even more urgent</w:t>
      </w:r>
      <w:r w:rsidR="00094F7A" w:rsidRPr="00700340">
        <w:t xml:space="preserve"> when we consider</w:t>
      </w:r>
      <w:r w:rsidRPr="00700340">
        <w:t xml:space="preserve"> that the vast majority of people with </w:t>
      </w:r>
      <w:r w:rsidR="00D71121" w:rsidRPr="00700340">
        <w:t>CMD</w:t>
      </w:r>
      <w:r w:rsidRPr="00700340">
        <w:t>s have their first consultation in general practice</w:t>
      </w:r>
      <w:r w:rsidR="00B96E57" w:rsidRPr="00700340">
        <w:t xml:space="preserve"> (</w:t>
      </w:r>
      <w:r w:rsidR="00B96E57" w:rsidRPr="00700340">
        <w:rPr>
          <w:color w:val="FF0000"/>
        </w:rPr>
        <w:t xml:space="preserve">Gask </w:t>
      </w:r>
      <w:r w:rsidR="00B96E57" w:rsidRPr="00700340">
        <w:rPr>
          <w:i/>
          <w:color w:val="FF0000"/>
        </w:rPr>
        <w:t>et al</w:t>
      </w:r>
      <w:r w:rsidR="00B96E57" w:rsidRPr="00700340">
        <w:rPr>
          <w:color w:val="FF0000"/>
        </w:rPr>
        <w:t>., 2009</w:t>
      </w:r>
      <w:r w:rsidR="00B96E57" w:rsidRPr="00700340">
        <w:t>)</w:t>
      </w:r>
      <w:r w:rsidR="00094F7A" w:rsidRPr="00700340">
        <w:t xml:space="preserve">. </w:t>
      </w:r>
      <w:r w:rsidR="0098267E" w:rsidRPr="00700340">
        <w:t xml:space="preserve">A recent survey found that most GPs </w:t>
      </w:r>
      <w:r w:rsidR="009812C0" w:rsidRPr="00700340">
        <w:t>have identified</w:t>
      </w:r>
      <w:r w:rsidR="00773251" w:rsidRPr="00700340">
        <w:t xml:space="preserve"> the large upward trend in the presentation of mental health problems such </w:t>
      </w:r>
      <w:r w:rsidR="0098267E" w:rsidRPr="00700340">
        <w:t xml:space="preserve">as anxiety and stress </w:t>
      </w:r>
      <w:r w:rsidR="009812C0" w:rsidRPr="00700340">
        <w:t>by their patients in the past few</w:t>
      </w:r>
      <w:r w:rsidR="00CF42E2" w:rsidRPr="00700340">
        <w:t xml:space="preserve"> years</w:t>
      </w:r>
      <w:r w:rsidR="00B96E57" w:rsidRPr="00700340">
        <w:t xml:space="preserve"> (</w:t>
      </w:r>
      <w:r w:rsidR="00B96E57" w:rsidRPr="00700340">
        <w:rPr>
          <w:color w:val="FF0000"/>
        </w:rPr>
        <w:t>Aviva, 2013</w:t>
      </w:r>
      <w:r w:rsidR="00B96E57" w:rsidRPr="00700340">
        <w:t>)</w:t>
      </w:r>
      <w:r w:rsidR="0098267E" w:rsidRPr="00700340">
        <w:t xml:space="preserve">. </w:t>
      </w:r>
      <w:r w:rsidR="00094F7A" w:rsidRPr="00700340">
        <w:t>In fact, the relatively low proportion of ‘may be fit’ notes issued to me</w:t>
      </w:r>
      <w:r w:rsidR="00F429B4" w:rsidRPr="00700340">
        <w:t>ntal health patients may be associated with</w:t>
      </w:r>
      <w:r w:rsidR="00094F7A" w:rsidRPr="00700340">
        <w:t xml:space="preserve"> a wider problem</w:t>
      </w:r>
      <w:r w:rsidR="00F3711F" w:rsidRPr="00700340">
        <w:t xml:space="preserve"> within the </w:t>
      </w:r>
      <w:r w:rsidR="00094F7A" w:rsidRPr="00700340">
        <w:t>primary ca</w:t>
      </w:r>
      <w:r w:rsidR="00F429B4" w:rsidRPr="00700340">
        <w:t xml:space="preserve">re sector; </w:t>
      </w:r>
      <w:r w:rsidR="00F3711F" w:rsidRPr="00700340">
        <w:t xml:space="preserve"> a shortage of skills in </w:t>
      </w:r>
      <w:r w:rsidR="00094F7A" w:rsidRPr="00700340">
        <w:t xml:space="preserve">the diagnosis and treatment of people with a </w:t>
      </w:r>
      <w:r w:rsidR="00D71121" w:rsidRPr="00700340">
        <w:t>CMD</w:t>
      </w:r>
      <w:r w:rsidR="00F429B4" w:rsidRPr="00700340">
        <w:t xml:space="preserve">. </w:t>
      </w:r>
      <w:r w:rsidR="00773251" w:rsidRPr="00700340">
        <w:t xml:space="preserve">It has been reported that GPs are more likely to treat </w:t>
      </w:r>
      <w:r w:rsidR="00D71121" w:rsidRPr="00700340">
        <w:t>CMD</w:t>
      </w:r>
      <w:r w:rsidR="00773251" w:rsidRPr="00700340">
        <w:t xml:space="preserve">s with anti-depressants alone rather than </w:t>
      </w:r>
      <w:r w:rsidR="0098267E" w:rsidRPr="00700340">
        <w:t xml:space="preserve">recommend </w:t>
      </w:r>
      <w:r w:rsidR="00773251" w:rsidRPr="00700340">
        <w:t>evidence-based treatments that have been proven to support a return to work</w:t>
      </w:r>
      <w:r w:rsidR="00B96E57" w:rsidRPr="00700340">
        <w:t xml:space="preserve"> (</w:t>
      </w:r>
      <w:r w:rsidR="00F7025A" w:rsidRPr="00700340">
        <w:rPr>
          <w:color w:val="FF0000"/>
        </w:rPr>
        <w:t>OECD, 2014</w:t>
      </w:r>
      <w:r w:rsidR="00B96E57" w:rsidRPr="00700340">
        <w:t>)</w:t>
      </w:r>
      <w:r w:rsidR="00773251" w:rsidRPr="00700340">
        <w:t xml:space="preserve">. </w:t>
      </w:r>
      <w:r w:rsidR="0077760F" w:rsidRPr="00700340">
        <w:t>There is some</w:t>
      </w:r>
      <w:r w:rsidR="009812C0" w:rsidRPr="00700340">
        <w:t xml:space="preserve"> evidence that GPs trained to diagnose and treat depression can help people to retain</w:t>
      </w:r>
      <w:r w:rsidR="00CF42E2" w:rsidRPr="00700340">
        <w:t xml:space="preserve"> employment</w:t>
      </w:r>
      <w:r w:rsidR="00B96E57" w:rsidRPr="00700340">
        <w:t xml:space="preserve"> (</w:t>
      </w:r>
      <w:r w:rsidR="00B96E57" w:rsidRPr="00700340">
        <w:rPr>
          <w:color w:val="FF0000"/>
        </w:rPr>
        <w:t xml:space="preserve">Simon </w:t>
      </w:r>
      <w:r w:rsidR="00B96E57" w:rsidRPr="00700340">
        <w:rPr>
          <w:i/>
          <w:color w:val="FF0000"/>
        </w:rPr>
        <w:t>et al</w:t>
      </w:r>
      <w:r w:rsidR="00B96E57" w:rsidRPr="00700340">
        <w:rPr>
          <w:color w:val="FF0000"/>
        </w:rPr>
        <w:t xml:space="preserve">., 1998; Schoenbaum </w:t>
      </w:r>
      <w:r w:rsidR="00B96E57" w:rsidRPr="00700340">
        <w:rPr>
          <w:i/>
          <w:color w:val="FF0000"/>
        </w:rPr>
        <w:t>et al.,</w:t>
      </w:r>
      <w:r w:rsidR="00B96E57" w:rsidRPr="00700340">
        <w:rPr>
          <w:color w:val="FF0000"/>
        </w:rPr>
        <w:t xml:space="preserve"> 2001; </w:t>
      </w:r>
      <w:r w:rsidR="00667600" w:rsidRPr="00700340">
        <w:rPr>
          <w:color w:val="FF0000"/>
        </w:rPr>
        <w:t xml:space="preserve">Schoenbaum </w:t>
      </w:r>
      <w:r w:rsidR="00667600" w:rsidRPr="00700340">
        <w:rPr>
          <w:i/>
          <w:color w:val="FF0000"/>
        </w:rPr>
        <w:t>et al</w:t>
      </w:r>
      <w:r w:rsidR="00667600" w:rsidRPr="00700340">
        <w:rPr>
          <w:color w:val="FF0000"/>
        </w:rPr>
        <w:t xml:space="preserve">., 2002; Rost </w:t>
      </w:r>
      <w:r w:rsidR="00667600" w:rsidRPr="00700340">
        <w:rPr>
          <w:i/>
          <w:color w:val="FF0000"/>
        </w:rPr>
        <w:t>et al</w:t>
      </w:r>
      <w:r w:rsidR="00667600" w:rsidRPr="00700340">
        <w:rPr>
          <w:color w:val="FF0000"/>
        </w:rPr>
        <w:t>., 2004</w:t>
      </w:r>
      <w:r w:rsidR="00667600" w:rsidRPr="00700340">
        <w:t>)</w:t>
      </w:r>
      <w:r w:rsidR="009812C0" w:rsidRPr="00700340">
        <w:t>.</w:t>
      </w:r>
      <w:r w:rsidR="00667600" w:rsidRPr="00700340">
        <w:t xml:space="preserve"> </w:t>
      </w:r>
      <w:r w:rsidR="00F429B4" w:rsidRPr="00700340">
        <w:t xml:space="preserve">It may also be true that, at present, many GPs lack knowledge about the demands of workplaces, the impact on mental health of various working environments, and the appropriate adjustments to the patient’s working conditions required for the person with a </w:t>
      </w:r>
      <w:r w:rsidR="00D71121" w:rsidRPr="00700340">
        <w:t>CMD</w:t>
      </w:r>
      <w:r w:rsidR="00F429B4" w:rsidRPr="00700340">
        <w:t xml:space="preserve"> to return to work</w:t>
      </w:r>
      <w:r w:rsidR="00667600" w:rsidRPr="00700340">
        <w:t xml:space="preserve"> (</w:t>
      </w:r>
      <w:r w:rsidR="00667600" w:rsidRPr="00700340">
        <w:rPr>
          <w:color w:val="FF0000"/>
        </w:rPr>
        <w:t>OECD, 2014</w:t>
      </w:r>
      <w:r w:rsidR="00667600" w:rsidRPr="00700340">
        <w:t>)</w:t>
      </w:r>
      <w:r w:rsidR="00773251" w:rsidRPr="00700340">
        <w:t>.</w:t>
      </w:r>
      <w:r w:rsidR="00E562C4" w:rsidRPr="00700340">
        <w:t xml:space="preserve"> Of course, if the GP does recommend that the patient may be able to work if some adjustments are made, the employer can either comply with or disregard the advice on the fit note. So if long-term </w:t>
      </w:r>
      <w:r w:rsidR="00D71121" w:rsidRPr="00700340">
        <w:t>CMD</w:t>
      </w:r>
      <w:r w:rsidR="00E562C4" w:rsidRPr="00700340">
        <w:t xml:space="preserve"> patients are not returning to work in </w:t>
      </w:r>
      <w:r w:rsidR="00E508B0" w:rsidRPr="00700340">
        <w:t>numbers, the employer has</w:t>
      </w:r>
      <w:r w:rsidR="00E562C4" w:rsidRPr="00700340">
        <w:t xml:space="preserve"> to </w:t>
      </w:r>
      <w:r w:rsidR="00AF5855" w:rsidRPr="00700340">
        <w:t xml:space="preserve">accept a </w:t>
      </w:r>
      <w:r w:rsidR="00E562C4" w:rsidRPr="00700340">
        <w:t xml:space="preserve">share </w:t>
      </w:r>
      <w:r w:rsidR="00AF5855" w:rsidRPr="00700340">
        <w:t xml:space="preserve">of </w:t>
      </w:r>
      <w:r w:rsidR="00E562C4" w:rsidRPr="00700340">
        <w:t>the responsibility.</w:t>
      </w:r>
      <w:r w:rsidR="00AF5855" w:rsidRPr="00700340">
        <w:t xml:space="preserve"> Previous research has</w:t>
      </w:r>
      <w:r w:rsidR="00965F23" w:rsidRPr="00700340">
        <w:t xml:space="preserve"> suggested that employers may be more willing to make the necessary adjustments for employees returning from long-term </w:t>
      </w:r>
      <w:r w:rsidR="00AF5855" w:rsidRPr="00700340">
        <w:t>sickness absence for a physical health problem rather than those who might be able to return after suffe</w:t>
      </w:r>
      <w:r w:rsidR="003E4FA3" w:rsidRPr="00700340">
        <w:t xml:space="preserve">ring a </w:t>
      </w:r>
      <w:r w:rsidR="00D71121" w:rsidRPr="00700340">
        <w:t>CMD</w:t>
      </w:r>
      <w:r w:rsidR="003E4FA3" w:rsidRPr="00700340">
        <w:t xml:space="preserve">, seeing the latter </w:t>
      </w:r>
      <w:r w:rsidR="00AF5855" w:rsidRPr="00700340">
        <w:t>as having problems that were more likely to be intertw</w:t>
      </w:r>
      <w:r w:rsidR="00CF42E2" w:rsidRPr="00700340">
        <w:t>ined with work-based issues</w:t>
      </w:r>
      <w:r w:rsidR="00667600" w:rsidRPr="00700340">
        <w:t xml:space="preserve"> (</w:t>
      </w:r>
      <w:r w:rsidR="00667600" w:rsidRPr="00700340">
        <w:rPr>
          <w:color w:val="FF0000"/>
        </w:rPr>
        <w:t>Mental Health Foundation, 2009</w:t>
      </w:r>
      <w:r w:rsidR="00667600" w:rsidRPr="00700340">
        <w:t>)</w:t>
      </w:r>
      <w:r w:rsidR="00AF5855" w:rsidRPr="00700340">
        <w:t>.</w:t>
      </w:r>
    </w:p>
    <w:p w:rsidR="003A5C33" w:rsidRPr="00700340" w:rsidRDefault="00EF3341" w:rsidP="00B76E5F">
      <w:r w:rsidRPr="00700340">
        <w:t>The 2011 independent review of sickness absence in Great Britain</w:t>
      </w:r>
      <w:r w:rsidR="00E01B34" w:rsidRPr="00700340">
        <w:t xml:space="preserve"> recommended that GPs should be able to refer patients who have been off work for a relatively short period (4 weeks or more) to a newly established assessment and advisory service that would provide the patient with the guidance and support required to enable a return to work</w:t>
      </w:r>
      <w:r w:rsidR="00667600" w:rsidRPr="00700340">
        <w:t xml:space="preserve"> (</w:t>
      </w:r>
      <w:r w:rsidR="00667600" w:rsidRPr="00700340">
        <w:rPr>
          <w:color w:val="FF0000"/>
        </w:rPr>
        <w:t>Black and Frost, 2011</w:t>
      </w:r>
      <w:r w:rsidR="00667600" w:rsidRPr="00700340">
        <w:t>)</w:t>
      </w:r>
      <w:r w:rsidR="00E01B34" w:rsidRPr="00700340">
        <w:t>. The new service, Fit for Work (FfW), is currently being rolled out</w:t>
      </w:r>
      <w:r w:rsidRPr="00700340">
        <w:t xml:space="preserve"> </w:t>
      </w:r>
      <w:r w:rsidR="00E01B34" w:rsidRPr="00700340">
        <w:t xml:space="preserve">to all general practices in </w:t>
      </w:r>
      <w:r w:rsidR="00F20895" w:rsidRPr="00700340">
        <w:t>England and Wales, with it being</w:t>
      </w:r>
      <w:r w:rsidR="00E01B34" w:rsidRPr="00700340">
        <w:t xml:space="preserve"> ant</w:t>
      </w:r>
      <w:r w:rsidR="00F20895" w:rsidRPr="00700340">
        <w:t>icipated that all practices should</w:t>
      </w:r>
      <w:r w:rsidR="00E01B34" w:rsidRPr="00700340">
        <w:t xml:space="preserve"> be able to</w:t>
      </w:r>
      <w:r w:rsidR="00F20895" w:rsidRPr="00700340">
        <w:t xml:space="preserve"> refer patients to FfW by late 2015. </w:t>
      </w:r>
      <w:r w:rsidR="00315719" w:rsidRPr="00700340">
        <w:t xml:space="preserve">Referral will only be considered if the patient has been off work for four weeks (including the first 7 days of self-certified sickness), the GP feels that the patient has reasonable prospects of returning to work and the patient consents to referral. </w:t>
      </w:r>
      <w:r w:rsidR="00821D3C" w:rsidRPr="00700340">
        <w:t xml:space="preserve">It is anticipated that the successful operation of the service will result in </w:t>
      </w:r>
      <w:r w:rsidR="00E508B0" w:rsidRPr="00700340">
        <w:t xml:space="preserve">a number of benefits to </w:t>
      </w:r>
      <w:r w:rsidR="00821D3C" w:rsidRPr="00700340">
        <w:t>GPs and their patient</w:t>
      </w:r>
      <w:r w:rsidR="00E508B0" w:rsidRPr="00700340">
        <w:t>s</w:t>
      </w:r>
      <w:r w:rsidR="00821D3C" w:rsidRPr="00700340">
        <w:t xml:space="preserve">. These include GP access to </w:t>
      </w:r>
      <w:r w:rsidR="00152799" w:rsidRPr="00700340">
        <w:t>a specialist occupational health resource offering independent quality advice</w:t>
      </w:r>
      <w:r w:rsidR="00821D3C" w:rsidRPr="00700340">
        <w:t xml:space="preserve">, </w:t>
      </w:r>
      <w:r w:rsidR="00152799" w:rsidRPr="00700340">
        <w:t xml:space="preserve">support for the GP in managing difficult return-to-work consultations and </w:t>
      </w:r>
      <w:r w:rsidR="00821D3C" w:rsidRPr="00700340">
        <w:t>an easy-to-use rapid intervention that will support hea</w:t>
      </w:r>
      <w:r w:rsidR="00152799" w:rsidRPr="00700340">
        <w:t xml:space="preserve">lth </w:t>
      </w:r>
      <w:r w:rsidR="00152799" w:rsidRPr="00700340">
        <w:lastRenderedPageBreak/>
        <w:t>outcomes for the patient</w:t>
      </w:r>
      <w:r w:rsidR="00821D3C" w:rsidRPr="00700340">
        <w:t xml:space="preserve"> </w:t>
      </w:r>
      <w:r w:rsidR="002C6718" w:rsidRPr="00700340">
        <w:t>(</w:t>
      </w:r>
      <w:r w:rsidR="002C6718" w:rsidRPr="00700340">
        <w:rPr>
          <w:color w:val="FF0000"/>
        </w:rPr>
        <w:t>DWP, 2015</w:t>
      </w:r>
      <w:r w:rsidR="00A71936" w:rsidRPr="00700340">
        <w:rPr>
          <w:color w:val="FF0000"/>
        </w:rPr>
        <w:t>c</w:t>
      </w:r>
      <w:r w:rsidR="00152799" w:rsidRPr="00700340">
        <w:t>). For employers, FfW may potentially</w:t>
      </w:r>
      <w:r w:rsidR="00821D3C" w:rsidRPr="00700340">
        <w:t xml:space="preserve"> reduce sick pay costs</w:t>
      </w:r>
      <w:r w:rsidR="00152799" w:rsidRPr="00700340">
        <w:t xml:space="preserve"> and </w:t>
      </w:r>
      <w:r w:rsidR="009B2543" w:rsidRPr="00700340">
        <w:t xml:space="preserve">provide </w:t>
      </w:r>
      <w:r w:rsidR="00152799" w:rsidRPr="00700340">
        <w:t xml:space="preserve">small and medium-sized enterprises (SMEs) with </w:t>
      </w:r>
      <w:r w:rsidR="009B2543" w:rsidRPr="00700340">
        <w:t>much needed access to occupational health advice and ser</w:t>
      </w:r>
      <w:r w:rsidR="00C924E3" w:rsidRPr="00700340">
        <w:t>vices (</w:t>
      </w:r>
      <w:r w:rsidR="00C924E3" w:rsidRPr="00700340">
        <w:rPr>
          <w:color w:val="FF0000"/>
        </w:rPr>
        <w:t>DWP, 2015</w:t>
      </w:r>
      <w:r w:rsidR="00A71936" w:rsidRPr="00700340">
        <w:rPr>
          <w:color w:val="FF0000"/>
        </w:rPr>
        <w:t>b</w:t>
      </w:r>
      <w:r w:rsidR="009B2543" w:rsidRPr="00700340">
        <w:t>)</w:t>
      </w:r>
    </w:p>
    <w:p w:rsidR="00821D3C" w:rsidRPr="00700340" w:rsidRDefault="009B2543" w:rsidP="00B76E5F">
      <w:r w:rsidRPr="00700340">
        <w:t>When fully</w:t>
      </w:r>
      <w:r w:rsidR="006324AD" w:rsidRPr="00700340">
        <w:t xml:space="preserve"> operational, t</w:t>
      </w:r>
      <w:r w:rsidR="00867C02" w:rsidRPr="00700340">
        <w:t>he FfW should have the</w:t>
      </w:r>
      <w:r w:rsidR="006324AD" w:rsidRPr="00700340">
        <w:t xml:space="preserve"> </w:t>
      </w:r>
      <w:r w:rsidR="002F238D" w:rsidRPr="00700340">
        <w:t>potential to significantly reduce</w:t>
      </w:r>
      <w:r w:rsidRPr="00700340">
        <w:t xml:space="preserve"> the burden of </w:t>
      </w:r>
      <w:r w:rsidR="006324AD" w:rsidRPr="00700340">
        <w:t xml:space="preserve">long-term </w:t>
      </w:r>
      <w:r w:rsidRPr="00700340">
        <w:t>certified sicknes</w:t>
      </w:r>
      <w:r w:rsidR="006324AD" w:rsidRPr="00700340">
        <w:t xml:space="preserve">s absence via </w:t>
      </w:r>
      <w:r w:rsidR="002F238D" w:rsidRPr="00700340">
        <w:t xml:space="preserve">the </w:t>
      </w:r>
      <w:r w:rsidR="006324AD" w:rsidRPr="00700340">
        <w:t xml:space="preserve">opportunities for early intervention and integrating occupational health and employment functions. However, given the very high proportion of </w:t>
      </w:r>
      <w:r w:rsidR="00D71121" w:rsidRPr="00700340">
        <w:t>CMD</w:t>
      </w:r>
      <w:r w:rsidR="006324AD" w:rsidRPr="00700340">
        <w:t xml:space="preserve">-related episodes of sickness absence </w:t>
      </w:r>
      <w:r w:rsidR="002F238D" w:rsidRPr="00700340">
        <w:t xml:space="preserve">(reported in ours and earlier studies) </w:t>
      </w:r>
      <w:r w:rsidR="006324AD" w:rsidRPr="00700340">
        <w:t>the service will need to take into account the</w:t>
      </w:r>
      <w:r w:rsidR="002F238D" w:rsidRPr="00700340">
        <w:t xml:space="preserve"> specialised</w:t>
      </w:r>
      <w:r w:rsidR="006324AD" w:rsidRPr="00700340">
        <w:t xml:space="preserve"> needs of those patients ref</w:t>
      </w:r>
      <w:r w:rsidR="002F238D" w:rsidRPr="00700340">
        <w:t xml:space="preserve">erred with mental health issues when drawing up return-to-work plans. </w:t>
      </w:r>
      <w:r w:rsidR="00F7025A" w:rsidRPr="00700340">
        <w:t xml:space="preserve">Given the fact that limited consultation time makes </w:t>
      </w:r>
      <w:r w:rsidR="000A03C6" w:rsidRPr="00700340">
        <w:t>it difficult for the GP to conduct a formal psychological assessment of the patient, it will be important that the new service has</w:t>
      </w:r>
      <w:r w:rsidR="002F238D" w:rsidRPr="00700340">
        <w:t xml:space="preserve"> the capacit</w:t>
      </w:r>
      <w:r w:rsidR="000A03C6" w:rsidRPr="00700340">
        <w:t xml:space="preserve">y for appropriate </w:t>
      </w:r>
      <w:r w:rsidR="002F238D" w:rsidRPr="00700340">
        <w:t>assessment</w:t>
      </w:r>
      <w:r w:rsidR="006E5808" w:rsidRPr="00700340">
        <w:t xml:space="preserve"> using valid measures, and to provide integrated work-related and psychological services. This raises the issue of how the service can build the necessary capacity, in terms of </w:t>
      </w:r>
      <w:r w:rsidR="00E508B0" w:rsidRPr="00700340">
        <w:t xml:space="preserve">a </w:t>
      </w:r>
      <w:r w:rsidR="006E5808" w:rsidRPr="00700340">
        <w:t xml:space="preserve">trained workforce, to meet a potentially large demand. We found that over 60% of </w:t>
      </w:r>
      <w:r w:rsidR="00D71121" w:rsidRPr="00700340">
        <w:t>CMD</w:t>
      </w:r>
      <w:r w:rsidR="006E5808" w:rsidRPr="00700340">
        <w:t xml:space="preserve"> episodes met the eligibility criterion of</w:t>
      </w:r>
      <w:r w:rsidR="0077760F" w:rsidRPr="00700340">
        <w:t xml:space="preserve"> four</w:t>
      </w:r>
      <w:r w:rsidR="006E5808" w:rsidRPr="00700340">
        <w:t xml:space="preserve"> weeks sickness absence (</w:t>
      </w:r>
      <w:r w:rsidR="00F03639" w:rsidRPr="00700340">
        <w:t xml:space="preserve">i.e. </w:t>
      </w:r>
      <w:r w:rsidR="0077760F" w:rsidRPr="00700340">
        <w:t>three</w:t>
      </w:r>
      <w:r w:rsidR="006E5808" w:rsidRPr="00700340">
        <w:t xml:space="preserve"> weeks of </w:t>
      </w:r>
      <w:r w:rsidR="0077760F" w:rsidRPr="00700340">
        <w:t>sickness certification</w:t>
      </w:r>
      <w:r w:rsidR="00A92B3C" w:rsidRPr="00700340">
        <w:t xml:space="preserve">). While it </w:t>
      </w:r>
      <w:r w:rsidR="005C171A" w:rsidRPr="00700340">
        <w:t xml:space="preserve">is likely that a </w:t>
      </w:r>
      <w:r w:rsidR="00A92B3C" w:rsidRPr="00700340">
        <w:t xml:space="preserve">significant proportion of </w:t>
      </w:r>
      <w:r w:rsidR="00867C02" w:rsidRPr="00700340">
        <w:t>these patients would</w:t>
      </w:r>
      <w:r w:rsidR="00A92B3C" w:rsidRPr="00700340">
        <w:t xml:space="preserve"> not be suitable for referral </w:t>
      </w:r>
      <w:r w:rsidR="00867C02" w:rsidRPr="00700340">
        <w:t>or would</w:t>
      </w:r>
      <w:r w:rsidR="00A92B3C" w:rsidRPr="00700340">
        <w:t xml:space="preserve"> not consent</w:t>
      </w:r>
      <w:r w:rsidR="005C171A" w:rsidRPr="00700340">
        <w:t>,</w:t>
      </w:r>
      <w:r w:rsidR="00A92B3C" w:rsidRPr="00700340">
        <w:t xml:space="preserve"> </w:t>
      </w:r>
      <w:r w:rsidR="005C171A" w:rsidRPr="00700340">
        <w:t xml:space="preserve">and </w:t>
      </w:r>
      <w:r w:rsidR="00A92B3C" w:rsidRPr="00700340">
        <w:t>that the</w:t>
      </w:r>
      <w:r w:rsidR="005C171A" w:rsidRPr="00700340">
        <w:t xml:space="preserve"> </w:t>
      </w:r>
      <w:r w:rsidR="00A92B3C" w:rsidRPr="00700340">
        <w:t xml:space="preserve">majority of </w:t>
      </w:r>
      <w:r w:rsidR="005C171A" w:rsidRPr="00700340">
        <w:t>referrals may be able to receive a telephone assessment</w:t>
      </w:r>
      <w:r w:rsidR="006E5808" w:rsidRPr="00700340">
        <w:t>, there is still a potential for the FfW service to be overwhelmed</w:t>
      </w:r>
      <w:r w:rsidR="002B1C7C" w:rsidRPr="00700340">
        <w:t>. However, the alternative outcome is also possible, and the lack of awareness of the service will lead to smaller numbers of re</w:t>
      </w:r>
      <w:r w:rsidR="00FE6625" w:rsidRPr="00700340">
        <w:t>ferrals than was anticipated</w:t>
      </w:r>
      <w:r w:rsidR="002B1C7C" w:rsidRPr="00700340">
        <w:t xml:space="preserve">. </w:t>
      </w:r>
      <w:r w:rsidR="00107599" w:rsidRPr="00700340">
        <w:t>A survey of 1000 GPs in March 2015 found that 61% were not aware of the new service, and that two-thirds of those who were did not intend to refer patients, believing that employers had the main responsibility for dealing with sickness absence (</w:t>
      </w:r>
      <w:r w:rsidR="00107599" w:rsidRPr="00700340">
        <w:rPr>
          <w:color w:val="FF0000"/>
        </w:rPr>
        <w:t>Cigna and YouGov, 2015</w:t>
      </w:r>
      <w:r w:rsidR="00107599" w:rsidRPr="00700340">
        <w:t xml:space="preserve">) </w:t>
      </w:r>
      <w:r w:rsidR="002B1C7C" w:rsidRPr="00700340">
        <w:t xml:space="preserve">In </w:t>
      </w:r>
      <w:r w:rsidR="00F03639" w:rsidRPr="00700340">
        <w:t>the case of mental health, there is also the concern that the barriers that</w:t>
      </w:r>
      <w:r w:rsidR="002B1C7C" w:rsidRPr="00700340">
        <w:t xml:space="preserve"> h</w:t>
      </w:r>
      <w:r w:rsidR="00156087" w:rsidRPr="00700340">
        <w:t>ave prevented the GP from includ</w:t>
      </w:r>
      <w:r w:rsidR="002B1C7C" w:rsidRPr="00700340">
        <w:t xml:space="preserve">ing ‘may be fit’ advice </w:t>
      </w:r>
      <w:r w:rsidR="00156087" w:rsidRPr="00700340">
        <w:t xml:space="preserve">on </w:t>
      </w:r>
      <w:r w:rsidR="00D71121" w:rsidRPr="00700340">
        <w:t>CMD</w:t>
      </w:r>
      <w:r w:rsidR="00156087" w:rsidRPr="00700340">
        <w:t xml:space="preserve"> fit notes wi</w:t>
      </w:r>
      <w:r w:rsidR="00F03639" w:rsidRPr="00700340">
        <w:t xml:space="preserve">ll also lead to mental health </w:t>
      </w:r>
      <w:r w:rsidR="00156087" w:rsidRPr="00700340">
        <w:t>pat</w:t>
      </w:r>
      <w:r w:rsidR="00F20895" w:rsidRPr="00700340">
        <w:t xml:space="preserve">ients who </w:t>
      </w:r>
      <w:r w:rsidR="00F03639" w:rsidRPr="00700340">
        <w:t>might have benefited from the new service not being referred</w:t>
      </w:r>
      <w:r w:rsidR="002B1C7C" w:rsidRPr="00700340">
        <w:t>.</w:t>
      </w:r>
    </w:p>
    <w:p w:rsidR="006F6026" w:rsidRPr="00700340" w:rsidRDefault="006F6026" w:rsidP="00B76E5F">
      <w:r w:rsidRPr="00700340">
        <w:t xml:space="preserve">Given the potential resource constraints faced by the FfW, and the </w:t>
      </w:r>
      <w:r w:rsidR="00B56448" w:rsidRPr="00700340">
        <w:t xml:space="preserve">existing lack of return-to-work advice included in fit notes issued to CMD patients, it may be that GPs have to focus on specific groups of patients in order to maximise the efficacy of referral and </w:t>
      </w:r>
      <w:r w:rsidR="009F0AD8" w:rsidRPr="00700340">
        <w:t>any ‘may be fit’ advice. Based on some of the key findings of this study, three groups of CMD patients might be targeted by the GP. Firstly, older patients, although less likely to receive fit notes for a CMD, are more likely than younger patients to have a long-term episode. Recovery may be slower when a CMD occurs later in life, and these patients will need extra s</w:t>
      </w:r>
      <w:r w:rsidR="001F594C" w:rsidRPr="00700340">
        <w:t>upport to prevent a potential exit from the labour force altogether</w:t>
      </w:r>
      <w:r w:rsidR="009F0AD8" w:rsidRPr="00700340">
        <w:t xml:space="preserve">. Secondly, patients living in socially deprived neighbourhoods are more likely </w:t>
      </w:r>
      <w:r w:rsidR="001F594C" w:rsidRPr="00700340">
        <w:t xml:space="preserve">than those in less deprived areas </w:t>
      </w:r>
      <w:r w:rsidR="009F0AD8" w:rsidRPr="00700340">
        <w:t>to be issued a fit note for a CMD, b</w:t>
      </w:r>
      <w:r w:rsidR="001F594C" w:rsidRPr="00700340">
        <w:t>ut are less likely to receive ‘may be fit’ advice in their fit notes. While the reasons for this are unclear, GPs working with deprived patients need to be aware of this anomaly</w:t>
      </w:r>
      <w:r w:rsidR="00186904" w:rsidRPr="00700340">
        <w:t>, and respond accordingly</w:t>
      </w:r>
      <w:r w:rsidR="001F594C" w:rsidRPr="00700340">
        <w:t xml:space="preserve">. Thirdly, patients with depression are more likely than those with other common mental health problems to go on to have a long period of sickness certification. </w:t>
      </w:r>
      <w:r w:rsidR="00A03CB5" w:rsidRPr="00700340">
        <w:t>The core symptoms of depression affect the employee’s emotional, cognitive and social functioning, which directly impacts on their ability to perform normal work duties (</w:t>
      </w:r>
      <w:r w:rsidR="00A03CB5" w:rsidRPr="00700340">
        <w:rPr>
          <w:color w:val="FF0000"/>
        </w:rPr>
        <w:t xml:space="preserve">Harvey </w:t>
      </w:r>
      <w:r w:rsidR="00A03CB5" w:rsidRPr="00700340">
        <w:rPr>
          <w:i/>
          <w:color w:val="FF0000"/>
        </w:rPr>
        <w:t>et al</w:t>
      </w:r>
      <w:r w:rsidR="00A03CB5" w:rsidRPr="00700340">
        <w:rPr>
          <w:color w:val="FF0000"/>
        </w:rPr>
        <w:t>, 2013</w:t>
      </w:r>
      <w:r w:rsidR="00A03CB5" w:rsidRPr="00700340">
        <w:t xml:space="preserve">). However, for patients </w:t>
      </w:r>
      <w:r w:rsidR="00186904" w:rsidRPr="00700340">
        <w:t>with no history of previous depression, and with less severe symptoms, early intervention is important</w:t>
      </w:r>
      <w:r w:rsidR="00F23218" w:rsidRPr="00700340">
        <w:t xml:space="preserve"> in order to prevent transition to long-term work incapacity. Early referral to the FfW and/or appropriate ‘may be fit’ advice may facilitate a return to work</w:t>
      </w:r>
      <w:r w:rsidR="00CA3349" w:rsidRPr="00700340">
        <w:t>,</w:t>
      </w:r>
      <w:r w:rsidR="00F23218" w:rsidRPr="00700340">
        <w:t xml:space="preserve"> without the need for a GP referral to a psychological health service</w:t>
      </w:r>
      <w:r w:rsidR="00186904" w:rsidRPr="00700340">
        <w:t>.</w:t>
      </w:r>
    </w:p>
    <w:p w:rsidR="00F20895" w:rsidRPr="00700340" w:rsidRDefault="00F20895" w:rsidP="00B76E5F">
      <w:pPr>
        <w:rPr>
          <w:b/>
        </w:rPr>
      </w:pPr>
      <w:r w:rsidRPr="00700340">
        <w:rPr>
          <w:b/>
        </w:rPr>
        <w:t>Conclusions</w:t>
      </w:r>
    </w:p>
    <w:p w:rsidR="00F20895" w:rsidRPr="00700340" w:rsidRDefault="00BB3010" w:rsidP="00B76E5F">
      <w:r w:rsidRPr="00700340">
        <w:lastRenderedPageBreak/>
        <w:t>Common mental disorders are the major diagnostic cause of long-term work incapacity and claims for incapacity-related benefits in the UK. However, it needs to be recognised that different mental health diagnoses (such as depression and stress) have potentially diverse implications for sickness certification outcomes</w:t>
      </w:r>
      <w:r w:rsidR="007173FF" w:rsidRPr="00700340">
        <w:t xml:space="preserve"> (including the appropriate return-to-work advice)</w:t>
      </w:r>
      <w:r w:rsidRPr="00700340">
        <w:t xml:space="preserve">. The GP may have a key role to play in strategies to reduce </w:t>
      </w:r>
      <w:r w:rsidR="003C0EA2" w:rsidRPr="00700340">
        <w:t>the numbers of patients with mental health problems who have long-term sickness certification and (if not addressed) may eventually leave the workforce for good. In</w:t>
      </w:r>
      <w:r w:rsidR="00080C66" w:rsidRPr="00700340">
        <w:t xml:space="preserve"> particular, more effective use of the ‘may be fit’ section </w:t>
      </w:r>
      <w:r w:rsidR="003C0EA2" w:rsidRPr="00700340">
        <w:t xml:space="preserve">on </w:t>
      </w:r>
      <w:r w:rsidR="000948A4" w:rsidRPr="00700340">
        <w:t xml:space="preserve">CMD </w:t>
      </w:r>
      <w:r w:rsidR="003C0EA2" w:rsidRPr="00700340">
        <w:t>fit notes and</w:t>
      </w:r>
      <w:r w:rsidR="00080C66" w:rsidRPr="00700340">
        <w:t xml:space="preserve"> appropriate</w:t>
      </w:r>
      <w:r w:rsidR="003C0EA2" w:rsidRPr="00700340">
        <w:t xml:space="preserve"> referral to the newly established Fit for Work service </w:t>
      </w:r>
      <w:r w:rsidR="005C171A" w:rsidRPr="00700340">
        <w:t>may</w:t>
      </w:r>
      <w:r w:rsidR="000948A4" w:rsidRPr="00700340">
        <w:t xml:space="preserve"> both </w:t>
      </w:r>
      <w:r w:rsidR="005C171A" w:rsidRPr="00700340">
        <w:t xml:space="preserve">be </w:t>
      </w:r>
      <w:r w:rsidR="000948A4" w:rsidRPr="00700340">
        <w:t xml:space="preserve">ways in which the GP can help their patients to </w:t>
      </w:r>
      <w:r w:rsidR="000433A3" w:rsidRPr="00700340">
        <w:t>return to (and retain) their usual employment</w:t>
      </w:r>
      <w:r w:rsidR="000948A4" w:rsidRPr="00700340">
        <w:t xml:space="preserve">. </w:t>
      </w:r>
    </w:p>
    <w:p w:rsidR="00530305" w:rsidRPr="00700340" w:rsidRDefault="00DD72CC" w:rsidP="00B76E5F">
      <w:pPr>
        <w:rPr>
          <w:b/>
        </w:rPr>
      </w:pPr>
      <w:r w:rsidRPr="00700340">
        <w:rPr>
          <w:b/>
        </w:rPr>
        <w:t>Financial support</w:t>
      </w:r>
    </w:p>
    <w:p w:rsidR="00DD72CC" w:rsidRPr="00700340" w:rsidRDefault="00DD72CC" w:rsidP="00B76E5F">
      <w:r w:rsidRPr="00700340">
        <w:t>The collection of sickness certification data was funded by the (UK) Department for Work and Pensions.</w:t>
      </w:r>
    </w:p>
    <w:p w:rsidR="00152799" w:rsidRPr="00700340" w:rsidRDefault="00152799" w:rsidP="00B76E5F">
      <w:pPr>
        <w:rPr>
          <w:b/>
        </w:rPr>
      </w:pPr>
      <w:r w:rsidRPr="00700340">
        <w:rPr>
          <w:b/>
        </w:rPr>
        <w:t>Conflicts of interest</w:t>
      </w:r>
    </w:p>
    <w:p w:rsidR="00152799" w:rsidRPr="00700340" w:rsidRDefault="00152799" w:rsidP="00B76E5F">
      <w:r w:rsidRPr="00700340">
        <w:t>None</w:t>
      </w:r>
    </w:p>
    <w:p w:rsidR="00DD72CC" w:rsidRPr="00700340" w:rsidRDefault="00DD72CC" w:rsidP="00B76E5F">
      <w:pPr>
        <w:rPr>
          <w:b/>
        </w:rPr>
      </w:pPr>
      <w:r w:rsidRPr="00700340">
        <w:rPr>
          <w:b/>
        </w:rPr>
        <w:t xml:space="preserve">Ethical Standards </w:t>
      </w:r>
    </w:p>
    <w:p w:rsidR="00DD72CC" w:rsidRPr="00700340" w:rsidRDefault="00DD72CC" w:rsidP="00B76E5F">
      <w:pPr>
        <w:rPr>
          <w:b/>
        </w:rPr>
      </w:pPr>
      <w:r w:rsidRPr="00700340">
        <w:t>The authors assert that all procedures contributing to this work comply with the ethical standards of relevant national and institutional guidelines and with the Helsinki Declaration of 1974, as revised in 2008.</w:t>
      </w:r>
    </w:p>
    <w:p w:rsidR="002A2731" w:rsidRPr="00700340" w:rsidRDefault="002A2731" w:rsidP="00B76E5F">
      <w:pPr>
        <w:rPr>
          <w:b/>
        </w:rPr>
      </w:pPr>
    </w:p>
    <w:p w:rsidR="002A2731" w:rsidRPr="00700340" w:rsidRDefault="002A2731" w:rsidP="00B76E5F">
      <w:pPr>
        <w:rPr>
          <w:b/>
        </w:rPr>
      </w:pPr>
    </w:p>
    <w:p w:rsidR="00305BEA" w:rsidRPr="00700340" w:rsidRDefault="00305BEA">
      <w:pPr>
        <w:rPr>
          <w:b/>
        </w:rPr>
      </w:pPr>
      <w:r w:rsidRPr="00700340">
        <w:rPr>
          <w:b/>
        </w:rPr>
        <w:br w:type="page"/>
      </w:r>
    </w:p>
    <w:p w:rsidR="00EA3B0E" w:rsidRPr="00700340" w:rsidRDefault="00EA3B0E" w:rsidP="00B76E5F">
      <w:pPr>
        <w:rPr>
          <w:b/>
        </w:rPr>
      </w:pPr>
    </w:p>
    <w:p w:rsidR="00530305" w:rsidRPr="00700340" w:rsidRDefault="00530305" w:rsidP="00B76E5F">
      <w:pPr>
        <w:rPr>
          <w:b/>
          <w:sz w:val="28"/>
          <w:szCs w:val="28"/>
        </w:rPr>
      </w:pPr>
      <w:r w:rsidRPr="00700340">
        <w:rPr>
          <w:b/>
          <w:sz w:val="28"/>
          <w:szCs w:val="28"/>
        </w:rPr>
        <w:t>References</w:t>
      </w:r>
    </w:p>
    <w:p w:rsidR="003D6C61" w:rsidRPr="00700340" w:rsidRDefault="003D6C61" w:rsidP="00B76E5F"/>
    <w:p w:rsidR="003D6C61" w:rsidRPr="00700340" w:rsidRDefault="003D6C61" w:rsidP="00DB25B5">
      <w:pPr>
        <w:autoSpaceDE w:val="0"/>
        <w:autoSpaceDN w:val="0"/>
        <w:adjustRightInd w:val="0"/>
        <w:spacing w:after="100" w:afterAutospacing="1"/>
        <w:rPr>
          <w:rFonts w:cs="Arial"/>
          <w:bCs/>
        </w:rPr>
      </w:pPr>
      <w:r w:rsidRPr="00700340">
        <w:rPr>
          <w:rFonts w:cs="Arial"/>
          <w:b/>
          <w:bCs/>
        </w:rPr>
        <w:t>Aviva</w:t>
      </w:r>
      <w:r w:rsidRPr="00700340">
        <w:rPr>
          <w:rFonts w:cs="Arial"/>
          <w:bCs/>
        </w:rPr>
        <w:t xml:space="preserve">. 2013: </w:t>
      </w:r>
      <w:r w:rsidRPr="00700340">
        <w:rPr>
          <w:rFonts w:cs="Arial"/>
          <w:bCs/>
          <w:i/>
        </w:rPr>
        <w:t>The Aviva Health of the Nation index</w:t>
      </w:r>
      <w:r w:rsidRPr="00700340">
        <w:rPr>
          <w:rFonts w:cs="Arial"/>
          <w:bCs/>
        </w:rPr>
        <w:t>. February 2013.</w:t>
      </w:r>
    </w:p>
    <w:p w:rsidR="003D6C61" w:rsidRPr="00700340" w:rsidRDefault="003D6C61" w:rsidP="00DB25B5">
      <w:pPr>
        <w:spacing w:after="100" w:afterAutospacing="1"/>
      </w:pPr>
      <w:r w:rsidRPr="00700340">
        <w:rPr>
          <w:b/>
        </w:rPr>
        <w:t>Black, C.</w:t>
      </w:r>
      <w:r w:rsidRPr="00700340">
        <w:t xml:space="preserve"> 2008: </w:t>
      </w:r>
      <w:r w:rsidRPr="00700340">
        <w:rPr>
          <w:i/>
        </w:rPr>
        <w:t>Working for a healthier tomorrow.</w:t>
      </w:r>
      <w:r w:rsidRPr="00700340">
        <w:t xml:space="preserve"> London: The Stationery Office.</w:t>
      </w:r>
    </w:p>
    <w:p w:rsidR="00DB25B5" w:rsidRPr="00700340" w:rsidRDefault="003D6C61" w:rsidP="00DB25B5">
      <w:pPr>
        <w:spacing w:after="100" w:afterAutospacing="1"/>
      </w:pPr>
      <w:r w:rsidRPr="00700340">
        <w:rPr>
          <w:b/>
        </w:rPr>
        <w:t>Black, C. and Frost, D.</w:t>
      </w:r>
      <w:r w:rsidRPr="00700340">
        <w:t xml:space="preserve"> 2011: </w:t>
      </w:r>
      <w:r w:rsidRPr="00700340">
        <w:rPr>
          <w:i/>
        </w:rPr>
        <w:t>Health at work: an independent review of sickness absence</w:t>
      </w:r>
      <w:r w:rsidRPr="00700340">
        <w:t>. London: The Stationery Office.</w:t>
      </w:r>
    </w:p>
    <w:p w:rsidR="003D6C61" w:rsidRPr="00700340" w:rsidRDefault="003D6C61" w:rsidP="00DB25B5">
      <w:pPr>
        <w:spacing w:after="100" w:afterAutospacing="1"/>
        <w:rPr>
          <w:rFonts w:cs="Arial"/>
          <w:bCs/>
        </w:rPr>
      </w:pPr>
      <w:r w:rsidRPr="00700340">
        <w:rPr>
          <w:rFonts w:cs="Arial"/>
          <w:b/>
          <w:bCs/>
        </w:rPr>
        <w:t>Chenery, V.</w:t>
      </w:r>
      <w:r w:rsidRPr="00700340">
        <w:rPr>
          <w:rFonts w:cs="Arial"/>
          <w:bCs/>
        </w:rPr>
        <w:t xml:space="preserve"> 2013</w:t>
      </w:r>
      <w:r w:rsidRPr="00700340">
        <w:rPr>
          <w:rFonts w:cs="Arial"/>
          <w:bCs/>
          <w:i/>
        </w:rPr>
        <w:t>: An evaluation of the Statement of Fitness for Work (Fit note): a survey of employees. DWP Research Report No 840.</w:t>
      </w:r>
      <w:r w:rsidRPr="00700340">
        <w:rPr>
          <w:rFonts w:cs="Arial"/>
          <w:bCs/>
        </w:rPr>
        <w:t xml:space="preserve"> London: The Stationery Office.</w:t>
      </w:r>
    </w:p>
    <w:p w:rsidR="00107599" w:rsidRPr="00700340" w:rsidRDefault="00107599" w:rsidP="00DB25B5">
      <w:pPr>
        <w:spacing w:after="100" w:afterAutospacing="1"/>
        <w:rPr>
          <w:rFonts w:cs="Arial"/>
          <w:bCs/>
        </w:rPr>
      </w:pPr>
      <w:r w:rsidRPr="00700340">
        <w:rPr>
          <w:rFonts w:cs="Arial"/>
          <w:b/>
          <w:bCs/>
        </w:rPr>
        <w:t>Cigna and You</w:t>
      </w:r>
      <w:r w:rsidR="00A92B3C" w:rsidRPr="00700340">
        <w:rPr>
          <w:rFonts w:cs="Arial"/>
          <w:b/>
          <w:bCs/>
        </w:rPr>
        <w:t>Gov</w:t>
      </w:r>
      <w:r w:rsidR="00A92B3C" w:rsidRPr="00700340">
        <w:rPr>
          <w:rFonts w:cs="Arial"/>
          <w:bCs/>
        </w:rPr>
        <w:t xml:space="preserve">. 2015: </w:t>
      </w:r>
      <w:r w:rsidR="00A92B3C" w:rsidRPr="00700340">
        <w:rPr>
          <w:rFonts w:cs="Arial"/>
          <w:bCs/>
          <w:i/>
        </w:rPr>
        <w:t>DWP Fit for Work awareness research.</w:t>
      </w:r>
    </w:p>
    <w:p w:rsidR="00A71936" w:rsidRPr="00700340" w:rsidRDefault="00A71936" w:rsidP="00A71936">
      <w:pPr>
        <w:pStyle w:val="Heading1"/>
        <w:spacing w:line="276" w:lineRule="auto"/>
        <w:rPr>
          <w:rFonts w:asciiTheme="minorHAnsi" w:hAnsiTheme="minorHAnsi"/>
          <w:b w:val="0"/>
          <w:sz w:val="22"/>
          <w:szCs w:val="22"/>
        </w:rPr>
      </w:pPr>
      <w:r w:rsidRPr="00700340">
        <w:rPr>
          <w:rFonts w:asciiTheme="minorHAnsi" w:hAnsiTheme="minorHAnsi"/>
          <w:sz w:val="22"/>
          <w:szCs w:val="22"/>
        </w:rPr>
        <w:t>Department for Work and Pensions (DWP)</w:t>
      </w:r>
      <w:r w:rsidRPr="00700340">
        <w:rPr>
          <w:rFonts w:asciiTheme="minorHAnsi" w:hAnsiTheme="minorHAnsi"/>
          <w:b w:val="0"/>
          <w:sz w:val="22"/>
          <w:szCs w:val="22"/>
        </w:rPr>
        <w:t xml:space="preserve">. 2015a:  </w:t>
      </w:r>
      <w:r w:rsidRPr="00700340">
        <w:rPr>
          <w:rFonts w:asciiTheme="minorHAnsi" w:hAnsiTheme="minorHAnsi"/>
          <w:b w:val="0"/>
          <w:i/>
          <w:sz w:val="22"/>
          <w:szCs w:val="22"/>
        </w:rPr>
        <w:t>Employment and Support Allowance: outcomes of Work Capability Assessment</w:t>
      </w:r>
      <w:r w:rsidRPr="00700340">
        <w:rPr>
          <w:rFonts w:asciiTheme="minorHAnsi" w:hAnsiTheme="minorHAnsi"/>
          <w:b w:val="0"/>
          <w:sz w:val="22"/>
          <w:szCs w:val="22"/>
        </w:rPr>
        <w:t xml:space="preserve">. Quarterly Statistics. Retrieved 15 March 2015 from </w:t>
      </w:r>
      <w:hyperlink r:id="rId9" w:history="1">
        <w:r w:rsidRPr="00700340">
          <w:rPr>
            <w:rStyle w:val="Hyperlink"/>
            <w:rFonts w:asciiTheme="minorHAnsi" w:hAnsiTheme="minorHAnsi"/>
            <w:b w:val="0"/>
            <w:sz w:val="22"/>
            <w:szCs w:val="22"/>
          </w:rPr>
          <w:t>https://www.gov.uk/government/uploads/system/uploads/attachment_data/file/411937/esa_wca_summary_Mar15_final.pdf</w:t>
        </w:r>
      </w:hyperlink>
    </w:p>
    <w:p w:rsidR="00A71936" w:rsidRPr="00700340" w:rsidRDefault="00A71936" w:rsidP="00A71936">
      <w:pPr>
        <w:spacing w:after="100" w:afterAutospacing="1"/>
        <w:rPr>
          <w:rFonts w:cs="Arial"/>
          <w:bCs/>
        </w:rPr>
      </w:pPr>
      <w:r w:rsidRPr="00700340">
        <w:rPr>
          <w:rFonts w:cs="Arial"/>
          <w:b/>
          <w:bCs/>
        </w:rPr>
        <w:t>Department for Work and Pensions (DWP).</w:t>
      </w:r>
      <w:r w:rsidRPr="00700340">
        <w:rPr>
          <w:rFonts w:cs="Arial"/>
          <w:bCs/>
        </w:rPr>
        <w:t xml:space="preserve"> 2015b: </w:t>
      </w:r>
      <w:r w:rsidRPr="00700340">
        <w:rPr>
          <w:rFonts w:cs="Arial"/>
          <w:bCs/>
          <w:i/>
        </w:rPr>
        <w:t>Fit for Work: Guidance for Employers</w:t>
      </w:r>
      <w:r w:rsidRPr="00700340">
        <w:rPr>
          <w:rFonts w:cs="Arial"/>
          <w:bCs/>
        </w:rPr>
        <w:t xml:space="preserve">.  Retrieved  2 August 2015 from </w:t>
      </w:r>
      <w:hyperlink r:id="rId10" w:history="1">
        <w:r w:rsidRPr="00700340">
          <w:rPr>
            <w:rStyle w:val="Hyperlink"/>
            <w:rFonts w:cs="Arial"/>
            <w:bCs/>
          </w:rPr>
          <w:t>https://www.gov.uk/government/organisations/department-for-work-pensions</w:t>
        </w:r>
      </w:hyperlink>
    </w:p>
    <w:p w:rsidR="002C6718" w:rsidRPr="00700340" w:rsidRDefault="002C6718" w:rsidP="00DB25B5">
      <w:pPr>
        <w:spacing w:after="100" w:afterAutospacing="1"/>
        <w:rPr>
          <w:rFonts w:cs="Arial"/>
          <w:bCs/>
        </w:rPr>
      </w:pPr>
      <w:r w:rsidRPr="00700340">
        <w:rPr>
          <w:rFonts w:cs="Arial"/>
          <w:b/>
          <w:bCs/>
        </w:rPr>
        <w:t>Department for Work and Pensions (DWP).</w:t>
      </w:r>
      <w:r w:rsidRPr="00700340">
        <w:rPr>
          <w:rFonts w:cs="Arial"/>
          <w:bCs/>
        </w:rPr>
        <w:t xml:space="preserve"> 2015</w:t>
      </w:r>
      <w:r w:rsidR="00A71936" w:rsidRPr="00700340">
        <w:rPr>
          <w:rFonts w:cs="Arial"/>
          <w:bCs/>
        </w:rPr>
        <w:t>c</w:t>
      </w:r>
      <w:r w:rsidRPr="00700340">
        <w:rPr>
          <w:rFonts w:cs="Arial"/>
          <w:bCs/>
        </w:rPr>
        <w:t xml:space="preserve">: </w:t>
      </w:r>
      <w:r w:rsidRPr="00700340">
        <w:rPr>
          <w:rFonts w:cs="Arial"/>
          <w:bCs/>
          <w:i/>
        </w:rPr>
        <w:t>Fit for Work: Guidance for GPs</w:t>
      </w:r>
      <w:r w:rsidRPr="00700340">
        <w:rPr>
          <w:rFonts w:cs="Arial"/>
          <w:bCs/>
        </w:rPr>
        <w:t xml:space="preserve">.  Retrieved  2 August 2015 from </w:t>
      </w:r>
      <w:hyperlink r:id="rId11" w:history="1">
        <w:r w:rsidRPr="00700340">
          <w:rPr>
            <w:rStyle w:val="Hyperlink"/>
            <w:rFonts w:cs="Arial"/>
            <w:bCs/>
          </w:rPr>
          <w:t>https://www.gov.uk/government/organisations/department-for-work-pensions</w:t>
        </w:r>
      </w:hyperlink>
    </w:p>
    <w:p w:rsidR="003D6C61" w:rsidRPr="00700340" w:rsidRDefault="003D6C61" w:rsidP="00DB25B5">
      <w:pPr>
        <w:autoSpaceDE w:val="0"/>
        <w:autoSpaceDN w:val="0"/>
        <w:adjustRightInd w:val="0"/>
        <w:spacing w:after="100" w:afterAutospacing="1"/>
        <w:rPr>
          <w:iCs/>
        </w:rPr>
      </w:pPr>
      <w:r w:rsidRPr="00700340">
        <w:rPr>
          <w:rFonts w:ascii="Calibri" w:eastAsia="Calibri" w:hAnsi="Calibri" w:cs="Times New Roman"/>
          <w:b/>
          <w:iCs/>
        </w:rPr>
        <w:t>European Foundation for Improvement of Living and Working Conditions (EFILWC)</w:t>
      </w:r>
      <w:r w:rsidRPr="00700340">
        <w:rPr>
          <w:rFonts w:ascii="Calibri" w:eastAsia="Calibri" w:hAnsi="Calibri" w:cs="Times New Roman"/>
          <w:b/>
          <w:i/>
          <w:iCs/>
        </w:rPr>
        <w:t>.</w:t>
      </w:r>
      <w:r w:rsidRPr="00700340">
        <w:rPr>
          <w:rFonts w:ascii="Calibri" w:eastAsia="Calibri" w:hAnsi="Calibri" w:cs="Times New Roman"/>
          <w:i/>
          <w:iCs/>
        </w:rPr>
        <w:t xml:space="preserve"> </w:t>
      </w:r>
      <w:r w:rsidRPr="00700340">
        <w:rPr>
          <w:rFonts w:ascii="Calibri" w:eastAsia="Calibri" w:hAnsi="Calibri" w:cs="Times New Roman"/>
          <w:iCs/>
        </w:rPr>
        <w:t>2007:</w:t>
      </w:r>
      <w:r w:rsidRPr="00700340">
        <w:rPr>
          <w:rFonts w:ascii="Calibri" w:eastAsia="Calibri" w:hAnsi="Calibri" w:cs="Times New Roman"/>
          <w:i/>
          <w:iCs/>
        </w:rPr>
        <w:t xml:space="preserve"> Fourth European Work Conditions Survey.</w:t>
      </w:r>
      <w:r w:rsidRPr="00700340">
        <w:rPr>
          <w:rFonts w:ascii="Calibri" w:eastAsia="Calibri" w:hAnsi="Calibri" w:cs="Times New Roman"/>
          <w:iCs/>
        </w:rPr>
        <w:t xml:space="preserve">  Luxembourg: Office for Publications of EU.</w:t>
      </w:r>
    </w:p>
    <w:p w:rsidR="003D6C61" w:rsidRPr="00700340" w:rsidRDefault="003D6C61" w:rsidP="00DB25B5">
      <w:pPr>
        <w:pStyle w:val="Heading1"/>
        <w:spacing w:line="276" w:lineRule="auto"/>
        <w:rPr>
          <w:rFonts w:asciiTheme="minorHAnsi" w:hAnsiTheme="minorHAnsi"/>
          <w:b w:val="0"/>
          <w:sz w:val="22"/>
          <w:szCs w:val="22"/>
        </w:rPr>
      </w:pPr>
      <w:r w:rsidRPr="00700340">
        <w:rPr>
          <w:rFonts w:asciiTheme="minorHAnsi" w:hAnsiTheme="minorHAnsi" w:cs="Arial"/>
          <w:bCs w:val="0"/>
          <w:sz w:val="22"/>
          <w:szCs w:val="22"/>
        </w:rPr>
        <w:t>Gabbay, M., Shiels, C. and Hillage, J</w:t>
      </w:r>
      <w:r w:rsidRPr="00700340">
        <w:rPr>
          <w:rFonts w:asciiTheme="minorHAnsi" w:hAnsiTheme="minorHAnsi" w:cs="Arial"/>
          <w:b w:val="0"/>
          <w:bCs w:val="0"/>
          <w:sz w:val="22"/>
          <w:szCs w:val="22"/>
        </w:rPr>
        <w:t xml:space="preserve">. 2015: </w:t>
      </w:r>
      <w:r w:rsidRPr="00700340">
        <w:rPr>
          <w:rFonts w:asciiTheme="minorHAnsi" w:hAnsiTheme="minorHAnsi"/>
          <w:b w:val="0"/>
          <w:sz w:val="22"/>
          <w:szCs w:val="22"/>
        </w:rPr>
        <w:t xml:space="preserve">Factors associated with the length of fit note-certified sickness episodes in the UK. </w:t>
      </w:r>
      <w:r w:rsidRPr="00700340">
        <w:rPr>
          <w:rFonts w:cs="AdvPTimes"/>
          <w:b w:val="0"/>
          <w:i/>
          <w:sz w:val="22"/>
          <w:szCs w:val="22"/>
        </w:rPr>
        <w:t>Occupational and Environmental Medicine</w:t>
      </w:r>
      <w:r w:rsidRPr="00700340">
        <w:rPr>
          <w:rFonts w:cs="AdvPTimes"/>
          <w:b w:val="0"/>
          <w:sz w:val="22"/>
          <w:szCs w:val="22"/>
        </w:rPr>
        <w:t xml:space="preserve"> 72, 467-75.</w:t>
      </w:r>
    </w:p>
    <w:p w:rsidR="003D6C61" w:rsidRPr="00700340" w:rsidRDefault="003D6C61" w:rsidP="00DB25B5">
      <w:pPr>
        <w:autoSpaceDE w:val="0"/>
        <w:autoSpaceDN w:val="0"/>
        <w:adjustRightInd w:val="0"/>
        <w:spacing w:after="100" w:afterAutospacing="1"/>
        <w:rPr>
          <w:rFonts w:cs="Arial"/>
          <w:bCs/>
        </w:rPr>
      </w:pPr>
      <w:r w:rsidRPr="00700340">
        <w:rPr>
          <w:rFonts w:cs="Arial"/>
          <w:b/>
          <w:bCs/>
        </w:rPr>
        <w:t>Gask, L., Lester, H. and Kendrick, T.</w:t>
      </w:r>
      <w:r w:rsidRPr="00700340">
        <w:rPr>
          <w:rFonts w:cs="Arial"/>
          <w:bCs/>
        </w:rPr>
        <w:t xml:space="preserve"> 2009: </w:t>
      </w:r>
      <w:r w:rsidRPr="00700340">
        <w:rPr>
          <w:rFonts w:cs="Arial"/>
          <w:bCs/>
          <w:i/>
        </w:rPr>
        <w:t>Primary Care Mental Health</w:t>
      </w:r>
      <w:r w:rsidRPr="00700340">
        <w:rPr>
          <w:rFonts w:cs="Arial"/>
          <w:bCs/>
        </w:rPr>
        <w:t>. London: Royal College of Psychiatrists.</w:t>
      </w:r>
    </w:p>
    <w:p w:rsidR="00F50786" w:rsidRPr="00700340" w:rsidRDefault="00F50786" w:rsidP="00F50786">
      <w:pPr>
        <w:rPr>
          <w:rFonts w:cs="Times New Roman"/>
          <w:bCs/>
        </w:rPr>
      </w:pPr>
      <w:r w:rsidRPr="00700340">
        <w:rPr>
          <w:rFonts w:cs="Times New Roman"/>
          <w:b/>
          <w:bCs/>
        </w:rPr>
        <w:t>Hann, M., and Sibbald, B.</w:t>
      </w:r>
      <w:r w:rsidRPr="00700340">
        <w:rPr>
          <w:rFonts w:cs="Times New Roman"/>
          <w:bCs/>
        </w:rPr>
        <w:t xml:space="preserve"> 2013: </w:t>
      </w:r>
      <w:r w:rsidRPr="00700340">
        <w:rPr>
          <w:rFonts w:cs="Times New Roman"/>
          <w:bCs/>
          <w:i/>
        </w:rPr>
        <w:t>General Practitioners’ attitudes towards patients’ health and work, 2010–12</w:t>
      </w:r>
      <w:r w:rsidRPr="00700340">
        <w:rPr>
          <w:rFonts w:cs="Times New Roman"/>
          <w:bCs/>
        </w:rPr>
        <w:t xml:space="preserve">. </w:t>
      </w:r>
      <w:r w:rsidRPr="00700340">
        <w:rPr>
          <w:rFonts w:cs="Times New Roman"/>
          <w:bCs/>
          <w:i/>
        </w:rPr>
        <w:t>DWP Research Report No 835</w:t>
      </w:r>
      <w:r w:rsidRPr="00700340">
        <w:rPr>
          <w:rFonts w:cs="Times New Roman"/>
          <w:bCs/>
        </w:rPr>
        <w:t>. London: The Stationery Office.</w:t>
      </w:r>
    </w:p>
    <w:p w:rsidR="003D6C61" w:rsidRPr="00700340" w:rsidRDefault="003D6C61" w:rsidP="00DB25B5">
      <w:pPr>
        <w:autoSpaceDE w:val="0"/>
        <w:autoSpaceDN w:val="0"/>
        <w:adjustRightInd w:val="0"/>
        <w:spacing w:after="100" w:afterAutospacing="1"/>
        <w:rPr>
          <w:rFonts w:cs="Arial"/>
          <w:bCs/>
        </w:rPr>
      </w:pPr>
      <w:r w:rsidRPr="00700340">
        <w:rPr>
          <w:rFonts w:cs="Arial"/>
          <w:b/>
          <w:bCs/>
        </w:rPr>
        <w:t>Harvey, S.B, Joyce, S., Modini, M., Christensen, H., Bryant, R., Mykletun, A. and Mitchell, P.B.</w:t>
      </w:r>
      <w:r w:rsidRPr="00700340">
        <w:rPr>
          <w:rFonts w:cs="Arial"/>
          <w:bCs/>
        </w:rPr>
        <w:t xml:space="preserve"> 2013: </w:t>
      </w:r>
      <w:r w:rsidRPr="00700340">
        <w:rPr>
          <w:rFonts w:cs="Arial"/>
          <w:bCs/>
          <w:i/>
        </w:rPr>
        <w:t>Work and depression/anxiety disorders – a systematic review of reviews: final report.</w:t>
      </w:r>
      <w:r w:rsidRPr="00700340">
        <w:rPr>
          <w:rFonts w:cs="Arial"/>
          <w:bCs/>
        </w:rPr>
        <w:t xml:space="preserve"> Melbourne, Australia: Beyondblue.</w:t>
      </w:r>
    </w:p>
    <w:p w:rsidR="003D6C61" w:rsidRPr="00700340" w:rsidRDefault="003D6C61" w:rsidP="00DB25B5">
      <w:pPr>
        <w:autoSpaceDE w:val="0"/>
        <w:autoSpaceDN w:val="0"/>
        <w:adjustRightInd w:val="0"/>
        <w:spacing w:after="100" w:afterAutospacing="1"/>
        <w:rPr>
          <w:rFonts w:cs="Arial"/>
          <w:bCs/>
        </w:rPr>
      </w:pPr>
      <w:r w:rsidRPr="00700340">
        <w:rPr>
          <w:rFonts w:cs="Arial"/>
          <w:b/>
          <w:bCs/>
        </w:rPr>
        <w:lastRenderedPageBreak/>
        <w:t>Hensing, G., Alexanderson, K., Allebeck, P. and Bjurulf, P.</w:t>
      </w:r>
      <w:r w:rsidRPr="00700340">
        <w:rPr>
          <w:rFonts w:cs="Arial"/>
          <w:bCs/>
        </w:rPr>
        <w:t xml:space="preserve">  1996: Sick leave due to psychiatric disorder: higher incidence among women and longer duration for men</w:t>
      </w:r>
      <w:r w:rsidRPr="00700340">
        <w:rPr>
          <w:rFonts w:cs="Arial"/>
          <w:bCs/>
          <w:i/>
        </w:rPr>
        <w:t>. British Journal of Psychiatry</w:t>
      </w:r>
      <w:r w:rsidR="00DB25B5" w:rsidRPr="00700340">
        <w:rPr>
          <w:rFonts w:cs="Arial"/>
          <w:bCs/>
        </w:rPr>
        <w:t xml:space="preserve"> </w:t>
      </w:r>
      <w:r w:rsidRPr="00700340">
        <w:rPr>
          <w:rFonts w:cs="Arial"/>
          <w:bCs/>
        </w:rPr>
        <w:t>169, 740–</w:t>
      </w:r>
      <w:r w:rsidR="00DB25B5" w:rsidRPr="00700340">
        <w:rPr>
          <w:rFonts w:cs="Arial"/>
          <w:bCs/>
        </w:rPr>
        <w:t>46.</w:t>
      </w:r>
    </w:p>
    <w:p w:rsidR="00DB25B5" w:rsidRPr="00700340" w:rsidRDefault="00DB25B5" w:rsidP="00DB25B5">
      <w:pPr>
        <w:autoSpaceDE w:val="0"/>
        <w:autoSpaceDN w:val="0"/>
        <w:adjustRightInd w:val="0"/>
        <w:spacing w:after="100" w:afterAutospacing="1"/>
        <w:rPr>
          <w:rFonts w:cs="Arial"/>
          <w:bCs/>
        </w:rPr>
      </w:pPr>
      <w:r w:rsidRPr="00700340">
        <w:rPr>
          <w:rFonts w:cs="Arial"/>
          <w:b/>
          <w:bCs/>
        </w:rPr>
        <w:t>Knudsen, AK., Harvey, S.B., Mykletun, A. and  Øverland, S.</w:t>
      </w:r>
      <w:r w:rsidRPr="00700340">
        <w:rPr>
          <w:rFonts w:cs="Arial"/>
          <w:bCs/>
        </w:rPr>
        <w:t xml:space="preserve">  2013: Common mental disorders and long-term sickness absence in a general working population. The Hordaland Health Study.  </w:t>
      </w:r>
      <w:r w:rsidRPr="00700340">
        <w:rPr>
          <w:rFonts w:cs="Arial"/>
          <w:bCs/>
          <w:i/>
        </w:rPr>
        <w:t>Acta Psychiatrica Scandinavica</w:t>
      </w:r>
      <w:r w:rsidRPr="00700340">
        <w:rPr>
          <w:rFonts w:cs="Arial"/>
          <w:bCs/>
        </w:rPr>
        <w:t xml:space="preserve"> 127, 287–97.</w:t>
      </w:r>
    </w:p>
    <w:p w:rsidR="003D6C61" w:rsidRPr="00700340" w:rsidRDefault="003D6C61" w:rsidP="00DB25B5">
      <w:pPr>
        <w:autoSpaceDE w:val="0"/>
        <w:autoSpaceDN w:val="0"/>
        <w:adjustRightInd w:val="0"/>
        <w:spacing w:after="100" w:afterAutospacing="1"/>
        <w:rPr>
          <w:rFonts w:cs="Arial"/>
          <w:bCs/>
        </w:rPr>
      </w:pPr>
      <w:r w:rsidRPr="00700340">
        <w:rPr>
          <w:rFonts w:cs="Arial"/>
          <w:b/>
          <w:bCs/>
        </w:rPr>
        <w:t>Laitinen-Krispijn, S. and Bijl, R.V.</w:t>
      </w:r>
      <w:r w:rsidRPr="00700340">
        <w:rPr>
          <w:rFonts w:cs="Arial"/>
          <w:bCs/>
        </w:rPr>
        <w:t xml:space="preserve"> 2000: Mental disorders and employee sickness absence: the NEMESIS study. </w:t>
      </w:r>
      <w:r w:rsidRPr="00700340">
        <w:rPr>
          <w:rFonts w:cs="Arial"/>
          <w:bCs/>
          <w:i/>
        </w:rPr>
        <w:t>Social Psychiatry and Psychiatric Epidemiology</w:t>
      </w:r>
      <w:r w:rsidRPr="00700340">
        <w:rPr>
          <w:rFonts w:cs="Arial"/>
          <w:bCs/>
        </w:rPr>
        <w:t xml:space="preserve"> 35, 71–77.</w:t>
      </w:r>
    </w:p>
    <w:p w:rsidR="003D6C61" w:rsidRPr="00700340" w:rsidRDefault="003D6C61" w:rsidP="00DB25B5">
      <w:pPr>
        <w:autoSpaceDE w:val="0"/>
        <w:autoSpaceDN w:val="0"/>
        <w:adjustRightInd w:val="0"/>
        <w:spacing w:after="100" w:afterAutospacing="1"/>
        <w:rPr>
          <w:rFonts w:cs="Arial"/>
          <w:bCs/>
        </w:rPr>
      </w:pPr>
      <w:r w:rsidRPr="00700340">
        <w:rPr>
          <w:rFonts w:cs="Arial"/>
          <w:b/>
          <w:bCs/>
        </w:rPr>
        <w:t>Lo Sasso, A.T, Rost, K. and  Beck, A.</w:t>
      </w:r>
      <w:r w:rsidRPr="00700340">
        <w:rPr>
          <w:rFonts w:cs="Arial"/>
          <w:bCs/>
        </w:rPr>
        <w:t xml:space="preserve">  2006: Modeling the impact of enhanced depression treatment on workplace functioning and costs:  a cost–benefit approach. </w:t>
      </w:r>
      <w:r w:rsidRPr="00700340">
        <w:rPr>
          <w:rFonts w:cs="Arial"/>
          <w:bCs/>
          <w:i/>
        </w:rPr>
        <w:t xml:space="preserve">Medical Care </w:t>
      </w:r>
      <w:r w:rsidRPr="00700340">
        <w:rPr>
          <w:rFonts w:cs="Arial"/>
          <w:bCs/>
        </w:rPr>
        <w:t>44(4), 352-58.</w:t>
      </w:r>
    </w:p>
    <w:p w:rsidR="00DB25B5" w:rsidRPr="00700340" w:rsidRDefault="003D6C61" w:rsidP="00DB25B5">
      <w:pPr>
        <w:autoSpaceDE w:val="0"/>
        <w:autoSpaceDN w:val="0"/>
        <w:adjustRightInd w:val="0"/>
        <w:spacing w:after="100" w:afterAutospacing="1"/>
        <w:rPr>
          <w:rFonts w:cs="AdvTTe45e47d2"/>
        </w:rPr>
      </w:pPr>
      <w:r w:rsidRPr="00700340">
        <w:rPr>
          <w:rFonts w:cs="AdvTTe45e47d2"/>
          <w:b/>
        </w:rPr>
        <w:t>MacDonald, S., Maxwell, M., Wilson, P., Smith, M., Whittaker, W., Sutton, M. and Morrison, J</w:t>
      </w:r>
      <w:r w:rsidRPr="00700340">
        <w:rPr>
          <w:rFonts w:cs="AdvTTe45e47d2"/>
        </w:rPr>
        <w:t>. 2012:  A powerful intervention: general practitioners</w:t>
      </w:r>
      <w:r w:rsidRPr="00700340">
        <w:rPr>
          <w:rFonts w:cs="AdvTTe45e47d2+20"/>
        </w:rPr>
        <w:t xml:space="preserve">’ </w:t>
      </w:r>
      <w:r w:rsidRPr="00700340">
        <w:rPr>
          <w:rFonts w:cs="AdvTTe45e47d2"/>
        </w:rPr>
        <w:t>use of sickness certification in depression</w:t>
      </w:r>
      <w:r w:rsidRPr="00700340">
        <w:rPr>
          <w:rFonts w:cs="AdvTTe45e47d2"/>
          <w:i/>
        </w:rPr>
        <w:t xml:space="preserve">. </w:t>
      </w:r>
      <w:r w:rsidRPr="00700340">
        <w:rPr>
          <w:rFonts w:cs="AdvTT7329fd89.I"/>
          <w:i/>
        </w:rPr>
        <w:t>BMC Family Practice</w:t>
      </w:r>
      <w:r w:rsidRPr="00700340">
        <w:rPr>
          <w:rFonts w:cs="AdvTT7329fd89.I"/>
        </w:rPr>
        <w:t xml:space="preserve"> </w:t>
      </w:r>
      <w:r w:rsidRPr="00700340">
        <w:rPr>
          <w:rFonts w:cs="AdvTTaf7f9f4f.B"/>
        </w:rPr>
        <w:t>13</w:t>
      </w:r>
      <w:r w:rsidRPr="00700340">
        <w:rPr>
          <w:rFonts w:cs="AdvTTe45e47d2"/>
        </w:rPr>
        <w:t>: 82.</w:t>
      </w:r>
    </w:p>
    <w:p w:rsidR="00DB25B5" w:rsidRPr="00700340" w:rsidRDefault="00DB25B5" w:rsidP="00DB25B5">
      <w:pPr>
        <w:autoSpaceDE w:val="0"/>
        <w:autoSpaceDN w:val="0"/>
        <w:adjustRightInd w:val="0"/>
        <w:spacing w:after="100" w:afterAutospacing="1"/>
        <w:rPr>
          <w:rFonts w:cs="Arial"/>
          <w:bCs/>
        </w:rPr>
      </w:pPr>
      <w:r w:rsidRPr="00700340">
        <w:rPr>
          <w:rFonts w:cs="Arial"/>
          <w:b/>
          <w:bCs/>
        </w:rPr>
        <w:t>Mallen, C.</w:t>
      </w:r>
      <w:r w:rsidRPr="00700340">
        <w:rPr>
          <w:rFonts w:cs="Arial"/>
          <w:b/>
        </w:rPr>
        <w:t xml:space="preserve">, </w:t>
      </w:r>
      <w:r w:rsidRPr="00700340">
        <w:rPr>
          <w:rFonts w:cs="Arial"/>
          <w:b/>
          <w:bCs/>
        </w:rPr>
        <w:t>Wynne-Jones, G.</w:t>
      </w:r>
      <w:r w:rsidRPr="00700340">
        <w:rPr>
          <w:rFonts w:cs="Arial"/>
          <w:b/>
        </w:rPr>
        <w:t xml:space="preserve"> and </w:t>
      </w:r>
      <w:r w:rsidRPr="00700340">
        <w:rPr>
          <w:rFonts w:cs="Arial"/>
          <w:b/>
          <w:bCs/>
        </w:rPr>
        <w:t>Dunn, K</w:t>
      </w:r>
      <w:r w:rsidRPr="00700340">
        <w:rPr>
          <w:rFonts w:ascii="Arial" w:hAnsi="Arial" w:cs="Arial"/>
          <w:b/>
          <w:bCs/>
          <w:sz w:val="20"/>
          <w:szCs w:val="20"/>
        </w:rPr>
        <w:t>.</w:t>
      </w:r>
      <w:r w:rsidRPr="00700340">
        <w:rPr>
          <w:rFonts w:cs="AdvTTe45e47d2"/>
        </w:rPr>
        <w:t xml:space="preserve">  2011: </w:t>
      </w:r>
      <w:r w:rsidRPr="00700340">
        <w:rPr>
          <w:rFonts w:cs="Arial"/>
          <w:bCs/>
        </w:rPr>
        <w:t xml:space="preserve">Sickness certification for mental health problems: an analysis of a general practice consultation database. </w:t>
      </w:r>
      <w:r w:rsidRPr="00700340">
        <w:rPr>
          <w:rFonts w:cs="Arial"/>
          <w:bCs/>
          <w:i/>
        </w:rPr>
        <w:t>Primary Health Care Research and Development</w:t>
      </w:r>
      <w:r w:rsidRPr="00700340">
        <w:rPr>
          <w:rFonts w:cs="Arial"/>
          <w:bCs/>
        </w:rPr>
        <w:t xml:space="preserve"> 12 (2), 179-82.</w:t>
      </w:r>
    </w:p>
    <w:p w:rsidR="00DB25B5" w:rsidRPr="00700340" w:rsidRDefault="00DB25B5" w:rsidP="00DB25B5">
      <w:pPr>
        <w:spacing w:after="100" w:afterAutospacing="1"/>
      </w:pPr>
      <w:r w:rsidRPr="00700340">
        <w:rPr>
          <w:b/>
        </w:rPr>
        <w:t>Martin, A., Sanderson, K. and Cocker, F.</w:t>
      </w:r>
      <w:r w:rsidRPr="00700340">
        <w:t xml:space="preserve">  2009: Meta-analysis of the effects of health promotion intervention in the workplace on depression and anxiety symptoms. </w:t>
      </w:r>
      <w:r w:rsidRPr="00700340">
        <w:rPr>
          <w:i/>
        </w:rPr>
        <w:t>Scandinavian Journal of Work, Environment &amp; Health</w:t>
      </w:r>
      <w:r w:rsidRPr="00700340">
        <w:t xml:space="preserve"> </w:t>
      </w:r>
      <w:r w:rsidRPr="00700340">
        <w:rPr>
          <w:bCs/>
        </w:rPr>
        <w:t>35</w:t>
      </w:r>
      <w:r w:rsidRPr="00700340">
        <w:t>(1), 7-18.</w:t>
      </w:r>
    </w:p>
    <w:p w:rsidR="00DB25B5" w:rsidRPr="00700340" w:rsidRDefault="00DB25B5" w:rsidP="00DB25B5">
      <w:pPr>
        <w:pStyle w:val="Heading1"/>
        <w:spacing w:line="276" w:lineRule="auto"/>
        <w:rPr>
          <w:rFonts w:asciiTheme="minorHAnsi" w:hAnsiTheme="minorHAnsi"/>
          <w:b w:val="0"/>
          <w:sz w:val="22"/>
          <w:szCs w:val="22"/>
        </w:rPr>
      </w:pPr>
      <w:r w:rsidRPr="00700340">
        <w:rPr>
          <w:rFonts w:asciiTheme="minorHAnsi" w:hAnsiTheme="minorHAnsi"/>
          <w:color w:val="333333"/>
          <w:sz w:val="22"/>
          <w:szCs w:val="22"/>
          <w:shd w:val="clear" w:color="auto" w:fill="FFFFFF"/>
        </w:rPr>
        <w:t>McManus, S., Meltzer, H., Brugha, T., Bebbington, P. and Jenkins, R.</w:t>
      </w:r>
      <w:r w:rsidRPr="00700340">
        <w:rPr>
          <w:rFonts w:asciiTheme="minorHAnsi" w:hAnsiTheme="minorHAnsi"/>
          <w:b w:val="0"/>
          <w:color w:val="333333"/>
          <w:sz w:val="22"/>
          <w:szCs w:val="22"/>
          <w:shd w:val="clear" w:color="auto" w:fill="FFFFFF"/>
        </w:rPr>
        <w:t xml:space="preserve"> 2009:</w:t>
      </w:r>
      <w:r w:rsidRPr="00700340">
        <w:rPr>
          <w:rStyle w:val="apple-converted-space"/>
          <w:rFonts w:asciiTheme="minorHAnsi" w:hAnsiTheme="minorHAnsi"/>
          <w:b w:val="0"/>
          <w:color w:val="333333"/>
          <w:sz w:val="22"/>
          <w:szCs w:val="22"/>
          <w:shd w:val="clear" w:color="auto" w:fill="FFFFFF"/>
        </w:rPr>
        <w:t> </w:t>
      </w:r>
      <w:r w:rsidRPr="00700340">
        <w:rPr>
          <w:rStyle w:val="Emphasis"/>
          <w:rFonts w:asciiTheme="minorHAnsi" w:hAnsiTheme="minorHAnsi"/>
          <w:b w:val="0"/>
          <w:color w:val="333333"/>
          <w:sz w:val="22"/>
          <w:szCs w:val="22"/>
          <w:shd w:val="clear" w:color="auto" w:fill="FFFFFF"/>
        </w:rPr>
        <w:t xml:space="preserve">Adult Psychiatric Morbidity in England, 2007: results of a household survey. </w:t>
      </w:r>
      <w:r w:rsidRPr="00700340">
        <w:rPr>
          <w:rStyle w:val="apple-converted-space"/>
          <w:rFonts w:asciiTheme="minorHAnsi" w:hAnsiTheme="minorHAnsi"/>
          <w:b w:val="0"/>
          <w:color w:val="333333"/>
          <w:sz w:val="22"/>
          <w:szCs w:val="22"/>
          <w:shd w:val="clear" w:color="auto" w:fill="FFFFFF"/>
        </w:rPr>
        <w:t> </w:t>
      </w:r>
      <w:r w:rsidRPr="00700340">
        <w:rPr>
          <w:rFonts w:asciiTheme="minorHAnsi" w:hAnsiTheme="minorHAnsi"/>
          <w:b w:val="0"/>
          <w:color w:val="333333"/>
          <w:sz w:val="22"/>
          <w:szCs w:val="22"/>
          <w:shd w:val="clear" w:color="auto" w:fill="FFFFFF"/>
        </w:rPr>
        <w:t>London: National Centre for Social Research.</w:t>
      </w:r>
    </w:p>
    <w:p w:rsidR="00DB25B5" w:rsidRPr="00700340" w:rsidRDefault="00DB25B5" w:rsidP="00DB25B5">
      <w:pPr>
        <w:autoSpaceDE w:val="0"/>
        <w:autoSpaceDN w:val="0"/>
        <w:adjustRightInd w:val="0"/>
        <w:spacing w:after="100" w:afterAutospacing="1"/>
        <w:rPr>
          <w:rFonts w:cs="Arial"/>
          <w:bCs/>
        </w:rPr>
      </w:pPr>
      <w:r w:rsidRPr="00700340">
        <w:rPr>
          <w:rFonts w:cs="Arial"/>
          <w:b/>
          <w:bCs/>
        </w:rPr>
        <w:t>Mental Health Foundation</w:t>
      </w:r>
      <w:r w:rsidRPr="00700340">
        <w:rPr>
          <w:rFonts w:cs="Arial"/>
          <w:bCs/>
        </w:rPr>
        <w:t xml:space="preserve">. 2009: </w:t>
      </w:r>
      <w:r w:rsidRPr="00700340">
        <w:rPr>
          <w:rFonts w:cs="Arial"/>
          <w:bCs/>
          <w:i/>
        </w:rPr>
        <w:t>Returning to work: the role of depression</w:t>
      </w:r>
      <w:r w:rsidRPr="00700340">
        <w:rPr>
          <w:rFonts w:cs="Arial"/>
          <w:bCs/>
        </w:rPr>
        <w:t>. London: Mental Health Foundation.</w:t>
      </w:r>
    </w:p>
    <w:p w:rsidR="00DB25B5" w:rsidRPr="00700340" w:rsidRDefault="00DB25B5" w:rsidP="00DB25B5">
      <w:pPr>
        <w:autoSpaceDE w:val="0"/>
        <w:autoSpaceDN w:val="0"/>
        <w:adjustRightInd w:val="0"/>
        <w:spacing w:after="100" w:afterAutospacing="1"/>
        <w:rPr>
          <w:rFonts w:cs="Arial"/>
          <w:bCs/>
        </w:rPr>
      </w:pPr>
      <w:r w:rsidRPr="00700340">
        <w:rPr>
          <w:rFonts w:cs="Arial"/>
          <w:b/>
          <w:bCs/>
        </w:rPr>
        <w:t>Mental Health Strategies</w:t>
      </w:r>
      <w:r w:rsidRPr="00700340">
        <w:rPr>
          <w:rFonts w:cs="Arial"/>
          <w:bCs/>
        </w:rPr>
        <w:t xml:space="preserve">. 2012:  </w:t>
      </w:r>
      <w:r w:rsidRPr="00700340">
        <w:rPr>
          <w:rFonts w:cs="Arial"/>
          <w:bCs/>
          <w:i/>
        </w:rPr>
        <w:t>2011/12 National Survey of Investment in Adult Mental Health Services</w:t>
      </w:r>
      <w:r w:rsidRPr="00700340">
        <w:rPr>
          <w:rFonts w:cs="Arial"/>
          <w:bCs/>
        </w:rPr>
        <w:t>. Ref 1596-11 Report prepared for Department of Health.</w:t>
      </w:r>
    </w:p>
    <w:p w:rsidR="00DB25B5" w:rsidRPr="00700340" w:rsidRDefault="00DB25B5" w:rsidP="00DB25B5">
      <w:pPr>
        <w:spacing w:after="100" w:afterAutospacing="1"/>
        <w:rPr>
          <w:b/>
        </w:rPr>
      </w:pPr>
      <w:r w:rsidRPr="00700340">
        <w:rPr>
          <w:b/>
        </w:rPr>
        <w:t>Organisation for Economic Co-operation and Development (OECD).</w:t>
      </w:r>
      <w:r w:rsidRPr="00700340">
        <w:t xml:space="preserve"> 2014:  </w:t>
      </w:r>
      <w:r w:rsidRPr="00700340">
        <w:rPr>
          <w:i/>
        </w:rPr>
        <w:t>Mental Health and Work: United Kingdom.</w:t>
      </w:r>
      <w:r w:rsidRPr="00700340">
        <w:t xml:space="preserve"> Paris: OECD Publishing</w:t>
      </w:r>
      <w:r w:rsidRPr="00700340">
        <w:rPr>
          <w:b/>
        </w:rPr>
        <w:t>.</w:t>
      </w:r>
    </w:p>
    <w:p w:rsidR="00DB25B5" w:rsidRPr="00700340" w:rsidRDefault="00DB25B5" w:rsidP="00DB25B5">
      <w:pPr>
        <w:autoSpaceDE w:val="0"/>
        <w:autoSpaceDN w:val="0"/>
        <w:adjustRightInd w:val="0"/>
        <w:spacing w:after="100" w:afterAutospacing="1"/>
        <w:rPr>
          <w:rFonts w:cs="Arial"/>
          <w:bCs/>
        </w:rPr>
      </w:pPr>
      <w:r w:rsidRPr="00700340">
        <w:rPr>
          <w:rFonts w:cs="Arial"/>
          <w:b/>
          <w:bCs/>
        </w:rPr>
        <w:t>Rost, K., Smith, J.L. and Dickinson, M.</w:t>
      </w:r>
      <w:r w:rsidRPr="00700340">
        <w:rPr>
          <w:rFonts w:cs="Arial"/>
          <w:bCs/>
        </w:rPr>
        <w:t xml:space="preserve">  2004: The effect of improving primary care depression management on employee absenteeism and productivity. A randomized trial. </w:t>
      </w:r>
      <w:r w:rsidRPr="00700340">
        <w:rPr>
          <w:rFonts w:cs="Arial"/>
          <w:bCs/>
          <w:i/>
          <w:iCs/>
        </w:rPr>
        <w:t>Medical</w:t>
      </w:r>
      <w:r w:rsidRPr="00700340">
        <w:rPr>
          <w:rFonts w:cs="Arial"/>
          <w:bCs/>
        </w:rPr>
        <w:t xml:space="preserve"> </w:t>
      </w:r>
      <w:r w:rsidRPr="00700340">
        <w:rPr>
          <w:rFonts w:cs="Arial"/>
          <w:bCs/>
          <w:i/>
          <w:iCs/>
        </w:rPr>
        <w:t xml:space="preserve">Care </w:t>
      </w:r>
      <w:r w:rsidRPr="00700340">
        <w:rPr>
          <w:rFonts w:cs="Arial"/>
          <w:bCs/>
        </w:rPr>
        <w:t>42(12), 1202–10.</w:t>
      </w:r>
    </w:p>
    <w:p w:rsidR="00DB25B5" w:rsidRPr="00700340" w:rsidRDefault="00DB25B5" w:rsidP="00DB25B5">
      <w:pPr>
        <w:spacing w:after="100" w:afterAutospacing="1"/>
      </w:pPr>
      <w:r w:rsidRPr="00700340">
        <w:rPr>
          <w:b/>
        </w:rPr>
        <w:t>Sainsbury Centre for Mental Health</w:t>
      </w:r>
      <w:r w:rsidRPr="00700340">
        <w:t xml:space="preserve">. 2007: </w:t>
      </w:r>
      <w:r w:rsidRPr="00700340">
        <w:rPr>
          <w:i/>
        </w:rPr>
        <w:t>Mental Health at Work: developing the business case.</w:t>
      </w:r>
      <w:r w:rsidRPr="00700340">
        <w:t xml:space="preserve"> London: Sainsbury Centre for Mental Health.</w:t>
      </w:r>
    </w:p>
    <w:p w:rsidR="00DB25B5" w:rsidRPr="00700340" w:rsidRDefault="00DB25B5" w:rsidP="00DB25B5">
      <w:pPr>
        <w:autoSpaceDE w:val="0"/>
        <w:autoSpaceDN w:val="0"/>
        <w:adjustRightInd w:val="0"/>
        <w:spacing w:after="100" w:afterAutospacing="1"/>
        <w:rPr>
          <w:rFonts w:cs="Arial"/>
          <w:bCs/>
        </w:rPr>
      </w:pPr>
      <w:r w:rsidRPr="00700340">
        <w:rPr>
          <w:rFonts w:cs="Arial"/>
          <w:b/>
          <w:bCs/>
        </w:rPr>
        <w:lastRenderedPageBreak/>
        <w:t>Schoenbaum, M., Unutzer, J., McCaffrey, D., Duan, N., Sherbourne, C. and Wells, K.B.</w:t>
      </w:r>
      <w:r w:rsidRPr="00700340">
        <w:rPr>
          <w:rFonts w:cs="Arial"/>
          <w:bCs/>
        </w:rPr>
        <w:t xml:space="preserve"> 2002: The effects of primary care depression treatment on patients’ clinical status and employment. </w:t>
      </w:r>
      <w:r w:rsidRPr="00700340">
        <w:rPr>
          <w:rFonts w:cs="Arial"/>
          <w:bCs/>
          <w:i/>
          <w:iCs/>
        </w:rPr>
        <w:t xml:space="preserve">Health Services Research </w:t>
      </w:r>
      <w:r w:rsidRPr="00700340">
        <w:rPr>
          <w:rFonts w:cs="Arial"/>
          <w:bCs/>
        </w:rPr>
        <w:t>37(5),1145–58.</w:t>
      </w:r>
    </w:p>
    <w:p w:rsidR="00DB25B5" w:rsidRPr="00700340" w:rsidRDefault="00DB25B5" w:rsidP="00DB25B5">
      <w:pPr>
        <w:autoSpaceDE w:val="0"/>
        <w:autoSpaceDN w:val="0"/>
        <w:adjustRightInd w:val="0"/>
        <w:spacing w:after="100" w:afterAutospacing="1"/>
        <w:rPr>
          <w:rFonts w:cs="Arial"/>
          <w:bCs/>
        </w:rPr>
      </w:pPr>
      <w:r w:rsidRPr="00700340">
        <w:rPr>
          <w:rFonts w:cs="Arial"/>
          <w:b/>
          <w:bCs/>
        </w:rPr>
        <w:t>Schoenbaum, M., Unutzer, J., Sherbourne, C., Duan, N., Rubenstein, L.V, Miranda, J., Meredith, L.S, Carney, M.F.  and Wells, K</w:t>
      </w:r>
      <w:r w:rsidRPr="00700340">
        <w:rPr>
          <w:rFonts w:cs="Arial"/>
          <w:bCs/>
        </w:rPr>
        <w:t xml:space="preserve">.  2001: Cost-effectiveness of practice-initiated quality improvement for depression: results of a randomized controlled trial. </w:t>
      </w:r>
      <w:r w:rsidRPr="00700340">
        <w:rPr>
          <w:rFonts w:cs="Arial"/>
          <w:bCs/>
          <w:i/>
          <w:iCs/>
        </w:rPr>
        <w:t xml:space="preserve">JAMA </w:t>
      </w:r>
      <w:r w:rsidRPr="00700340">
        <w:rPr>
          <w:rFonts w:cs="Arial"/>
          <w:bCs/>
        </w:rPr>
        <w:t>286 (11), 1325–30.</w:t>
      </w:r>
    </w:p>
    <w:p w:rsidR="00DB25B5" w:rsidRPr="00700340" w:rsidRDefault="00DB25B5" w:rsidP="00DB25B5">
      <w:pPr>
        <w:spacing w:after="100" w:afterAutospacing="1"/>
        <w:rPr>
          <w:b/>
        </w:rPr>
      </w:pPr>
      <w:r w:rsidRPr="00700340">
        <w:rPr>
          <w:b/>
        </w:rPr>
        <w:t>Seymour, L</w:t>
      </w:r>
      <w:r w:rsidRPr="00700340">
        <w:t xml:space="preserve">. 2010: </w:t>
      </w:r>
      <w:r w:rsidRPr="00700340">
        <w:rPr>
          <w:i/>
        </w:rPr>
        <w:t>Common mental disorders at work</w:t>
      </w:r>
      <w:r w:rsidRPr="00700340">
        <w:t>.  London: Sainsbury Centre for Mental Health.</w:t>
      </w:r>
    </w:p>
    <w:p w:rsidR="00DB25B5" w:rsidRPr="00700340" w:rsidRDefault="00DB25B5" w:rsidP="00DB25B5">
      <w:pPr>
        <w:autoSpaceDE w:val="0"/>
        <w:autoSpaceDN w:val="0"/>
        <w:adjustRightInd w:val="0"/>
        <w:spacing w:after="100" w:afterAutospacing="1"/>
        <w:rPr>
          <w:rFonts w:cs="Arial"/>
          <w:bCs/>
        </w:rPr>
      </w:pPr>
      <w:r w:rsidRPr="00700340">
        <w:rPr>
          <w:rFonts w:cs="Arial"/>
          <w:b/>
          <w:bCs/>
        </w:rPr>
        <w:t>Shiels, C., Gabbay, M. and Hillage, J.</w:t>
      </w:r>
      <w:r w:rsidRPr="00700340">
        <w:rPr>
          <w:rFonts w:cs="Arial"/>
          <w:bCs/>
        </w:rPr>
        <w:t xml:space="preserve"> 2014:  Factors associated with prevalence and types of ‘may be fit’ advice on fit notes: a cross-sectional primary care analysis. </w:t>
      </w:r>
      <w:r w:rsidRPr="00700340">
        <w:rPr>
          <w:rFonts w:cs="Arial"/>
          <w:bCs/>
          <w:i/>
        </w:rPr>
        <w:t>British Journal of General Practice</w:t>
      </w:r>
      <w:r w:rsidRPr="00700340">
        <w:rPr>
          <w:rFonts w:cs="Arial"/>
          <w:bCs/>
        </w:rPr>
        <w:t xml:space="preserve"> </w:t>
      </w:r>
      <w:r w:rsidRPr="00700340">
        <w:t>64(620), 137–43.</w:t>
      </w:r>
    </w:p>
    <w:p w:rsidR="00DB25B5" w:rsidRPr="00700340" w:rsidRDefault="00DB25B5" w:rsidP="00DB25B5">
      <w:pPr>
        <w:spacing w:after="100" w:afterAutospacing="1"/>
      </w:pPr>
      <w:r w:rsidRPr="00700340">
        <w:rPr>
          <w:b/>
        </w:rPr>
        <w:t>Shiels, C., Hillage, J., Pollard, E. and Gabbay, M.</w:t>
      </w:r>
      <w:r w:rsidRPr="00700340">
        <w:t xml:space="preserve">  2013: </w:t>
      </w:r>
      <w:r w:rsidRPr="00700340">
        <w:rPr>
          <w:i/>
        </w:rPr>
        <w:t>National evaluation of the Statement of Fitness for Work (Fit note): quantitative survey of fit notes. DWP Research Report No 841</w:t>
      </w:r>
      <w:r w:rsidRPr="00700340">
        <w:t>. London: The Stationery Office.</w:t>
      </w:r>
    </w:p>
    <w:p w:rsidR="00DB25B5" w:rsidRPr="00700340" w:rsidRDefault="00DB25B5" w:rsidP="00DB25B5">
      <w:pPr>
        <w:autoSpaceDE w:val="0"/>
        <w:autoSpaceDN w:val="0"/>
        <w:adjustRightInd w:val="0"/>
        <w:spacing w:after="100" w:afterAutospacing="1"/>
        <w:rPr>
          <w:rFonts w:cs="Arial"/>
          <w:bCs/>
        </w:rPr>
      </w:pPr>
      <w:r w:rsidRPr="00700340">
        <w:rPr>
          <w:rFonts w:cs="Arial"/>
          <w:b/>
          <w:bCs/>
        </w:rPr>
        <w:t>Simon, G.E, Katon, W., Rutter, C., Von Korff, M., Lin, E., Robinson, P., Bush, T., Walker, E.A.,  Ludman,E. and Russo, J.</w:t>
      </w:r>
      <w:r w:rsidRPr="00700340">
        <w:rPr>
          <w:rFonts w:cs="Arial"/>
          <w:bCs/>
        </w:rPr>
        <w:t xml:space="preserve"> 1998: Impact of improved depression treatment in primary care on daily functioning and disability. </w:t>
      </w:r>
      <w:r w:rsidRPr="00700340">
        <w:rPr>
          <w:rFonts w:cs="Arial"/>
          <w:bCs/>
          <w:i/>
          <w:iCs/>
        </w:rPr>
        <w:t xml:space="preserve">Psychological Medicine </w:t>
      </w:r>
      <w:r w:rsidRPr="00700340">
        <w:rPr>
          <w:rFonts w:cs="Arial"/>
          <w:bCs/>
        </w:rPr>
        <w:t>28(3), 693–701.</w:t>
      </w:r>
    </w:p>
    <w:p w:rsidR="00DB25B5" w:rsidRPr="00700340" w:rsidRDefault="00DB25B5" w:rsidP="00DB25B5">
      <w:pPr>
        <w:autoSpaceDE w:val="0"/>
        <w:autoSpaceDN w:val="0"/>
        <w:adjustRightInd w:val="0"/>
        <w:spacing w:after="100" w:afterAutospacing="1"/>
        <w:rPr>
          <w:rFonts w:cs="Arial"/>
          <w:bCs/>
        </w:rPr>
      </w:pPr>
      <w:r w:rsidRPr="00700340">
        <w:rPr>
          <w:rFonts w:cs="Arial"/>
          <w:b/>
          <w:bCs/>
        </w:rPr>
        <w:t>Vaez, M., Rylander, G., Nygren, A.,Asberg, M. and Alexanderson, K</w:t>
      </w:r>
      <w:r w:rsidRPr="00700340">
        <w:rPr>
          <w:rFonts w:cs="Arial"/>
          <w:bCs/>
        </w:rPr>
        <w:t>. 2007: Sickness absence and disability pension in a cohort of employees on long-term sick leave due to psychiatric disorders in Sweden</w:t>
      </w:r>
      <w:r w:rsidRPr="00700340">
        <w:rPr>
          <w:rFonts w:cs="Arial"/>
          <w:bCs/>
          <w:i/>
        </w:rPr>
        <w:t>. Social Psychiatry and Psychiatric Epidemiology</w:t>
      </w:r>
      <w:r w:rsidRPr="00700340">
        <w:rPr>
          <w:rFonts w:cs="Arial"/>
          <w:bCs/>
        </w:rPr>
        <w:t xml:space="preserve"> 42, 381–88.</w:t>
      </w:r>
    </w:p>
    <w:p w:rsidR="00F96743" w:rsidRDefault="008B2838" w:rsidP="00DB25B5">
      <w:pPr>
        <w:spacing w:after="100" w:afterAutospacing="1"/>
      </w:pPr>
      <w:r w:rsidRPr="00700340">
        <w:rPr>
          <w:b/>
        </w:rPr>
        <w:t>Vos</w:t>
      </w:r>
      <w:r w:rsidR="0020682D" w:rsidRPr="00700340">
        <w:rPr>
          <w:b/>
        </w:rPr>
        <w:t>,</w:t>
      </w:r>
      <w:r w:rsidRPr="00700340">
        <w:rPr>
          <w:b/>
        </w:rPr>
        <w:t xml:space="preserve"> T</w:t>
      </w:r>
      <w:r w:rsidR="0020682D" w:rsidRPr="00700340">
        <w:rPr>
          <w:b/>
        </w:rPr>
        <w:t>.</w:t>
      </w:r>
      <w:r w:rsidRPr="00700340">
        <w:rPr>
          <w:b/>
        </w:rPr>
        <w:t xml:space="preserve">, </w:t>
      </w:r>
      <w:r w:rsidR="00151AF8" w:rsidRPr="00700340">
        <w:rPr>
          <w:b/>
        </w:rPr>
        <w:t>Flaxman</w:t>
      </w:r>
      <w:r w:rsidR="0020682D" w:rsidRPr="00700340">
        <w:rPr>
          <w:b/>
        </w:rPr>
        <w:t>,</w:t>
      </w:r>
      <w:r w:rsidRPr="00700340">
        <w:rPr>
          <w:b/>
        </w:rPr>
        <w:t xml:space="preserve"> A</w:t>
      </w:r>
      <w:r w:rsidR="0020682D" w:rsidRPr="00700340">
        <w:rPr>
          <w:b/>
        </w:rPr>
        <w:t>.</w:t>
      </w:r>
      <w:r w:rsidRPr="00700340">
        <w:rPr>
          <w:b/>
        </w:rPr>
        <w:t>D</w:t>
      </w:r>
      <w:r w:rsidR="00151AF8" w:rsidRPr="00700340">
        <w:rPr>
          <w:b/>
        </w:rPr>
        <w:t xml:space="preserve">, </w:t>
      </w:r>
      <w:r w:rsidRPr="00700340">
        <w:rPr>
          <w:b/>
        </w:rPr>
        <w:t>Naghavi</w:t>
      </w:r>
      <w:r w:rsidR="0020682D" w:rsidRPr="00700340">
        <w:rPr>
          <w:b/>
        </w:rPr>
        <w:t>.</w:t>
      </w:r>
      <w:r w:rsidRPr="00700340">
        <w:rPr>
          <w:b/>
        </w:rPr>
        <w:t xml:space="preserve"> M</w:t>
      </w:r>
      <w:r w:rsidRPr="00700340">
        <w:t xml:space="preserve">, </w:t>
      </w:r>
      <w:r w:rsidR="00151AF8" w:rsidRPr="00700340">
        <w:rPr>
          <w:i/>
        </w:rPr>
        <w:t>e</w:t>
      </w:r>
      <w:r w:rsidRPr="00700340">
        <w:rPr>
          <w:i/>
        </w:rPr>
        <w:t>t al</w:t>
      </w:r>
      <w:r w:rsidRPr="00700340">
        <w:t xml:space="preserve">. </w:t>
      </w:r>
      <w:r w:rsidR="0020682D" w:rsidRPr="00700340">
        <w:t xml:space="preserve">2010: </w:t>
      </w:r>
      <w:r w:rsidR="00AA501A" w:rsidRPr="00700340">
        <w:t>Years lived with disability (YLDs) for 1160 sequelae of 289 diseases and injuries 1990–2010: a systematic analysis for the Globa</w:t>
      </w:r>
      <w:r w:rsidRPr="00700340">
        <w:t>l Burden of Disease Study 2010.</w:t>
      </w:r>
      <w:r w:rsidR="00AA501A" w:rsidRPr="00700340">
        <w:t xml:space="preserve"> </w:t>
      </w:r>
      <w:r w:rsidR="00AA501A" w:rsidRPr="00700340">
        <w:rPr>
          <w:i/>
        </w:rPr>
        <w:t>Lancet</w:t>
      </w:r>
      <w:r w:rsidR="00A15440" w:rsidRPr="00700340">
        <w:t xml:space="preserve"> </w:t>
      </w:r>
      <w:r w:rsidR="00AA501A" w:rsidRPr="00700340">
        <w:rPr>
          <w:bCs/>
        </w:rPr>
        <w:t>380</w:t>
      </w:r>
      <w:r w:rsidR="0020682D" w:rsidRPr="00700340">
        <w:t>,</w:t>
      </w:r>
      <w:r w:rsidR="002967A8" w:rsidRPr="00700340">
        <w:t xml:space="preserve"> 2163-</w:t>
      </w:r>
      <w:r w:rsidR="00AA501A" w:rsidRPr="00700340">
        <w:t>96.</w:t>
      </w:r>
    </w:p>
    <w:p w:rsidR="00F96743" w:rsidRDefault="00F96743" w:rsidP="00DB25B5">
      <w:pPr>
        <w:autoSpaceDE w:val="0"/>
        <w:autoSpaceDN w:val="0"/>
        <w:adjustRightInd w:val="0"/>
        <w:spacing w:after="100" w:afterAutospacing="1"/>
        <w:rPr>
          <w:rFonts w:cs="Arial"/>
          <w:bCs/>
        </w:rPr>
      </w:pPr>
    </w:p>
    <w:p w:rsidR="003D6C61" w:rsidRDefault="003D6C61" w:rsidP="00DB25B5">
      <w:pPr>
        <w:autoSpaceDE w:val="0"/>
        <w:autoSpaceDN w:val="0"/>
        <w:adjustRightInd w:val="0"/>
        <w:spacing w:after="100" w:afterAutospacing="1"/>
        <w:rPr>
          <w:rFonts w:cs="Arial"/>
          <w:bCs/>
        </w:rPr>
      </w:pPr>
    </w:p>
    <w:p w:rsidR="001005AA" w:rsidRDefault="001005AA" w:rsidP="002B379A">
      <w:pPr>
        <w:spacing w:after="0" w:line="240" w:lineRule="auto"/>
      </w:pPr>
    </w:p>
    <w:p w:rsidR="00873EA4" w:rsidRDefault="00873EA4" w:rsidP="00894F18">
      <w:pPr>
        <w:autoSpaceDE w:val="0"/>
        <w:autoSpaceDN w:val="0"/>
        <w:adjustRightInd w:val="0"/>
        <w:spacing w:after="0" w:line="240" w:lineRule="auto"/>
        <w:rPr>
          <w:rFonts w:cs="Arial"/>
          <w:bCs/>
        </w:rPr>
      </w:pPr>
    </w:p>
    <w:p w:rsidR="00894F18" w:rsidRPr="00894F18" w:rsidRDefault="00894F18" w:rsidP="00894F18">
      <w:pPr>
        <w:autoSpaceDE w:val="0"/>
        <w:autoSpaceDN w:val="0"/>
        <w:adjustRightInd w:val="0"/>
        <w:spacing w:after="0" w:line="240" w:lineRule="auto"/>
        <w:rPr>
          <w:rFonts w:cs="Arial"/>
          <w:bCs/>
        </w:rPr>
      </w:pPr>
    </w:p>
    <w:p w:rsidR="00FB0811" w:rsidRPr="00FB0811" w:rsidRDefault="00FB0811" w:rsidP="00FB0811">
      <w:pPr>
        <w:autoSpaceDE w:val="0"/>
        <w:autoSpaceDN w:val="0"/>
        <w:adjustRightInd w:val="0"/>
        <w:spacing w:after="0" w:line="240" w:lineRule="auto"/>
        <w:rPr>
          <w:rFonts w:cs="Arial"/>
          <w:bCs/>
        </w:rPr>
      </w:pPr>
    </w:p>
    <w:p w:rsidR="00FB0811" w:rsidRDefault="00FB0811" w:rsidP="00FB0811">
      <w:pPr>
        <w:autoSpaceDE w:val="0"/>
        <w:autoSpaceDN w:val="0"/>
        <w:adjustRightInd w:val="0"/>
        <w:spacing w:after="0" w:line="240" w:lineRule="auto"/>
        <w:rPr>
          <w:rFonts w:cs="Arial"/>
          <w:bCs/>
        </w:rPr>
      </w:pPr>
    </w:p>
    <w:p w:rsidR="00E25352" w:rsidRPr="00FB0811" w:rsidRDefault="00E25352" w:rsidP="00FB0811">
      <w:pPr>
        <w:autoSpaceDE w:val="0"/>
        <w:autoSpaceDN w:val="0"/>
        <w:adjustRightInd w:val="0"/>
        <w:spacing w:after="0" w:line="240" w:lineRule="auto"/>
        <w:rPr>
          <w:rFonts w:cs="Arial"/>
          <w:bCs/>
        </w:rPr>
      </w:pPr>
    </w:p>
    <w:p w:rsidR="0017026E" w:rsidRDefault="0017026E" w:rsidP="0017026E">
      <w:pPr>
        <w:autoSpaceDE w:val="0"/>
        <w:autoSpaceDN w:val="0"/>
        <w:adjustRightInd w:val="0"/>
        <w:spacing w:after="0" w:line="240" w:lineRule="auto"/>
        <w:rPr>
          <w:rFonts w:cs="Arial"/>
          <w:bCs/>
        </w:rPr>
      </w:pPr>
    </w:p>
    <w:p w:rsidR="00873EA4" w:rsidRDefault="00873EA4" w:rsidP="0017026E">
      <w:pPr>
        <w:autoSpaceDE w:val="0"/>
        <w:autoSpaceDN w:val="0"/>
        <w:adjustRightInd w:val="0"/>
        <w:spacing w:after="0" w:line="240" w:lineRule="auto"/>
        <w:rPr>
          <w:rFonts w:cs="Arial"/>
          <w:bCs/>
        </w:rPr>
      </w:pPr>
    </w:p>
    <w:p w:rsidR="0017026E" w:rsidRPr="0017026E" w:rsidRDefault="0017026E" w:rsidP="0017026E">
      <w:pPr>
        <w:autoSpaceDE w:val="0"/>
        <w:autoSpaceDN w:val="0"/>
        <w:adjustRightInd w:val="0"/>
        <w:spacing w:after="0" w:line="240" w:lineRule="auto"/>
        <w:rPr>
          <w:rFonts w:cs="Arial"/>
          <w:bCs/>
        </w:rPr>
      </w:pPr>
    </w:p>
    <w:p w:rsidR="0017026E" w:rsidRPr="0017026E" w:rsidRDefault="0017026E" w:rsidP="0017026E">
      <w:pPr>
        <w:autoSpaceDE w:val="0"/>
        <w:autoSpaceDN w:val="0"/>
        <w:adjustRightInd w:val="0"/>
        <w:spacing w:after="0" w:line="240" w:lineRule="auto"/>
        <w:rPr>
          <w:rFonts w:cs="Arial"/>
          <w:bCs/>
        </w:rPr>
      </w:pPr>
    </w:p>
    <w:p w:rsidR="00873EA4" w:rsidRDefault="00873EA4" w:rsidP="0017026E">
      <w:pPr>
        <w:autoSpaceDE w:val="0"/>
        <w:autoSpaceDN w:val="0"/>
        <w:adjustRightInd w:val="0"/>
        <w:spacing w:after="0" w:line="240" w:lineRule="auto"/>
        <w:rPr>
          <w:rFonts w:cs="Arial"/>
          <w:bCs/>
        </w:rPr>
      </w:pPr>
    </w:p>
    <w:p w:rsidR="0017026E" w:rsidRPr="0017026E" w:rsidRDefault="0017026E" w:rsidP="0017026E">
      <w:pPr>
        <w:autoSpaceDE w:val="0"/>
        <w:autoSpaceDN w:val="0"/>
        <w:adjustRightInd w:val="0"/>
        <w:spacing w:after="0" w:line="240" w:lineRule="auto"/>
        <w:rPr>
          <w:rFonts w:cs="Arial"/>
          <w:bCs/>
        </w:rPr>
      </w:pPr>
    </w:p>
    <w:p w:rsidR="009A604C" w:rsidRDefault="009A604C" w:rsidP="009A604C">
      <w:pPr>
        <w:autoSpaceDE w:val="0"/>
        <w:autoSpaceDN w:val="0"/>
        <w:adjustRightInd w:val="0"/>
        <w:spacing w:after="0" w:line="240" w:lineRule="auto"/>
        <w:rPr>
          <w:rFonts w:cs="Arial"/>
          <w:bCs/>
        </w:rPr>
      </w:pPr>
    </w:p>
    <w:p w:rsidR="00440848" w:rsidRPr="007A6443" w:rsidRDefault="00440848" w:rsidP="00440848">
      <w:r w:rsidRPr="00446B39">
        <w:rPr>
          <w:b/>
        </w:rPr>
        <w:lastRenderedPageBreak/>
        <w:t>Table 1</w:t>
      </w:r>
      <w:r>
        <w:t xml:space="preserve">  Number</w:t>
      </w:r>
      <w:r w:rsidRPr="007A6443">
        <w:t xml:space="preserve"> of fit notes by </w:t>
      </w:r>
      <w:r>
        <w:t>CMD</w:t>
      </w:r>
      <w:r w:rsidRPr="007A6443">
        <w:t xml:space="preserve"> category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1322"/>
        <w:gridCol w:w="1939"/>
        <w:gridCol w:w="1558"/>
        <w:gridCol w:w="1763"/>
      </w:tblGrid>
      <w:tr w:rsidR="00440848" w:rsidRPr="007A6443" w:rsidTr="005A02F5">
        <w:trPr>
          <w:tblHeader/>
        </w:trPr>
        <w:tc>
          <w:tcPr>
            <w:tcW w:w="1439" w:type="pct"/>
            <w:tcBorders>
              <w:top w:val="single" w:sz="4" w:space="0" w:color="auto"/>
              <w:bottom w:val="single" w:sz="4" w:space="0" w:color="auto"/>
            </w:tcBorders>
            <w:vAlign w:val="bottom"/>
          </w:tcPr>
          <w:p w:rsidR="00440848" w:rsidRPr="007A6443" w:rsidRDefault="00440848" w:rsidP="005A02F5">
            <w:pPr>
              <w:pStyle w:val="Table"/>
              <w:rPr>
                <w:rFonts w:asciiTheme="minorHAnsi" w:hAnsiTheme="minorHAnsi"/>
                <w:i/>
                <w:sz w:val="22"/>
                <w:szCs w:val="22"/>
              </w:rPr>
            </w:pPr>
            <w:r w:rsidRPr="007A6443">
              <w:rPr>
                <w:rFonts w:asciiTheme="minorHAnsi" w:hAnsiTheme="minorHAnsi"/>
                <w:i/>
                <w:sz w:val="22"/>
                <w:szCs w:val="22"/>
              </w:rPr>
              <w:t>Column percentages</w:t>
            </w:r>
          </w:p>
        </w:tc>
        <w:tc>
          <w:tcPr>
            <w:tcW w:w="715" w:type="pct"/>
            <w:tcBorders>
              <w:top w:val="single" w:sz="4" w:space="0" w:color="auto"/>
              <w:bottom w:val="single" w:sz="4" w:space="0" w:color="auto"/>
            </w:tcBorders>
            <w:vAlign w:val="bottom"/>
          </w:tcPr>
          <w:p w:rsidR="00440848" w:rsidRPr="007A6443" w:rsidRDefault="00440848" w:rsidP="005A02F5">
            <w:pPr>
              <w:pStyle w:val="Table"/>
              <w:rPr>
                <w:rFonts w:asciiTheme="minorHAnsi" w:hAnsiTheme="minorHAnsi"/>
                <w:b/>
                <w:sz w:val="22"/>
                <w:szCs w:val="22"/>
              </w:rPr>
            </w:pPr>
            <w:r w:rsidRPr="007A6443">
              <w:rPr>
                <w:rFonts w:asciiTheme="minorHAnsi" w:hAnsiTheme="minorHAnsi"/>
                <w:b/>
                <w:sz w:val="22"/>
                <w:szCs w:val="22"/>
              </w:rPr>
              <w:t>No of fit notes</w:t>
            </w:r>
          </w:p>
        </w:tc>
        <w:tc>
          <w:tcPr>
            <w:tcW w:w="1049" w:type="pct"/>
            <w:tcBorders>
              <w:top w:val="single" w:sz="4" w:space="0" w:color="auto"/>
              <w:bottom w:val="single" w:sz="4" w:space="0" w:color="auto"/>
            </w:tcBorders>
            <w:vAlign w:val="bottom"/>
          </w:tcPr>
          <w:p w:rsidR="00440848" w:rsidRPr="007A6443" w:rsidRDefault="00440848" w:rsidP="005A02F5">
            <w:pPr>
              <w:pStyle w:val="Table"/>
              <w:rPr>
                <w:rFonts w:asciiTheme="minorHAnsi" w:hAnsiTheme="minorHAnsi"/>
                <w:b/>
                <w:sz w:val="22"/>
                <w:szCs w:val="22"/>
              </w:rPr>
            </w:pPr>
            <w:r w:rsidRPr="007A6443">
              <w:rPr>
                <w:rFonts w:asciiTheme="minorHAnsi" w:hAnsiTheme="minorHAnsi"/>
                <w:b/>
                <w:sz w:val="22"/>
                <w:szCs w:val="22"/>
              </w:rPr>
              <w:t xml:space="preserve">% of all </w:t>
            </w:r>
            <w:r>
              <w:rPr>
                <w:rFonts w:asciiTheme="minorHAnsi" w:hAnsiTheme="minorHAnsi"/>
                <w:b/>
                <w:sz w:val="22"/>
                <w:szCs w:val="22"/>
              </w:rPr>
              <w:t>CMD</w:t>
            </w:r>
            <w:r w:rsidRPr="007A6443">
              <w:rPr>
                <w:rFonts w:asciiTheme="minorHAnsi" w:hAnsiTheme="minorHAnsi"/>
                <w:b/>
                <w:sz w:val="22"/>
                <w:szCs w:val="22"/>
              </w:rPr>
              <w:t xml:space="preserve"> fit notes issued</w:t>
            </w:r>
          </w:p>
        </w:tc>
        <w:tc>
          <w:tcPr>
            <w:tcW w:w="843" w:type="pct"/>
            <w:tcBorders>
              <w:top w:val="single" w:sz="4" w:space="0" w:color="auto"/>
              <w:bottom w:val="single" w:sz="4" w:space="0" w:color="auto"/>
            </w:tcBorders>
            <w:vAlign w:val="bottom"/>
          </w:tcPr>
          <w:p w:rsidR="00440848" w:rsidRPr="007A6443" w:rsidRDefault="00440848" w:rsidP="005A02F5">
            <w:pPr>
              <w:pStyle w:val="Table"/>
              <w:rPr>
                <w:rFonts w:asciiTheme="minorHAnsi" w:hAnsiTheme="minorHAnsi"/>
                <w:b/>
                <w:sz w:val="22"/>
                <w:szCs w:val="22"/>
              </w:rPr>
            </w:pPr>
            <w:r w:rsidRPr="007A6443">
              <w:rPr>
                <w:rFonts w:asciiTheme="minorHAnsi" w:hAnsiTheme="minorHAnsi"/>
                <w:b/>
                <w:sz w:val="22"/>
                <w:szCs w:val="22"/>
              </w:rPr>
              <w:t>No of weeks certified by notes</w:t>
            </w:r>
          </w:p>
        </w:tc>
        <w:tc>
          <w:tcPr>
            <w:tcW w:w="954" w:type="pct"/>
            <w:tcBorders>
              <w:top w:val="single" w:sz="4" w:space="0" w:color="auto"/>
              <w:bottom w:val="single" w:sz="4" w:space="0" w:color="auto"/>
            </w:tcBorders>
            <w:vAlign w:val="bottom"/>
          </w:tcPr>
          <w:p w:rsidR="00440848" w:rsidRPr="007A6443" w:rsidRDefault="00440848" w:rsidP="005A02F5">
            <w:pPr>
              <w:pStyle w:val="Table"/>
              <w:rPr>
                <w:rFonts w:asciiTheme="minorHAnsi" w:hAnsiTheme="minorHAnsi"/>
                <w:b/>
                <w:sz w:val="22"/>
                <w:szCs w:val="22"/>
              </w:rPr>
            </w:pPr>
            <w:r w:rsidRPr="007A6443">
              <w:rPr>
                <w:rFonts w:asciiTheme="minorHAnsi" w:hAnsiTheme="minorHAnsi"/>
                <w:b/>
                <w:sz w:val="22"/>
                <w:szCs w:val="22"/>
              </w:rPr>
              <w:t xml:space="preserve">% of all </w:t>
            </w:r>
            <w:r>
              <w:rPr>
                <w:rFonts w:asciiTheme="minorHAnsi" w:hAnsiTheme="minorHAnsi"/>
                <w:b/>
                <w:sz w:val="22"/>
                <w:szCs w:val="22"/>
              </w:rPr>
              <w:t>CMD</w:t>
            </w:r>
            <w:r w:rsidRPr="007A6443">
              <w:rPr>
                <w:rFonts w:asciiTheme="minorHAnsi" w:hAnsiTheme="minorHAnsi"/>
                <w:b/>
                <w:sz w:val="22"/>
                <w:szCs w:val="22"/>
              </w:rPr>
              <w:t xml:space="preserve"> weeks certified</w:t>
            </w:r>
          </w:p>
        </w:tc>
      </w:tr>
      <w:tr w:rsidR="00440848" w:rsidRPr="007A6443" w:rsidTr="005A02F5">
        <w:trPr>
          <w:trHeight w:hRule="exact" w:val="340"/>
        </w:trPr>
        <w:tc>
          <w:tcPr>
            <w:tcW w:w="1439" w:type="pct"/>
            <w:tcBorders>
              <w:top w:val="single" w:sz="4" w:space="0" w:color="auto"/>
            </w:tcBorders>
            <w:vAlign w:val="bottom"/>
          </w:tcPr>
          <w:p w:rsidR="00440848" w:rsidRPr="007A6443" w:rsidRDefault="00440848" w:rsidP="005A02F5">
            <w:pPr>
              <w:rPr>
                <w:rFonts w:cs="Times New Roman"/>
              </w:rPr>
            </w:pPr>
            <w:r w:rsidRPr="007A6443">
              <w:rPr>
                <w:rFonts w:cs="Times New Roman"/>
              </w:rPr>
              <w:t>Stress</w:t>
            </w:r>
          </w:p>
        </w:tc>
        <w:tc>
          <w:tcPr>
            <w:tcW w:w="715" w:type="pct"/>
            <w:tcBorders>
              <w:top w:val="single" w:sz="4" w:space="0" w:color="auto"/>
            </w:tcBorders>
            <w:vAlign w:val="bottom"/>
          </w:tcPr>
          <w:p w:rsidR="00440848" w:rsidRPr="007A6443" w:rsidRDefault="00440848" w:rsidP="005A02F5">
            <w:pPr>
              <w:jc w:val="center"/>
              <w:rPr>
                <w:rFonts w:cs="Times New Roman"/>
              </w:rPr>
            </w:pPr>
            <w:r w:rsidRPr="007A6443">
              <w:rPr>
                <w:rFonts w:cs="Times New Roman"/>
              </w:rPr>
              <w:t>2,929</w:t>
            </w:r>
          </w:p>
        </w:tc>
        <w:tc>
          <w:tcPr>
            <w:tcW w:w="1049" w:type="pct"/>
            <w:tcBorders>
              <w:top w:val="single" w:sz="4" w:space="0" w:color="auto"/>
            </w:tcBorders>
            <w:vAlign w:val="bottom"/>
          </w:tcPr>
          <w:p w:rsidR="00440848" w:rsidRPr="007A6443" w:rsidRDefault="00440848" w:rsidP="005A02F5">
            <w:pPr>
              <w:jc w:val="center"/>
              <w:rPr>
                <w:rFonts w:cs="Times New Roman"/>
              </w:rPr>
            </w:pPr>
            <w:r w:rsidRPr="007A6443">
              <w:rPr>
                <w:rFonts w:cs="Times New Roman"/>
              </w:rPr>
              <w:t>36.3</w:t>
            </w:r>
          </w:p>
        </w:tc>
        <w:tc>
          <w:tcPr>
            <w:tcW w:w="843" w:type="pct"/>
            <w:tcBorders>
              <w:top w:val="single" w:sz="4" w:space="0" w:color="auto"/>
            </w:tcBorders>
            <w:vAlign w:val="bottom"/>
          </w:tcPr>
          <w:p w:rsidR="00440848" w:rsidRPr="007A6443" w:rsidRDefault="00440848" w:rsidP="005A02F5">
            <w:pPr>
              <w:jc w:val="center"/>
              <w:rPr>
                <w:rFonts w:cs="Times New Roman"/>
              </w:rPr>
            </w:pPr>
            <w:r w:rsidRPr="007A6443">
              <w:rPr>
                <w:rFonts w:cs="Times New Roman"/>
              </w:rPr>
              <w:t>7,942</w:t>
            </w:r>
          </w:p>
        </w:tc>
        <w:tc>
          <w:tcPr>
            <w:tcW w:w="954" w:type="pct"/>
            <w:tcBorders>
              <w:top w:val="single" w:sz="4" w:space="0" w:color="auto"/>
            </w:tcBorders>
            <w:vAlign w:val="bottom"/>
          </w:tcPr>
          <w:p w:rsidR="00440848" w:rsidRPr="007A6443" w:rsidRDefault="00440848" w:rsidP="005A02F5">
            <w:pPr>
              <w:jc w:val="center"/>
              <w:rPr>
                <w:rFonts w:cs="Times New Roman"/>
              </w:rPr>
            </w:pPr>
            <w:r w:rsidRPr="007A6443">
              <w:rPr>
                <w:rFonts w:cs="Times New Roman"/>
              </w:rPr>
              <w:t>30.5</w:t>
            </w:r>
          </w:p>
        </w:tc>
      </w:tr>
      <w:tr w:rsidR="00440848" w:rsidRPr="007A6443" w:rsidTr="005A02F5">
        <w:trPr>
          <w:trHeight w:hRule="exact" w:val="340"/>
        </w:trPr>
        <w:tc>
          <w:tcPr>
            <w:tcW w:w="1439" w:type="pct"/>
            <w:vAlign w:val="bottom"/>
          </w:tcPr>
          <w:p w:rsidR="00440848" w:rsidRPr="007A6443" w:rsidRDefault="00440848" w:rsidP="005A02F5">
            <w:pPr>
              <w:rPr>
                <w:rFonts w:cs="Times New Roman"/>
              </w:rPr>
            </w:pPr>
            <w:r w:rsidRPr="007A6443">
              <w:rPr>
                <w:rFonts w:cs="Times New Roman"/>
              </w:rPr>
              <w:t>Depression</w:t>
            </w:r>
          </w:p>
        </w:tc>
        <w:tc>
          <w:tcPr>
            <w:tcW w:w="715" w:type="pct"/>
            <w:vAlign w:val="bottom"/>
          </w:tcPr>
          <w:p w:rsidR="00440848" w:rsidRPr="007A6443" w:rsidRDefault="00440848" w:rsidP="005A02F5">
            <w:pPr>
              <w:jc w:val="center"/>
              <w:rPr>
                <w:rFonts w:cs="Times New Roman"/>
              </w:rPr>
            </w:pPr>
            <w:r w:rsidRPr="007A6443">
              <w:rPr>
                <w:rFonts w:cs="Times New Roman"/>
              </w:rPr>
              <w:t>2,528</w:t>
            </w:r>
          </w:p>
        </w:tc>
        <w:tc>
          <w:tcPr>
            <w:tcW w:w="1049" w:type="pct"/>
            <w:vAlign w:val="bottom"/>
          </w:tcPr>
          <w:p w:rsidR="00440848" w:rsidRPr="007A6443" w:rsidRDefault="00440848" w:rsidP="005A02F5">
            <w:pPr>
              <w:jc w:val="center"/>
              <w:rPr>
                <w:rFonts w:cs="Times New Roman"/>
              </w:rPr>
            </w:pPr>
            <w:r w:rsidRPr="007A6443">
              <w:rPr>
                <w:rFonts w:cs="Times New Roman"/>
              </w:rPr>
              <w:t>31.3</w:t>
            </w:r>
          </w:p>
        </w:tc>
        <w:tc>
          <w:tcPr>
            <w:tcW w:w="843" w:type="pct"/>
            <w:vAlign w:val="bottom"/>
          </w:tcPr>
          <w:p w:rsidR="00440848" w:rsidRPr="007A6443" w:rsidRDefault="00440848" w:rsidP="005A02F5">
            <w:pPr>
              <w:jc w:val="center"/>
              <w:rPr>
                <w:rFonts w:cs="Times New Roman"/>
              </w:rPr>
            </w:pPr>
            <w:r w:rsidRPr="007A6443">
              <w:rPr>
                <w:rFonts w:cs="Times New Roman"/>
              </w:rPr>
              <w:t>9,490</w:t>
            </w:r>
          </w:p>
        </w:tc>
        <w:tc>
          <w:tcPr>
            <w:tcW w:w="954" w:type="pct"/>
            <w:vAlign w:val="bottom"/>
          </w:tcPr>
          <w:p w:rsidR="00440848" w:rsidRPr="007A6443" w:rsidRDefault="00440848" w:rsidP="005A02F5">
            <w:pPr>
              <w:jc w:val="center"/>
              <w:rPr>
                <w:rFonts w:cs="Times New Roman"/>
              </w:rPr>
            </w:pPr>
            <w:r w:rsidRPr="007A6443">
              <w:rPr>
                <w:rFonts w:cs="Times New Roman"/>
              </w:rPr>
              <w:t>36.4</w:t>
            </w:r>
          </w:p>
        </w:tc>
      </w:tr>
      <w:tr w:rsidR="00440848" w:rsidRPr="007A6443" w:rsidTr="005A02F5">
        <w:trPr>
          <w:trHeight w:hRule="exact" w:val="340"/>
        </w:trPr>
        <w:tc>
          <w:tcPr>
            <w:tcW w:w="1439" w:type="pct"/>
            <w:vAlign w:val="bottom"/>
          </w:tcPr>
          <w:p w:rsidR="00440848" w:rsidRPr="007A6443" w:rsidRDefault="00440848" w:rsidP="005A02F5">
            <w:pPr>
              <w:rPr>
                <w:rFonts w:cs="Times New Roman"/>
              </w:rPr>
            </w:pPr>
            <w:r w:rsidRPr="007A6443">
              <w:rPr>
                <w:rFonts w:cs="Times New Roman"/>
              </w:rPr>
              <w:t>Anxiety</w:t>
            </w:r>
          </w:p>
        </w:tc>
        <w:tc>
          <w:tcPr>
            <w:tcW w:w="715" w:type="pct"/>
            <w:vAlign w:val="bottom"/>
          </w:tcPr>
          <w:p w:rsidR="00440848" w:rsidRPr="007A6443" w:rsidRDefault="00440848" w:rsidP="005A02F5">
            <w:pPr>
              <w:jc w:val="center"/>
              <w:rPr>
                <w:rFonts w:cs="Times New Roman"/>
              </w:rPr>
            </w:pPr>
            <w:r w:rsidRPr="007A6443">
              <w:rPr>
                <w:rFonts w:cs="Times New Roman"/>
              </w:rPr>
              <w:t>1,048</w:t>
            </w:r>
          </w:p>
        </w:tc>
        <w:tc>
          <w:tcPr>
            <w:tcW w:w="1049" w:type="pct"/>
            <w:vAlign w:val="bottom"/>
          </w:tcPr>
          <w:p w:rsidR="00440848" w:rsidRPr="007A6443" w:rsidRDefault="00440848" w:rsidP="005A02F5">
            <w:pPr>
              <w:jc w:val="center"/>
              <w:rPr>
                <w:rFonts w:cs="Times New Roman"/>
              </w:rPr>
            </w:pPr>
            <w:r w:rsidRPr="007A6443">
              <w:rPr>
                <w:rFonts w:cs="Times New Roman"/>
              </w:rPr>
              <w:t>13.0</w:t>
            </w:r>
          </w:p>
        </w:tc>
        <w:tc>
          <w:tcPr>
            <w:tcW w:w="843" w:type="pct"/>
            <w:vAlign w:val="bottom"/>
          </w:tcPr>
          <w:p w:rsidR="00440848" w:rsidRPr="007A6443" w:rsidRDefault="00440848" w:rsidP="005A02F5">
            <w:pPr>
              <w:jc w:val="center"/>
              <w:rPr>
                <w:rFonts w:cs="Times New Roman"/>
              </w:rPr>
            </w:pPr>
            <w:r w:rsidRPr="007A6443">
              <w:rPr>
                <w:rFonts w:cs="Times New Roman"/>
              </w:rPr>
              <w:t>3,276</w:t>
            </w:r>
          </w:p>
        </w:tc>
        <w:tc>
          <w:tcPr>
            <w:tcW w:w="954" w:type="pct"/>
            <w:vAlign w:val="bottom"/>
          </w:tcPr>
          <w:p w:rsidR="00440848" w:rsidRPr="007A6443" w:rsidRDefault="00440848" w:rsidP="005A02F5">
            <w:pPr>
              <w:jc w:val="center"/>
              <w:rPr>
                <w:rFonts w:cs="Times New Roman"/>
              </w:rPr>
            </w:pPr>
            <w:r w:rsidRPr="007A6443">
              <w:rPr>
                <w:rFonts w:cs="Times New Roman"/>
              </w:rPr>
              <w:t>12.6</w:t>
            </w:r>
          </w:p>
        </w:tc>
      </w:tr>
      <w:tr w:rsidR="00440848" w:rsidRPr="007A6443" w:rsidTr="005A02F5">
        <w:trPr>
          <w:trHeight w:hRule="exact" w:val="340"/>
        </w:trPr>
        <w:tc>
          <w:tcPr>
            <w:tcW w:w="1439" w:type="pct"/>
            <w:vAlign w:val="bottom"/>
          </w:tcPr>
          <w:p w:rsidR="00440848" w:rsidRPr="007A6443" w:rsidRDefault="00440848" w:rsidP="005A02F5">
            <w:pPr>
              <w:rPr>
                <w:rFonts w:cs="Times New Roman"/>
              </w:rPr>
            </w:pPr>
            <w:r w:rsidRPr="007A6443">
              <w:rPr>
                <w:rFonts w:cs="Times New Roman"/>
              </w:rPr>
              <w:t>Depression (with anxiety)</w:t>
            </w:r>
          </w:p>
        </w:tc>
        <w:tc>
          <w:tcPr>
            <w:tcW w:w="715" w:type="pct"/>
            <w:vAlign w:val="bottom"/>
          </w:tcPr>
          <w:p w:rsidR="00440848" w:rsidRPr="007A6443" w:rsidRDefault="00440848" w:rsidP="005A02F5">
            <w:pPr>
              <w:jc w:val="center"/>
              <w:rPr>
                <w:rFonts w:cs="Times New Roman"/>
              </w:rPr>
            </w:pPr>
            <w:r w:rsidRPr="007A6443">
              <w:rPr>
                <w:rFonts w:cs="Times New Roman"/>
              </w:rPr>
              <w:t>703</w:t>
            </w:r>
          </w:p>
        </w:tc>
        <w:tc>
          <w:tcPr>
            <w:tcW w:w="1049" w:type="pct"/>
            <w:vAlign w:val="bottom"/>
          </w:tcPr>
          <w:p w:rsidR="00440848" w:rsidRPr="007A6443" w:rsidRDefault="00440848" w:rsidP="005A02F5">
            <w:pPr>
              <w:jc w:val="center"/>
              <w:rPr>
                <w:rFonts w:cs="Times New Roman"/>
              </w:rPr>
            </w:pPr>
            <w:r w:rsidRPr="007A6443">
              <w:rPr>
                <w:rFonts w:cs="Times New Roman"/>
              </w:rPr>
              <w:t>8.7</w:t>
            </w:r>
          </w:p>
        </w:tc>
        <w:tc>
          <w:tcPr>
            <w:tcW w:w="843" w:type="pct"/>
            <w:vAlign w:val="bottom"/>
          </w:tcPr>
          <w:p w:rsidR="00440848" w:rsidRPr="007A6443" w:rsidRDefault="00440848" w:rsidP="005A02F5">
            <w:pPr>
              <w:jc w:val="center"/>
              <w:rPr>
                <w:rFonts w:cs="Times New Roman"/>
              </w:rPr>
            </w:pPr>
            <w:r w:rsidRPr="007A6443">
              <w:rPr>
                <w:rFonts w:cs="Times New Roman"/>
              </w:rPr>
              <w:t>2,797</w:t>
            </w:r>
          </w:p>
        </w:tc>
        <w:tc>
          <w:tcPr>
            <w:tcW w:w="954" w:type="pct"/>
            <w:vAlign w:val="bottom"/>
          </w:tcPr>
          <w:p w:rsidR="00440848" w:rsidRPr="007A6443" w:rsidRDefault="00440848" w:rsidP="005A02F5">
            <w:pPr>
              <w:jc w:val="center"/>
              <w:rPr>
                <w:rFonts w:cs="Times New Roman"/>
              </w:rPr>
            </w:pPr>
            <w:r w:rsidRPr="007A6443">
              <w:rPr>
                <w:rFonts w:cs="Times New Roman"/>
              </w:rPr>
              <w:t>10.7</w:t>
            </w:r>
          </w:p>
        </w:tc>
      </w:tr>
      <w:tr w:rsidR="00440848" w:rsidRPr="007A6443" w:rsidTr="005A02F5">
        <w:trPr>
          <w:trHeight w:hRule="exact" w:val="340"/>
        </w:trPr>
        <w:tc>
          <w:tcPr>
            <w:tcW w:w="1439" w:type="pct"/>
            <w:vAlign w:val="bottom"/>
          </w:tcPr>
          <w:p w:rsidR="00440848" w:rsidRPr="007A6443" w:rsidRDefault="00440848" w:rsidP="005A02F5">
            <w:pPr>
              <w:rPr>
                <w:rFonts w:cs="Times New Roman"/>
              </w:rPr>
            </w:pPr>
            <w:r w:rsidRPr="007A6443">
              <w:rPr>
                <w:rFonts w:cs="Times New Roman"/>
              </w:rPr>
              <w:t>Bereavement reaction</w:t>
            </w:r>
          </w:p>
        </w:tc>
        <w:tc>
          <w:tcPr>
            <w:tcW w:w="715" w:type="pct"/>
            <w:vAlign w:val="bottom"/>
          </w:tcPr>
          <w:p w:rsidR="00440848" w:rsidRPr="007A6443" w:rsidRDefault="00440848" w:rsidP="005A02F5">
            <w:pPr>
              <w:jc w:val="center"/>
              <w:rPr>
                <w:rFonts w:cs="Times New Roman"/>
              </w:rPr>
            </w:pPr>
            <w:r w:rsidRPr="007A6443">
              <w:rPr>
                <w:rFonts w:cs="Times New Roman"/>
              </w:rPr>
              <w:t>577</w:t>
            </w:r>
          </w:p>
        </w:tc>
        <w:tc>
          <w:tcPr>
            <w:tcW w:w="1049" w:type="pct"/>
            <w:vAlign w:val="bottom"/>
          </w:tcPr>
          <w:p w:rsidR="00440848" w:rsidRPr="007A6443" w:rsidRDefault="00440848" w:rsidP="005A02F5">
            <w:pPr>
              <w:jc w:val="center"/>
              <w:rPr>
                <w:rFonts w:cs="Times New Roman"/>
              </w:rPr>
            </w:pPr>
            <w:r w:rsidRPr="007A6443">
              <w:rPr>
                <w:rFonts w:cs="Times New Roman"/>
              </w:rPr>
              <w:t>7.1</w:t>
            </w:r>
          </w:p>
        </w:tc>
        <w:tc>
          <w:tcPr>
            <w:tcW w:w="843" w:type="pct"/>
            <w:vAlign w:val="bottom"/>
          </w:tcPr>
          <w:p w:rsidR="00440848" w:rsidRPr="007A6443" w:rsidRDefault="00440848" w:rsidP="005A02F5">
            <w:pPr>
              <w:jc w:val="center"/>
              <w:rPr>
                <w:rFonts w:cs="Times New Roman"/>
              </w:rPr>
            </w:pPr>
            <w:r w:rsidRPr="007A6443">
              <w:rPr>
                <w:rFonts w:cs="Times New Roman"/>
              </w:rPr>
              <w:t>1,357</w:t>
            </w:r>
          </w:p>
        </w:tc>
        <w:tc>
          <w:tcPr>
            <w:tcW w:w="954" w:type="pct"/>
            <w:vAlign w:val="bottom"/>
          </w:tcPr>
          <w:p w:rsidR="00440848" w:rsidRPr="007A6443" w:rsidRDefault="00440848" w:rsidP="005A02F5">
            <w:pPr>
              <w:jc w:val="center"/>
              <w:rPr>
                <w:rFonts w:cs="Times New Roman"/>
              </w:rPr>
            </w:pPr>
            <w:r w:rsidRPr="007A6443">
              <w:rPr>
                <w:rFonts w:cs="Times New Roman"/>
              </w:rPr>
              <w:t>5.3</w:t>
            </w:r>
          </w:p>
        </w:tc>
      </w:tr>
      <w:tr w:rsidR="00440848" w:rsidRPr="007A6443" w:rsidTr="005A02F5">
        <w:trPr>
          <w:trHeight w:hRule="exact" w:val="340"/>
        </w:trPr>
        <w:tc>
          <w:tcPr>
            <w:tcW w:w="1439" w:type="pct"/>
            <w:vAlign w:val="bottom"/>
          </w:tcPr>
          <w:p w:rsidR="00440848" w:rsidRPr="007A6443" w:rsidRDefault="00440848" w:rsidP="005A02F5">
            <w:pPr>
              <w:rPr>
                <w:rFonts w:cs="Times New Roman"/>
              </w:rPr>
            </w:pPr>
            <w:r w:rsidRPr="007A6443">
              <w:rPr>
                <w:rFonts w:cs="Times New Roman"/>
              </w:rPr>
              <w:t>Substance misuse</w:t>
            </w:r>
          </w:p>
        </w:tc>
        <w:tc>
          <w:tcPr>
            <w:tcW w:w="715" w:type="pct"/>
            <w:vAlign w:val="bottom"/>
          </w:tcPr>
          <w:p w:rsidR="00440848" w:rsidRPr="007A6443" w:rsidRDefault="00440848" w:rsidP="005A02F5">
            <w:pPr>
              <w:jc w:val="center"/>
              <w:rPr>
                <w:rFonts w:cs="Times New Roman"/>
              </w:rPr>
            </w:pPr>
            <w:r w:rsidRPr="007A6443">
              <w:rPr>
                <w:rFonts w:cs="Times New Roman"/>
              </w:rPr>
              <w:t>96</w:t>
            </w:r>
          </w:p>
        </w:tc>
        <w:tc>
          <w:tcPr>
            <w:tcW w:w="1049" w:type="pct"/>
            <w:vAlign w:val="bottom"/>
          </w:tcPr>
          <w:p w:rsidR="00440848" w:rsidRPr="007A6443" w:rsidRDefault="00440848" w:rsidP="005A02F5">
            <w:pPr>
              <w:jc w:val="center"/>
              <w:rPr>
                <w:rFonts w:cs="Times New Roman"/>
              </w:rPr>
            </w:pPr>
            <w:r w:rsidRPr="007A6443">
              <w:rPr>
                <w:rFonts w:cs="Times New Roman"/>
              </w:rPr>
              <w:t>1.2</w:t>
            </w:r>
          </w:p>
        </w:tc>
        <w:tc>
          <w:tcPr>
            <w:tcW w:w="843" w:type="pct"/>
            <w:vAlign w:val="bottom"/>
          </w:tcPr>
          <w:p w:rsidR="00440848" w:rsidRPr="007A6443" w:rsidRDefault="00440848" w:rsidP="005A02F5">
            <w:pPr>
              <w:jc w:val="center"/>
              <w:rPr>
                <w:rFonts w:cs="Times New Roman"/>
              </w:rPr>
            </w:pPr>
            <w:r w:rsidRPr="007A6443">
              <w:rPr>
                <w:rFonts w:cs="Times New Roman"/>
              </w:rPr>
              <w:t>530</w:t>
            </w:r>
          </w:p>
        </w:tc>
        <w:tc>
          <w:tcPr>
            <w:tcW w:w="954" w:type="pct"/>
            <w:vAlign w:val="bottom"/>
          </w:tcPr>
          <w:p w:rsidR="00440848" w:rsidRPr="007A6443" w:rsidRDefault="00440848" w:rsidP="005A02F5">
            <w:pPr>
              <w:jc w:val="center"/>
              <w:rPr>
                <w:rFonts w:cs="Times New Roman"/>
              </w:rPr>
            </w:pPr>
            <w:r w:rsidRPr="007A6443">
              <w:rPr>
                <w:rFonts w:cs="Times New Roman"/>
              </w:rPr>
              <w:t>2.0</w:t>
            </w:r>
          </w:p>
        </w:tc>
      </w:tr>
      <w:tr w:rsidR="00440848" w:rsidRPr="007A6443" w:rsidTr="005A02F5">
        <w:trPr>
          <w:trHeight w:hRule="exact" w:val="340"/>
        </w:trPr>
        <w:tc>
          <w:tcPr>
            <w:tcW w:w="1439" w:type="pct"/>
            <w:vAlign w:val="bottom"/>
          </w:tcPr>
          <w:p w:rsidR="00440848" w:rsidRPr="007A6443" w:rsidRDefault="00440848" w:rsidP="005A02F5">
            <w:pPr>
              <w:rPr>
                <w:rFonts w:cs="Times New Roman"/>
              </w:rPr>
            </w:pPr>
            <w:r w:rsidRPr="007A6443">
              <w:rPr>
                <w:rFonts w:cs="Times New Roman"/>
              </w:rPr>
              <w:t xml:space="preserve">Other </w:t>
            </w:r>
            <w:r>
              <w:rPr>
                <w:rFonts w:cs="Times New Roman"/>
              </w:rPr>
              <w:t>CMD</w:t>
            </w:r>
          </w:p>
        </w:tc>
        <w:tc>
          <w:tcPr>
            <w:tcW w:w="715" w:type="pct"/>
            <w:vAlign w:val="bottom"/>
          </w:tcPr>
          <w:p w:rsidR="00440848" w:rsidRPr="007A6443" w:rsidRDefault="00440848" w:rsidP="005A02F5">
            <w:pPr>
              <w:jc w:val="center"/>
              <w:rPr>
                <w:rFonts w:cs="Times New Roman"/>
              </w:rPr>
            </w:pPr>
            <w:r w:rsidRPr="007A6443">
              <w:rPr>
                <w:rFonts w:cs="Times New Roman"/>
              </w:rPr>
              <w:t>193</w:t>
            </w:r>
          </w:p>
        </w:tc>
        <w:tc>
          <w:tcPr>
            <w:tcW w:w="1049" w:type="pct"/>
            <w:vAlign w:val="bottom"/>
          </w:tcPr>
          <w:p w:rsidR="00440848" w:rsidRPr="007A6443" w:rsidRDefault="00440848" w:rsidP="005A02F5">
            <w:pPr>
              <w:jc w:val="center"/>
              <w:rPr>
                <w:rFonts w:cs="Times New Roman"/>
              </w:rPr>
            </w:pPr>
            <w:r w:rsidRPr="007A6443">
              <w:rPr>
                <w:rFonts w:cs="Times New Roman"/>
              </w:rPr>
              <w:t>2.4</w:t>
            </w:r>
          </w:p>
        </w:tc>
        <w:tc>
          <w:tcPr>
            <w:tcW w:w="843" w:type="pct"/>
            <w:vAlign w:val="bottom"/>
          </w:tcPr>
          <w:p w:rsidR="00440848" w:rsidRPr="007A6443" w:rsidRDefault="00440848" w:rsidP="005A02F5">
            <w:pPr>
              <w:jc w:val="center"/>
              <w:rPr>
                <w:rFonts w:cs="Times New Roman"/>
              </w:rPr>
            </w:pPr>
            <w:r w:rsidRPr="007A6443">
              <w:rPr>
                <w:rFonts w:cs="Times New Roman"/>
              </w:rPr>
              <w:t>652</w:t>
            </w:r>
          </w:p>
        </w:tc>
        <w:tc>
          <w:tcPr>
            <w:tcW w:w="954" w:type="pct"/>
            <w:vAlign w:val="bottom"/>
          </w:tcPr>
          <w:p w:rsidR="00440848" w:rsidRPr="007A6443" w:rsidRDefault="00440848" w:rsidP="005A02F5">
            <w:pPr>
              <w:jc w:val="center"/>
              <w:rPr>
                <w:rFonts w:cs="Times New Roman"/>
              </w:rPr>
            </w:pPr>
            <w:r w:rsidRPr="007A6443">
              <w:rPr>
                <w:rFonts w:cs="Times New Roman"/>
              </w:rPr>
              <w:t>2.5</w:t>
            </w:r>
          </w:p>
        </w:tc>
      </w:tr>
      <w:tr w:rsidR="00440848" w:rsidRPr="007A6443" w:rsidTr="005A02F5">
        <w:trPr>
          <w:trHeight w:hRule="exact" w:val="340"/>
        </w:trPr>
        <w:tc>
          <w:tcPr>
            <w:tcW w:w="1439" w:type="pct"/>
            <w:tcBorders>
              <w:bottom w:val="single" w:sz="4" w:space="0" w:color="auto"/>
            </w:tcBorders>
            <w:vAlign w:val="bottom"/>
          </w:tcPr>
          <w:p w:rsidR="00440848" w:rsidRPr="007A6443" w:rsidRDefault="00440848" w:rsidP="005A02F5">
            <w:pPr>
              <w:rPr>
                <w:rFonts w:cs="Times New Roman"/>
              </w:rPr>
            </w:pPr>
            <w:r w:rsidRPr="007A6443">
              <w:rPr>
                <w:rFonts w:cs="Times New Roman"/>
              </w:rPr>
              <w:t xml:space="preserve">All </w:t>
            </w:r>
            <w:r>
              <w:rPr>
                <w:rFonts w:cs="Times New Roman"/>
              </w:rPr>
              <w:t>CMD</w:t>
            </w:r>
            <w:r w:rsidRPr="007A6443">
              <w:rPr>
                <w:rFonts w:cs="Times New Roman"/>
              </w:rPr>
              <w:t>s</w:t>
            </w:r>
          </w:p>
        </w:tc>
        <w:tc>
          <w:tcPr>
            <w:tcW w:w="715" w:type="pct"/>
            <w:tcBorders>
              <w:bottom w:val="single" w:sz="4" w:space="0" w:color="auto"/>
            </w:tcBorders>
            <w:vAlign w:val="bottom"/>
          </w:tcPr>
          <w:p w:rsidR="00440848" w:rsidRPr="007A6443" w:rsidRDefault="00440848" w:rsidP="005A02F5">
            <w:pPr>
              <w:jc w:val="center"/>
              <w:rPr>
                <w:rFonts w:cs="Times New Roman"/>
              </w:rPr>
            </w:pPr>
            <w:r w:rsidRPr="007A6443">
              <w:rPr>
                <w:rFonts w:cs="Times New Roman"/>
              </w:rPr>
              <w:t>8,074</w:t>
            </w:r>
          </w:p>
        </w:tc>
        <w:tc>
          <w:tcPr>
            <w:tcW w:w="1049" w:type="pct"/>
            <w:tcBorders>
              <w:bottom w:val="single" w:sz="4" w:space="0" w:color="auto"/>
            </w:tcBorders>
            <w:vAlign w:val="bottom"/>
          </w:tcPr>
          <w:p w:rsidR="00440848" w:rsidRPr="007A6443" w:rsidRDefault="00440848" w:rsidP="005A02F5">
            <w:pPr>
              <w:jc w:val="center"/>
              <w:rPr>
                <w:rFonts w:cs="Times New Roman"/>
              </w:rPr>
            </w:pPr>
            <w:r w:rsidRPr="007A6443">
              <w:rPr>
                <w:rFonts w:cs="Times New Roman"/>
              </w:rPr>
              <w:t>100</w:t>
            </w:r>
          </w:p>
        </w:tc>
        <w:tc>
          <w:tcPr>
            <w:tcW w:w="843" w:type="pct"/>
            <w:tcBorders>
              <w:bottom w:val="single" w:sz="4" w:space="0" w:color="auto"/>
            </w:tcBorders>
            <w:vAlign w:val="bottom"/>
          </w:tcPr>
          <w:p w:rsidR="00440848" w:rsidRPr="007A6443" w:rsidRDefault="00440848" w:rsidP="005A02F5">
            <w:pPr>
              <w:jc w:val="center"/>
              <w:rPr>
                <w:rFonts w:cs="Times New Roman"/>
              </w:rPr>
            </w:pPr>
            <w:r w:rsidRPr="007A6443">
              <w:rPr>
                <w:rFonts w:cs="Times New Roman"/>
              </w:rPr>
              <w:t>26,044</w:t>
            </w:r>
          </w:p>
        </w:tc>
        <w:tc>
          <w:tcPr>
            <w:tcW w:w="954" w:type="pct"/>
            <w:tcBorders>
              <w:bottom w:val="single" w:sz="4" w:space="0" w:color="auto"/>
            </w:tcBorders>
            <w:vAlign w:val="bottom"/>
          </w:tcPr>
          <w:p w:rsidR="00440848" w:rsidRPr="007A6443" w:rsidRDefault="00440848" w:rsidP="005A02F5">
            <w:pPr>
              <w:jc w:val="center"/>
              <w:rPr>
                <w:rFonts w:cs="Times New Roman"/>
              </w:rPr>
            </w:pPr>
            <w:r w:rsidRPr="007A6443">
              <w:rPr>
                <w:rFonts w:cs="Times New Roman"/>
              </w:rPr>
              <w:t>100</w:t>
            </w:r>
          </w:p>
        </w:tc>
      </w:tr>
    </w:tbl>
    <w:p w:rsidR="00440848" w:rsidRDefault="00440848" w:rsidP="00440848"/>
    <w:p w:rsidR="00440848" w:rsidRDefault="00440848" w:rsidP="00440848"/>
    <w:p w:rsidR="00440848" w:rsidRPr="007A6443" w:rsidRDefault="00440848" w:rsidP="00440848"/>
    <w:p w:rsidR="00440848" w:rsidRPr="007A6443" w:rsidRDefault="00440848" w:rsidP="00440848">
      <w:pPr>
        <w:rPr>
          <w:b/>
        </w:rPr>
      </w:pPr>
      <w:r>
        <w:rPr>
          <w:b/>
        </w:rPr>
        <w:t xml:space="preserve">Table 2 </w:t>
      </w:r>
      <w:r w:rsidRPr="00446B39">
        <w:t>Duration of CMD certified sickness episodes</w:t>
      </w:r>
    </w:p>
    <w:tbl>
      <w:tblPr>
        <w:tblStyle w:val="TableGrid"/>
        <w:tblW w:w="5522" w:type="pc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17"/>
        <w:gridCol w:w="1276"/>
        <w:gridCol w:w="1451"/>
        <w:gridCol w:w="1560"/>
        <w:gridCol w:w="1703"/>
        <w:gridCol w:w="1700"/>
      </w:tblGrid>
      <w:tr w:rsidR="00440848" w:rsidRPr="007A6443" w:rsidTr="005A02F5">
        <w:trPr>
          <w:tblHeader/>
        </w:trPr>
        <w:tc>
          <w:tcPr>
            <w:tcW w:w="1233" w:type="pct"/>
            <w:tcBorders>
              <w:top w:val="single" w:sz="4" w:space="0" w:color="auto"/>
            </w:tcBorders>
            <w:vAlign w:val="bottom"/>
          </w:tcPr>
          <w:p w:rsidR="00440848" w:rsidRPr="007A6443" w:rsidRDefault="00440848" w:rsidP="005A02F5">
            <w:pPr>
              <w:pStyle w:val="Table"/>
              <w:rPr>
                <w:rFonts w:asciiTheme="minorHAnsi" w:hAnsiTheme="minorHAnsi"/>
                <w:i/>
                <w:sz w:val="22"/>
                <w:szCs w:val="22"/>
              </w:rPr>
            </w:pPr>
          </w:p>
        </w:tc>
        <w:tc>
          <w:tcPr>
            <w:tcW w:w="625" w:type="pct"/>
            <w:tcBorders>
              <w:top w:val="single" w:sz="4" w:space="0" w:color="auto"/>
            </w:tcBorders>
            <w:vAlign w:val="bottom"/>
          </w:tcPr>
          <w:p w:rsidR="00440848" w:rsidRPr="007A6443" w:rsidRDefault="00440848" w:rsidP="005A02F5">
            <w:pPr>
              <w:pStyle w:val="Table"/>
              <w:rPr>
                <w:rFonts w:asciiTheme="minorHAnsi" w:hAnsiTheme="minorHAnsi"/>
                <w:b/>
                <w:sz w:val="22"/>
                <w:szCs w:val="22"/>
              </w:rPr>
            </w:pPr>
          </w:p>
        </w:tc>
        <w:tc>
          <w:tcPr>
            <w:tcW w:w="3142" w:type="pct"/>
            <w:gridSpan w:val="4"/>
            <w:tcBorders>
              <w:top w:val="single" w:sz="4" w:space="0" w:color="auto"/>
            </w:tcBorders>
            <w:vAlign w:val="bottom"/>
          </w:tcPr>
          <w:p w:rsidR="00440848" w:rsidRPr="007A6443" w:rsidRDefault="00440848" w:rsidP="005A02F5">
            <w:pPr>
              <w:pStyle w:val="Table"/>
              <w:jc w:val="left"/>
              <w:rPr>
                <w:rFonts w:asciiTheme="minorHAnsi" w:hAnsiTheme="minorHAnsi"/>
                <w:b/>
                <w:sz w:val="22"/>
                <w:szCs w:val="22"/>
                <w:u w:val="single"/>
              </w:rPr>
            </w:pPr>
            <w:r w:rsidRPr="007A6443">
              <w:rPr>
                <w:rFonts w:asciiTheme="minorHAnsi" w:hAnsiTheme="minorHAnsi"/>
                <w:b/>
                <w:sz w:val="22"/>
                <w:szCs w:val="22"/>
              </w:rPr>
              <w:t xml:space="preserve">                                    </w:t>
            </w:r>
            <w:r w:rsidRPr="007A6443">
              <w:rPr>
                <w:rFonts w:asciiTheme="minorHAnsi" w:hAnsiTheme="minorHAnsi"/>
                <w:b/>
                <w:sz w:val="22"/>
                <w:szCs w:val="22"/>
                <w:u w:val="single"/>
              </w:rPr>
              <w:t>Duration of episode</w:t>
            </w:r>
          </w:p>
        </w:tc>
      </w:tr>
      <w:tr w:rsidR="00440848" w:rsidRPr="007A6443" w:rsidTr="005A02F5">
        <w:trPr>
          <w:tblHeader/>
        </w:trPr>
        <w:tc>
          <w:tcPr>
            <w:tcW w:w="1233" w:type="pct"/>
            <w:tcBorders>
              <w:bottom w:val="single" w:sz="4" w:space="0" w:color="auto"/>
            </w:tcBorders>
            <w:vAlign w:val="bottom"/>
          </w:tcPr>
          <w:p w:rsidR="00440848" w:rsidRPr="007A6443" w:rsidRDefault="00440848" w:rsidP="005A02F5">
            <w:pPr>
              <w:pStyle w:val="Table"/>
              <w:rPr>
                <w:rFonts w:asciiTheme="minorHAnsi" w:hAnsiTheme="minorHAnsi"/>
                <w:i/>
                <w:sz w:val="22"/>
                <w:szCs w:val="22"/>
              </w:rPr>
            </w:pPr>
            <w:r w:rsidRPr="007A6443">
              <w:rPr>
                <w:rFonts w:asciiTheme="minorHAnsi" w:hAnsiTheme="minorHAnsi"/>
                <w:i/>
                <w:sz w:val="22"/>
                <w:szCs w:val="22"/>
              </w:rPr>
              <w:t>Row percentages</w:t>
            </w:r>
          </w:p>
        </w:tc>
        <w:tc>
          <w:tcPr>
            <w:tcW w:w="625" w:type="pct"/>
            <w:tcBorders>
              <w:bottom w:val="single" w:sz="4" w:space="0" w:color="auto"/>
            </w:tcBorders>
            <w:vAlign w:val="bottom"/>
          </w:tcPr>
          <w:p w:rsidR="00440848" w:rsidRPr="007A6443" w:rsidRDefault="00440848" w:rsidP="005A02F5">
            <w:pPr>
              <w:pStyle w:val="Table"/>
              <w:rPr>
                <w:rFonts w:asciiTheme="minorHAnsi" w:hAnsiTheme="minorHAnsi"/>
                <w:b/>
                <w:sz w:val="22"/>
                <w:szCs w:val="22"/>
              </w:rPr>
            </w:pPr>
            <w:r w:rsidRPr="007A6443">
              <w:rPr>
                <w:rFonts w:asciiTheme="minorHAnsi" w:hAnsiTheme="minorHAnsi"/>
                <w:b/>
                <w:sz w:val="22"/>
                <w:szCs w:val="22"/>
              </w:rPr>
              <w:t>Total episodes</w:t>
            </w:r>
          </w:p>
        </w:tc>
        <w:tc>
          <w:tcPr>
            <w:tcW w:w="711" w:type="pct"/>
            <w:tcBorders>
              <w:bottom w:val="single" w:sz="4" w:space="0" w:color="auto"/>
            </w:tcBorders>
            <w:vAlign w:val="bottom"/>
          </w:tcPr>
          <w:p w:rsidR="00440848" w:rsidRPr="007A6443" w:rsidRDefault="00440848" w:rsidP="005A02F5">
            <w:pPr>
              <w:pStyle w:val="Table"/>
              <w:rPr>
                <w:rFonts w:asciiTheme="minorHAnsi" w:hAnsiTheme="minorHAnsi"/>
                <w:b/>
                <w:sz w:val="22"/>
                <w:szCs w:val="22"/>
              </w:rPr>
            </w:pPr>
            <w:r w:rsidRPr="007A6443">
              <w:rPr>
                <w:rFonts w:asciiTheme="minorHAnsi" w:hAnsiTheme="minorHAnsi"/>
                <w:b/>
                <w:sz w:val="22"/>
                <w:szCs w:val="22"/>
              </w:rPr>
              <w:t>Less than 3 weeks</w:t>
            </w:r>
          </w:p>
          <w:p w:rsidR="00440848" w:rsidRPr="007A6443" w:rsidRDefault="00440848" w:rsidP="005A02F5">
            <w:pPr>
              <w:pStyle w:val="Table"/>
              <w:rPr>
                <w:rFonts w:asciiTheme="minorHAnsi" w:hAnsiTheme="minorHAnsi"/>
                <w:sz w:val="22"/>
                <w:szCs w:val="22"/>
              </w:rPr>
            </w:pPr>
            <w:r w:rsidRPr="007A6443">
              <w:rPr>
                <w:rFonts w:asciiTheme="minorHAnsi" w:hAnsiTheme="minorHAnsi"/>
                <w:sz w:val="22"/>
                <w:szCs w:val="22"/>
              </w:rPr>
              <w:t>n (%)</w:t>
            </w:r>
          </w:p>
        </w:tc>
        <w:tc>
          <w:tcPr>
            <w:tcW w:w="764" w:type="pct"/>
            <w:tcBorders>
              <w:bottom w:val="single" w:sz="4" w:space="0" w:color="auto"/>
            </w:tcBorders>
            <w:vAlign w:val="bottom"/>
          </w:tcPr>
          <w:p w:rsidR="00440848" w:rsidRPr="007A6443" w:rsidRDefault="00440848" w:rsidP="005A02F5">
            <w:pPr>
              <w:pStyle w:val="Table"/>
              <w:rPr>
                <w:rFonts w:asciiTheme="minorHAnsi" w:hAnsiTheme="minorHAnsi"/>
                <w:b/>
                <w:sz w:val="22"/>
                <w:szCs w:val="22"/>
              </w:rPr>
            </w:pPr>
            <w:r w:rsidRPr="007A6443">
              <w:rPr>
                <w:rFonts w:asciiTheme="minorHAnsi" w:hAnsiTheme="minorHAnsi"/>
                <w:b/>
                <w:sz w:val="22"/>
                <w:szCs w:val="22"/>
              </w:rPr>
              <w:t>3 to 6 weeks</w:t>
            </w:r>
          </w:p>
          <w:p w:rsidR="00440848" w:rsidRPr="007A6443" w:rsidRDefault="00440848" w:rsidP="005A02F5">
            <w:pPr>
              <w:pStyle w:val="Table"/>
              <w:rPr>
                <w:rFonts w:asciiTheme="minorHAnsi" w:hAnsiTheme="minorHAnsi"/>
                <w:sz w:val="22"/>
                <w:szCs w:val="22"/>
              </w:rPr>
            </w:pPr>
            <w:r w:rsidRPr="007A6443">
              <w:rPr>
                <w:rFonts w:asciiTheme="minorHAnsi" w:hAnsiTheme="minorHAnsi"/>
                <w:sz w:val="22"/>
                <w:szCs w:val="22"/>
              </w:rPr>
              <w:t>n (%)</w:t>
            </w:r>
          </w:p>
        </w:tc>
        <w:tc>
          <w:tcPr>
            <w:tcW w:w="834" w:type="pct"/>
            <w:tcBorders>
              <w:bottom w:val="single" w:sz="4" w:space="0" w:color="auto"/>
            </w:tcBorders>
            <w:vAlign w:val="bottom"/>
          </w:tcPr>
          <w:p w:rsidR="00440848" w:rsidRPr="007A6443" w:rsidRDefault="00440848" w:rsidP="005A02F5">
            <w:pPr>
              <w:pStyle w:val="Table"/>
              <w:rPr>
                <w:rFonts w:asciiTheme="minorHAnsi" w:hAnsiTheme="minorHAnsi"/>
                <w:b/>
                <w:sz w:val="22"/>
                <w:szCs w:val="22"/>
              </w:rPr>
            </w:pPr>
            <w:r w:rsidRPr="007A6443">
              <w:rPr>
                <w:rFonts w:asciiTheme="minorHAnsi" w:hAnsiTheme="minorHAnsi"/>
                <w:b/>
                <w:sz w:val="22"/>
                <w:szCs w:val="22"/>
              </w:rPr>
              <w:t>More than 6 weeks, less than 12 weeks</w:t>
            </w:r>
          </w:p>
          <w:p w:rsidR="00440848" w:rsidRPr="007A6443" w:rsidRDefault="00440848" w:rsidP="005A02F5">
            <w:pPr>
              <w:pStyle w:val="Table"/>
              <w:rPr>
                <w:rFonts w:asciiTheme="minorHAnsi" w:hAnsiTheme="minorHAnsi"/>
                <w:sz w:val="22"/>
                <w:szCs w:val="22"/>
              </w:rPr>
            </w:pPr>
            <w:r w:rsidRPr="007A6443">
              <w:rPr>
                <w:rFonts w:asciiTheme="minorHAnsi" w:hAnsiTheme="minorHAnsi"/>
                <w:sz w:val="22"/>
                <w:szCs w:val="22"/>
              </w:rPr>
              <w:t>n (%)</w:t>
            </w:r>
          </w:p>
        </w:tc>
        <w:tc>
          <w:tcPr>
            <w:tcW w:w="833" w:type="pct"/>
            <w:tcBorders>
              <w:bottom w:val="single" w:sz="4" w:space="0" w:color="auto"/>
            </w:tcBorders>
            <w:vAlign w:val="bottom"/>
          </w:tcPr>
          <w:p w:rsidR="00440848" w:rsidRPr="007A6443" w:rsidRDefault="00440848" w:rsidP="005A02F5">
            <w:pPr>
              <w:pStyle w:val="Table"/>
              <w:rPr>
                <w:rFonts w:asciiTheme="minorHAnsi" w:hAnsiTheme="minorHAnsi"/>
                <w:b/>
                <w:sz w:val="22"/>
                <w:szCs w:val="22"/>
              </w:rPr>
            </w:pPr>
            <w:r w:rsidRPr="007A6443">
              <w:rPr>
                <w:rFonts w:asciiTheme="minorHAnsi" w:hAnsiTheme="minorHAnsi"/>
                <w:b/>
                <w:sz w:val="22"/>
                <w:szCs w:val="22"/>
              </w:rPr>
              <w:t>12 weeks or more</w:t>
            </w:r>
          </w:p>
          <w:p w:rsidR="00440848" w:rsidRPr="007A6443" w:rsidRDefault="00440848" w:rsidP="005A02F5">
            <w:pPr>
              <w:pStyle w:val="Table"/>
              <w:rPr>
                <w:rFonts w:asciiTheme="minorHAnsi" w:hAnsiTheme="minorHAnsi"/>
                <w:sz w:val="22"/>
                <w:szCs w:val="22"/>
              </w:rPr>
            </w:pPr>
            <w:r w:rsidRPr="007A6443">
              <w:rPr>
                <w:rFonts w:asciiTheme="minorHAnsi" w:hAnsiTheme="minorHAnsi"/>
                <w:sz w:val="22"/>
                <w:szCs w:val="22"/>
              </w:rPr>
              <w:t>n (%)</w:t>
            </w:r>
          </w:p>
        </w:tc>
      </w:tr>
      <w:tr w:rsidR="00440848" w:rsidRPr="007A6443" w:rsidTr="005A02F5">
        <w:trPr>
          <w:trHeight w:hRule="exact" w:val="340"/>
        </w:trPr>
        <w:tc>
          <w:tcPr>
            <w:tcW w:w="1233" w:type="pct"/>
            <w:tcBorders>
              <w:top w:val="single" w:sz="4" w:space="0" w:color="auto"/>
            </w:tcBorders>
            <w:vAlign w:val="bottom"/>
          </w:tcPr>
          <w:p w:rsidR="00440848" w:rsidRPr="007A6443" w:rsidRDefault="00440848" w:rsidP="005A02F5">
            <w:pPr>
              <w:rPr>
                <w:rFonts w:cs="Times New Roman"/>
              </w:rPr>
            </w:pPr>
          </w:p>
        </w:tc>
        <w:tc>
          <w:tcPr>
            <w:tcW w:w="625" w:type="pct"/>
            <w:tcBorders>
              <w:top w:val="single" w:sz="4" w:space="0" w:color="auto"/>
            </w:tcBorders>
            <w:vAlign w:val="bottom"/>
          </w:tcPr>
          <w:p w:rsidR="00440848" w:rsidRPr="007A6443" w:rsidRDefault="00440848" w:rsidP="005A02F5">
            <w:pPr>
              <w:jc w:val="center"/>
              <w:rPr>
                <w:rFonts w:cs="Times New Roman"/>
              </w:rPr>
            </w:pPr>
          </w:p>
        </w:tc>
        <w:tc>
          <w:tcPr>
            <w:tcW w:w="711" w:type="pct"/>
            <w:tcBorders>
              <w:top w:val="single" w:sz="4" w:space="0" w:color="auto"/>
            </w:tcBorders>
            <w:vAlign w:val="bottom"/>
          </w:tcPr>
          <w:p w:rsidR="00440848" w:rsidRPr="007A6443" w:rsidRDefault="00440848" w:rsidP="005A02F5">
            <w:pPr>
              <w:jc w:val="center"/>
              <w:rPr>
                <w:rFonts w:cs="Times New Roman"/>
              </w:rPr>
            </w:pPr>
          </w:p>
        </w:tc>
        <w:tc>
          <w:tcPr>
            <w:tcW w:w="764" w:type="pct"/>
            <w:tcBorders>
              <w:top w:val="single" w:sz="4" w:space="0" w:color="auto"/>
            </w:tcBorders>
            <w:vAlign w:val="bottom"/>
          </w:tcPr>
          <w:p w:rsidR="00440848" w:rsidRPr="007A6443" w:rsidRDefault="00440848" w:rsidP="005A02F5">
            <w:pPr>
              <w:jc w:val="center"/>
              <w:rPr>
                <w:rFonts w:cs="Times New Roman"/>
              </w:rPr>
            </w:pPr>
          </w:p>
        </w:tc>
        <w:tc>
          <w:tcPr>
            <w:tcW w:w="834" w:type="pct"/>
            <w:tcBorders>
              <w:top w:val="single" w:sz="4" w:space="0" w:color="auto"/>
            </w:tcBorders>
            <w:vAlign w:val="bottom"/>
          </w:tcPr>
          <w:p w:rsidR="00440848" w:rsidRPr="007A6443" w:rsidRDefault="00440848" w:rsidP="005A02F5">
            <w:pPr>
              <w:jc w:val="center"/>
              <w:rPr>
                <w:rFonts w:cs="Times New Roman"/>
              </w:rPr>
            </w:pPr>
          </w:p>
        </w:tc>
        <w:tc>
          <w:tcPr>
            <w:tcW w:w="833" w:type="pct"/>
            <w:tcBorders>
              <w:top w:val="single" w:sz="4" w:space="0" w:color="auto"/>
            </w:tcBorders>
            <w:vAlign w:val="bottom"/>
          </w:tcPr>
          <w:p w:rsidR="00440848" w:rsidRPr="007A6443" w:rsidRDefault="00440848" w:rsidP="005A02F5">
            <w:pPr>
              <w:jc w:val="center"/>
              <w:rPr>
                <w:rFonts w:cs="Times New Roman"/>
              </w:rPr>
            </w:pPr>
          </w:p>
        </w:tc>
      </w:tr>
      <w:tr w:rsidR="00440848" w:rsidRPr="007A6443" w:rsidTr="005A02F5">
        <w:trPr>
          <w:trHeight w:hRule="exact" w:val="340"/>
        </w:trPr>
        <w:tc>
          <w:tcPr>
            <w:tcW w:w="1233" w:type="pct"/>
            <w:vAlign w:val="bottom"/>
          </w:tcPr>
          <w:p w:rsidR="00440848" w:rsidRPr="007A6443" w:rsidRDefault="00440848" w:rsidP="005A02F5">
            <w:pPr>
              <w:rPr>
                <w:rFonts w:cs="Times New Roman"/>
              </w:rPr>
            </w:pPr>
            <w:r w:rsidRPr="007A6443">
              <w:rPr>
                <w:rFonts w:cs="Times New Roman"/>
              </w:rPr>
              <w:t>Stress</w:t>
            </w:r>
          </w:p>
        </w:tc>
        <w:tc>
          <w:tcPr>
            <w:tcW w:w="625" w:type="pct"/>
            <w:vAlign w:val="bottom"/>
          </w:tcPr>
          <w:p w:rsidR="00440848" w:rsidRPr="007A6443" w:rsidRDefault="00440848" w:rsidP="005A02F5">
            <w:pPr>
              <w:jc w:val="center"/>
              <w:rPr>
                <w:rFonts w:cs="Times New Roman"/>
              </w:rPr>
            </w:pPr>
            <w:r w:rsidRPr="007A6443">
              <w:rPr>
                <w:rFonts w:cs="Times New Roman"/>
              </w:rPr>
              <w:t>1,533</w:t>
            </w:r>
          </w:p>
        </w:tc>
        <w:tc>
          <w:tcPr>
            <w:tcW w:w="711" w:type="pct"/>
            <w:vAlign w:val="bottom"/>
          </w:tcPr>
          <w:p w:rsidR="00440848" w:rsidRPr="007A6443" w:rsidRDefault="00440848" w:rsidP="005A02F5">
            <w:pPr>
              <w:jc w:val="center"/>
              <w:rPr>
                <w:rFonts w:cs="Times New Roman"/>
              </w:rPr>
            </w:pPr>
            <w:r w:rsidRPr="007A6443">
              <w:rPr>
                <w:rFonts w:cs="Times New Roman"/>
              </w:rPr>
              <w:t>705 (46.0)</w:t>
            </w:r>
          </w:p>
        </w:tc>
        <w:tc>
          <w:tcPr>
            <w:tcW w:w="764" w:type="pct"/>
            <w:vAlign w:val="bottom"/>
          </w:tcPr>
          <w:p w:rsidR="00440848" w:rsidRPr="007A6443" w:rsidRDefault="00440848" w:rsidP="005A02F5">
            <w:pPr>
              <w:jc w:val="center"/>
              <w:rPr>
                <w:rFonts w:cs="Times New Roman"/>
              </w:rPr>
            </w:pPr>
            <w:r w:rsidRPr="007A6443">
              <w:rPr>
                <w:rFonts w:cs="Times New Roman"/>
              </w:rPr>
              <w:t>417 (27.2)</w:t>
            </w:r>
          </w:p>
        </w:tc>
        <w:tc>
          <w:tcPr>
            <w:tcW w:w="834" w:type="pct"/>
            <w:vAlign w:val="bottom"/>
          </w:tcPr>
          <w:p w:rsidR="00440848" w:rsidRPr="007A6443" w:rsidRDefault="00440848" w:rsidP="005A02F5">
            <w:pPr>
              <w:jc w:val="center"/>
              <w:rPr>
                <w:rFonts w:cs="Times New Roman"/>
              </w:rPr>
            </w:pPr>
            <w:r w:rsidRPr="007A6443">
              <w:rPr>
                <w:rFonts w:cs="Times New Roman"/>
              </w:rPr>
              <w:t>226 (14.8)</w:t>
            </w:r>
          </w:p>
        </w:tc>
        <w:tc>
          <w:tcPr>
            <w:tcW w:w="833" w:type="pct"/>
            <w:vAlign w:val="bottom"/>
          </w:tcPr>
          <w:p w:rsidR="00440848" w:rsidRPr="007A6443" w:rsidRDefault="00440848" w:rsidP="005A02F5">
            <w:pPr>
              <w:jc w:val="center"/>
              <w:rPr>
                <w:rFonts w:cs="Times New Roman"/>
              </w:rPr>
            </w:pPr>
            <w:r w:rsidRPr="007A6443">
              <w:rPr>
                <w:rFonts w:cs="Times New Roman"/>
              </w:rPr>
              <w:t xml:space="preserve">185 (12.1) </w:t>
            </w:r>
          </w:p>
        </w:tc>
      </w:tr>
      <w:tr w:rsidR="00440848" w:rsidRPr="007A6443" w:rsidTr="005A02F5">
        <w:trPr>
          <w:trHeight w:hRule="exact" w:val="340"/>
        </w:trPr>
        <w:tc>
          <w:tcPr>
            <w:tcW w:w="1233" w:type="pct"/>
            <w:vAlign w:val="bottom"/>
          </w:tcPr>
          <w:p w:rsidR="00440848" w:rsidRPr="007A6443" w:rsidRDefault="00440848" w:rsidP="005A02F5">
            <w:pPr>
              <w:rPr>
                <w:rFonts w:cs="Times New Roman"/>
              </w:rPr>
            </w:pPr>
            <w:r w:rsidRPr="007A6443">
              <w:rPr>
                <w:rFonts w:cs="Times New Roman"/>
              </w:rPr>
              <w:t>Depression</w:t>
            </w:r>
          </w:p>
        </w:tc>
        <w:tc>
          <w:tcPr>
            <w:tcW w:w="625" w:type="pct"/>
            <w:vAlign w:val="bottom"/>
          </w:tcPr>
          <w:p w:rsidR="00440848" w:rsidRPr="007A6443" w:rsidRDefault="00440848" w:rsidP="005A02F5">
            <w:pPr>
              <w:jc w:val="center"/>
              <w:rPr>
                <w:rFonts w:cs="Times New Roman"/>
              </w:rPr>
            </w:pPr>
            <w:r w:rsidRPr="007A6443">
              <w:rPr>
                <w:rFonts w:cs="Times New Roman"/>
              </w:rPr>
              <w:t>1,107</w:t>
            </w:r>
          </w:p>
        </w:tc>
        <w:tc>
          <w:tcPr>
            <w:tcW w:w="711" w:type="pct"/>
            <w:vAlign w:val="bottom"/>
          </w:tcPr>
          <w:p w:rsidR="00440848" w:rsidRPr="007A6443" w:rsidRDefault="00440848" w:rsidP="005A02F5">
            <w:pPr>
              <w:jc w:val="center"/>
              <w:rPr>
                <w:rFonts w:cs="Times New Roman"/>
              </w:rPr>
            </w:pPr>
            <w:r w:rsidRPr="007A6443">
              <w:rPr>
                <w:rFonts w:cs="Times New Roman"/>
              </w:rPr>
              <w:t>294 (26.7)</w:t>
            </w:r>
          </w:p>
        </w:tc>
        <w:tc>
          <w:tcPr>
            <w:tcW w:w="764" w:type="pct"/>
            <w:vAlign w:val="bottom"/>
          </w:tcPr>
          <w:p w:rsidR="00440848" w:rsidRPr="007A6443" w:rsidRDefault="00440848" w:rsidP="005A02F5">
            <w:pPr>
              <w:jc w:val="center"/>
              <w:rPr>
                <w:rFonts w:cs="Times New Roman"/>
              </w:rPr>
            </w:pPr>
            <w:r w:rsidRPr="007A6443">
              <w:rPr>
                <w:rFonts w:cs="Times New Roman"/>
              </w:rPr>
              <w:t>345 (31.3)</w:t>
            </w:r>
          </w:p>
        </w:tc>
        <w:tc>
          <w:tcPr>
            <w:tcW w:w="834" w:type="pct"/>
            <w:vAlign w:val="bottom"/>
          </w:tcPr>
          <w:p w:rsidR="00440848" w:rsidRPr="007A6443" w:rsidRDefault="00440848" w:rsidP="005A02F5">
            <w:pPr>
              <w:jc w:val="center"/>
              <w:rPr>
                <w:rFonts w:cs="Times New Roman"/>
              </w:rPr>
            </w:pPr>
            <w:r w:rsidRPr="007A6443">
              <w:rPr>
                <w:rFonts w:cs="Times New Roman"/>
              </w:rPr>
              <w:t>236 (21.4)</w:t>
            </w:r>
          </w:p>
        </w:tc>
        <w:tc>
          <w:tcPr>
            <w:tcW w:w="833" w:type="pct"/>
            <w:vAlign w:val="bottom"/>
          </w:tcPr>
          <w:p w:rsidR="00440848" w:rsidRPr="007A6443" w:rsidRDefault="00440848" w:rsidP="005A02F5">
            <w:pPr>
              <w:jc w:val="center"/>
              <w:rPr>
                <w:rFonts w:cs="Times New Roman"/>
              </w:rPr>
            </w:pPr>
            <w:r w:rsidRPr="007A6443">
              <w:rPr>
                <w:rFonts w:cs="Times New Roman"/>
              </w:rPr>
              <w:t>228 (20.7)</w:t>
            </w:r>
          </w:p>
        </w:tc>
      </w:tr>
      <w:tr w:rsidR="00440848" w:rsidRPr="007A6443" w:rsidTr="005A02F5">
        <w:trPr>
          <w:trHeight w:hRule="exact" w:val="340"/>
        </w:trPr>
        <w:tc>
          <w:tcPr>
            <w:tcW w:w="1233" w:type="pct"/>
            <w:vAlign w:val="bottom"/>
          </w:tcPr>
          <w:p w:rsidR="00440848" w:rsidRPr="007A6443" w:rsidRDefault="00440848" w:rsidP="005A02F5">
            <w:pPr>
              <w:rPr>
                <w:rFonts w:cs="Times New Roman"/>
              </w:rPr>
            </w:pPr>
            <w:r w:rsidRPr="007A6443">
              <w:rPr>
                <w:rFonts w:cs="Times New Roman"/>
              </w:rPr>
              <w:t>Depression (with anxiety)</w:t>
            </w:r>
          </w:p>
        </w:tc>
        <w:tc>
          <w:tcPr>
            <w:tcW w:w="625" w:type="pct"/>
            <w:vAlign w:val="bottom"/>
          </w:tcPr>
          <w:p w:rsidR="00440848" w:rsidRPr="007A6443" w:rsidRDefault="00440848" w:rsidP="005A02F5">
            <w:pPr>
              <w:jc w:val="center"/>
              <w:rPr>
                <w:rFonts w:cs="Times New Roman"/>
              </w:rPr>
            </w:pPr>
            <w:r w:rsidRPr="007A6443">
              <w:rPr>
                <w:rFonts w:cs="Times New Roman"/>
              </w:rPr>
              <w:t>317</w:t>
            </w:r>
          </w:p>
        </w:tc>
        <w:tc>
          <w:tcPr>
            <w:tcW w:w="711" w:type="pct"/>
            <w:vAlign w:val="bottom"/>
          </w:tcPr>
          <w:p w:rsidR="00440848" w:rsidRPr="007A6443" w:rsidRDefault="00440848" w:rsidP="005A02F5">
            <w:pPr>
              <w:jc w:val="center"/>
              <w:rPr>
                <w:rFonts w:cs="Times New Roman"/>
              </w:rPr>
            </w:pPr>
            <w:r w:rsidRPr="007A6443">
              <w:rPr>
                <w:rFonts w:cs="Times New Roman"/>
              </w:rPr>
              <w:t>76 (24.0)</w:t>
            </w:r>
          </w:p>
        </w:tc>
        <w:tc>
          <w:tcPr>
            <w:tcW w:w="764" w:type="pct"/>
            <w:vAlign w:val="bottom"/>
          </w:tcPr>
          <w:p w:rsidR="00440848" w:rsidRPr="007A6443" w:rsidRDefault="00440848" w:rsidP="005A02F5">
            <w:pPr>
              <w:jc w:val="center"/>
              <w:rPr>
                <w:rFonts w:cs="Times New Roman"/>
              </w:rPr>
            </w:pPr>
            <w:r w:rsidRPr="007A6443">
              <w:rPr>
                <w:rFonts w:cs="Times New Roman"/>
              </w:rPr>
              <w:t>118 (37.2)</w:t>
            </w:r>
          </w:p>
        </w:tc>
        <w:tc>
          <w:tcPr>
            <w:tcW w:w="834" w:type="pct"/>
            <w:vAlign w:val="bottom"/>
          </w:tcPr>
          <w:p w:rsidR="00440848" w:rsidRPr="007A6443" w:rsidRDefault="00440848" w:rsidP="005A02F5">
            <w:pPr>
              <w:jc w:val="center"/>
              <w:rPr>
                <w:rFonts w:cs="Times New Roman"/>
              </w:rPr>
            </w:pPr>
            <w:r w:rsidRPr="007A6443">
              <w:rPr>
                <w:rFonts w:cs="Times New Roman"/>
              </w:rPr>
              <w:t>57 (18.0)</w:t>
            </w:r>
          </w:p>
        </w:tc>
        <w:tc>
          <w:tcPr>
            <w:tcW w:w="833" w:type="pct"/>
            <w:vAlign w:val="bottom"/>
          </w:tcPr>
          <w:p w:rsidR="00440848" w:rsidRPr="007A6443" w:rsidRDefault="00440848" w:rsidP="005A02F5">
            <w:pPr>
              <w:jc w:val="center"/>
              <w:rPr>
                <w:rFonts w:cs="Times New Roman"/>
              </w:rPr>
            </w:pPr>
            <w:r w:rsidRPr="007A6443">
              <w:rPr>
                <w:rFonts w:cs="Times New Roman"/>
              </w:rPr>
              <w:t>66 (20.8)</w:t>
            </w:r>
          </w:p>
        </w:tc>
      </w:tr>
      <w:tr w:rsidR="00440848" w:rsidRPr="007A6443" w:rsidTr="005A02F5">
        <w:trPr>
          <w:trHeight w:hRule="exact" w:val="340"/>
        </w:trPr>
        <w:tc>
          <w:tcPr>
            <w:tcW w:w="1233" w:type="pct"/>
            <w:vAlign w:val="bottom"/>
          </w:tcPr>
          <w:p w:rsidR="00440848" w:rsidRPr="007A6443" w:rsidRDefault="00440848" w:rsidP="005A02F5">
            <w:pPr>
              <w:rPr>
                <w:rFonts w:cs="Times New Roman"/>
              </w:rPr>
            </w:pPr>
            <w:r w:rsidRPr="007A6443">
              <w:rPr>
                <w:rFonts w:cs="Times New Roman"/>
              </w:rPr>
              <w:t>Anxiety</w:t>
            </w:r>
          </w:p>
        </w:tc>
        <w:tc>
          <w:tcPr>
            <w:tcW w:w="625" w:type="pct"/>
            <w:vAlign w:val="bottom"/>
          </w:tcPr>
          <w:p w:rsidR="00440848" w:rsidRPr="007A6443" w:rsidRDefault="00440848" w:rsidP="005A02F5">
            <w:pPr>
              <w:jc w:val="center"/>
              <w:rPr>
                <w:rFonts w:cs="Times New Roman"/>
              </w:rPr>
            </w:pPr>
            <w:r w:rsidRPr="007A6443">
              <w:rPr>
                <w:rFonts w:cs="Times New Roman"/>
              </w:rPr>
              <w:t>505</w:t>
            </w:r>
          </w:p>
        </w:tc>
        <w:tc>
          <w:tcPr>
            <w:tcW w:w="711" w:type="pct"/>
            <w:vAlign w:val="bottom"/>
          </w:tcPr>
          <w:p w:rsidR="00440848" w:rsidRPr="007A6443" w:rsidRDefault="00440848" w:rsidP="005A02F5">
            <w:pPr>
              <w:jc w:val="center"/>
              <w:rPr>
                <w:rFonts w:cs="Times New Roman"/>
              </w:rPr>
            </w:pPr>
            <w:r w:rsidRPr="007A6443">
              <w:rPr>
                <w:rFonts w:cs="Times New Roman"/>
              </w:rPr>
              <w:t>201 (39.8)</w:t>
            </w:r>
          </w:p>
        </w:tc>
        <w:tc>
          <w:tcPr>
            <w:tcW w:w="764" w:type="pct"/>
            <w:vAlign w:val="bottom"/>
          </w:tcPr>
          <w:p w:rsidR="00440848" w:rsidRPr="007A6443" w:rsidRDefault="00440848" w:rsidP="005A02F5">
            <w:pPr>
              <w:jc w:val="center"/>
              <w:rPr>
                <w:rFonts w:cs="Times New Roman"/>
              </w:rPr>
            </w:pPr>
            <w:r w:rsidRPr="007A6443">
              <w:rPr>
                <w:rFonts w:cs="Times New Roman"/>
              </w:rPr>
              <w:t>133 (26.3)</w:t>
            </w:r>
          </w:p>
        </w:tc>
        <w:tc>
          <w:tcPr>
            <w:tcW w:w="834" w:type="pct"/>
            <w:vAlign w:val="bottom"/>
          </w:tcPr>
          <w:p w:rsidR="00440848" w:rsidRPr="007A6443" w:rsidRDefault="00440848" w:rsidP="005A02F5">
            <w:pPr>
              <w:jc w:val="center"/>
              <w:rPr>
                <w:rFonts w:cs="Times New Roman"/>
              </w:rPr>
            </w:pPr>
            <w:r w:rsidRPr="007A6443">
              <w:rPr>
                <w:rFonts w:cs="Times New Roman"/>
              </w:rPr>
              <w:t>83 (16.4)</w:t>
            </w:r>
          </w:p>
        </w:tc>
        <w:tc>
          <w:tcPr>
            <w:tcW w:w="833" w:type="pct"/>
            <w:vAlign w:val="bottom"/>
          </w:tcPr>
          <w:p w:rsidR="00440848" w:rsidRPr="007A6443" w:rsidRDefault="00440848" w:rsidP="005A02F5">
            <w:pPr>
              <w:jc w:val="center"/>
              <w:rPr>
                <w:rFonts w:cs="Times New Roman"/>
              </w:rPr>
            </w:pPr>
            <w:r w:rsidRPr="007A6443">
              <w:rPr>
                <w:rFonts w:cs="Times New Roman"/>
              </w:rPr>
              <w:t>88 (17.4)</w:t>
            </w:r>
          </w:p>
        </w:tc>
      </w:tr>
      <w:tr w:rsidR="00440848" w:rsidRPr="007A6443" w:rsidTr="005A02F5">
        <w:trPr>
          <w:trHeight w:hRule="exact" w:val="340"/>
        </w:trPr>
        <w:tc>
          <w:tcPr>
            <w:tcW w:w="1233" w:type="pct"/>
            <w:vAlign w:val="bottom"/>
          </w:tcPr>
          <w:p w:rsidR="00440848" w:rsidRPr="007A6443" w:rsidRDefault="00440848" w:rsidP="005A02F5">
            <w:pPr>
              <w:rPr>
                <w:rFonts w:cs="Times New Roman"/>
              </w:rPr>
            </w:pPr>
            <w:r w:rsidRPr="007A6443">
              <w:rPr>
                <w:rFonts w:cs="Times New Roman"/>
              </w:rPr>
              <w:t>Substance misuse</w:t>
            </w:r>
          </w:p>
        </w:tc>
        <w:tc>
          <w:tcPr>
            <w:tcW w:w="625" w:type="pct"/>
            <w:vAlign w:val="bottom"/>
          </w:tcPr>
          <w:p w:rsidR="00440848" w:rsidRPr="007A6443" w:rsidRDefault="00440848" w:rsidP="005A02F5">
            <w:pPr>
              <w:jc w:val="center"/>
              <w:rPr>
                <w:rFonts w:cs="Times New Roman"/>
              </w:rPr>
            </w:pPr>
            <w:r w:rsidRPr="007A6443">
              <w:rPr>
                <w:rFonts w:cs="Times New Roman"/>
              </w:rPr>
              <w:t>55</w:t>
            </w:r>
          </w:p>
        </w:tc>
        <w:tc>
          <w:tcPr>
            <w:tcW w:w="711" w:type="pct"/>
            <w:vAlign w:val="bottom"/>
          </w:tcPr>
          <w:p w:rsidR="00440848" w:rsidRPr="007A6443" w:rsidRDefault="00440848" w:rsidP="005A02F5">
            <w:pPr>
              <w:jc w:val="center"/>
              <w:rPr>
                <w:rFonts w:cs="Times New Roman"/>
              </w:rPr>
            </w:pPr>
            <w:r w:rsidRPr="007A6443">
              <w:rPr>
                <w:rFonts w:cs="Times New Roman"/>
              </w:rPr>
              <w:t>10 (18.2)</w:t>
            </w:r>
          </w:p>
        </w:tc>
        <w:tc>
          <w:tcPr>
            <w:tcW w:w="764" w:type="pct"/>
            <w:vAlign w:val="bottom"/>
          </w:tcPr>
          <w:p w:rsidR="00440848" w:rsidRPr="007A6443" w:rsidRDefault="00440848" w:rsidP="005A02F5">
            <w:pPr>
              <w:jc w:val="center"/>
              <w:rPr>
                <w:rFonts w:cs="Times New Roman"/>
              </w:rPr>
            </w:pPr>
            <w:r w:rsidRPr="007A6443">
              <w:rPr>
                <w:rFonts w:cs="Times New Roman"/>
              </w:rPr>
              <w:t>10 (18.2)</w:t>
            </w:r>
          </w:p>
        </w:tc>
        <w:tc>
          <w:tcPr>
            <w:tcW w:w="834" w:type="pct"/>
            <w:vAlign w:val="bottom"/>
          </w:tcPr>
          <w:p w:rsidR="00440848" w:rsidRPr="007A6443" w:rsidRDefault="00440848" w:rsidP="005A02F5">
            <w:pPr>
              <w:jc w:val="center"/>
              <w:rPr>
                <w:rFonts w:cs="Times New Roman"/>
              </w:rPr>
            </w:pPr>
            <w:r w:rsidRPr="007A6443">
              <w:rPr>
                <w:rFonts w:cs="Times New Roman"/>
              </w:rPr>
              <w:t>12 (21.8)</w:t>
            </w:r>
          </w:p>
        </w:tc>
        <w:tc>
          <w:tcPr>
            <w:tcW w:w="833" w:type="pct"/>
            <w:vAlign w:val="bottom"/>
          </w:tcPr>
          <w:p w:rsidR="00440848" w:rsidRPr="007A6443" w:rsidRDefault="00440848" w:rsidP="005A02F5">
            <w:pPr>
              <w:jc w:val="center"/>
              <w:rPr>
                <w:rFonts w:cs="Times New Roman"/>
              </w:rPr>
            </w:pPr>
            <w:r w:rsidRPr="007A6443">
              <w:rPr>
                <w:rFonts w:cs="Times New Roman"/>
              </w:rPr>
              <w:t>23 (41.8)</w:t>
            </w:r>
          </w:p>
        </w:tc>
      </w:tr>
      <w:tr w:rsidR="00440848" w:rsidRPr="007A6443" w:rsidTr="005A02F5">
        <w:trPr>
          <w:trHeight w:hRule="exact" w:val="340"/>
        </w:trPr>
        <w:tc>
          <w:tcPr>
            <w:tcW w:w="1233" w:type="pct"/>
            <w:vAlign w:val="bottom"/>
          </w:tcPr>
          <w:p w:rsidR="00440848" w:rsidRPr="007A6443" w:rsidRDefault="00440848" w:rsidP="005A02F5">
            <w:pPr>
              <w:rPr>
                <w:rFonts w:cs="Times New Roman"/>
              </w:rPr>
            </w:pPr>
            <w:r w:rsidRPr="007A6443">
              <w:rPr>
                <w:rFonts w:cs="Times New Roman"/>
              </w:rPr>
              <w:t>Bereavement reaction</w:t>
            </w:r>
          </w:p>
        </w:tc>
        <w:tc>
          <w:tcPr>
            <w:tcW w:w="625" w:type="pct"/>
            <w:vAlign w:val="bottom"/>
          </w:tcPr>
          <w:p w:rsidR="00440848" w:rsidRPr="007A6443" w:rsidRDefault="00440848" w:rsidP="005A02F5">
            <w:pPr>
              <w:jc w:val="center"/>
              <w:rPr>
                <w:rFonts w:cs="Times New Roman"/>
              </w:rPr>
            </w:pPr>
            <w:r w:rsidRPr="007A6443">
              <w:rPr>
                <w:rFonts w:cs="Times New Roman"/>
              </w:rPr>
              <w:t>315</w:t>
            </w:r>
          </w:p>
        </w:tc>
        <w:tc>
          <w:tcPr>
            <w:tcW w:w="711" w:type="pct"/>
            <w:vAlign w:val="bottom"/>
          </w:tcPr>
          <w:p w:rsidR="00440848" w:rsidRPr="007A6443" w:rsidRDefault="00440848" w:rsidP="005A02F5">
            <w:pPr>
              <w:jc w:val="center"/>
              <w:rPr>
                <w:rFonts w:cs="Times New Roman"/>
              </w:rPr>
            </w:pPr>
            <w:r w:rsidRPr="007A6443">
              <w:rPr>
                <w:rFonts w:cs="Times New Roman"/>
              </w:rPr>
              <w:t>174 (55.2)</w:t>
            </w:r>
          </w:p>
        </w:tc>
        <w:tc>
          <w:tcPr>
            <w:tcW w:w="764" w:type="pct"/>
            <w:vAlign w:val="bottom"/>
          </w:tcPr>
          <w:p w:rsidR="00440848" w:rsidRPr="007A6443" w:rsidRDefault="00440848" w:rsidP="005A02F5">
            <w:pPr>
              <w:jc w:val="center"/>
              <w:rPr>
                <w:rFonts w:cs="Times New Roman"/>
              </w:rPr>
            </w:pPr>
            <w:r w:rsidRPr="007A6443">
              <w:rPr>
                <w:rFonts w:cs="Times New Roman"/>
              </w:rPr>
              <w:t>90 (28.6)</w:t>
            </w:r>
          </w:p>
        </w:tc>
        <w:tc>
          <w:tcPr>
            <w:tcW w:w="834" w:type="pct"/>
            <w:vAlign w:val="bottom"/>
          </w:tcPr>
          <w:p w:rsidR="00440848" w:rsidRPr="007A6443" w:rsidRDefault="00440848" w:rsidP="005A02F5">
            <w:pPr>
              <w:jc w:val="center"/>
              <w:rPr>
                <w:rFonts w:cs="Times New Roman"/>
              </w:rPr>
            </w:pPr>
            <w:r w:rsidRPr="007A6443">
              <w:rPr>
                <w:rFonts w:cs="Times New Roman"/>
              </w:rPr>
              <w:t>37 (11.7)</w:t>
            </w:r>
          </w:p>
        </w:tc>
        <w:tc>
          <w:tcPr>
            <w:tcW w:w="833" w:type="pct"/>
            <w:vAlign w:val="bottom"/>
          </w:tcPr>
          <w:p w:rsidR="00440848" w:rsidRPr="007A6443" w:rsidRDefault="00440848" w:rsidP="005A02F5">
            <w:pPr>
              <w:jc w:val="center"/>
              <w:rPr>
                <w:rFonts w:cs="Times New Roman"/>
              </w:rPr>
            </w:pPr>
            <w:r w:rsidRPr="007A6443">
              <w:rPr>
                <w:rFonts w:cs="Times New Roman"/>
              </w:rPr>
              <w:t>14 (4.4)</w:t>
            </w:r>
          </w:p>
        </w:tc>
      </w:tr>
      <w:tr w:rsidR="00440848" w:rsidRPr="007A6443" w:rsidTr="005A02F5">
        <w:trPr>
          <w:trHeight w:hRule="exact" w:val="340"/>
        </w:trPr>
        <w:tc>
          <w:tcPr>
            <w:tcW w:w="1233" w:type="pct"/>
            <w:vAlign w:val="bottom"/>
          </w:tcPr>
          <w:p w:rsidR="00440848" w:rsidRPr="007A6443" w:rsidRDefault="00440848" w:rsidP="005A02F5">
            <w:pPr>
              <w:rPr>
                <w:rFonts w:cs="Times New Roman"/>
              </w:rPr>
            </w:pPr>
            <w:r w:rsidRPr="007A6443">
              <w:rPr>
                <w:rFonts w:cs="Times New Roman"/>
              </w:rPr>
              <w:t xml:space="preserve">Other </w:t>
            </w:r>
            <w:r>
              <w:rPr>
                <w:rFonts w:cs="Times New Roman"/>
              </w:rPr>
              <w:t>CMD</w:t>
            </w:r>
          </w:p>
        </w:tc>
        <w:tc>
          <w:tcPr>
            <w:tcW w:w="625" w:type="pct"/>
            <w:vAlign w:val="bottom"/>
          </w:tcPr>
          <w:p w:rsidR="00440848" w:rsidRPr="007A6443" w:rsidRDefault="00440848" w:rsidP="005A02F5">
            <w:pPr>
              <w:jc w:val="center"/>
              <w:rPr>
                <w:rFonts w:cs="Times New Roman"/>
              </w:rPr>
            </w:pPr>
            <w:r w:rsidRPr="007A6443">
              <w:rPr>
                <w:rFonts w:cs="Times New Roman"/>
              </w:rPr>
              <w:t>122</w:t>
            </w:r>
          </w:p>
        </w:tc>
        <w:tc>
          <w:tcPr>
            <w:tcW w:w="711" w:type="pct"/>
            <w:vAlign w:val="bottom"/>
          </w:tcPr>
          <w:p w:rsidR="00440848" w:rsidRPr="007A6443" w:rsidRDefault="00440848" w:rsidP="005A02F5">
            <w:pPr>
              <w:jc w:val="center"/>
              <w:rPr>
                <w:rFonts w:cs="Times New Roman"/>
              </w:rPr>
            </w:pPr>
            <w:r w:rsidRPr="007A6443">
              <w:rPr>
                <w:rFonts w:cs="Times New Roman"/>
              </w:rPr>
              <w:t>47 (39.5)</w:t>
            </w:r>
          </w:p>
        </w:tc>
        <w:tc>
          <w:tcPr>
            <w:tcW w:w="764" w:type="pct"/>
            <w:vAlign w:val="bottom"/>
          </w:tcPr>
          <w:p w:rsidR="00440848" w:rsidRPr="007A6443" w:rsidRDefault="00440848" w:rsidP="005A02F5">
            <w:pPr>
              <w:jc w:val="center"/>
              <w:rPr>
                <w:rFonts w:cs="Times New Roman"/>
              </w:rPr>
            </w:pPr>
            <w:r w:rsidRPr="007A6443">
              <w:rPr>
                <w:rFonts w:cs="Times New Roman"/>
              </w:rPr>
              <w:t>40 (33.6)</w:t>
            </w:r>
          </w:p>
        </w:tc>
        <w:tc>
          <w:tcPr>
            <w:tcW w:w="834" w:type="pct"/>
            <w:vAlign w:val="bottom"/>
          </w:tcPr>
          <w:p w:rsidR="00440848" w:rsidRPr="007A6443" w:rsidRDefault="00440848" w:rsidP="005A02F5">
            <w:pPr>
              <w:jc w:val="center"/>
              <w:rPr>
                <w:rFonts w:cs="Times New Roman"/>
              </w:rPr>
            </w:pPr>
            <w:r w:rsidRPr="007A6443">
              <w:rPr>
                <w:rFonts w:cs="Times New Roman"/>
              </w:rPr>
              <w:t>17 (14.3)</w:t>
            </w:r>
          </w:p>
        </w:tc>
        <w:tc>
          <w:tcPr>
            <w:tcW w:w="833" w:type="pct"/>
            <w:vAlign w:val="bottom"/>
          </w:tcPr>
          <w:p w:rsidR="00440848" w:rsidRPr="007A6443" w:rsidRDefault="00440848" w:rsidP="005A02F5">
            <w:pPr>
              <w:jc w:val="center"/>
              <w:rPr>
                <w:rFonts w:cs="Times New Roman"/>
              </w:rPr>
            </w:pPr>
            <w:r w:rsidRPr="007A6443">
              <w:rPr>
                <w:rFonts w:cs="Times New Roman"/>
              </w:rPr>
              <w:t>15 (12.6)</w:t>
            </w:r>
          </w:p>
        </w:tc>
      </w:tr>
      <w:tr w:rsidR="00440848" w:rsidRPr="007A6443" w:rsidTr="005A02F5">
        <w:trPr>
          <w:trHeight w:hRule="exact" w:val="340"/>
        </w:trPr>
        <w:tc>
          <w:tcPr>
            <w:tcW w:w="1233" w:type="pct"/>
            <w:vAlign w:val="bottom"/>
          </w:tcPr>
          <w:p w:rsidR="00440848" w:rsidRPr="007A6443" w:rsidRDefault="00440848" w:rsidP="005A02F5">
            <w:pPr>
              <w:rPr>
                <w:rFonts w:cs="Times New Roman"/>
              </w:rPr>
            </w:pPr>
          </w:p>
        </w:tc>
        <w:tc>
          <w:tcPr>
            <w:tcW w:w="625" w:type="pct"/>
            <w:vAlign w:val="bottom"/>
          </w:tcPr>
          <w:p w:rsidR="00440848" w:rsidRPr="007A6443" w:rsidRDefault="00440848" w:rsidP="005A02F5">
            <w:pPr>
              <w:jc w:val="center"/>
              <w:rPr>
                <w:rFonts w:cs="Times New Roman"/>
              </w:rPr>
            </w:pPr>
          </w:p>
        </w:tc>
        <w:tc>
          <w:tcPr>
            <w:tcW w:w="711" w:type="pct"/>
            <w:vAlign w:val="bottom"/>
          </w:tcPr>
          <w:p w:rsidR="00440848" w:rsidRPr="007A6443" w:rsidRDefault="00440848" w:rsidP="005A02F5">
            <w:pPr>
              <w:jc w:val="center"/>
              <w:rPr>
                <w:rFonts w:cs="Times New Roman"/>
              </w:rPr>
            </w:pPr>
          </w:p>
        </w:tc>
        <w:tc>
          <w:tcPr>
            <w:tcW w:w="764" w:type="pct"/>
            <w:vAlign w:val="bottom"/>
          </w:tcPr>
          <w:p w:rsidR="00440848" w:rsidRPr="007A6443" w:rsidRDefault="00440848" w:rsidP="005A02F5">
            <w:pPr>
              <w:jc w:val="center"/>
              <w:rPr>
                <w:rFonts w:cs="Times New Roman"/>
              </w:rPr>
            </w:pPr>
          </w:p>
        </w:tc>
        <w:tc>
          <w:tcPr>
            <w:tcW w:w="834" w:type="pct"/>
            <w:vAlign w:val="bottom"/>
          </w:tcPr>
          <w:p w:rsidR="00440848" w:rsidRPr="007A6443" w:rsidRDefault="00440848" w:rsidP="005A02F5">
            <w:pPr>
              <w:jc w:val="center"/>
              <w:rPr>
                <w:rFonts w:cs="Times New Roman"/>
              </w:rPr>
            </w:pPr>
          </w:p>
        </w:tc>
        <w:tc>
          <w:tcPr>
            <w:tcW w:w="833" w:type="pct"/>
            <w:vAlign w:val="bottom"/>
          </w:tcPr>
          <w:p w:rsidR="00440848" w:rsidRPr="007A6443" w:rsidRDefault="00440848" w:rsidP="005A02F5">
            <w:pPr>
              <w:jc w:val="center"/>
              <w:rPr>
                <w:rFonts w:cs="Times New Roman"/>
              </w:rPr>
            </w:pPr>
          </w:p>
        </w:tc>
      </w:tr>
      <w:tr w:rsidR="00440848" w:rsidRPr="007A6443" w:rsidTr="005A02F5">
        <w:trPr>
          <w:trHeight w:hRule="exact" w:val="510"/>
        </w:trPr>
        <w:tc>
          <w:tcPr>
            <w:tcW w:w="1233" w:type="pct"/>
            <w:tcBorders>
              <w:bottom w:val="single" w:sz="4" w:space="0" w:color="auto"/>
            </w:tcBorders>
            <w:vAlign w:val="bottom"/>
          </w:tcPr>
          <w:p w:rsidR="00440848" w:rsidRPr="007A6443" w:rsidRDefault="00440848" w:rsidP="005A02F5">
            <w:pPr>
              <w:rPr>
                <w:rFonts w:cs="Times New Roman"/>
              </w:rPr>
            </w:pPr>
            <w:r w:rsidRPr="007A6443">
              <w:rPr>
                <w:rFonts w:cs="Times New Roman"/>
              </w:rPr>
              <w:t xml:space="preserve">All </w:t>
            </w:r>
            <w:r>
              <w:rPr>
                <w:rFonts w:cs="Times New Roman"/>
              </w:rPr>
              <w:t>CMD</w:t>
            </w:r>
            <w:r w:rsidRPr="007A6443">
              <w:rPr>
                <w:rFonts w:cs="Times New Roman"/>
              </w:rPr>
              <w:t>s</w:t>
            </w:r>
          </w:p>
        </w:tc>
        <w:tc>
          <w:tcPr>
            <w:tcW w:w="625" w:type="pct"/>
            <w:tcBorders>
              <w:bottom w:val="single" w:sz="4" w:space="0" w:color="auto"/>
            </w:tcBorders>
            <w:vAlign w:val="bottom"/>
          </w:tcPr>
          <w:p w:rsidR="00440848" w:rsidRPr="007A6443" w:rsidRDefault="00440848" w:rsidP="005A02F5">
            <w:pPr>
              <w:jc w:val="center"/>
              <w:rPr>
                <w:rFonts w:cs="Times New Roman"/>
              </w:rPr>
            </w:pPr>
            <w:r w:rsidRPr="007A6443">
              <w:rPr>
                <w:rFonts w:cs="Times New Roman"/>
              </w:rPr>
              <w:t>3,950</w:t>
            </w:r>
          </w:p>
        </w:tc>
        <w:tc>
          <w:tcPr>
            <w:tcW w:w="711" w:type="pct"/>
            <w:tcBorders>
              <w:bottom w:val="single" w:sz="4" w:space="0" w:color="auto"/>
            </w:tcBorders>
            <w:vAlign w:val="bottom"/>
          </w:tcPr>
          <w:p w:rsidR="00440848" w:rsidRPr="007A6443" w:rsidRDefault="00440848" w:rsidP="005A02F5">
            <w:pPr>
              <w:jc w:val="center"/>
              <w:rPr>
                <w:rFonts w:cs="Times New Roman"/>
              </w:rPr>
            </w:pPr>
            <w:r w:rsidRPr="007A6443">
              <w:rPr>
                <w:rFonts w:cs="Times New Roman"/>
              </w:rPr>
              <w:t>1,507 (38.2)</w:t>
            </w:r>
          </w:p>
        </w:tc>
        <w:tc>
          <w:tcPr>
            <w:tcW w:w="764" w:type="pct"/>
            <w:tcBorders>
              <w:bottom w:val="single" w:sz="4" w:space="0" w:color="auto"/>
            </w:tcBorders>
            <w:vAlign w:val="bottom"/>
          </w:tcPr>
          <w:p w:rsidR="00440848" w:rsidRPr="007A6443" w:rsidRDefault="00440848" w:rsidP="005A02F5">
            <w:pPr>
              <w:jc w:val="center"/>
              <w:rPr>
                <w:rFonts w:cs="Times New Roman"/>
              </w:rPr>
            </w:pPr>
            <w:r w:rsidRPr="007A6443">
              <w:rPr>
                <w:rFonts w:cs="Times New Roman"/>
              </w:rPr>
              <w:t>1,153 (29.3)</w:t>
            </w:r>
          </w:p>
        </w:tc>
        <w:tc>
          <w:tcPr>
            <w:tcW w:w="834" w:type="pct"/>
            <w:tcBorders>
              <w:bottom w:val="single" w:sz="4" w:space="0" w:color="auto"/>
            </w:tcBorders>
            <w:vAlign w:val="bottom"/>
          </w:tcPr>
          <w:p w:rsidR="00440848" w:rsidRPr="007A6443" w:rsidRDefault="00440848" w:rsidP="005A02F5">
            <w:pPr>
              <w:jc w:val="center"/>
              <w:rPr>
                <w:rFonts w:cs="Times New Roman"/>
              </w:rPr>
            </w:pPr>
            <w:r w:rsidRPr="007A6443">
              <w:rPr>
                <w:rFonts w:cs="Times New Roman"/>
              </w:rPr>
              <w:t>668 (17.0)</w:t>
            </w:r>
          </w:p>
        </w:tc>
        <w:tc>
          <w:tcPr>
            <w:tcW w:w="833" w:type="pct"/>
            <w:tcBorders>
              <w:bottom w:val="single" w:sz="4" w:space="0" w:color="auto"/>
            </w:tcBorders>
            <w:vAlign w:val="bottom"/>
          </w:tcPr>
          <w:p w:rsidR="00440848" w:rsidRPr="007A6443" w:rsidRDefault="00440848" w:rsidP="005A02F5">
            <w:pPr>
              <w:jc w:val="center"/>
              <w:rPr>
                <w:rFonts w:cs="Times New Roman"/>
              </w:rPr>
            </w:pPr>
            <w:r w:rsidRPr="007A6443">
              <w:rPr>
                <w:rFonts w:cs="Times New Roman"/>
              </w:rPr>
              <w:t>619 (15.7)</w:t>
            </w:r>
          </w:p>
        </w:tc>
      </w:tr>
    </w:tbl>
    <w:p w:rsidR="00440848" w:rsidRDefault="00440848" w:rsidP="00440848">
      <w:pPr>
        <w:pStyle w:val="Caption"/>
        <w:rPr>
          <w:rFonts w:asciiTheme="minorHAnsi" w:eastAsiaTheme="minorHAnsi" w:hAnsiTheme="minorHAnsi" w:cstheme="minorBidi"/>
          <w:bCs w:val="0"/>
          <w:sz w:val="22"/>
          <w:szCs w:val="22"/>
          <w:lang w:eastAsia="en-US"/>
        </w:rPr>
      </w:pPr>
    </w:p>
    <w:p w:rsidR="00440848" w:rsidRDefault="00440848" w:rsidP="00440848">
      <w:pPr>
        <w:pStyle w:val="Caption"/>
        <w:rPr>
          <w:rFonts w:asciiTheme="minorHAnsi" w:eastAsiaTheme="minorHAnsi" w:hAnsiTheme="minorHAnsi" w:cstheme="minorBidi"/>
          <w:bCs w:val="0"/>
          <w:sz w:val="22"/>
          <w:szCs w:val="22"/>
          <w:lang w:eastAsia="en-US"/>
        </w:rPr>
      </w:pPr>
    </w:p>
    <w:p w:rsidR="00440848" w:rsidRDefault="00440848" w:rsidP="00440848">
      <w:pPr>
        <w:rPr>
          <w:lang w:eastAsia="en-US"/>
        </w:rPr>
      </w:pPr>
    </w:p>
    <w:p w:rsidR="00440848" w:rsidRPr="00830BED" w:rsidRDefault="00440848" w:rsidP="00440848">
      <w:pPr>
        <w:rPr>
          <w:lang w:eastAsia="en-US"/>
        </w:rPr>
      </w:pPr>
    </w:p>
    <w:p w:rsidR="00440848" w:rsidRDefault="00440848" w:rsidP="00440848">
      <w:pPr>
        <w:pStyle w:val="Caption"/>
        <w:rPr>
          <w:rFonts w:asciiTheme="minorHAnsi" w:hAnsiTheme="minorHAnsi" w:cs="Times New Roman"/>
          <w:b w:val="0"/>
          <w:sz w:val="22"/>
          <w:szCs w:val="22"/>
        </w:rPr>
      </w:pPr>
      <w:r>
        <w:rPr>
          <w:rFonts w:asciiTheme="minorHAnsi" w:eastAsiaTheme="minorHAnsi" w:hAnsiTheme="minorHAnsi" w:cstheme="minorBidi"/>
          <w:bCs w:val="0"/>
          <w:sz w:val="22"/>
          <w:szCs w:val="22"/>
          <w:lang w:eastAsia="en-US"/>
        </w:rPr>
        <w:lastRenderedPageBreak/>
        <w:t xml:space="preserve">Table 3 </w:t>
      </w:r>
      <w:r w:rsidRPr="007A6443">
        <w:rPr>
          <w:rFonts w:asciiTheme="minorHAnsi" w:eastAsiaTheme="minorHAnsi" w:hAnsiTheme="minorHAnsi" w:cstheme="minorBidi"/>
          <w:bCs w:val="0"/>
          <w:sz w:val="22"/>
          <w:szCs w:val="22"/>
          <w:lang w:eastAsia="en-US"/>
        </w:rPr>
        <w:t xml:space="preserve"> </w:t>
      </w:r>
      <w:r>
        <w:rPr>
          <w:rFonts w:asciiTheme="minorHAnsi" w:hAnsiTheme="minorHAnsi" w:cs="Times New Roman"/>
          <w:b w:val="0"/>
          <w:sz w:val="22"/>
          <w:szCs w:val="22"/>
        </w:rPr>
        <w:t xml:space="preserve">CMD fit </w:t>
      </w:r>
      <w:r w:rsidRPr="00446B39">
        <w:rPr>
          <w:rFonts w:asciiTheme="minorHAnsi" w:hAnsiTheme="minorHAnsi" w:cs="Times New Roman"/>
          <w:b w:val="0"/>
          <w:sz w:val="22"/>
          <w:szCs w:val="22"/>
        </w:rPr>
        <w:t>notes and certified episodes with ‘may be fit for work’ advice.</w:t>
      </w:r>
    </w:p>
    <w:p w:rsidR="00440848" w:rsidRPr="00830BED" w:rsidRDefault="00440848" w:rsidP="00440848"/>
    <w:tbl>
      <w:tblPr>
        <w:tblStyle w:val="TableGrid"/>
        <w:tblW w:w="53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17"/>
        <w:gridCol w:w="1701"/>
        <w:gridCol w:w="1986"/>
        <w:gridCol w:w="1701"/>
        <w:gridCol w:w="1984"/>
      </w:tblGrid>
      <w:tr w:rsidR="00440848" w:rsidRPr="007A6443" w:rsidTr="005A02F5">
        <w:trPr>
          <w:tblHeader/>
        </w:trPr>
        <w:tc>
          <w:tcPr>
            <w:tcW w:w="1273" w:type="pct"/>
            <w:tcBorders>
              <w:bottom w:val="single" w:sz="4" w:space="0" w:color="auto"/>
            </w:tcBorders>
            <w:vAlign w:val="bottom"/>
          </w:tcPr>
          <w:p w:rsidR="00440848" w:rsidRPr="007A6443" w:rsidRDefault="00440848" w:rsidP="005A02F5">
            <w:pPr>
              <w:pStyle w:val="Table"/>
              <w:rPr>
                <w:rFonts w:asciiTheme="minorHAnsi" w:hAnsiTheme="minorHAnsi"/>
                <w:i/>
                <w:sz w:val="22"/>
                <w:szCs w:val="22"/>
              </w:rPr>
            </w:pPr>
            <w:r w:rsidRPr="007A6443">
              <w:rPr>
                <w:rFonts w:asciiTheme="minorHAnsi" w:hAnsiTheme="minorHAnsi"/>
                <w:i/>
                <w:sz w:val="22"/>
                <w:szCs w:val="22"/>
              </w:rPr>
              <w:t>Row percentages</w:t>
            </w:r>
          </w:p>
        </w:tc>
        <w:tc>
          <w:tcPr>
            <w:tcW w:w="860" w:type="pct"/>
            <w:tcBorders>
              <w:bottom w:val="single" w:sz="4" w:space="0" w:color="auto"/>
            </w:tcBorders>
            <w:vAlign w:val="bottom"/>
          </w:tcPr>
          <w:p w:rsidR="00440848" w:rsidRPr="007A6443" w:rsidRDefault="00440848" w:rsidP="005A02F5">
            <w:pPr>
              <w:pStyle w:val="Table"/>
              <w:rPr>
                <w:rFonts w:asciiTheme="minorHAnsi" w:hAnsiTheme="minorHAnsi"/>
                <w:b/>
                <w:sz w:val="22"/>
                <w:szCs w:val="22"/>
              </w:rPr>
            </w:pPr>
            <w:r w:rsidRPr="007A6443">
              <w:rPr>
                <w:rFonts w:asciiTheme="minorHAnsi" w:hAnsiTheme="minorHAnsi"/>
                <w:b/>
                <w:sz w:val="22"/>
                <w:szCs w:val="22"/>
              </w:rPr>
              <w:t xml:space="preserve">N of  fit notes in </w:t>
            </w:r>
            <w:r>
              <w:rPr>
                <w:rFonts w:asciiTheme="minorHAnsi" w:hAnsiTheme="minorHAnsi"/>
                <w:b/>
                <w:sz w:val="22"/>
                <w:szCs w:val="22"/>
              </w:rPr>
              <w:t>CMD</w:t>
            </w:r>
            <w:r w:rsidRPr="007A6443">
              <w:rPr>
                <w:rFonts w:asciiTheme="minorHAnsi" w:hAnsiTheme="minorHAnsi"/>
                <w:b/>
                <w:sz w:val="22"/>
                <w:szCs w:val="22"/>
              </w:rPr>
              <w:t xml:space="preserve"> category</w:t>
            </w:r>
          </w:p>
        </w:tc>
        <w:tc>
          <w:tcPr>
            <w:tcW w:w="1004" w:type="pct"/>
            <w:tcBorders>
              <w:bottom w:val="single" w:sz="4" w:space="0" w:color="auto"/>
            </w:tcBorders>
            <w:vAlign w:val="bottom"/>
          </w:tcPr>
          <w:p w:rsidR="00440848" w:rsidRPr="007A6443" w:rsidRDefault="00440848" w:rsidP="005A02F5">
            <w:pPr>
              <w:pStyle w:val="Table"/>
              <w:rPr>
                <w:rFonts w:asciiTheme="minorHAnsi" w:hAnsiTheme="minorHAnsi"/>
                <w:b/>
                <w:sz w:val="22"/>
                <w:szCs w:val="22"/>
              </w:rPr>
            </w:pPr>
            <w:r w:rsidRPr="007A6443">
              <w:rPr>
                <w:rFonts w:asciiTheme="minorHAnsi" w:hAnsiTheme="minorHAnsi"/>
                <w:b/>
                <w:sz w:val="22"/>
                <w:szCs w:val="22"/>
              </w:rPr>
              <w:t>N (%) of fit notes with ‘may be fit’ advice</w:t>
            </w:r>
          </w:p>
        </w:tc>
        <w:tc>
          <w:tcPr>
            <w:tcW w:w="860" w:type="pct"/>
            <w:tcBorders>
              <w:bottom w:val="single" w:sz="4" w:space="0" w:color="auto"/>
            </w:tcBorders>
            <w:vAlign w:val="bottom"/>
          </w:tcPr>
          <w:p w:rsidR="00440848" w:rsidRPr="007A6443" w:rsidRDefault="00440848" w:rsidP="005A02F5">
            <w:pPr>
              <w:pStyle w:val="Table"/>
              <w:rPr>
                <w:rFonts w:asciiTheme="minorHAnsi" w:hAnsiTheme="minorHAnsi"/>
                <w:b/>
                <w:sz w:val="22"/>
                <w:szCs w:val="22"/>
              </w:rPr>
            </w:pPr>
            <w:r w:rsidRPr="007A6443">
              <w:rPr>
                <w:rFonts w:asciiTheme="minorHAnsi" w:hAnsiTheme="minorHAnsi"/>
                <w:b/>
                <w:sz w:val="22"/>
                <w:szCs w:val="22"/>
              </w:rPr>
              <w:t xml:space="preserve">N of  certified episodes in </w:t>
            </w:r>
            <w:r>
              <w:rPr>
                <w:rFonts w:asciiTheme="minorHAnsi" w:hAnsiTheme="minorHAnsi"/>
                <w:b/>
                <w:sz w:val="22"/>
                <w:szCs w:val="22"/>
              </w:rPr>
              <w:t>CMD</w:t>
            </w:r>
            <w:r w:rsidRPr="007A6443">
              <w:rPr>
                <w:rFonts w:asciiTheme="minorHAnsi" w:hAnsiTheme="minorHAnsi"/>
                <w:b/>
                <w:sz w:val="22"/>
                <w:szCs w:val="22"/>
              </w:rPr>
              <w:t xml:space="preserve"> category</w:t>
            </w:r>
          </w:p>
        </w:tc>
        <w:tc>
          <w:tcPr>
            <w:tcW w:w="1003" w:type="pct"/>
            <w:tcBorders>
              <w:bottom w:val="single" w:sz="4" w:space="0" w:color="auto"/>
            </w:tcBorders>
          </w:tcPr>
          <w:p w:rsidR="00440848" w:rsidRPr="007A6443" w:rsidRDefault="00440848" w:rsidP="005A02F5">
            <w:pPr>
              <w:pStyle w:val="Table"/>
              <w:rPr>
                <w:rFonts w:asciiTheme="minorHAnsi" w:hAnsiTheme="minorHAnsi"/>
                <w:b/>
                <w:sz w:val="22"/>
                <w:szCs w:val="22"/>
              </w:rPr>
            </w:pPr>
            <w:r w:rsidRPr="007A6443">
              <w:rPr>
                <w:rFonts w:asciiTheme="minorHAnsi" w:hAnsiTheme="minorHAnsi"/>
                <w:b/>
                <w:sz w:val="22"/>
                <w:szCs w:val="22"/>
              </w:rPr>
              <w:t>N (%) of episodes completed with</w:t>
            </w:r>
            <w:r>
              <w:rPr>
                <w:rFonts w:asciiTheme="minorHAnsi" w:hAnsiTheme="minorHAnsi"/>
                <w:b/>
                <w:sz w:val="22"/>
                <w:szCs w:val="22"/>
              </w:rPr>
              <w:t xml:space="preserve"> a</w:t>
            </w:r>
            <w:r w:rsidRPr="007A6443">
              <w:rPr>
                <w:rFonts w:asciiTheme="minorHAnsi" w:hAnsiTheme="minorHAnsi"/>
                <w:b/>
                <w:sz w:val="22"/>
                <w:szCs w:val="22"/>
              </w:rPr>
              <w:t xml:space="preserve"> ‘may be fit’ note</w:t>
            </w:r>
          </w:p>
        </w:tc>
      </w:tr>
      <w:tr w:rsidR="00440848" w:rsidRPr="007A6443" w:rsidTr="005A02F5">
        <w:trPr>
          <w:trHeight w:hRule="exact" w:val="340"/>
        </w:trPr>
        <w:tc>
          <w:tcPr>
            <w:tcW w:w="1273" w:type="pct"/>
            <w:vAlign w:val="bottom"/>
          </w:tcPr>
          <w:p w:rsidR="00440848" w:rsidRPr="007A6443" w:rsidRDefault="00440848" w:rsidP="005A02F5">
            <w:pPr>
              <w:rPr>
                <w:rFonts w:cs="Times New Roman"/>
              </w:rPr>
            </w:pPr>
            <w:r w:rsidRPr="007A6443">
              <w:rPr>
                <w:rFonts w:cs="Times New Roman"/>
              </w:rPr>
              <w:t>Stress</w:t>
            </w:r>
          </w:p>
        </w:tc>
        <w:tc>
          <w:tcPr>
            <w:tcW w:w="860" w:type="pct"/>
            <w:vAlign w:val="bottom"/>
          </w:tcPr>
          <w:p w:rsidR="00440848" w:rsidRPr="007A6443" w:rsidRDefault="00440848" w:rsidP="005A02F5">
            <w:pPr>
              <w:jc w:val="center"/>
              <w:rPr>
                <w:rFonts w:cs="Times New Roman"/>
              </w:rPr>
            </w:pPr>
            <w:r w:rsidRPr="007A6443">
              <w:rPr>
                <w:rFonts w:cs="Times New Roman"/>
              </w:rPr>
              <w:t>2,929</w:t>
            </w:r>
          </w:p>
        </w:tc>
        <w:tc>
          <w:tcPr>
            <w:tcW w:w="1004" w:type="pct"/>
            <w:vAlign w:val="bottom"/>
          </w:tcPr>
          <w:p w:rsidR="00440848" w:rsidRPr="007A6443" w:rsidRDefault="00440848" w:rsidP="005A02F5">
            <w:pPr>
              <w:jc w:val="center"/>
              <w:rPr>
                <w:rFonts w:cs="Times New Roman"/>
              </w:rPr>
            </w:pPr>
            <w:r w:rsidRPr="007A6443">
              <w:rPr>
                <w:rFonts w:cs="Times New Roman"/>
              </w:rPr>
              <w:t>191 (6.5)</w:t>
            </w:r>
          </w:p>
        </w:tc>
        <w:tc>
          <w:tcPr>
            <w:tcW w:w="860" w:type="pct"/>
            <w:vAlign w:val="bottom"/>
          </w:tcPr>
          <w:p w:rsidR="00440848" w:rsidRPr="007A6443" w:rsidRDefault="00440848" w:rsidP="005A02F5">
            <w:pPr>
              <w:jc w:val="center"/>
              <w:rPr>
                <w:rFonts w:cs="Times New Roman"/>
              </w:rPr>
            </w:pPr>
            <w:r w:rsidRPr="007A6443">
              <w:rPr>
                <w:rFonts w:cs="Times New Roman"/>
              </w:rPr>
              <w:t>1,533</w:t>
            </w:r>
          </w:p>
        </w:tc>
        <w:tc>
          <w:tcPr>
            <w:tcW w:w="1003" w:type="pct"/>
            <w:vAlign w:val="bottom"/>
          </w:tcPr>
          <w:p w:rsidR="00440848" w:rsidRPr="007A6443" w:rsidRDefault="00440848" w:rsidP="005A02F5">
            <w:pPr>
              <w:jc w:val="center"/>
              <w:rPr>
                <w:rFonts w:cs="Times New Roman"/>
              </w:rPr>
            </w:pPr>
            <w:r w:rsidRPr="007A6443">
              <w:rPr>
                <w:rFonts w:cs="Times New Roman"/>
              </w:rPr>
              <w:t>157 (10.2)</w:t>
            </w:r>
          </w:p>
        </w:tc>
      </w:tr>
      <w:tr w:rsidR="00440848" w:rsidRPr="007A6443" w:rsidTr="005A02F5">
        <w:trPr>
          <w:trHeight w:hRule="exact" w:val="340"/>
        </w:trPr>
        <w:tc>
          <w:tcPr>
            <w:tcW w:w="1273" w:type="pct"/>
            <w:vAlign w:val="bottom"/>
          </w:tcPr>
          <w:p w:rsidR="00440848" w:rsidRPr="007A6443" w:rsidRDefault="00440848" w:rsidP="005A02F5">
            <w:pPr>
              <w:rPr>
                <w:rFonts w:cs="Times New Roman"/>
              </w:rPr>
            </w:pPr>
            <w:r w:rsidRPr="007A6443">
              <w:rPr>
                <w:rFonts w:cs="Times New Roman"/>
              </w:rPr>
              <w:t>Depression</w:t>
            </w:r>
          </w:p>
        </w:tc>
        <w:tc>
          <w:tcPr>
            <w:tcW w:w="860" w:type="pct"/>
            <w:vAlign w:val="bottom"/>
          </w:tcPr>
          <w:p w:rsidR="00440848" w:rsidRPr="007A6443" w:rsidRDefault="00440848" w:rsidP="005A02F5">
            <w:pPr>
              <w:jc w:val="center"/>
              <w:rPr>
                <w:rFonts w:cs="Times New Roman"/>
              </w:rPr>
            </w:pPr>
            <w:r w:rsidRPr="007A6443">
              <w:rPr>
                <w:rFonts w:cs="Times New Roman"/>
              </w:rPr>
              <w:t>2,528</w:t>
            </w:r>
          </w:p>
        </w:tc>
        <w:tc>
          <w:tcPr>
            <w:tcW w:w="1004" w:type="pct"/>
            <w:vAlign w:val="bottom"/>
          </w:tcPr>
          <w:p w:rsidR="00440848" w:rsidRPr="007A6443" w:rsidRDefault="00440848" w:rsidP="005A02F5">
            <w:pPr>
              <w:jc w:val="center"/>
              <w:rPr>
                <w:rFonts w:cs="Times New Roman"/>
              </w:rPr>
            </w:pPr>
            <w:r w:rsidRPr="007A6443">
              <w:rPr>
                <w:rFonts w:cs="Times New Roman"/>
              </w:rPr>
              <w:t>179 (7.1)</w:t>
            </w:r>
          </w:p>
        </w:tc>
        <w:tc>
          <w:tcPr>
            <w:tcW w:w="860" w:type="pct"/>
            <w:vAlign w:val="bottom"/>
          </w:tcPr>
          <w:p w:rsidR="00440848" w:rsidRPr="007A6443" w:rsidRDefault="00440848" w:rsidP="005A02F5">
            <w:pPr>
              <w:jc w:val="center"/>
              <w:rPr>
                <w:rFonts w:cs="Times New Roman"/>
              </w:rPr>
            </w:pPr>
            <w:r w:rsidRPr="007A6443">
              <w:rPr>
                <w:rFonts w:cs="Times New Roman"/>
              </w:rPr>
              <w:t>1,103</w:t>
            </w:r>
          </w:p>
        </w:tc>
        <w:tc>
          <w:tcPr>
            <w:tcW w:w="1003" w:type="pct"/>
            <w:vAlign w:val="bottom"/>
          </w:tcPr>
          <w:p w:rsidR="00440848" w:rsidRPr="007A6443" w:rsidRDefault="00440848" w:rsidP="005A02F5">
            <w:pPr>
              <w:jc w:val="center"/>
              <w:rPr>
                <w:rFonts w:cs="Times New Roman"/>
              </w:rPr>
            </w:pPr>
            <w:r w:rsidRPr="007A6443">
              <w:rPr>
                <w:rFonts w:cs="Times New Roman"/>
              </w:rPr>
              <w:t>119 (10.8)</w:t>
            </w:r>
          </w:p>
        </w:tc>
      </w:tr>
      <w:tr w:rsidR="00440848" w:rsidRPr="007A6443" w:rsidTr="005A02F5">
        <w:trPr>
          <w:trHeight w:hRule="exact" w:val="340"/>
        </w:trPr>
        <w:tc>
          <w:tcPr>
            <w:tcW w:w="1273" w:type="pct"/>
            <w:vAlign w:val="bottom"/>
          </w:tcPr>
          <w:p w:rsidR="00440848" w:rsidRPr="007A6443" w:rsidRDefault="00440848" w:rsidP="005A02F5">
            <w:pPr>
              <w:rPr>
                <w:rFonts w:cs="Times New Roman"/>
              </w:rPr>
            </w:pPr>
            <w:r w:rsidRPr="007A6443">
              <w:rPr>
                <w:rFonts w:cs="Times New Roman"/>
              </w:rPr>
              <w:t>Anxiety</w:t>
            </w:r>
          </w:p>
        </w:tc>
        <w:tc>
          <w:tcPr>
            <w:tcW w:w="860" w:type="pct"/>
            <w:vAlign w:val="bottom"/>
          </w:tcPr>
          <w:p w:rsidR="00440848" w:rsidRPr="007A6443" w:rsidRDefault="00440848" w:rsidP="005A02F5">
            <w:pPr>
              <w:jc w:val="center"/>
              <w:rPr>
                <w:rFonts w:cs="Times New Roman"/>
              </w:rPr>
            </w:pPr>
            <w:r w:rsidRPr="007A6443">
              <w:rPr>
                <w:rFonts w:cs="Times New Roman"/>
              </w:rPr>
              <w:t>1,048</w:t>
            </w:r>
          </w:p>
        </w:tc>
        <w:tc>
          <w:tcPr>
            <w:tcW w:w="1004" w:type="pct"/>
            <w:vAlign w:val="bottom"/>
          </w:tcPr>
          <w:p w:rsidR="00440848" w:rsidRPr="007A6443" w:rsidRDefault="00440848" w:rsidP="005A02F5">
            <w:pPr>
              <w:jc w:val="center"/>
              <w:rPr>
                <w:rFonts w:cs="Times New Roman"/>
              </w:rPr>
            </w:pPr>
            <w:r w:rsidRPr="007A6443">
              <w:rPr>
                <w:rFonts w:cs="Times New Roman"/>
              </w:rPr>
              <w:t>77 (7.3)</w:t>
            </w:r>
          </w:p>
        </w:tc>
        <w:tc>
          <w:tcPr>
            <w:tcW w:w="860" w:type="pct"/>
            <w:vAlign w:val="bottom"/>
          </w:tcPr>
          <w:p w:rsidR="00440848" w:rsidRPr="007A6443" w:rsidRDefault="00440848" w:rsidP="005A02F5">
            <w:pPr>
              <w:jc w:val="center"/>
              <w:rPr>
                <w:rFonts w:cs="Times New Roman"/>
              </w:rPr>
            </w:pPr>
            <w:r w:rsidRPr="007A6443">
              <w:rPr>
                <w:rFonts w:cs="Times New Roman"/>
              </w:rPr>
              <w:t>505</w:t>
            </w:r>
          </w:p>
        </w:tc>
        <w:tc>
          <w:tcPr>
            <w:tcW w:w="1003" w:type="pct"/>
            <w:vAlign w:val="bottom"/>
          </w:tcPr>
          <w:p w:rsidR="00440848" w:rsidRPr="007A6443" w:rsidRDefault="00440848" w:rsidP="005A02F5">
            <w:pPr>
              <w:jc w:val="center"/>
              <w:rPr>
                <w:rFonts w:cs="Times New Roman"/>
              </w:rPr>
            </w:pPr>
            <w:r w:rsidRPr="007A6443">
              <w:rPr>
                <w:rFonts w:cs="Times New Roman"/>
              </w:rPr>
              <w:t>50 (9.9)</w:t>
            </w:r>
          </w:p>
        </w:tc>
      </w:tr>
      <w:tr w:rsidR="00440848" w:rsidRPr="007A6443" w:rsidTr="005A02F5">
        <w:trPr>
          <w:trHeight w:hRule="exact" w:val="340"/>
        </w:trPr>
        <w:tc>
          <w:tcPr>
            <w:tcW w:w="1273" w:type="pct"/>
            <w:vAlign w:val="bottom"/>
          </w:tcPr>
          <w:p w:rsidR="00440848" w:rsidRPr="007A6443" w:rsidRDefault="00440848" w:rsidP="005A02F5">
            <w:pPr>
              <w:rPr>
                <w:rFonts w:cs="Times New Roman"/>
              </w:rPr>
            </w:pPr>
            <w:r w:rsidRPr="007A6443">
              <w:rPr>
                <w:rFonts w:cs="Times New Roman"/>
              </w:rPr>
              <w:t>Depression (with anxiety)</w:t>
            </w:r>
          </w:p>
        </w:tc>
        <w:tc>
          <w:tcPr>
            <w:tcW w:w="860" w:type="pct"/>
            <w:vAlign w:val="bottom"/>
          </w:tcPr>
          <w:p w:rsidR="00440848" w:rsidRPr="007A6443" w:rsidRDefault="00440848" w:rsidP="005A02F5">
            <w:pPr>
              <w:jc w:val="center"/>
              <w:rPr>
                <w:rFonts w:cs="Times New Roman"/>
              </w:rPr>
            </w:pPr>
            <w:r w:rsidRPr="007A6443">
              <w:rPr>
                <w:rFonts w:cs="Times New Roman"/>
              </w:rPr>
              <w:t>703</w:t>
            </w:r>
          </w:p>
        </w:tc>
        <w:tc>
          <w:tcPr>
            <w:tcW w:w="1004" w:type="pct"/>
            <w:vAlign w:val="bottom"/>
          </w:tcPr>
          <w:p w:rsidR="00440848" w:rsidRPr="007A6443" w:rsidRDefault="00440848" w:rsidP="005A02F5">
            <w:pPr>
              <w:jc w:val="center"/>
              <w:rPr>
                <w:rFonts w:cs="Times New Roman"/>
              </w:rPr>
            </w:pPr>
            <w:r w:rsidRPr="007A6443">
              <w:rPr>
                <w:rFonts w:cs="Times New Roman"/>
              </w:rPr>
              <w:t>60 (8.5)</w:t>
            </w:r>
          </w:p>
        </w:tc>
        <w:tc>
          <w:tcPr>
            <w:tcW w:w="860" w:type="pct"/>
            <w:vAlign w:val="bottom"/>
          </w:tcPr>
          <w:p w:rsidR="00440848" w:rsidRPr="007A6443" w:rsidRDefault="00440848" w:rsidP="005A02F5">
            <w:pPr>
              <w:jc w:val="center"/>
              <w:rPr>
                <w:rFonts w:cs="Times New Roman"/>
              </w:rPr>
            </w:pPr>
            <w:r w:rsidRPr="007A6443">
              <w:rPr>
                <w:rFonts w:cs="Times New Roman"/>
              </w:rPr>
              <w:t>317</w:t>
            </w:r>
          </w:p>
        </w:tc>
        <w:tc>
          <w:tcPr>
            <w:tcW w:w="1003" w:type="pct"/>
            <w:vAlign w:val="bottom"/>
          </w:tcPr>
          <w:p w:rsidR="00440848" w:rsidRPr="007A6443" w:rsidRDefault="00440848" w:rsidP="005A02F5">
            <w:pPr>
              <w:jc w:val="center"/>
              <w:rPr>
                <w:rFonts w:cs="Times New Roman"/>
              </w:rPr>
            </w:pPr>
            <w:r w:rsidRPr="007A6443">
              <w:rPr>
                <w:rFonts w:cs="Times New Roman"/>
              </w:rPr>
              <w:t>32 (10.1)</w:t>
            </w:r>
          </w:p>
        </w:tc>
      </w:tr>
      <w:tr w:rsidR="00440848" w:rsidRPr="007A6443" w:rsidTr="005A02F5">
        <w:trPr>
          <w:trHeight w:hRule="exact" w:val="340"/>
        </w:trPr>
        <w:tc>
          <w:tcPr>
            <w:tcW w:w="1273" w:type="pct"/>
            <w:vAlign w:val="bottom"/>
          </w:tcPr>
          <w:p w:rsidR="00440848" w:rsidRPr="007A6443" w:rsidRDefault="00440848" w:rsidP="005A02F5">
            <w:pPr>
              <w:rPr>
                <w:rFonts w:cs="Times New Roman"/>
              </w:rPr>
            </w:pPr>
            <w:r w:rsidRPr="007A6443">
              <w:rPr>
                <w:rFonts w:cs="Times New Roman"/>
              </w:rPr>
              <w:t>Bereavement reaction</w:t>
            </w:r>
          </w:p>
        </w:tc>
        <w:tc>
          <w:tcPr>
            <w:tcW w:w="860" w:type="pct"/>
            <w:vAlign w:val="bottom"/>
          </w:tcPr>
          <w:p w:rsidR="00440848" w:rsidRPr="007A6443" w:rsidRDefault="00440848" w:rsidP="005A02F5">
            <w:pPr>
              <w:jc w:val="center"/>
              <w:rPr>
                <w:rFonts w:cs="Times New Roman"/>
              </w:rPr>
            </w:pPr>
            <w:r w:rsidRPr="007A6443">
              <w:rPr>
                <w:rFonts w:cs="Times New Roman"/>
              </w:rPr>
              <w:t>577</w:t>
            </w:r>
          </w:p>
        </w:tc>
        <w:tc>
          <w:tcPr>
            <w:tcW w:w="1004" w:type="pct"/>
            <w:vAlign w:val="bottom"/>
          </w:tcPr>
          <w:p w:rsidR="00440848" w:rsidRPr="007A6443" w:rsidRDefault="00440848" w:rsidP="005A02F5">
            <w:pPr>
              <w:jc w:val="center"/>
              <w:rPr>
                <w:rFonts w:cs="Times New Roman"/>
              </w:rPr>
            </w:pPr>
            <w:r w:rsidRPr="007A6443">
              <w:rPr>
                <w:rFonts w:cs="Times New Roman"/>
              </w:rPr>
              <w:t>45 (7.8)</w:t>
            </w:r>
          </w:p>
        </w:tc>
        <w:tc>
          <w:tcPr>
            <w:tcW w:w="860" w:type="pct"/>
            <w:vAlign w:val="bottom"/>
          </w:tcPr>
          <w:p w:rsidR="00440848" w:rsidRPr="007A6443" w:rsidRDefault="00440848" w:rsidP="005A02F5">
            <w:pPr>
              <w:jc w:val="center"/>
              <w:rPr>
                <w:rFonts w:cs="Times New Roman"/>
              </w:rPr>
            </w:pPr>
            <w:r w:rsidRPr="007A6443">
              <w:rPr>
                <w:rFonts w:cs="Times New Roman"/>
              </w:rPr>
              <w:t>315</w:t>
            </w:r>
          </w:p>
        </w:tc>
        <w:tc>
          <w:tcPr>
            <w:tcW w:w="1003" w:type="pct"/>
            <w:vAlign w:val="bottom"/>
          </w:tcPr>
          <w:p w:rsidR="00440848" w:rsidRPr="007A6443" w:rsidRDefault="00440848" w:rsidP="005A02F5">
            <w:pPr>
              <w:jc w:val="center"/>
              <w:rPr>
                <w:rFonts w:cs="Times New Roman"/>
              </w:rPr>
            </w:pPr>
            <w:r w:rsidRPr="007A6443">
              <w:rPr>
                <w:rFonts w:cs="Times New Roman"/>
              </w:rPr>
              <w:t>24 (7.6)</w:t>
            </w:r>
          </w:p>
        </w:tc>
      </w:tr>
      <w:tr w:rsidR="00440848" w:rsidRPr="007A6443" w:rsidTr="005A02F5">
        <w:trPr>
          <w:trHeight w:hRule="exact" w:val="340"/>
        </w:trPr>
        <w:tc>
          <w:tcPr>
            <w:tcW w:w="1273" w:type="pct"/>
            <w:vAlign w:val="bottom"/>
          </w:tcPr>
          <w:p w:rsidR="00440848" w:rsidRPr="007A6443" w:rsidRDefault="00440848" w:rsidP="005A02F5">
            <w:pPr>
              <w:rPr>
                <w:rFonts w:cs="Times New Roman"/>
              </w:rPr>
            </w:pPr>
            <w:r w:rsidRPr="007A6443">
              <w:rPr>
                <w:rFonts w:cs="Times New Roman"/>
              </w:rPr>
              <w:t>Substance misuse</w:t>
            </w:r>
          </w:p>
        </w:tc>
        <w:tc>
          <w:tcPr>
            <w:tcW w:w="860" w:type="pct"/>
            <w:vAlign w:val="bottom"/>
          </w:tcPr>
          <w:p w:rsidR="00440848" w:rsidRPr="007A6443" w:rsidRDefault="00440848" w:rsidP="005A02F5">
            <w:pPr>
              <w:jc w:val="center"/>
              <w:rPr>
                <w:rFonts w:cs="Times New Roman"/>
              </w:rPr>
            </w:pPr>
            <w:r w:rsidRPr="007A6443">
              <w:rPr>
                <w:rFonts w:cs="Times New Roman"/>
              </w:rPr>
              <w:t>96</w:t>
            </w:r>
          </w:p>
        </w:tc>
        <w:tc>
          <w:tcPr>
            <w:tcW w:w="1004" w:type="pct"/>
            <w:vAlign w:val="bottom"/>
          </w:tcPr>
          <w:p w:rsidR="00440848" w:rsidRPr="007A6443" w:rsidRDefault="00440848" w:rsidP="005A02F5">
            <w:pPr>
              <w:jc w:val="center"/>
              <w:rPr>
                <w:rFonts w:cs="Times New Roman"/>
              </w:rPr>
            </w:pPr>
            <w:r w:rsidRPr="007A6443">
              <w:rPr>
                <w:rFonts w:cs="Times New Roman"/>
              </w:rPr>
              <w:t>2 (2.1)</w:t>
            </w:r>
          </w:p>
        </w:tc>
        <w:tc>
          <w:tcPr>
            <w:tcW w:w="860" w:type="pct"/>
            <w:vAlign w:val="bottom"/>
          </w:tcPr>
          <w:p w:rsidR="00440848" w:rsidRPr="007A6443" w:rsidRDefault="00440848" w:rsidP="005A02F5">
            <w:pPr>
              <w:jc w:val="center"/>
              <w:rPr>
                <w:rFonts w:cs="Times New Roman"/>
              </w:rPr>
            </w:pPr>
            <w:r w:rsidRPr="007A6443">
              <w:rPr>
                <w:rFonts w:cs="Times New Roman"/>
              </w:rPr>
              <w:t>55</w:t>
            </w:r>
          </w:p>
        </w:tc>
        <w:tc>
          <w:tcPr>
            <w:tcW w:w="1003" w:type="pct"/>
            <w:vAlign w:val="bottom"/>
          </w:tcPr>
          <w:p w:rsidR="00440848" w:rsidRPr="007A6443" w:rsidRDefault="00440848" w:rsidP="005A02F5">
            <w:pPr>
              <w:jc w:val="center"/>
              <w:rPr>
                <w:rFonts w:cs="Times New Roman"/>
              </w:rPr>
            </w:pPr>
            <w:r w:rsidRPr="007A6443">
              <w:rPr>
                <w:rFonts w:cs="Times New Roman"/>
              </w:rPr>
              <w:t>1 (1.8)</w:t>
            </w:r>
          </w:p>
        </w:tc>
      </w:tr>
      <w:tr w:rsidR="00440848" w:rsidRPr="007A6443" w:rsidTr="005A02F5">
        <w:trPr>
          <w:trHeight w:hRule="exact" w:val="340"/>
        </w:trPr>
        <w:tc>
          <w:tcPr>
            <w:tcW w:w="1273" w:type="pct"/>
            <w:vAlign w:val="bottom"/>
          </w:tcPr>
          <w:p w:rsidR="00440848" w:rsidRPr="007A6443" w:rsidRDefault="00440848" w:rsidP="005A02F5">
            <w:pPr>
              <w:rPr>
                <w:rFonts w:cs="Times New Roman"/>
              </w:rPr>
            </w:pPr>
            <w:r w:rsidRPr="007A6443">
              <w:rPr>
                <w:rFonts w:cs="Times New Roman"/>
              </w:rPr>
              <w:t xml:space="preserve">Other </w:t>
            </w:r>
            <w:r>
              <w:rPr>
                <w:rFonts w:cs="Times New Roman"/>
              </w:rPr>
              <w:t>CMD</w:t>
            </w:r>
          </w:p>
        </w:tc>
        <w:tc>
          <w:tcPr>
            <w:tcW w:w="860" w:type="pct"/>
            <w:vAlign w:val="bottom"/>
          </w:tcPr>
          <w:p w:rsidR="00440848" w:rsidRPr="007A6443" w:rsidRDefault="00440848" w:rsidP="005A02F5">
            <w:pPr>
              <w:jc w:val="center"/>
              <w:rPr>
                <w:rFonts w:cs="Times New Roman"/>
              </w:rPr>
            </w:pPr>
            <w:r w:rsidRPr="007A6443">
              <w:rPr>
                <w:rFonts w:cs="Times New Roman"/>
              </w:rPr>
              <w:t>193</w:t>
            </w:r>
          </w:p>
        </w:tc>
        <w:tc>
          <w:tcPr>
            <w:tcW w:w="1004" w:type="pct"/>
            <w:vAlign w:val="bottom"/>
          </w:tcPr>
          <w:p w:rsidR="00440848" w:rsidRPr="007A6443" w:rsidRDefault="00440848" w:rsidP="005A02F5">
            <w:pPr>
              <w:jc w:val="center"/>
              <w:rPr>
                <w:rFonts w:cs="Times New Roman"/>
              </w:rPr>
            </w:pPr>
            <w:r w:rsidRPr="007A6443">
              <w:rPr>
                <w:rFonts w:cs="Times New Roman"/>
              </w:rPr>
              <w:t>8 (4.1)</w:t>
            </w:r>
          </w:p>
        </w:tc>
        <w:tc>
          <w:tcPr>
            <w:tcW w:w="860" w:type="pct"/>
            <w:vAlign w:val="bottom"/>
          </w:tcPr>
          <w:p w:rsidR="00440848" w:rsidRPr="007A6443" w:rsidRDefault="00440848" w:rsidP="005A02F5">
            <w:pPr>
              <w:jc w:val="center"/>
              <w:rPr>
                <w:rFonts w:cs="Times New Roman"/>
              </w:rPr>
            </w:pPr>
            <w:r w:rsidRPr="007A6443">
              <w:rPr>
                <w:rFonts w:cs="Times New Roman"/>
              </w:rPr>
              <w:t>122</w:t>
            </w:r>
          </w:p>
        </w:tc>
        <w:tc>
          <w:tcPr>
            <w:tcW w:w="1003" w:type="pct"/>
            <w:vAlign w:val="bottom"/>
          </w:tcPr>
          <w:p w:rsidR="00440848" w:rsidRPr="007A6443" w:rsidRDefault="00440848" w:rsidP="005A02F5">
            <w:pPr>
              <w:jc w:val="center"/>
              <w:rPr>
                <w:rFonts w:cs="Times New Roman"/>
              </w:rPr>
            </w:pPr>
            <w:r w:rsidRPr="007A6443">
              <w:rPr>
                <w:rFonts w:cs="Times New Roman"/>
              </w:rPr>
              <w:t>9 (7.6)</w:t>
            </w:r>
          </w:p>
        </w:tc>
      </w:tr>
      <w:tr w:rsidR="00440848" w:rsidRPr="007A6443" w:rsidTr="005A02F5">
        <w:trPr>
          <w:trHeight w:hRule="exact" w:val="340"/>
        </w:trPr>
        <w:tc>
          <w:tcPr>
            <w:tcW w:w="1273" w:type="pct"/>
            <w:tcBorders>
              <w:bottom w:val="single" w:sz="4" w:space="0" w:color="auto"/>
            </w:tcBorders>
            <w:vAlign w:val="bottom"/>
          </w:tcPr>
          <w:p w:rsidR="00440848" w:rsidRPr="007A6443" w:rsidRDefault="00440848" w:rsidP="005A02F5">
            <w:pPr>
              <w:rPr>
                <w:rFonts w:cs="Times New Roman"/>
              </w:rPr>
            </w:pPr>
            <w:r w:rsidRPr="007A6443">
              <w:rPr>
                <w:rFonts w:cs="Times New Roman"/>
              </w:rPr>
              <w:t xml:space="preserve">All </w:t>
            </w:r>
            <w:r>
              <w:rPr>
                <w:rFonts w:cs="Times New Roman"/>
              </w:rPr>
              <w:t>CMD</w:t>
            </w:r>
            <w:r w:rsidRPr="007A6443">
              <w:rPr>
                <w:rFonts w:cs="Times New Roman"/>
              </w:rPr>
              <w:t>s</w:t>
            </w:r>
          </w:p>
        </w:tc>
        <w:tc>
          <w:tcPr>
            <w:tcW w:w="860" w:type="pct"/>
            <w:tcBorders>
              <w:bottom w:val="single" w:sz="4" w:space="0" w:color="auto"/>
            </w:tcBorders>
            <w:vAlign w:val="bottom"/>
          </w:tcPr>
          <w:p w:rsidR="00440848" w:rsidRPr="007A6443" w:rsidRDefault="00440848" w:rsidP="005A02F5">
            <w:pPr>
              <w:jc w:val="center"/>
              <w:rPr>
                <w:rFonts w:cs="Times New Roman"/>
              </w:rPr>
            </w:pPr>
            <w:r w:rsidRPr="007A6443">
              <w:rPr>
                <w:rFonts w:cs="Times New Roman"/>
              </w:rPr>
              <w:t>8,074</w:t>
            </w:r>
          </w:p>
        </w:tc>
        <w:tc>
          <w:tcPr>
            <w:tcW w:w="1004" w:type="pct"/>
            <w:tcBorders>
              <w:bottom w:val="single" w:sz="4" w:space="0" w:color="auto"/>
            </w:tcBorders>
            <w:vAlign w:val="bottom"/>
          </w:tcPr>
          <w:p w:rsidR="00440848" w:rsidRPr="007A6443" w:rsidRDefault="00440848" w:rsidP="005A02F5">
            <w:pPr>
              <w:jc w:val="center"/>
              <w:rPr>
                <w:rFonts w:cs="Times New Roman"/>
              </w:rPr>
            </w:pPr>
            <w:r w:rsidRPr="007A6443">
              <w:rPr>
                <w:rFonts w:cs="Times New Roman"/>
              </w:rPr>
              <w:t>562 (7.0)</w:t>
            </w:r>
          </w:p>
        </w:tc>
        <w:tc>
          <w:tcPr>
            <w:tcW w:w="860" w:type="pct"/>
            <w:tcBorders>
              <w:bottom w:val="single" w:sz="4" w:space="0" w:color="auto"/>
            </w:tcBorders>
            <w:vAlign w:val="bottom"/>
          </w:tcPr>
          <w:p w:rsidR="00440848" w:rsidRPr="007A6443" w:rsidRDefault="00440848" w:rsidP="005A02F5">
            <w:pPr>
              <w:jc w:val="center"/>
              <w:rPr>
                <w:rFonts w:cs="Times New Roman"/>
              </w:rPr>
            </w:pPr>
            <w:r w:rsidRPr="007A6443">
              <w:rPr>
                <w:rFonts w:cs="Times New Roman"/>
              </w:rPr>
              <w:t>3,950</w:t>
            </w:r>
          </w:p>
        </w:tc>
        <w:tc>
          <w:tcPr>
            <w:tcW w:w="1003" w:type="pct"/>
            <w:tcBorders>
              <w:bottom w:val="single" w:sz="4" w:space="0" w:color="auto"/>
            </w:tcBorders>
            <w:vAlign w:val="bottom"/>
          </w:tcPr>
          <w:p w:rsidR="00440848" w:rsidRPr="007A6443" w:rsidRDefault="00440848" w:rsidP="005A02F5">
            <w:pPr>
              <w:jc w:val="center"/>
              <w:rPr>
                <w:rFonts w:cs="Times New Roman"/>
              </w:rPr>
            </w:pPr>
            <w:r w:rsidRPr="007A6443">
              <w:rPr>
                <w:rFonts w:cs="Times New Roman"/>
              </w:rPr>
              <w:t>392 (9.9)</w:t>
            </w:r>
          </w:p>
        </w:tc>
      </w:tr>
    </w:tbl>
    <w:p w:rsidR="00440848" w:rsidRPr="007A6443" w:rsidRDefault="00440848" w:rsidP="00440848">
      <w:pPr>
        <w:pStyle w:val="Caption"/>
        <w:rPr>
          <w:rFonts w:asciiTheme="minorHAnsi" w:hAnsiTheme="minorHAnsi" w:cs="Times New Roman"/>
        </w:rPr>
      </w:pPr>
    </w:p>
    <w:p w:rsidR="00440848" w:rsidRDefault="00440848" w:rsidP="00440848"/>
    <w:p w:rsidR="00440848" w:rsidRPr="007A6443" w:rsidRDefault="00440848" w:rsidP="00440848"/>
    <w:p w:rsidR="00440848" w:rsidRPr="001150C0" w:rsidRDefault="00440848" w:rsidP="00440848">
      <w:pPr>
        <w:rPr>
          <w:b/>
        </w:rPr>
      </w:pPr>
      <w:r w:rsidRPr="001150C0">
        <w:rPr>
          <w:b/>
        </w:rPr>
        <w:t xml:space="preserve">Table 4  </w:t>
      </w:r>
      <w:r w:rsidRPr="001150C0">
        <w:t>Types of ‘may be fit’ advice on fit notes issued to CMD patients</w:t>
      </w:r>
    </w:p>
    <w:tbl>
      <w:tblPr>
        <w:tblStyle w:val="TableGrid"/>
        <w:tblW w:w="54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41"/>
        <w:gridCol w:w="979"/>
        <w:gridCol w:w="1134"/>
        <w:gridCol w:w="1170"/>
        <w:gridCol w:w="1467"/>
        <w:gridCol w:w="1611"/>
        <w:gridCol w:w="1729"/>
      </w:tblGrid>
      <w:tr w:rsidR="00440848" w:rsidRPr="001150C0" w:rsidTr="005A02F5">
        <w:trPr>
          <w:tblHeader/>
        </w:trPr>
        <w:tc>
          <w:tcPr>
            <w:tcW w:w="4138" w:type="pct"/>
            <w:gridSpan w:val="6"/>
            <w:tcBorders>
              <w:top w:val="single" w:sz="4" w:space="0" w:color="auto"/>
            </w:tcBorders>
            <w:vAlign w:val="bottom"/>
          </w:tcPr>
          <w:p w:rsidR="00440848" w:rsidRPr="001150C0" w:rsidRDefault="00440848" w:rsidP="005A02F5">
            <w:pPr>
              <w:pStyle w:val="Table"/>
              <w:rPr>
                <w:rFonts w:asciiTheme="minorHAnsi" w:hAnsiTheme="minorHAnsi"/>
                <w:b/>
                <w:sz w:val="22"/>
                <w:szCs w:val="22"/>
              </w:rPr>
            </w:pPr>
            <w:r w:rsidRPr="001150C0">
              <w:rPr>
                <w:rFonts w:asciiTheme="minorHAnsi" w:hAnsiTheme="minorHAnsi"/>
                <w:b/>
                <w:sz w:val="22"/>
                <w:szCs w:val="22"/>
              </w:rPr>
              <w:t xml:space="preserve">                                                    </w:t>
            </w:r>
            <w:r w:rsidRPr="001150C0">
              <w:rPr>
                <w:rFonts w:asciiTheme="minorHAnsi" w:hAnsiTheme="minorHAnsi"/>
                <w:b/>
                <w:sz w:val="22"/>
                <w:szCs w:val="22"/>
                <w:u w:val="single"/>
              </w:rPr>
              <w:t>Structured advice item checked on fit note</w:t>
            </w:r>
          </w:p>
        </w:tc>
        <w:tc>
          <w:tcPr>
            <w:tcW w:w="862" w:type="pct"/>
            <w:tcBorders>
              <w:top w:val="single" w:sz="4" w:space="0" w:color="auto"/>
            </w:tcBorders>
          </w:tcPr>
          <w:p w:rsidR="00440848" w:rsidRPr="001150C0" w:rsidRDefault="00440848" w:rsidP="005A02F5">
            <w:pPr>
              <w:pStyle w:val="Table"/>
              <w:rPr>
                <w:rFonts w:asciiTheme="minorHAnsi" w:hAnsiTheme="minorHAnsi"/>
                <w:b/>
                <w:sz w:val="22"/>
                <w:szCs w:val="22"/>
              </w:rPr>
            </w:pPr>
          </w:p>
        </w:tc>
      </w:tr>
      <w:tr w:rsidR="00440848" w:rsidRPr="001150C0" w:rsidTr="005A02F5">
        <w:trPr>
          <w:tblHeader/>
        </w:trPr>
        <w:tc>
          <w:tcPr>
            <w:tcW w:w="968" w:type="pct"/>
            <w:tcBorders>
              <w:bottom w:val="single" w:sz="4" w:space="0" w:color="auto"/>
            </w:tcBorders>
            <w:vAlign w:val="bottom"/>
          </w:tcPr>
          <w:p w:rsidR="00440848" w:rsidRPr="001150C0" w:rsidRDefault="00440848" w:rsidP="005A02F5">
            <w:pPr>
              <w:pStyle w:val="Table"/>
              <w:rPr>
                <w:rFonts w:asciiTheme="minorHAnsi" w:hAnsiTheme="minorHAnsi"/>
                <w:i/>
                <w:sz w:val="22"/>
                <w:szCs w:val="22"/>
              </w:rPr>
            </w:pPr>
            <w:r w:rsidRPr="001150C0">
              <w:rPr>
                <w:rFonts w:asciiTheme="minorHAnsi" w:hAnsiTheme="minorHAnsi"/>
                <w:i/>
                <w:sz w:val="22"/>
                <w:szCs w:val="22"/>
              </w:rPr>
              <w:t>Row percentages</w:t>
            </w:r>
          </w:p>
        </w:tc>
        <w:tc>
          <w:tcPr>
            <w:tcW w:w="488" w:type="pct"/>
            <w:tcBorders>
              <w:bottom w:val="single" w:sz="4" w:space="0" w:color="auto"/>
            </w:tcBorders>
            <w:vAlign w:val="bottom"/>
          </w:tcPr>
          <w:p w:rsidR="00440848" w:rsidRPr="001150C0" w:rsidRDefault="00440848" w:rsidP="005A02F5">
            <w:pPr>
              <w:pStyle w:val="Table"/>
              <w:rPr>
                <w:rFonts w:asciiTheme="minorHAnsi" w:hAnsiTheme="minorHAnsi"/>
                <w:b/>
                <w:sz w:val="22"/>
                <w:szCs w:val="22"/>
              </w:rPr>
            </w:pPr>
            <w:r w:rsidRPr="001150C0">
              <w:rPr>
                <w:rFonts w:asciiTheme="minorHAnsi" w:hAnsiTheme="minorHAnsi"/>
                <w:b/>
                <w:sz w:val="22"/>
                <w:szCs w:val="22"/>
              </w:rPr>
              <w:t>No of ‘may be fit’ notes</w:t>
            </w:r>
          </w:p>
        </w:tc>
        <w:tc>
          <w:tcPr>
            <w:tcW w:w="565" w:type="pct"/>
            <w:tcBorders>
              <w:bottom w:val="single" w:sz="4" w:space="0" w:color="auto"/>
            </w:tcBorders>
            <w:vAlign w:val="bottom"/>
          </w:tcPr>
          <w:p w:rsidR="00440848" w:rsidRPr="00144F80" w:rsidRDefault="00440848" w:rsidP="005A02F5">
            <w:pPr>
              <w:pStyle w:val="Table"/>
              <w:rPr>
                <w:rFonts w:asciiTheme="minorHAnsi" w:hAnsiTheme="minorHAnsi"/>
                <w:b/>
                <w:sz w:val="22"/>
                <w:szCs w:val="22"/>
              </w:rPr>
            </w:pPr>
            <w:r w:rsidRPr="001150C0">
              <w:rPr>
                <w:rFonts w:asciiTheme="minorHAnsi" w:hAnsiTheme="minorHAnsi"/>
                <w:b/>
                <w:sz w:val="22"/>
                <w:szCs w:val="22"/>
              </w:rPr>
              <w:t>‘Phased return to work’</w:t>
            </w:r>
          </w:p>
          <w:p w:rsidR="00440848" w:rsidRPr="001150C0" w:rsidRDefault="00440848" w:rsidP="005A02F5">
            <w:pPr>
              <w:pStyle w:val="Table"/>
              <w:rPr>
                <w:rFonts w:asciiTheme="minorHAnsi" w:hAnsiTheme="minorHAnsi"/>
                <w:i/>
                <w:sz w:val="22"/>
                <w:szCs w:val="22"/>
              </w:rPr>
            </w:pPr>
            <w:r w:rsidRPr="001150C0">
              <w:rPr>
                <w:rFonts w:asciiTheme="minorHAnsi" w:hAnsiTheme="minorHAnsi"/>
                <w:i/>
                <w:sz w:val="22"/>
                <w:szCs w:val="22"/>
              </w:rPr>
              <w:t xml:space="preserve">n </w:t>
            </w:r>
            <w:r w:rsidRPr="001150C0">
              <w:rPr>
                <w:rFonts w:asciiTheme="minorHAnsi" w:hAnsiTheme="minorHAnsi"/>
                <w:sz w:val="22"/>
                <w:szCs w:val="22"/>
              </w:rPr>
              <w:t>(%)</w:t>
            </w:r>
          </w:p>
        </w:tc>
        <w:tc>
          <w:tcPr>
            <w:tcW w:w="583" w:type="pct"/>
            <w:tcBorders>
              <w:bottom w:val="single" w:sz="4" w:space="0" w:color="auto"/>
            </w:tcBorders>
            <w:vAlign w:val="bottom"/>
          </w:tcPr>
          <w:p w:rsidR="00440848" w:rsidRPr="001150C0" w:rsidRDefault="00440848" w:rsidP="005A02F5">
            <w:pPr>
              <w:pStyle w:val="Table"/>
              <w:rPr>
                <w:rFonts w:asciiTheme="minorHAnsi" w:hAnsiTheme="minorHAnsi"/>
                <w:b/>
                <w:sz w:val="22"/>
                <w:szCs w:val="22"/>
              </w:rPr>
            </w:pPr>
            <w:r w:rsidRPr="001150C0">
              <w:rPr>
                <w:rFonts w:asciiTheme="minorHAnsi" w:hAnsiTheme="minorHAnsi"/>
                <w:b/>
                <w:sz w:val="22"/>
                <w:szCs w:val="22"/>
              </w:rPr>
              <w:t>‘Altered hours of work’</w:t>
            </w:r>
          </w:p>
          <w:p w:rsidR="00440848" w:rsidRPr="001150C0" w:rsidRDefault="00440848" w:rsidP="005A02F5">
            <w:pPr>
              <w:pStyle w:val="Table"/>
              <w:rPr>
                <w:rFonts w:asciiTheme="minorHAnsi" w:hAnsiTheme="minorHAnsi"/>
                <w:i/>
                <w:sz w:val="22"/>
                <w:szCs w:val="22"/>
              </w:rPr>
            </w:pPr>
            <w:r w:rsidRPr="001150C0">
              <w:rPr>
                <w:rFonts w:asciiTheme="minorHAnsi" w:hAnsiTheme="minorHAnsi"/>
                <w:i/>
                <w:sz w:val="22"/>
                <w:szCs w:val="22"/>
              </w:rPr>
              <w:t xml:space="preserve">n </w:t>
            </w:r>
            <w:r w:rsidRPr="001150C0">
              <w:rPr>
                <w:rFonts w:asciiTheme="minorHAnsi" w:hAnsiTheme="minorHAnsi"/>
                <w:sz w:val="22"/>
                <w:szCs w:val="22"/>
              </w:rPr>
              <w:t>(%)</w:t>
            </w:r>
          </w:p>
        </w:tc>
        <w:tc>
          <w:tcPr>
            <w:tcW w:w="731" w:type="pct"/>
            <w:tcBorders>
              <w:bottom w:val="single" w:sz="4" w:space="0" w:color="auto"/>
            </w:tcBorders>
            <w:vAlign w:val="bottom"/>
          </w:tcPr>
          <w:p w:rsidR="00440848" w:rsidRPr="001150C0" w:rsidRDefault="00440848" w:rsidP="005A02F5">
            <w:pPr>
              <w:pStyle w:val="Table"/>
              <w:rPr>
                <w:rFonts w:asciiTheme="minorHAnsi" w:hAnsiTheme="minorHAnsi"/>
                <w:b/>
                <w:sz w:val="22"/>
                <w:szCs w:val="22"/>
              </w:rPr>
            </w:pPr>
            <w:r w:rsidRPr="001150C0">
              <w:rPr>
                <w:rFonts w:asciiTheme="minorHAnsi" w:hAnsiTheme="minorHAnsi"/>
                <w:b/>
                <w:sz w:val="22"/>
                <w:szCs w:val="22"/>
              </w:rPr>
              <w:t>‘Amended work duties’</w:t>
            </w:r>
          </w:p>
          <w:p w:rsidR="00440848" w:rsidRPr="001150C0" w:rsidRDefault="00440848" w:rsidP="005A02F5">
            <w:pPr>
              <w:pStyle w:val="Table"/>
              <w:rPr>
                <w:rFonts w:asciiTheme="minorHAnsi" w:hAnsiTheme="minorHAnsi"/>
                <w:i/>
                <w:sz w:val="22"/>
                <w:szCs w:val="22"/>
              </w:rPr>
            </w:pPr>
            <w:r w:rsidRPr="001150C0">
              <w:rPr>
                <w:rFonts w:asciiTheme="minorHAnsi" w:hAnsiTheme="minorHAnsi"/>
                <w:i/>
                <w:sz w:val="22"/>
                <w:szCs w:val="22"/>
              </w:rPr>
              <w:t xml:space="preserve">n </w:t>
            </w:r>
            <w:r w:rsidRPr="001150C0">
              <w:rPr>
                <w:rFonts w:asciiTheme="minorHAnsi" w:hAnsiTheme="minorHAnsi"/>
                <w:sz w:val="22"/>
                <w:szCs w:val="22"/>
              </w:rPr>
              <w:t>(%)</w:t>
            </w:r>
          </w:p>
        </w:tc>
        <w:tc>
          <w:tcPr>
            <w:tcW w:w="803" w:type="pct"/>
            <w:tcBorders>
              <w:bottom w:val="single" w:sz="4" w:space="0" w:color="auto"/>
            </w:tcBorders>
            <w:vAlign w:val="bottom"/>
          </w:tcPr>
          <w:p w:rsidR="00440848" w:rsidRPr="001150C0" w:rsidRDefault="00440848" w:rsidP="005A02F5">
            <w:pPr>
              <w:pStyle w:val="Table"/>
              <w:rPr>
                <w:rFonts w:asciiTheme="minorHAnsi" w:hAnsiTheme="minorHAnsi"/>
                <w:b/>
                <w:sz w:val="22"/>
                <w:szCs w:val="22"/>
              </w:rPr>
            </w:pPr>
            <w:r w:rsidRPr="001150C0">
              <w:rPr>
                <w:rFonts w:asciiTheme="minorHAnsi" w:hAnsiTheme="minorHAnsi"/>
                <w:b/>
                <w:sz w:val="22"/>
                <w:szCs w:val="22"/>
              </w:rPr>
              <w:t>‘Workplace adaptations’</w:t>
            </w:r>
          </w:p>
          <w:p w:rsidR="00440848" w:rsidRPr="001150C0" w:rsidRDefault="00440848" w:rsidP="005A02F5">
            <w:pPr>
              <w:pStyle w:val="Table"/>
              <w:rPr>
                <w:rFonts w:asciiTheme="minorHAnsi" w:hAnsiTheme="minorHAnsi"/>
                <w:i/>
                <w:sz w:val="22"/>
                <w:szCs w:val="22"/>
              </w:rPr>
            </w:pPr>
            <w:r w:rsidRPr="001150C0">
              <w:rPr>
                <w:rFonts w:asciiTheme="minorHAnsi" w:hAnsiTheme="minorHAnsi"/>
                <w:i/>
                <w:sz w:val="22"/>
                <w:szCs w:val="22"/>
              </w:rPr>
              <w:t xml:space="preserve">n </w:t>
            </w:r>
            <w:r w:rsidRPr="001150C0">
              <w:rPr>
                <w:rFonts w:asciiTheme="minorHAnsi" w:hAnsiTheme="minorHAnsi"/>
                <w:sz w:val="22"/>
                <w:szCs w:val="22"/>
              </w:rPr>
              <w:t>(%)</w:t>
            </w:r>
          </w:p>
        </w:tc>
        <w:tc>
          <w:tcPr>
            <w:tcW w:w="862" w:type="pct"/>
            <w:tcBorders>
              <w:bottom w:val="single" w:sz="4" w:space="0" w:color="auto"/>
            </w:tcBorders>
            <w:vAlign w:val="bottom"/>
          </w:tcPr>
          <w:p w:rsidR="00440848" w:rsidRPr="001150C0" w:rsidRDefault="00440848" w:rsidP="005A02F5">
            <w:pPr>
              <w:pStyle w:val="Table"/>
              <w:rPr>
                <w:rFonts w:asciiTheme="minorHAnsi" w:hAnsiTheme="minorHAnsi"/>
                <w:b/>
                <w:sz w:val="22"/>
                <w:szCs w:val="22"/>
              </w:rPr>
            </w:pPr>
            <w:r w:rsidRPr="001150C0">
              <w:rPr>
                <w:rFonts w:asciiTheme="minorHAnsi" w:hAnsiTheme="minorHAnsi"/>
                <w:b/>
                <w:sz w:val="22"/>
                <w:szCs w:val="22"/>
              </w:rPr>
              <w:t>Comment (written advice)</w:t>
            </w:r>
          </w:p>
          <w:p w:rsidR="00440848" w:rsidRPr="001150C0" w:rsidRDefault="00440848" w:rsidP="005A02F5">
            <w:pPr>
              <w:pStyle w:val="Table"/>
              <w:rPr>
                <w:rFonts w:asciiTheme="minorHAnsi" w:hAnsiTheme="minorHAnsi"/>
                <w:i/>
                <w:sz w:val="22"/>
                <w:szCs w:val="22"/>
              </w:rPr>
            </w:pPr>
            <w:r w:rsidRPr="001150C0">
              <w:rPr>
                <w:rFonts w:asciiTheme="minorHAnsi" w:hAnsiTheme="minorHAnsi"/>
                <w:i/>
                <w:sz w:val="22"/>
                <w:szCs w:val="22"/>
              </w:rPr>
              <w:t xml:space="preserve">n </w:t>
            </w:r>
            <w:r w:rsidRPr="001150C0">
              <w:rPr>
                <w:rFonts w:asciiTheme="minorHAnsi" w:hAnsiTheme="minorHAnsi"/>
                <w:sz w:val="22"/>
                <w:szCs w:val="22"/>
              </w:rPr>
              <w:t>(%)</w:t>
            </w:r>
          </w:p>
        </w:tc>
      </w:tr>
      <w:tr w:rsidR="00440848" w:rsidRPr="001150C0" w:rsidTr="005A02F5">
        <w:trPr>
          <w:trHeight w:val="340"/>
        </w:trPr>
        <w:tc>
          <w:tcPr>
            <w:tcW w:w="968" w:type="pct"/>
            <w:tcBorders>
              <w:top w:val="single" w:sz="4" w:space="0" w:color="auto"/>
            </w:tcBorders>
            <w:vAlign w:val="bottom"/>
          </w:tcPr>
          <w:p w:rsidR="00440848" w:rsidRDefault="00440848" w:rsidP="005A02F5">
            <w:pPr>
              <w:rPr>
                <w:rFonts w:cs="Times New Roman"/>
              </w:rPr>
            </w:pPr>
          </w:p>
          <w:p w:rsidR="00440848" w:rsidRPr="001150C0" w:rsidRDefault="00440848" w:rsidP="005A02F5">
            <w:pPr>
              <w:rPr>
                <w:rFonts w:cs="Times New Roman"/>
              </w:rPr>
            </w:pPr>
            <w:r w:rsidRPr="001150C0">
              <w:rPr>
                <w:rFonts w:cs="Times New Roman"/>
              </w:rPr>
              <w:t xml:space="preserve">Stress </w:t>
            </w:r>
          </w:p>
        </w:tc>
        <w:tc>
          <w:tcPr>
            <w:tcW w:w="488" w:type="pct"/>
            <w:tcBorders>
              <w:top w:val="single" w:sz="4" w:space="0" w:color="auto"/>
            </w:tcBorders>
            <w:vAlign w:val="bottom"/>
          </w:tcPr>
          <w:p w:rsidR="00440848" w:rsidRPr="001150C0" w:rsidRDefault="00440848" w:rsidP="005A02F5">
            <w:pPr>
              <w:jc w:val="center"/>
              <w:rPr>
                <w:rFonts w:cs="Times New Roman"/>
              </w:rPr>
            </w:pPr>
            <w:r w:rsidRPr="001150C0">
              <w:rPr>
                <w:rFonts w:cs="Times New Roman"/>
              </w:rPr>
              <w:t>191</w:t>
            </w:r>
          </w:p>
        </w:tc>
        <w:tc>
          <w:tcPr>
            <w:tcW w:w="565" w:type="pct"/>
            <w:tcBorders>
              <w:top w:val="single" w:sz="4" w:space="0" w:color="auto"/>
            </w:tcBorders>
            <w:vAlign w:val="bottom"/>
          </w:tcPr>
          <w:p w:rsidR="00440848" w:rsidRPr="001150C0" w:rsidRDefault="00440848" w:rsidP="005A02F5">
            <w:pPr>
              <w:jc w:val="center"/>
              <w:rPr>
                <w:rFonts w:cs="Times New Roman"/>
              </w:rPr>
            </w:pPr>
            <w:r w:rsidRPr="001150C0">
              <w:rPr>
                <w:rFonts w:cs="Times New Roman"/>
              </w:rPr>
              <w:t>90 (47.1)</w:t>
            </w:r>
          </w:p>
        </w:tc>
        <w:tc>
          <w:tcPr>
            <w:tcW w:w="583" w:type="pct"/>
            <w:tcBorders>
              <w:top w:val="single" w:sz="4" w:space="0" w:color="auto"/>
            </w:tcBorders>
            <w:vAlign w:val="bottom"/>
          </w:tcPr>
          <w:p w:rsidR="00440848" w:rsidRPr="001150C0" w:rsidRDefault="00440848" w:rsidP="005A02F5">
            <w:pPr>
              <w:jc w:val="center"/>
              <w:rPr>
                <w:rFonts w:cs="Times New Roman"/>
              </w:rPr>
            </w:pPr>
            <w:r w:rsidRPr="001150C0">
              <w:rPr>
                <w:rFonts w:cs="Times New Roman"/>
              </w:rPr>
              <w:t>61 (31.9)</w:t>
            </w:r>
          </w:p>
        </w:tc>
        <w:tc>
          <w:tcPr>
            <w:tcW w:w="731" w:type="pct"/>
            <w:tcBorders>
              <w:top w:val="single" w:sz="4" w:space="0" w:color="auto"/>
            </w:tcBorders>
            <w:vAlign w:val="bottom"/>
          </w:tcPr>
          <w:p w:rsidR="00440848" w:rsidRPr="001150C0" w:rsidRDefault="00440848" w:rsidP="005A02F5">
            <w:pPr>
              <w:jc w:val="center"/>
              <w:rPr>
                <w:rFonts w:cs="Times New Roman"/>
              </w:rPr>
            </w:pPr>
            <w:r w:rsidRPr="001150C0">
              <w:rPr>
                <w:rFonts w:cs="Times New Roman"/>
              </w:rPr>
              <w:t>53 (27.7)</w:t>
            </w:r>
          </w:p>
        </w:tc>
        <w:tc>
          <w:tcPr>
            <w:tcW w:w="803" w:type="pct"/>
            <w:tcBorders>
              <w:top w:val="single" w:sz="4" w:space="0" w:color="auto"/>
            </w:tcBorders>
            <w:vAlign w:val="bottom"/>
          </w:tcPr>
          <w:p w:rsidR="00440848" w:rsidRPr="001150C0" w:rsidRDefault="00440848" w:rsidP="005A02F5">
            <w:pPr>
              <w:jc w:val="center"/>
              <w:rPr>
                <w:rFonts w:cs="Times New Roman"/>
              </w:rPr>
            </w:pPr>
            <w:r w:rsidRPr="001150C0">
              <w:rPr>
                <w:rFonts w:cs="Times New Roman"/>
              </w:rPr>
              <w:t>18 (9.4)</w:t>
            </w:r>
          </w:p>
        </w:tc>
        <w:tc>
          <w:tcPr>
            <w:tcW w:w="862" w:type="pct"/>
            <w:tcBorders>
              <w:top w:val="single" w:sz="4" w:space="0" w:color="auto"/>
            </w:tcBorders>
            <w:vAlign w:val="bottom"/>
          </w:tcPr>
          <w:p w:rsidR="00440848" w:rsidRPr="001150C0" w:rsidRDefault="00440848" w:rsidP="005A02F5">
            <w:pPr>
              <w:jc w:val="center"/>
              <w:rPr>
                <w:rFonts w:cs="Times New Roman"/>
              </w:rPr>
            </w:pPr>
            <w:r w:rsidRPr="001150C0">
              <w:rPr>
                <w:rFonts w:cs="Times New Roman"/>
              </w:rPr>
              <w:t>115 (60.2)</w:t>
            </w:r>
          </w:p>
        </w:tc>
      </w:tr>
      <w:tr w:rsidR="00440848" w:rsidRPr="001150C0" w:rsidTr="005A02F5">
        <w:trPr>
          <w:trHeight w:val="340"/>
        </w:trPr>
        <w:tc>
          <w:tcPr>
            <w:tcW w:w="968" w:type="pct"/>
            <w:vAlign w:val="bottom"/>
          </w:tcPr>
          <w:p w:rsidR="00440848" w:rsidRDefault="00440848" w:rsidP="005A02F5">
            <w:pPr>
              <w:rPr>
                <w:rFonts w:cs="Times New Roman"/>
              </w:rPr>
            </w:pPr>
          </w:p>
          <w:p w:rsidR="00440848" w:rsidRPr="001150C0" w:rsidRDefault="00440848" w:rsidP="005A02F5">
            <w:pPr>
              <w:rPr>
                <w:rFonts w:cs="Times New Roman"/>
              </w:rPr>
            </w:pPr>
            <w:r w:rsidRPr="001150C0">
              <w:rPr>
                <w:rFonts w:cs="Times New Roman"/>
              </w:rPr>
              <w:t>Depression</w:t>
            </w:r>
          </w:p>
        </w:tc>
        <w:tc>
          <w:tcPr>
            <w:tcW w:w="488" w:type="pct"/>
            <w:vAlign w:val="bottom"/>
          </w:tcPr>
          <w:p w:rsidR="00440848" w:rsidRPr="001150C0" w:rsidRDefault="00440848" w:rsidP="005A02F5">
            <w:pPr>
              <w:jc w:val="center"/>
              <w:rPr>
                <w:rFonts w:cs="Times New Roman"/>
              </w:rPr>
            </w:pPr>
            <w:r w:rsidRPr="001150C0">
              <w:rPr>
                <w:rFonts w:cs="Times New Roman"/>
              </w:rPr>
              <w:t>179</w:t>
            </w:r>
          </w:p>
        </w:tc>
        <w:tc>
          <w:tcPr>
            <w:tcW w:w="565" w:type="pct"/>
            <w:vAlign w:val="bottom"/>
          </w:tcPr>
          <w:p w:rsidR="00440848" w:rsidRPr="001150C0" w:rsidRDefault="00440848" w:rsidP="005A02F5">
            <w:pPr>
              <w:jc w:val="center"/>
              <w:rPr>
                <w:rFonts w:cs="Times New Roman"/>
              </w:rPr>
            </w:pPr>
            <w:r w:rsidRPr="001150C0">
              <w:rPr>
                <w:rFonts w:cs="Times New Roman"/>
              </w:rPr>
              <w:t>112 (62.6)</w:t>
            </w:r>
          </w:p>
        </w:tc>
        <w:tc>
          <w:tcPr>
            <w:tcW w:w="583" w:type="pct"/>
            <w:vAlign w:val="bottom"/>
          </w:tcPr>
          <w:p w:rsidR="00440848" w:rsidRPr="001150C0" w:rsidRDefault="00440848" w:rsidP="005A02F5">
            <w:pPr>
              <w:jc w:val="center"/>
              <w:rPr>
                <w:rFonts w:cs="Times New Roman"/>
              </w:rPr>
            </w:pPr>
            <w:r w:rsidRPr="001150C0">
              <w:rPr>
                <w:rFonts w:cs="Times New Roman"/>
              </w:rPr>
              <w:t>61 (34.1)</w:t>
            </w:r>
          </w:p>
        </w:tc>
        <w:tc>
          <w:tcPr>
            <w:tcW w:w="731" w:type="pct"/>
            <w:vAlign w:val="bottom"/>
          </w:tcPr>
          <w:p w:rsidR="00440848" w:rsidRPr="001150C0" w:rsidRDefault="00440848" w:rsidP="005A02F5">
            <w:pPr>
              <w:jc w:val="center"/>
              <w:rPr>
                <w:rFonts w:cs="Times New Roman"/>
              </w:rPr>
            </w:pPr>
            <w:r w:rsidRPr="001150C0">
              <w:rPr>
                <w:rFonts w:cs="Times New Roman"/>
              </w:rPr>
              <w:t>33 (18.4)</w:t>
            </w:r>
          </w:p>
        </w:tc>
        <w:tc>
          <w:tcPr>
            <w:tcW w:w="803" w:type="pct"/>
            <w:vAlign w:val="bottom"/>
          </w:tcPr>
          <w:p w:rsidR="00440848" w:rsidRPr="001150C0" w:rsidRDefault="00440848" w:rsidP="005A02F5">
            <w:pPr>
              <w:jc w:val="center"/>
              <w:rPr>
                <w:rFonts w:cs="Times New Roman"/>
              </w:rPr>
            </w:pPr>
            <w:r w:rsidRPr="001150C0">
              <w:rPr>
                <w:rFonts w:cs="Times New Roman"/>
              </w:rPr>
              <w:t>8 (4.5)</w:t>
            </w:r>
          </w:p>
        </w:tc>
        <w:tc>
          <w:tcPr>
            <w:tcW w:w="862" w:type="pct"/>
            <w:vAlign w:val="bottom"/>
          </w:tcPr>
          <w:p w:rsidR="00440848" w:rsidRPr="001150C0" w:rsidRDefault="00440848" w:rsidP="005A02F5">
            <w:pPr>
              <w:jc w:val="center"/>
              <w:rPr>
                <w:rFonts w:cs="Times New Roman"/>
              </w:rPr>
            </w:pPr>
            <w:r w:rsidRPr="001150C0">
              <w:rPr>
                <w:rFonts w:cs="Times New Roman"/>
              </w:rPr>
              <w:t>100 (55.9)</w:t>
            </w:r>
          </w:p>
        </w:tc>
      </w:tr>
      <w:tr w:rsidR="00440848" w:rsidRPr="001150C0" w:rsidTr="005A02F5">
        <w:trPr>
          <w:trHeight w:val="340"/>
        </w:trPr>
        <w:tc>
          <w:tcPr>
            <w:tcW w:w="968" w:type="pct"/>
            <w:vAlign w:val="bottom"/>
          </w:tcPr>
          <w:p w:rsidR="00440848" w:rsidRDefault="00440848" w:rsidP="005A02F5">
            <w:pPr>
              <w:rPr>
                <w:rFonts w:cs="Times New Roman"/>
              </w:rPr>
            </w:pPr>
          </w:p>
          <w:p w:rsidR="00440848" w:rsidRPr="001150C0" w:rsidRDefault="00440848" w:rsidP="005A02F5">
            <w:pPr>
              <w:rPr>
                <w:rFonts w:cs="Times New Roman"/>
              </w:rPr>
            </w:pPr>
            <w:r>
              <w:rPr>
                <w:rFonts w:cs="Times New Roman"/>
              </w:rPr>
              <w:t>Anxiety</w:t>
            </w:r>
          </w:p>
        </w:tc>
        <w:tc>
          <w:tcPr>
            <w:tcW w:w="488" w:type="pct"/>
            <w:vAlign w:val="bottom"/>
          </w:tcPr>
          <w:p w:rsidR="00440848" w:rsidRPr="001150C0" w:rsidRDefault="00440848" w:rsidP="005A02F5">
            <w:pPr>
              <w:jc w:val="center"/>
              <w:rPr>
                <w:rFonts w:cs="Times New Roman"/>
              </w:rPr>
            </w:pPr>
            <w:r w:rsidRPr="001150C0">
              <w:rPr>
                <w:rFonts w:cs="Times New Roman"/>
              </w:rPr>
              <w:t>77</w:t>
            </w:r>
          </w:p>
        </w:tc>
        <w:tc>
          <w:tcPr>
            <w:tcW w:w="565" w:type="pct"/>
            <w:vAlign w:val="bottom"/>
          </w:tcPr>
          <w:p w:rsidR="00440848" w:rsidRPr="001150C0" w:rsidRDefault="00440848" w:rsidP="005A02F5">
            <w:pPr>
              <w:jc w:val="center"/>
              <w:rPr>
                <w:rFonts w:cs="Times New Roman"/>
              </w:rPr>
            </w:pPr>
            <w:r w:rsidRPr="001150C0">
              <w:rPr>
                <w:rFonts w:cs="Times New Roman"/>
              </w:rPr>
              <w:t>47 (61.0)</w:t>
            </w:r>
          </w:p>
        </w:tc>
        <w:tc>
          <w:tcPr>
            <w:tcW w:w="583" w:type="pct"/>
            <w:vAlign w:val="bottom"/>
          </w:tcPr>
          <w:p w:rsidR="00440848" w:rsidRPr="001150C0" w:rsidRDefault="00440848" w:rsidP="005A02F5">
            <w:pPr>
              <w:jc w:val="center"/>
              <w:rPr>
                <w:rFonts w:cs="Times New Roman"/>
              </w:rPr>
            </w:pPr>
            <w:r w:rsidRPr="001150C0">
              <w:rPr>
                <w:rFonts w:cs="Times New Roman"/>
              </w:rPr>
              <w:t>18 (23.4)</w:t>
            </w:r>
          </w:p>
        </w:tc>
        <w:tc>
          <w:tcPr>
            <w:tcW w:w="731" w:type="pct"/>
            <w:vAlign w:val="bottom"/>
          </w:tcPr>
          <w:p w:rsidR="00440848" w:rsidRPr="001150C0" w:rsidRDefault="00440848" w:rsidP="005A02F5">
            <w:pPr>
              <w:jc w:val="center"/>
              <w:rPr>
                <w:rFonts w:cs="Times New Roman"/>
              </w:rPr>
            </w:pPr>
            <w:r w:rsidRPr="001150C0">
              <w:rPr>
                <w:rFonts w:cs="Times New Roman"/>
              </w:rPr>
              <w:t>23 (29.9)</w:t>
            </w:r>
          </w:p>
        </w:tc>
        <w:tc>
          <w:tcPr>
            <w:tcW w:w="803" w:type="pct"/>
            <w:vAlign w:val="bottom"/>
          </w:tcPr>
          <w:p w:rsidR="00440848" w:rsidRPr="001150C0" w:rsidRDefault="00440848" w:rsidP="005A02F5">
            <w:pPr>
              <w:jc w:val="center"/>
              <w:rPr>
                <w:rFonts w:cs="Times New Roman"/>
              </w:rPr>
            </w:pPr>
            <w:r w:rsidRPr="001150C0">
              <w:rPr>
                <w:rFonts w:cs="Times New Roman"/>
              </w:rPr>
              <w:t>8 (10.4)</w:t>
            </w:r>
          </w:p>
        </w:tc>
        <w:tc>
          <w:tcPr>
            <w:tcW w:w="862" w:type="pct"/>
            <w:vAlign w:val="bottom"/>
          </w:tcPr>
          <w:p w:rsidR="00440848" w:rsidRPr="001150C0" w:rsidRDefault="00440848" w:rsidP="005A02F5">
            <w:pPr>
              <w:jc w:val="center"/>
              <w:rPr>
                <w:rFonts w:cs="Times New Roman"/>
              </w:rPr>
            </w:pPr>
            <w:r w:rsidRPr="001150C0">
              <w:rPr>
                <w:rFonts w:cs="Times New Roman"/>
              </w:rPr>
              <w:t>38 (49.4)</w:t>
            </w:r>
          </w:p>
        </w:tc>
      </w:tr>
      <w:tr w:rsidR="00440848" w:rsidRPr="001150C0" w:rsidTr="005A02F5">
        <w:trPr>
          <w:trHeight w:val="340"/>
        </w:trPr>
        <w:tc>
          <w:tcPr>
            <w:tcW w:w="968" w:type="pct"/>
            <w:vAlign w:val="bottom"/>
          </w:tcPr>
          <w:p w:rsidR="00440848" w:rsidRDefault="00440848" w:rsidP="005A02F5">
            <w:pPr>
              <w:rPr>
                <w:rFonts w:cs="Times New Roman"/>
              </w:rPr>
            </w:pPr>
          </w:p>
          <w:p w:rsidR="00440848" w:rsidRPr="001150C0" w:rsidRDefault="00440848" w:rsidP="005A02F5">
            <w:pPr>
              <w:rPr>
                <w:rFonts w:cs="Times New Roman"/>
              </w:rPr>
            </w:pPr>
            <w:r>
              <w:rPr>
                <w:rFonts w:cs="Times New Roman"/>
              </w:rPr>
              <w:t>Depression (with anxiety)</w:t>
            </w:r>
          </w:p>
        </w:tc>
        <w:tc>
          <w:tcPr>
            <w:tcW w:w="488" w:type="pct"/>
            <w:vAlign w:val="bottom"/>
          </w:tcPr>
          <w:p w:rsidR="00440848" w:rsidRPr="001150C0" w:rsidRDefault="00440848" w:rsidP="005A02F5">
            <w:pPr>
              <w:jc w:val="center"/>
              <w:rPr>
                <w:rFonts w:cs="Times New Roman"/>
              </w:rPr>
            </w:pPr>
            <w:r w:rsidRPr="001150C0">
              <w:rPr>
                <w:rFonts w:cs="Times New Roman"/>
              </w:rPr>
              <w:t>60</w:t>
            </w:r>
          </w:p>
        </w:tc>
        <w:tc>
          <w:tcPr>
            <w:tcW w:w="565" w:type="pct"/>
            <w:vAlign w:val="bottom"/>
          </w:tcPr>
          <w:p w:rsidR="00440848" w:rsidRPr="001150C0" w:rsidRDefault="00440848" w:rsidP="005A02F5">
            <w:pPr>
              <w:jc w:val="center"/>
              <w:rPr>
                <w:rFonts w:cs="Times New Roman"/>
              </w:rPr>
            </w:pPr>
            <w:r w:rsidRPr="001150C0">
              <w:rPr>
                <w:rFonts w:cs="Times New Roman"/>
              </w:rPr>
              <w:t>36 (60.0)</w:t>
            </w:r>
          </w:p>
        </w:tc>
        <w:tc>
          <w:tcPr>
            <w:tcW w:w="583" w:type="pct"/>
            <w:vAlign w:val="bottom"/>
          </w:tcPr>
          <w:p w:rsidR="00440848" w:rsidRPr="001150C0" w:rsidRDefault="00440848" w:rsidP="005A02F5">
            <w:pPr>
              <w:jc w:val="center"/>
              <w:rPr>
                <w:rFonts w:cs="Times New Roman"/>
              </w:rPr>
            </w:pPr>
            <w:r w:rsidRPr="001150C0">
              <w:rPr>
                <w:rFonts w:cs="Times New Roman"/>
              </w:rPr>
              <w:t>19 (31.7)</w:t>
            </w:r>
          </w:p>
        </w:tc>
        <w:tc>
          <w:tcPr>
            <w:tcW w:w="731" w:type="pct"/>
            <w:vAlign w:val="bottom"/>
          </w:tcPr>
          <w:p w:rsidR="00440848" w:rsidRPr="001150C0" w:rsidRDefault="00440848" w:rsidP="005A02F5">
            <w:pPr>
              <w:jc w:val="center"/>
              <w:rPr>
                <w:rFonts w:cs="Times New Roman"/>
              </w:rPr>
            </w:pPr>
            <w:r w:rsidRPr="001150C0">
              <w:rPr>
                <w:rFonts w:cs="Times New Roman"/>
              </w:rPr>
              <w:t>11 (18.3)</w:t>
            </w:r>
          </w:p>
        </w:tc>
        <w:tc>
          <w:tcPr>
            <w:tcW w:w="803" w:type="pct"/>
            <w:vAlign w:val="bottom"/>
          </w:tcPr>
          <w:p w:rsidR="00440848" w:rsidRPr="001150C0" w:rsidRDefault="00440848" w:rsidP="005A02F5">
            <w:pPr>
              <w:jc w:val="center"/>
              <w:rPr>
                <w:rFonts w:cs="Times New Roman"/>
              </w:rPr>
            </w:pPr>
            <w:r w:rsidRPr="001150C0">
              <w:rPr>
                <w:rFonts w:cs="Times New Roman"/>
              </w:rPr>
              <w:t>5 (8.3)</w:t>
            </w:r>
          </w:p>
        </w:tc>
        <w:tc>
          <w:tcPr>
            <w:tcW w:w="862" w:type="pct"/>
            <w:vAlign w:val="bottom"/>
          </w:tcPr>
          <w:p w:rsidR="00440848" w:rsidRPr="001150C0" w:rsidRDefault="00440848" w:rsidP="005A02F5">
            <w:pPr>
              <w:jc w:val="center"/>
              <w:rPr>
                <w:rFonts w:cs="Times New Roman"/>
              </w:rPr>
            </w:pPr>
            <w:r w:rsidRPr="001150C0">
              <w:rPr>
                <w:rFonts w:cs="Times New Roman"/>
              </w:rPr>
              <w:t>39 (65.0)</w:t>
            </w:r>
          </w:p>
        </w:tc>
      </w:tr>
      <w:tr w:rsidR="00440848" w:rsidRPr="001150C0" w:rsidTr="005A02F5">
        <w:trPr>
          <w:trHeight w:val="340"/>
        </w:trPr>
        <w:tc>
          <w:tcPr>
            <w:tcW w:w="968" w:type="pct"/>
            <w:vAlign w:val="bottom"/>
          </w:tcPr>
          <w:p w:rsidR="00440848" w:rsidRDefault="00440848" w:rsidP="005A02F5">
            <w:pPr>
              <w:rPr>
                <w:rFonts w:cs="Times New Roman"/>
              </w:rPr>
            </w:pPr>
          </w:p>
          <w:p w:rsidR="00440848" w:rsidRPr="001150C0" w:rsidRDefault="00440848" w:rsidP="005A02F5">
            <w:pPr>
              <w:rPr>
                <w:rFonts w:cs="Times New Roman"/>
              </w:rPr>
            </w:pPr>
            <w:r w:rsidRPr="001150C0">
              <w:rPr>
                <w:rFonts w:cs="Times New Roman"/>
              </w:rPr>
              <w:t>Bereavement</w:t>
            </w:r>
          </w:p>
        </w:tc>
        <w:tc>
          <w:tcPr>
            <w:tcW w:w="488" w:type="pct"/>
            <w:vAlign w:val="bottom"/>
          </w:tcPr>
          <w:p w:rsidR="00440848" w:rsidRPr="001150C0" w:rsidRDefault="00440848" w:rsidP="005A02F5">
            <w:pPr>
              <w:jc w:val="center"/>
              <w:rPr>
                <w:rFonts w:cs="Times New Roman"/>
              </w:rPr>
            </w:pPr>
            <w:r w:rsidRPr="001150C0">
              <w:rPr>
                <w:rFonts w:cs="Times New Roman"/>
              </w:rPr>
              <w:t>45</w:t>
            </w:r>
          </w:p>
        </w:tc>
        <w:tc>
          <w:tcPr>
            <w:tcW w:w="565" w:type="pct"/>
            <w:vAlign w:val="bottom"/>
          </w:tcPr>
          <w:p w:rsidR="00440848" w:rsidRPr="001150C0" w:rsidRDefault="00440848" w:rsidP="005A02F5">
            <w:pPr>
              <w:jc w:val="center"/>
              <w:rPr>
                <w:rFonts w:cs="Times New Roman"/>
              </w:rPr>
            </w:pPr>
            <w:r w:rsidRPr="001150C0">
              <w:rPr>
                <w:rFonts w:cs="Times New Roman"/>
              </w:rPr>
              <w:t>28 (62.2)</w:t>
            </w:r>
          </w:p>
        </w:tc>
        <w:tc>
          <w:tcPr>
            <w:tcW w:w="583" w:type="pct"/>
            <w:vAlign w:val="bottom"/>
          </w:tcPr>
          <w:p w:rsidR="00440848" w:rsidRPr="001150C0" w:rsidRDefault="00440848" w:rsidP="005A02F5">
            <w:pPr>
              <w:jc w:val="center"/>
              <w:rPr>
                <w:rFonts w:cs="Times New Roman"/>
              </w:rPr>
            </w:pPr>
            <w:r w:rsidRPr="001150C0">
              <w:rPr>
                <w:rFonts w:cs="Times New Roman"/>
              </w:rPr>
              <w:t>7 (15.6)</w:t>
            </w:r>
          </w:p>
        </w:tc>
        <w:tc>
          <w:tcPr>
            <w:tcW w:w="731" w:type="pct"/>
            <w:vAlign w:val="bottom"/>
          </w:tcPr>
          <w:p w:rsidR="00440848" w:rsidRPr="001150C0" w:rsidRDefault="00440848" w:rsidP="005A02F5">
            <w:pPr>
              <w:jc w:val="center"/>
              <w:rPr>
                <w:rFonts w:cs="Times New Roman"/>
              </w:rPr>
            </w:pPr>
            <w:r w:rsidRPr="001150C0">
              <w:rPr>
                <w:rFonts w:cs="Times New Roman"/>
              </w:rPr>
              <w:t>7 (15.6)</w:t>
            </w:r>
          </w:p>
        </w:tc>
        <w:tc>
          <w:tcPr>
            <w:tcW w:w="803" w:type="pct"/>
            <w:vAlign w:val="bottom"/>
          </w:tcPr>
          <w:p w:rsidR="00440848" w:rsidRPr="001150C0" w:rsidRDefault="00440848" w:rsidP="005A02F5">
            <w:pPr>
              <w:jc w:val="center"/>
              <w:rPr>
                <w:rFonts w:cs="Times New Roman"/>
              </w:rPr>
            </w:pPr>
            <w:r w:rsidRPr="001150C0">
              <w:rPr>
                <w:rFonts w:cs="Times New Roman"/>
              </w:rPr>
              <w:t>3 (6.7)</w:t>
            </w:r>
          </w:p>
        </w:tc>
        <w:tc>
          <w:tcPr>
            <w:tcW w:w="862" w:type="pct"/>
            <w:vAlign w:val="bottom"/>
          </w:tcPr>
          <w:p w:rsidR="00440848" w:rsidRPr="001150C0" w:rsidRDefault="00440848" w:rsidP="005A02F5">
            <w:pPr>
              <w:jc w:val="center"/>
              <w:rPr>
                <w:rFonts w:cs="Times New Roman"/>
              </w:rPr>
            </w:pPr>
            <w:r w:rsidRPr="001150C0">
              <w:rPr>
                <w:rFonts w:cs="Times New Roman"/>
              </w:rPr>
              <w:t>22 (48.9)</w:t>
            </w:r>
          </w:p>
        </w:tc>
      </w:tr>
      <w:tr w:rsidR="00440848" w:rsidRPr="001150C0" w:rsidTr="005A02F5">
        <w:trPr>
          <w:trHeight w:val="340"/>
        </w:trPr>
        <w:tc>
          <w:tcPr>
            <w:tcW w:w="968" w:type="pct"/>
            <w:tcBorders>
              <w:bottom w:val="single" w:sz="4" w:space="0" w:color="auto"/>
            </w:tcBorders>
            <w:vAlign w:val="bottom"/>
          </w:tcPr>
          <w:p w:rsidR="00440848" w:rsidRDefault="00440848" w:rsidP="005A02F5">
            <w:pPr>
              <w:rPr>
                <w:rFonts w:cs="Times New Roman"/>
              </w:rPr>
            </w:pPr>
          </w:p>
          <w:p w:rsidR="00440848" w:rsidRPr="001150C0" w:rsidRDefault="00440848" w:rsidP="005A02F5">
            <w:pPr>
              <w:rPr>
                <w:rFonts w:cs="Times New Roman"/>
              </w:rPr>
            </w:pPr>
            <w:r w:rsidRPr="001150C0">
              <w:rPr>
                <w:rFonts w:cs="Times New Roman"/>
              </w:rPr>
              <w:t>All CMDs</w:t>
            </w:r>
          </w:p>
        </w:tc>
        <w:tc>
          <w:tcPr>
            <w:tcW w:w="488" w:type="pct"/>
            <w:tcBorders>
              <w:bottom w:val="single" w:sz="4" w:space="0" w:color="auto"/>
            </w:tcBorders>
            <w:vAlign w:val="bottom"/>
          </w:tcPr>
          <w:p w:rsidR="00440848" w:rsidRPr="001150C0" w:rsidRDefault="00440848" w:rsidP="005A02F5">
            <w:pPr>
              <w:jc w:val="center"/>
              <w:rPr>
                <w:rFonts w:cs="Times New Roman"/>
              </w:rPr>
            </w:pPr>
            <w:r w:rsidRPr="001150C0">
              <w:rPr>
                <w:rFonts w:cs="Times New Roman"/>
              </w:rPr>
              <w:t>562</w:t>
            </w:r>
          </w:p>
        </w:tc>
        <w:tc>
          <w:tcPr>
            <w:tcW w:w="565" w:type="pct"/>
            <w:tcBorders>
              <w:bottom w:val="single" w:sz="4" w:space="0" w:color="auto"/>
            </w:tcBorders>
            <w:vAlign w:val="bottom"/>
          </w:tcPr>
          <w:p w:rsidR="00440848" w:rsidRPr="001150C0" w:rsidRDefault="00440848" w:rsidP="005A02F5">
            <w:pPr>
              <w:jc w:val="center"/>
              <w:rPr>
                <w:rFonts w:cs="Times New Roman"/>
              </w:rPr>
            </w:pPr>
            <w:r w:rsidRPr="001150C0">
              <w:rPr>
                <w:rFonts w:cs="Times New Roman"/>
              </w:rPr>
              <w:t>318 (56.6)</w:t>
            </w:r>
          </w:p>
        </w:tc>
        <w:tc>
          <w:tcPr>
            <w:tcW w:w="583" w:type="pct"/>
            <w:tcBorders>
              <w:bottom w:val="single" w:sz="4" w:space="0" w:color="auto"/>
            </w:tcBorders>
            <w:vAlign w:val="bottom"/>
          </w:tcPr>
          <w:p w:rsidR="00440848" w:rsidRPr="001150C0" w:rsidRDefault="00440848" w:rsidP="005A02F5">
            <w:pPr>
              <w:jc w:val="center"/>
              <w:rPr>
                <w:rFonts w:cs="Times New Roman"/>
              </w:rPr>
            </w:pPr>
            <w:r w:rsidRPr="001150C0">
              <w:rPr>
                <w:rFonts w:cs="Times New Roman"/>
              </w:rPr>
              <w:t>169 (30.1)</w:t>
            </w:r>
          </w:p>
        </w:tc>
        <w:tc>
          <w:tcPr>
            <w:tcW w:w="731" w:type="pct"/>
            <w:tcBorders>
              <w:bottom w:val="single" w:sz="4" w:space="0" w:color="auto"/>
            </w:tcBorders>
            <w:vAlign w:val="bottom"/>
          </w:tcPr>
          <w:p w:rsidR="00440848" w:rsidRPr="001150C0" w:rsidRDefault="00440848" w:rsidP="005A02F5">
            <w:pPr>
              <w:jc w:val="center"/>
              <w:rPr>
                <w:rFonts w:cs="Times New Roman"/>
              </w:rPr>
            </w:pPr>
            <w:r w:rsidRPr="001150C0">
              <w:rPr>
                <w:rFonts w:cs="Times New Roman"/>
              </w:rPr>
              <w:t>129 (23.0)</w:t>
            </w:r>
          </w:p>
        </w:tc>
        <w:tc>
          <w:tcPr>
            <w:tcW w:w="803" w:type="pct"/>
            <w:tcBorders>
              <w:bottom w:val="single" w:sz="4" w:space="0" w:color="auto"/>
            </w:tcBorders>
            <w:vAlign w:val="bottom"/>
          </w:tcPr>
          <w:p w:rsidR="00440848" w:rsidRPr="001150C0" w:rsidRDefault="00440848" w:rsidP="005A02F5">
            <w:pPr>
              <w:jc w:val="center"/>
              <w:rPr>
                <w:rFonts w:cs="Times New Roman"/>
              </w:rPr>
            </w:pPr>
            <w:r w:rsidRPr="001150C0">
              <w:rPr>
                <w:rFonts w:cs="Times New Roman"/>
              </w:rPr>
              <w:t>43 (7.7)</w:t>
            </w:r>
          </w:p>
        </w:tc>
        <w:tc>
          <w:tcPr>
            <w:tcW w:w="862" w:type="pct"/>
            <w:tcBorders>
              <w:bottom w:val="single" w:sz="4" w:space="0" w:color="auto"/>
            </w:tcBorders>
            <w:vAlign w:val="bottom"/>
          </w:tcPr>
          <w:p w:rsidR="00440848" w:rsidRPr="001150C0" w:rsidRDefault="00440848" w:rsidP="005A02F5">
            <w:pPr>
              <w:jc w:val="center"/>
              <w:rPr>
                <w:rFonts w:cs="Times New Roman"/>
              </w:rPr>
            </w:pPr>
            <w:r w:rsidRPr="001150C0">
              <w:rPr>
                <w:rFonts w:cs="Times New Roman"/>
              </w:rPr>
              <w:t>321 (57.1)</w:t>
            </w:r>
          </w:p>
        </w:tc>
      </w:tr>
    </w:tbl>
    <w:p w:rsidR="00440848" w:rsidRDefault="00440848" w:rsidP="00440848">
      <w:pPr>
        <w:rPr>
          <w:i/>
        </w:rPr>
      </w:pPr>
    </w:p>
    <w:p w:rsidR="00440848" w:rsidRPr="001150C0" w:rsidRDefault="00440848" w:rsidP="00440848">
      <w:pPr>
        <w:rPr>
          <w:i/>
        </w:rPr>
      </w:pPr>
      <w:r w:rsidRPr="001150C0">
        <w:rPr>
          <w:i/>
        </w:rPr>
        <w:t>Row percentages total &gt; 100</w:t>
      </w:r>
    </w:p>
    <w:p w:rsidR="00440848" w:rsidRDefault="00440848" w:rsidP="00440848">
      <w:pPr>
        <w:autoSpaceDE w:val="0"/>
        <w:autoSpaceDN w:val="0"/>
        <w:adjustRightInd w:val="0"/>
        <w:spacing w:after="0" w:line="240" w:lineRule="auto"/>
      </w:pPr>
    </w:p>
    <w:p w:rsidR="00440848" w:rsidRDefault="00440848" w:rsidP="00440848"/>
    <w:p w:rsidR="00F60865" w:rsidRDefault="00F60865" w:rsidP="000B19E0">
      <w:pPr>
        <w:autoSpaceDE w:val="0"/>
        <w:autoSpaceDN w:val="0"/>
        <w:adjustRightInd w:val="0"/>
        <w:spacing w:after="0" w:line="240" w:lineRule="auto"/>
        <w:rPr>
          <w:rFonts w:cs="AdvTimes"/>
        </w:rPr>
      </w:pPr>
    </w:p>
    <w:p w:rsidR="002A2731" w:rsidRDefault="002A2731">
      <w:pPr>
        <w:rPr>
          <w:rFonts w:cs="AdvTimes"/>
        </w:rPr>
      </w:pPr>
      <w:r>
        <w:rPr>
          <w:rFonts w:cs="AdvTimes"/>
        </w:rPr>
        <w:br w:type="page"/>
      </w:r>
    </w:p>
    <w:p w:rsidR="000C5CD2" w:rsidRDefault="000C5CD2" w:rsidP="000B19E0">
      <w:pPr>
        <w:autoSpaceDE w:val="0"/>
        <w:autoSpaceDN w:val="0"/>
        <w:adjustRightInd w:val="0"/>
        <w:spacing w:after="0" w:line="240" w:lineRule="auto"/>
        <w:rPr>
          <w:rFonts w:cs="AdvTimes"/>
        </w:rPr>
      </w:pPr>
    </w:p>
    <w:sectPr w:rsidR="000C5CD2" w:rsidSect="009F399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AD8" w:rsidRDefault="009F0AD8" w:rsidP="002A2731">
      <w:pPr>
        <w:spacing w:after="0" w:line="240" w:lineRule="auto"/>
      </w:pPr>
      <w:r>
        <w:separator/>
      </w:r>
    </w:p>
  </w:endnote>
  <w:endnote w:type="continuationSeparator" w:id="0">
    <w:p w:rsidR="009F0AD8" w:rsidRDefault="009F0AD8" w:rsidP="002A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dvPTimes">
    <w:panose1 w:val="00000000000000000000"/>
    <w:charset w:val="00"/>
    <w:family w:val="roman"/>
    <w:notTrueType/>
    <w:pitch w:val="default"/>
    <w:sig w:usb0="00000003" w:usb1="00000000" w:usb2="00000000" w:usb3="00000000" w:csb0="00000001" w:csb1="00000000"/>
  </w:font>
  <w:font w:name="AdvTTe45e47d2">
    <w:panose1 w:val="00000000000000000000"/>
    <w:charset w:val="00"/>
    <w:family w:val="swiss"/>
    <w:notTrueType/>
    <w:pitch w:val="default"/>
    <w:sig w:usb0="00000003" w:usb1="00000000" w:usb2="00000000" w:usb3="00000000" w:csb0="00000001" w:csb1="00000000"/>
  </w:font>
  <w:font w:name="AdvTTe45e47d2+20">
    <w:panose1 w:val="00000000000000000000"/>
    <w:charset w:val="00"/>
    <w:family w:val="swiss"/>
    <w:notTrueType/>
    <w:pitch w:val="default"/>
    <w:sig w:usb0="00000003" w:usb1="00000000" w:usb2="00000000" w:usb3="00000000" w:csb0="00000001" w:csb1="00000000"/>
  </w:font>
  <w:font w:name="AdvTT7329fd89.I">
    <w:panose1 w:val="00000000000000000000"/>
    <w:charset w:val="00"/>
    <w:family w:val="swiss"/>
    <w:notTrueType/>
    <w:pitch w:val="default"/>
    <w:sig w:usb0="00000003" w:usb1="00000000" w:usb2="00000000" w:usb3="00000000" w:csb0="00000001" w:csb1="00000000"/>
  </w:font>
  <w:font w:name="AdvTTaf7f9f4f.B">
    <w:panose1 w:val="00000000000000000000"/>
    <w:charset w:val="00"/>
    <w:family w:val="swiss"/>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05181"/>
      <w:docPartObj>
        <w:docPartGallery w:val="Page Numbers (Bottom of Page)"/>
        <w:docPartUnique/>
      </w:docPartObj>
    </w:sdtPr>
    <w:sdtEndPr>
      <w:rPr>
        <w:noProof/>
      </w:rPr>
    </w:sdtEndPr>
    <w:sdtContent>
      <w:p w:rsidR="009F0AD8" w:rsidRDefault="00700340">
        <w:pPr>
          <w:pStyle w:val="Footer"/>
          <w:jc w:val="center"/>
        </w:pPr>
        <w:r>
          <w:fldChar w:fldCharType="begin"/>
        </w:r>
        <w:r>
          <w:instrText xml:space="preserve"> PAGE   \* MERGEFORMAT </w:instrText>
        </w:r>
        <w:r>
          <w:fldChar w:fldCharType="separate"/>
        </w:r>
        <w:r w:rsidR="000C6450">
          <w:rPr>
            <w:noProof/>
          </w:rPr>
          <w:t>1</w:t>
        </w:r>
        <w:r>
          <w:rPr>
            <w:noProof/>
          </w:rPr>
          <w:fldChar w:fldCharType="end"/>
        </w:r>
      </w:p>
    </w:sdtContent>
  </w:sdt>
  <w:p w:rsidR="009F0AD8" w:rsidRDefault="009F0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AD8" w:rsidRDefault="009F0AD8" w:rsidP="002A2731">
      <w:pPr>
        <w:spacing w:after="0" w:line="240" w:lineRule="auto"/>
      </w:pPr>
      <w:r>
        <w:separator/>
      </w:r>
    </w:p>
  </w:footnote>
  <w:footnote w:type="continuationSeparator" w:id="0">
    <w:p w:rsidR="009F0AD8" w:rsidRDefault="009F0AD8" w:rsidP="002A2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D58CC"/>
    <w:multiLevelType w:val="hybridMultilevel"/>
    <w:tmpl w:val="B93A6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225"/>
    <w:rsid w:val="00002949"/>
    <w:rsid w:val="00010ECE"/>
    <w:rsid w:val="00012BD6"/>
    <w:rsid w:val="00016F6D"/>
    <w:rsid w:val="00033950"/>
    <w:rsid w:val="00043235"/>
    <w:rsid w:val="000433A3"/>
    <w:rsid w:val="000526FA"/>
    <w:rsid w:val="000544AC"/>
    <w:rsid w:val="000605B6"/>
    <w:rsid w:val="00071F16"/>
    <w:rsid w:val="00080C66"/>
    <w:rsid w:val="00080FE2"/>
    <w:rsid w:val="00086795"/>
    <w:rsid w:val="00091528"/>
    <w:rsid w:val="000948A4"/>
    <w:rsid w:val="00094F7A"/>
    <w:rsid w:val="000A03C6"/>
    <w:rsid w:val="000B19E0"/>
    <w:rsid w:val="000B7383"/>
    <w:rsid w:val="000C5CD2"/>
    <w:rsid w:val="000C6450"/>
    <w:rsid w:val="000D076A"/>
    <w:rsid w:val="000D103A"/>
    <w:rsid w:val="000D61EC"/>
    <w:rsid w:val="000F2FD9"/>
    <w:rsid w:val="000F4E76"/>
    <w:rsid w:val="001005AA"/>
    <w:rsid w:val="00100E02"/>
    <w:rsid w:val="00107599"/>
    <w:rsid w:val="001150C0"/>
    <w:rsid w:val="00134B5B"/>
    <w:rsid w:val="00142977"/>
    <w:rsid w:val="00144F80"/>
    <w:rsid w:val="001477A4"/>
    <w:rsid w:val="00151AF8"/>
    <w:rsid w:val="00151D36"/>
    <w:rsid w:val="00152799"/>
    <w:rsid w:val="00156087"/>
    <w:rsid w:val="0017026E"/>
    <w:rsid w:val="00175CE3"/>
    <w:rsid w:val="00180429"/>
    <w:rsid w:val="00186904"/>
    <w:rsid w:val="001C50A9"/>
    <w:rsid w:val="001D6C23"/>
    <w:rsid w:val="001E1E5F"/>
    <w:rsid w:val="001E2252"/>
    <w:rsid w:val="001E3225"/>
    <w:rsid w:val="001E662D"/>
    <w:rsid w:val="001F276B"/>
    <w:rsid w:val="001F594C"/>
    <w:rsid w:val="001F6D00"/>
    <w:rsid w:val="002011B3"/>
    <w:rsid w:val="00201F2D"/>
    <w:rsid w:val="0020682D"/>
    <w:rsid w:val="00226A53"/>
    <w:rsid w:val="00231D8B"/>
    <w:rsid w:val="00243D4B"/>
    <w:rsid w:val="00251D90"/>
    <w:rsid w:val="002624E1"/>
    <w:rsid w:val="00263DBF"/>
    <w:rsid w:val="00263F05"/>
    <w:rsid w:val="00293202"/>
    <w:rsid w:val="002954DB"/>
    <w:rsid w:val="00295562"/>
    <w:rsid w:val="002967A8"/>
    <w:rsid w:val="002A2731"/>
    <w:rsid w:val="002A732A"/>
    <w:rsid w:val="002B1C7C"/>
    <w:rsid w:val="002B379A"/>
    <w:rsid w:val="002C10DE"/>
    <w:rsid w:val="002C113A"/>
    <w:rsid w:val="002C6718"/>
    <w:rsid w:val="002D28F9"/>
    <w:rsid w:val="002E5FF3"/>
    <w:rsid w:val="002F238D"/>
    <w:rsid w:val="00300EA3"/>
    <w:rsid w:val="00305BEA"/>
    <w:rsid w:val="00315719"/>
    <w:rsid w:val="00320F11"/>
    <w:rsid w:val="0033170F"/>
    <w:rsid w:val="00331EA0"/>
    <w:rsid w:val="0033633A"/>
    <w:rsid w:val="00356305"/>
    <w:rsid w:val="00356B2B"/>
    <w:rsid w:val="003A5C33"/>
    <w:rsid w:val="003A60BE"/>
    <w:rsid w:val="003C0EA2"/>
    <w:rsid w:val="003D0C89"/>
    <w:rsid w:val="003D6C61"/>
    <w:rsid w:val="003E0CF8"/>
    <w:rsid w:val="003E4FA3"/>
    <w:rsid w:val="003E78E3"/>
    <w:rsid w:val="003F54A2"/>
    <w:rsid w:val="00401B3F"/>
    <w:rsid w:val="0040348B"/>
    <w:rsid w:val="00432FBC"/>
    <w:rsid w:val="00440848"/>
    <w:rsid w:val="00446B39"/>
    <w:rsid w:val="00450D63"/>
    <w:rsid w:val="00462C3A"/>
    <w:rsid w:val="004779A8"/>
    <w:rsid w:val="004B2BAE"/>
    <w:rsid w:val="004C4C87"/>
    <w:rsid w:val="004D24F7"/>
    <w:rsid w:val="00500472"/>
    <w:rsid w:val="00511520"/>
    <w:rsid w:val="00513643"/>
    <w:rsid w:val="00513CF7"/>
    <w:rsid w:val="005155DF"/>
    <w:rsid w:val="0052718D"/>
    <w:rsid w:val="00530305"/>
    <w:rsid w:val="00535EF5"/>
    <w:rsid w:val="005474BD"/>
    <w:rsid w:val="00547878"/>
    <w:rsid w:val="00561558"/>
    <w:rsid w:val="00574862"/>
    <w:rsid w:val="0059503A"/>
    <w:rsid w:val="005A2CC0"/>
    <w:rsid w:val="005A620A"/>
    <w:rsid w:val="005B1EF5"/>
    <w:rsid w:val="005C171A"/>
    <w:rsid w:val="005C515E"/>
    <w:rsid w:val="005D2D97"/>
    <w:rsid w:val="005D5F40"/>
    <w:rsid w:val="005E63BF"/>
    <w:rsid w:val="005F3BD5"/>
    <w:rsid w:val="005F5926"/>
    <w:rsid w:val="00603004"/>
    <w:rsid w:val="006050F7"/>
    <w:rsid w:val="00610CA6"/>
    <w:rsid w:val="006200DB"/>
    <w:rsid w:val="00620A8F"/>
    <w:rsid w:val="00623090"/>
    <w:rsid w:val="006324AD"/>
    <w:rsid w:val="00635194"/>
    <w:rsid w:val="00661961"/>
    <w:rsid w:val="00667600"/>
    <w:rsid w:val="00672453"/>
    <w:rsid w:val="006736C9"/>
    <w:rsid w:val="00683E98"/>
    <w:rsid w:val="006974D1"/>
    <w:rsid w:val="006A2CEF"/>
    <w:rsid w:val="006A6876"/>
    <w:rsid w:val="006A6DBB"/>
    <w:rsid w:val="006E252F"/>
    <w:rsid w:val="006E5808"/>
    <w:rsid w:val="006F6026"/>
    <w:rsid w:val="00700340"/>
    <w:rsid w:val="007022B8"/>
    <w:rsid w:val="00705CE6"/>
    <w:rsid w:val="00711378"/>
    <w:rsid w:val="007145E2"/>
    <w:rsid w:val="007173FF"/>
    <w:rsid w:val="00724AA4"/>
    <w:rsid w:val="007647F5"/>
    <w:rsid w:val="00773251"/>
    <w:rsid w:val="00774AE4"/>
    <w:rsid w:val="0077760F"/>
    <w:rsid w:val="00795736"/>
    <w:rsid w:val="007A6443"/>
    <w:rsid w:val="007B6CAF"/>
    <w:rsid w:val="007C16B0"/>
    <w:rsid w:val="007C2B17"/>
    <w:rsid w:val="007C7270"/>
    <w:rsid w:val="007E2351"/>
    <w:rsid w:val="007E3A6E"/>
    <w:rsid w:val="00800B81"/>
    <w:rsid w:val="0080273C"/>
    <w:rsid w:val="00805D89"/>
    <w:rsid w:val="00817C98"/>
    <w:rsid w:val="00821D3C"/>
    <w:rsid w:val="00830BED"/>
    <w:rsid w:val="0084584B"/>
    <w:rsid w:val="00850E07"/>
    <w:rsid w:val="00867795"/>
    <w:rsid w:val="00867C02"/>
    <w:rsid w:val="00873EA4"/>
    <w:rsid w:val="008838B6"/>
    <w:rsid w:val="008936FD"/>
    <w:rsid w:val="00894F18"/>
    <w:rsid w:val="008B00D8"/>
    <w:rsid w:val="008B2838"/>
    <w:rsid w:val="008B7C5D"/>
    <w:rsid w:val="008C3983"/>
    <w:rsid w:val="008C4946"/>
    <w:rsid w:val="008D3437"/>
    <w:rsid w:val="008E43F9"/>
    <w:rsid w:val="008F7CD3"/>
    <w:rsid w:val="009002C7"/>
    <w:rsid w:val="009119A2"/>
    <w:rsid w:val="00916F7E"/>
    <w:rsid w:val="00922146"/>
    <w:rsid w:val="009327A3"/>
    <w:rsid w:val="00952C9C"/>
    <w:rsid w:val="0095571F"/>
    <w:rsid w:val="00965F23"/>
    <w:rsid w:val="009812C0"/>
    <w:rsid w:val="0098267E"/>
    <w:rsid w:val="00986203"/>
    <w:rsid w:val="009870BE"/>
    <w:rsid w:val="009A2940"/>
    <w:rsid w:val="009A604C"/>
    <w:rsid w:val="009B09CB"/>
    <w:rsid w:val="009B2543"/>
    <w:rsid w:val="009B5C67"/>
    <w:rsid w:val="009C1D12"/>
    <w:rsid w:val="009D0526"/>
    <w:rsid w:val="009D2D11"/>
    <w:rsid w:val="009D66FF"/>
    <w:rsid w:val="009F0AD8"/>
    <w:rsid w:val="009F3995"/>
    <w:rsid w:val="009F3F4C"/>
    <w:rsid w:val="00A017BE"/>
    <w:rsid w:val="00A01D0F"/>
    <w:rsid w:val="00A03CB5"/>
    <w:rsid w:val="00A1298D"/>
    <w:rsid w:val="00A15440"/>
    <w:rsid w:val="00A3172C"/>
    <w:rsid w:val="00A321BA"/>
    <w:rsid w:val="00A36A2C"/>
    <w:rsid w:val="00A435ED"/>
    <w:rsid w:val="00A5249E"/>
    <w:rsid w:val="00A62676"/>
    <w:rsid w:val="00A706B1"/>
    <w:rsid w:val="00A71936"/>
    <w:rsid w:val="00A77435"/>
    <w:rsid w:val="00A92B3C"/>
    <w:rsid w:val="00AA501A"/>
    <w:rsid w:val="00AC1F25"/>
    <w:rsid w:val="00AD3592"/>
    <w:rsid w:val="00AE33CF"/>
    <w:rsid w:val="00AF5855"/>
    <w:rsid w:val="00B122CC"/>
    <w:rsid w:val="00B261CB"/>
    <w:rsid w:val="00B354A8"/>
    <w:rsid w:val="00B35936"/>
    <w:rsid w:val="00B547E4"/>
    <w:rsid w:val="00B56448"/>
    <w:rsid w:val="00B62B04"/>
    <w:rsid w:val="00B72C47"/>
    <w:rsid w:val="00B72D60"/>
    <w:rsid w:val="00B76E5F"/>
    <w:rsid w:val="00B96E57"/>
    <w:rsid w:val="00BA281A"/>
    <w:rsid w:val="00BA49C7"/>
    <w:rsid w:val="00BA6E1C"/>
    <w:rsid w:val="00BB3010"/>
    <w:rsid w:val="00BB62CC"/>
    <w:rsid w:val="00BB7365"/>
    <w:rsid w:val="00BC0D2D"/>
    <w:rsid w:val="00BC5A43"/>
    <w:rsid w:val="00BD6742"/>
    <w:rsid w:val="00BE482E"/>
    <w:rsid w:val="00BF023F"/>
    <w:rsid w:val="00BF1787"/>
    <w:rsid w:val="00BF2149"/>
    <w:rsid w:val="00BF2C91"/>
    <w:rsid w:val="00C02BC7"/>
    <w:rsid w:val="00C147EF"/>
    <w:rsid w:val="00C23EF3"/>
    <w:rsid w:val="00C2679D"/>
    <w:rsid w:val="00C341D9"/>
    <w:rsid w:val="00C36C74"/>
    <w:rsid w:val="00C564B6"/>
    <w:rsid w:val="00C5764D"/>
    <w:rsid w:val="00C64C1F"/>
    <w:rsid w:val="00C85BCD"/>
    <w:rsid w:val="00C86353"/>
    <w:rsid w:val="00C924E3"/>
    <w:rsid w:val="00C96FBA"/>
    <w:rsid w:val="00CA3349"/>
    <w:rsid w:val="00CB2110"/>
    <w:rsid w:val="00CB3B41"/>
    <w:rsid w:val="00CE7E68"/>
    <w:rsid w:val="00CF32D9"/>
    <w:rsid w:val="00CF3C56"/>
    <w:rsid w:val="00CF42E2"/>
    <w:rsid w:val="00D06AF5"/>
    <w:rsid w:val="00D124A4"/>
    <w:rsid w:val="00D35482"/>
    <w:rsid w:val="00D53189"/>
    <w:rsid w:val="00D63451"/>
    <w:rsid w:val="00D66961"/>
    <w:rsid w:val="00D71121"/>
    <w:rsid w:val="00D80D35"/>
    <w:rsid w:val="00D817AF"/>
    <w:rsid w:val="00D829BC"/>
    <w:rsid w:val="00D9250E"/>
    <w:rsid w:val="00DA11EF"/>
    <w:rsid w:val="00DB1EE1"/>
    <w:rsid w:val="00DB25B5"/>
    <w:rsid w:val="00DB3D82"/>
    <w:rsid w:val="00DC3A65"/>
    <w:rsid w:val="00DD03B7"/>
    <w:rsid w:val="00DD72CC"/>
    <w:rsid w:val="00DF6D66"/>
    <w:rsid w:val="00DF7575"/>
    <w:rsid w:val="00E01B34"/>
    <w:rsid w:val="00E1298B"/>
    <w:rsid w:val="00E20066"/>
    <w:rsid w:val="00E25352"/>
    <w:rsid w:val="00E379A7"/>
    <w:rsid w:val="00E37A65"/>
    <w:rsid w:val="00E450C8"/>
    <w:rsid w:val="00E508B0"/>
    <w:rsid w:val="00E535B9"/>
    <w:rsid w:val="00E5544E"/>
    <w:rsid w:val="00E562C4"/>
    <w:rsid w:val="00E60E5D"/>
    <w:rsid w:val="00E628D5"/>
    <w:rsid w:val="00E62F08"/>
    <w:rsid w:val="00E904B5"/>
    <w:rsid w:val="00E97F1D"/>
    <w:rsid w:val="00EA22F6"/>
    <w:rsid w:val="00EA259C"/>
    <w:rsid w:val="00EA3B0E"/>
    <w:rsid w:val="00EB7C9B"/>
    <w:rsid w:val="00EC3E17"/>
    <w:rsid w:val="00ED67F9"/>
    <w:rsid w:val="00ED782C"/>
    <w:rsid w:val="00EE4CAB"/>
    <w:rsid w:val="00EE756C"/>
    <w:rsid w:val="00EF1D7F"/>
    <w:rsid w:val="00EF3341"/>
    <w:rsid w:val="00EF6EB8"/>
    <w:rsid w:val="00F0352C"/>
    <w:rsid w:val="00F03639"/>
    <w:rsid w:val="00F1206E"/>
    <w:rsid w:val="00F20895"/>
    <w:rsid w:val="00F217E5"/>
    <w:rsid w:val="00F23218"/>
    <w:rsid w:val="00F3711F"/>
    <w:rsid w:val="00F429B4"/>
    <w:rsid w:val="00F50786"/>
    <w:rsid w:val="00F60865"/>
    <w:rsid w:val="00F6215D"/>
    <w:rsid w:val="00F64A08"/>
    <w:rsid w:val="00F7025A"/>
    <w:rsid w:val="00F80DAD"/>
    <w:rsid w:val="00F96743"/>
    <w:rsid w:val="00F97CC7"/>
    <w:rsid w:val="00FA71D6"/>
    <w:rsid w:val="00FB0811"/>
    <w:rsid w:val="00FC3117"/>
    <w:rsid w:val="00FC57A1"/>
    <w:rsid w:val="00FD44CA"/>
    <w:rsid w:val="00FE1EE8"/>
    <w:rsid w:val="00FE32F2"/>
    <w:rsid w:val="00FE6625"/>
    <w:rsid w:val="00FF3A84"/>
    <w:rsid w:val="00FF7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53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C57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E5F"/>
    <w:pPr>
      <w:ind w:left="720"/>
      <w:contextualSpacing/>
    </w:pPr>
  </w:style>
  <w:style w:type="table" w:styleId="TableGrid">
    <w:name w:val="Table Grid"/>
    <w:basedOn w:val="TableNormal"/>
    <w:rsid w:val="00661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rsid w:val="00661961"/>
    <w:pPr>
      <w:suppressAutoHyphens/>
      <w:spacing w:before="60" w:after="60" w:line="240" w:lineRule="auto"/>
      <w:jc w:val="center"/>
    </w:pPr>
    <w:rPr>
      <w:rFonts w:ascii="Arial" w:eastAsia="Times New Roman" w:hAnsi="Arial" w:cs="Times New Roman"/>
      <w:sz w:val="24"/>
      <w:szCs w:val="24"/>
    </w:rPr>
  </w:style>
  <w:style w:type="paragraph" w:styleId="Caption">
    <w:name w:val="caption"/>
    <w:basedOn w:val="Normal"/>
    <w:next w:val="Normal"/>
    <w:qFormat/>
    <w:rsid w:val="00BD6742"/>
    <w:pPr>
      <w:keepNext/>
      <w:keepLines/>
      <w:widowControl w:val="0"/>
      <w:suppressAutoHyphens/>
      <w:spacing w:after="240" w:line="240" w:lineRule="auto"/>
    </w:pPr>
    <w:rPr>
      <w:rFonts w:ascii="Arial" w:eastAsia="Times New Roman" w:hAnsi="Arial" w:cs="Arial"/>
      <w:b/>
      <w:bCs/>
      <w:sz w:val="24"/>
      <w:szCs w:val="24"/>
    </w:rPr>
  </w:style>
  <w:style w:type="paragraph" w:customStyle="1" w:styleId="Default">
    <w:name w:val="Default"/>
    <w:rsid w:val="00FC311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3E98"/>
    <w:rPr>
      <w:color w:val="0000FF" w:themeColor="hyperlink"/>
      <w:u w:val="single"/>
    </w:rPr>
  </w:style>
  <w:style w:type="character" w:customStyle="1" w:styleId="Heading1Char">
    <w:name w:val="Heading 1 Char"/>
    <w:basedOn w:val="DefaultParagraphFont"/>
    <w:link w:val="Heading1"/>
    <w:uiPriority w:val="9"/>
    <w:rsid w:val="00E25352"/>
    <w:rPr>
      <w:rFonts w:ascii="Times New Roman" w:eastAsia="Times New Roman" w:hAnsi="Times New Roman" w:cs="Times New Roman"/>
      <w:b/>
      <w:bCs/>
      <w:kern w:val="36"/>
      <w:sz w:val="48"/>
      <w:szCs w:val="48"/>
      <w:lang w:eastAsia="en-GB"/>
    </w:rPr>
  </w:style>
  <w:style w:type="character" w:customStyle="1" w:styleId="cit-ahead-of-print-date">
    <w:name w:val="cit-ahead-of-print-date"/>
    <w:basedOn w:val="DefaultParagraphFont"/>
    <w:rsid w:val="00E25352"/>
  </w:style>
  <w:style w:type="character" w:customStyle="1" w:styleId="cit-sep">
    <w:name w:val="cit-sep"/>
    <w:basedOn w:val="DefaultParagraphFont"/>
    <w:rsid w:val="00E25352"/>
  </w:style>
  <w:style w:type="character" w:customStyle="1" w:styleId="apple-converted-space">
    <w:name w:val="apple-converted-space"/>
    <w:basedOn w:val="DefaultParagraphFont"/>
    <w:rsid w:val="004779A8"/>
  </w:style>
  <w:style w:type="character" w:styleId="Emphasis">
    <w:name w:val="Emphasis"/>
    <w:basedOn w:val="DefaultParagraphFont"/>
    <w:uiPriority w:val="20"/>
    <w:qFormat/>
    <w:rsid w:val="004779A8"/>
    <w:rPr>
      <w:i/>
      <w:iCs/>
    </w:rPr>
  </w:style>
  <w:style w:type="paragraph" w:styleId="Header">
    <w:name w:val="header"/>
    <w:basedOn w:val="Normal"/>
    <w:link w:val="HeaderChar"/>
    <w:uiPriority w:val="99"/>
    <w:unhideWhenUsed/>
    <w:rsid w:val="002A2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731"/>
  </w:style>
  <w:style w:type="paragraph" w:styleId="Footer">
    <w:name w:val="footer"/>
    <w:basedOn w:val="Normal"/>
    <w:link w:val="FooterChar"/>
    <w:uiPriority w:val="99"/>
    <w:unhideWhenUsed/>
    <w:rsid w:val="002A2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731"/>
  </w:style>
  <w:style w:type="character" w:customStyle="1" w:styleId="Heading3Char">
    <w:name w:val="Heading 3 Char"/>
    <w:basedOn w:val="DefaultParagraphFont"/>
    <w:link w:val="Heading3"/>
    <w:uiPriority w:val="9"/>
    <w:semiHidden/>
    <w:rsid w:val="00FC57A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53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C57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E5F"/>
    <w:pPr>
      <w:ind w:left="720"/>
      <w:contextualSpacing/>
    </w:pPr>
  </w:style>
  <w:style w:type="table" w:styleId="TableGrid">
    <w:name w:val="Table Grid"/>
    <w:basedOn w:val="TableNormal"/>
    <w:rsid w:val="00661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rsid w:val="00661961"/>
    <w:pPr>
      <w:suppressAutoHyphens/>
      <w:spacing w:before="60" w:after="60" w:line="240" w:lineRule="auto"/>
      <w:jc w:val="center"/>
    </w:pPr>
    <w:rPr>
      <w:rFonts w:ascii="Arial" w:eastAsia="Times New Roman" w:hAnsi="Arial" w:cs="Times New Roman"/>
      <w:sz w:val="24"/>
      <w:szCs w:val="24"/>
    </w:rPr>
  </w:style>
  <w:style w:type="paragraph" w:styleId="Caption">
    <w:name w:val="caption"/>
    <w:basedOn w:val="Normal"/>
    <w:next w:val="Normal"/>
    <w:qFormat/>
    <w:rsid w:val="00BD6742"/>
    <w:pPr>
      <w:keepNext/>
      <w:keepLines/>
      <w:widowControl w:val="0"/>
      <w:suppressAutoHyphens/>
      <w:spacing w:after="240" w:line="240" w:lineRule="auto"/>
    </w:pPr>
    <w:rPr>
      <w:rFonts w:ascii="Arial" w:eastAsia="Times New Roman" w:hAnsi="Arial" w:cs="Arial"/>
      <w:b/>
      <w:bCs/>
      <w:sz w:val="24"/>
      <w:szCs w:val="24"/>
    </w:rPr>
  </w:style>
  <w:style w:type="paragraph" w:customStyle="1" w:styleId="Default">
    <w:name w:val="Default"/>
    <w:rsid w:val="00FC311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3E98"/>
    <w:rPr>
      <w:color w:val="0000FF" w:themeColor="hyperlink"/>
      <w:u w:val="single"/>
    </w:rPr>
  </w:style>
  <w:style w:type="character" w:customStyle="1" w:styleId="Heading1Char">
    <w:name w:val="Heading 1 Char"/>
    <w:basedOn w:val="DefaultParagraphFont"/>
    <w:link w:val="Heading1"/>
    <w:uiPriority w:val="9"/>
    <w:rsid w:val="00E25352"/>
    <w:rPr>
      <w:rFonts w:ascii="Times New Roman" w:eastAsia="Times New Roman" w:hAnsi="Times New Roman" w:cs="Times New Roman"/>
      <w:b/>
      <w:bCs/>
      <w:kern w:val="36"/>
      <w:sz w:val="48"/>
      <w:szCs w:val="48"/>
      <w:lang w:eastAsia="en-GB"/>
    </w:rPr>
  </w:style>
  <w:style w:type="character" w:customStyle="1" w:styleId="cit-ahead-of-print-date">
    <w:name w:val="cit-ahead-of-print-date"/>
    <w:basedOn w:val="DefaultParagraphFont"/>
    <w:rsid w:val="00E25352"/>
  </w:style>
  <w:style w:type="character" w:customStyle="1" w:styleId="cit-sep">
    <w:name w:val="cit-sep"/>
    <w:basedOn w:val="DefaultParagraphFont"/>
    <w:rsid w:val="00E25352"/>
  </w:style>
  <w:style w:type="character" w:customStyle="1" w:styleId="apple-converted-space">
    <w:name w:val="apple-converted-space"/>
    <w:basedOn w:val="DefaultParagraphFont"/>
    <w:rsid w:val="004779A8"/>
  </w:style>
  <w:style w:type="character" w:styleId="Emphasis">
    <w:name w:val="Emphasis"/>
    <w:basedOn w:val="DefaultParagraphFont"/>
    <w:uiPriority w:val="20"/>
    <w:qFormat/>
    <w:rsid w:val="004779A8"/>
    <w:rPr>
      <w:i/>
      <w:iCs/>
    </w:rPr>
  </w:style>
  <w:style w:type="paragraph" w:styleId="Header">
    <w:name w:val="header"/>
    <w:basedOn w:val="Normal"/>
    <w:link w:val="HeaderChar"/>
    <w:uiPriority w:val="99"/>
    <w:unhideWhenUsed/>
    <w:rsid w:val="002A2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731"/>
  </w:style>
  <w:style w:type="paragraph" w:styleId="Footer">
    <w:name w:val="footer"/>
    <w:basedOn w:val="Normal"/>
    <w:link w:val="FooterChar"/>
    <w:uiPriority w:val="99"/>
    <w:unhideWhenUsed/>
    <w:rsid w:val="002A2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731"/>
  </w:style>
  <w:style w:type="character" w:customStyle="1" w:styleId="Heading3Char">
    <w:name w:val="Heading 3 Char"/>
    <w:basedOn w:val="DefaultParagraphFont"/>
    <w:link w:val="Heading3"/>
    <w:uiPriority w:val="9"/>
    <w:semiHidden/>
    <w:rsid w:val="00FC57A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62788">
      <w:bodyDiv w:val="1"/>
      <w:marLeft w:val="0"/>
      <w:marRight w:val="0"/>
      <w:marTop w:val="0"/>
      <w:marBottom w:val="0"/>
      <w:divBdr>
        <w:top w:val="none" w:sz="0" w:space="0" w:color="auto"/>
        <w:left w:val="none" w:sz="0" w:space="0" w:color="auto"/>
        <w:bottom w:val="none" w:sz="0" w:space="0" w:color="auto"/>
        <w:right w:val="none" w:sz="0" w:space="0" w:color="auto"/>
      </w:divBdr>
    </w:div>
    <w:div w:id="70105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g@liv.ac.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organisations/department-for-work-pensions" TargetMode="External"/><Relationship Id="rId5" Type="http://schemas.openxmlformats.org/officeDocument/2006/relationships/webSettings" Target="webSettings.xml"/><Relationship Id="rId10" Type="http://schemas.openxmlformats.org/officeDocument/2006/relationships/hyperlink" Target="https://www.gov.uk/government/organisations/department-for-work-pensions"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411937/esa_wca_summary_Mar15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6500</Words>
  <Characters>37056</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Shiels, Christopher</dc:creator>
  <cp:lastModifiedBy>Gabbay, Mark</cp:lastModifiedBy>
  <cp:revision>2</cp:revision>
  <cp:lastPrinted>2015-09-01T12:07:00Z</cp:lastPrinted>
  <dcterms:created xsi:type="dcterms:W3CDTF">2016-05-31T10:52:00Z</dcterms:created>
  <dcterms:modified xsi:type="dcterms:W3CDTF">2016-05-31T10:52:00Z</dcterms:modified>
</cp:coreProperties>
</file>