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1AE8C" w14:textId="7F62BD5C" w:rsidR="001D7F0F" w:rsidRPr="003342C3" w:rsidRDefault="00CD7AF0" w:rsidP="001D7F0F">
      <w:pPr>
        <w:pStyle w:val="Heading1"/>
        <w:spacing w:line="480" w:lineRule="auto"/>
        <w:jc w:val="center"/>
        <w:rPr>
          <w:rFonts w:cs="Arial"/>
          <w:sz w:val="20"/>
          <w:szCs w:val="20"/>
        </w:rPr>
      </w:pPr>
      <w:r w:rsidRPr="003342C3">
        <w:rPr>
          <w:rFonts w:cs="Arial"/>
          <w:sz w:val="20"/>
          <w:szCs w:val="20"/>
        </w:rPr>
        <w:t>How different data sources and definitions of neighbourhood influence the association between food outlet availability and obesity: a cross-sectional study</w:t>
      </w:r>
      <w:r w:rsidR="003E53E5" w:rsidRPr="003342C3">
        <w:rPr>
          <w:rFonts w:cs="Arial"/>
          <w:sz w:val="20"/>
          <w:szCs w:val="20"/>
        </w:rPr>
        <w:t xml:space="preserve"> </w:t>
      </w:r>
    </w:p>
    <w:p w14:paraId="6741FD5C" w14:textId="77777777" w:rsidR="001D7F0F" w:rsidRPr="003342C3" w:rsidRDefault="001D7F0F" w:rsidP="00625CD4">
      <w:pPr>
        <w:spacing w:line="360" w:lineRule="auto"/>
        <w:rPr>
          <w:rFonts w:ascii="Arial" w:hAnsi="Arial" w:cs="Arial"/>
          <w:sz w:val="20"/>
          <w:szCs w:val="20"/>
        </w:rPr>
      </w:pPr>
    </w:p>
    <w:p w14:paraId="69A19DB8" w14:textId="77777777" w:rsidR="00503D5C" w:rsidRPr="003342C3" w:rsidRDefault="00503D5C" w:rsidP="00625CD4">
      <w:pPr>
        <w:pStyle w:val="Heading2"/>
        <w:spacing w:line="360" w:lineRule="auto"/>
        <w:rPr>
          <w:rFonts w:cs="Arial"/>
          <w:szCs w:val="20"/>
        </w:rPr>
      </w:pPr>
      <w:r w:rsidRPr="003342C3">
        <w:rPr>
          <w:rFonts w:cs="Arial"/>
          <w:szCs w:val="20"/>
        </w:rPr>
        <w:t xml:space="preserve">Abstract </w:t>
      </w:r>
    </w:p>
    <w:p w14:paraId="782C79E0" w14:textId="4CA103E7" w:rsidR="00FA726B" w:rsidRPr="003342C3" w:rsidRDefault="00FE1316" w:rsidP="00625CD4">
      <w:pPr>
        <w:pStyle w:val="NoSpacing"/>
        <w:spacing w:line="276" w:lineRule="auto"/>
        <w:jc w:val="both"/>
        <w:rPr>
          <w:rFonts w:cs="Arial"/>
          <w:sz w:val="20"/>
          <w:szCs w:val="20"/>
        </w:rPr>
      </w:pPr>
      <w:r w:rsidRPr="003342C3">
        <w:rPr>
          <w:rFonts w:cs="Arial"/>
          <w:sz w:val="20"/>
          <w:szCs w:val="20"/>
        </w:rPr>
        <w:t>Large heteroge</w:t>
      </w:r>
      <w:r w:rsidR="00240FDF" w:rsidRPr="003342C3">
        <w:rPr>
          <w:rFonts w:cs="Arial"/>
          <w:sz w:val="20"/>
          <w:szCs w:val="20"/>
        </w:rPr>
        <w:t>neity in methodologies continues</w:t>
      </w:r>
      <w:r w:rsidRPr="003342C3">
        <w:rPr>
          <w:rFonts w:cs="Arial"/>
          <w:sz w:val="20"/>
          <w:szCs w:val="20"/>
        </w:rPr>
        <w:t xml:space="preserve"> to inhibit understanding </w:t>
      </w:r>
      <w:r w:rsidR="00D036BA" w:rsidRPr="003342C3">
        <w:rPr>
          <w:rFonts w:cs="Arial"/>
          <w:sz w:val="20"/>
          <w:szCs w:val="20"/>
        </w:rPr>
        <w:t xml:space="preserve">of </w:t>
      </w:r>
      <w:r w:rsidRPr="003342C3">
        <w:rPr>
          <w:rFonts w:cs="Arial"/>
          <w:sz w:val="20"/>
          <w:szCs w:val="20"/>
        </w:rPr>
        <w:t xml:space="preserve">the </w:t>
      </w:r>
      <w:r w:rsidR="00D036BA" w:rsidRPr="003342C3">
        <w:rPr>
          <w:rFonts w:cs="Arial"/>
          <w:sz w:val="20"/>
          <w:szCs w:val="20"/>
        </w:rPr>
        <w:t xml:space="preserve">impact of the environment </w:t>
      </w:r>
      <w:r w:rsidRPr="003342C3">
        <w:rPr>
          <w:rFonts w:cs="Arial"/>
          <w:sz w:val="20"/>
          <w:szCs w:val="20"/>
        </w:rPr>
        <w:t>on</w:t>
      </w:r>
      <w:r w:rsidR="000E550A" w:rsidRPr="003342C3">
        <w:rPr>
          <w:rFonts w:cs="Arial"/>
          <w:sz w:val="20"/>
          <w:szCs w:val="20"/>
        </w:rPr>
        <w:t xml:space="preserve"> obesity</w:t>
      </w:r>
      <w:r w:rsidR="00FA726B" w:rsidRPr="003342C3">
        <w:rPr>
          <w:rFonts w:cs="Arial"/>
          <w:sz w:val="20"/>
          <w:szCs w:val="20"/>
        </w:rPr>
        <w:t xml:space="preserve">. </w:t>
      </w:r>
      <w:r w:rsidRPr="003342C3">
        <w:rPr>
          <w:rFonts w:cs="Arial"/>
          <w:sz w:val="20"/>
          <w:szCs w:val="20"/>
        </w:rPr>
        <w:t>To estimate the effect of this heterogeneity we assessed the impact of</w:t>
      </w:r>
      <w:r w:rsidR="00182E46" w:rsidRPr="003342C3">
        <w:rPr>
          <w:rFonts w:cs="Arial"/>
          <w:sz w:val="20"/>
          <w:szCs w:val="20"/>
        </w:rPr>
        <w:t xml:space="preserve"> using</w:t>
      </w:r>
      <w:r w:rsidRPr="003342C3">
        <w:rPr>
          <w:rFonts w:cs="Arial"/>
          <w:sz w:val="20"/>
          <w:szCs w:val="20"/>
        </w:rPr>
        <w:t xml:space="preserve"> </w:t>
      </w:r>
      <w:r w:rsidR="009F11D4" w:rsidRPr="003342C3">
        <w:rPr>
          <w:rFonts w:cs="Arial"/>
          <w:sz w:val="20"/>
          <w:szCs w:val="20"/>
        </w:rPr>
        <w:t xml:space="preserve">different </w:t>
      </w:r>
      <w:r w:rsidRPr="003342C3">
        <w:rPr>
          <w:rFonts w:cs="Arial"/>
          <w:sz w:val="20"/>
          <w:szCs w:val="20"/>
        </w:rPr>
        <w:t xml:space="preserve">definitions of </w:t>
      </w:r>
      <w:r w:rsidR="00182E46" w:rsidRPr="003342C3">
        <w:rPr>
          <w:rFonts w:cs="Arial"/>
          <w:sz w:val="20"/>
          <w:szCs w:val="20"/>
        </w:rPr>
        <w:t>availability a</w:t>
      </w:r>
      <w:r w:rsidRPr="003342C3">
        <w:rPr>
          <w:rFonts w:cs="Arial"/>
          <w:sz w:val="20"/>
          <w:szCs w:val="20"/>
        </w:rPr>
        <w:t xml:space="preserve">nd </w:t>
      </w:r>
      <w:r w:rsidR="009F11D4" w:rsidRPr="003342C3">
        <w:rPr>
          <w:rFonts w:cs="Arial"/>
          <w:sz w:val="20"/>
          <w:szCs w:val="20"/>
        </w:rPr>
        <w:t xml:space="preserve">datasets </w:t>
      </w:r>
      <w:r w:rsidRPr="003342C3">
        <w:rPr>
          <w:rFonts w:cs="Arial"/>
          <w:sz w:val="20"/>
          <w:szCs w:val="20"/>
        </w:rPr>
        <w:t>on associations</w:t>
      </w:r>
      <w:r w:rsidR="00D036BA" w:rsidRPr="003342C3">
        <w:rPr>
          <w:rFonts w:cs="Arial"/>
          <w:sz w:val="20"/>
          <w:szCs w:val="20"/>
        </w:rPr>
        <w:t xml:space="preserve"> between</w:t>
      </w:r>
      <w:r w:rsidR="00A21886" w:rsidRPr="003342C3">
        <w:rPr>
          <w:rFonts w:cs="Arial"/>
          <w:sz w:val="20"/>
          <w:szCs w:val="20"/>
        </w:rPr>
        <w:t xml:space="preserve"> food outlet availability </w:t>
      </w:r>
      <w:r w:rsidR="00D036BA" w:rsidRPr="003342C3">
        <w:rPr>
          <w:rFonts w:cs="Arial"/>
          <w:sz w:val="20"/>
          <w:szCs w:val="20"/>
        </w:rPr>
        <w:t xml:space="preserve">within the environment </w:t>
      </w:r>
      <w:r w:rsidRPr="003342C3">
        <w:rPr>
          <w:rFonts w:cs="Arial"/>
          <w:sz w:val="20"/>
          <w:szCs w:val="20"/>
        </w:rPr>
        <w:t>and</w:t>
      </w:r>
      <w:r w:rsidR="000E550A" w:rsidRPr="003342C3">
        <w:rPr>
          <w:rFonts w:cs="Arial"/>
          <w:sz w:val="20"/>
          <w:szCs w:val="20"/>
        </w:rPr>
        <w:t xml:space="preserve"> obesity</w:t>
      </w:r>
      <w:r w:rsidRPr="003342C3">
        <w:rPr>
          <w:rFonts w:cs="Arial"/>
          <w:sz w:val="20"/>
          <w:szCs w:val="20"/>
        </w:rPr>
        <w:t xml:space="preserve">. </w:t>
      </w:r>
      <w:r w:rsidR="00EF5066" w:rsidRPr="003342C3">
        <w:rPr>
          <w:rFonts w:cs="Arial"/>
          <w:sz w:val="20"/>
          <w:szCs w:val="20"/>
        </w:rPr>
        <w:t xml:space="preserve">Previous research has not extended to show any differences in the strength of associations between </w:t>
      </w:r>
      <w:r w:rsidR="00C920EA" w:rsidRPr="003342C3">
        <w:rPr>
          <w:rFonts w:cs="Arial"/>
          <w:sz w:val="20"/>
          <w:szCs w:val="20"/>
        </w:rPr>
        <w:t>food outlet availability</w:t>
      </w:r>
      <w:r w:rsidR="00EF5066" w:rsidRPr="003342C3">
        <w:rPr>
          <w:rFonts w:cs="Arial"/>
          <w:sz w:val="20"/>
          <w:szCs w:val="20"/>
        </w:rPr>
        <w:t xml:space="preserve"> and </w:t>
      </w:r>
      <w:r w:rsidR="000E550A" w:rsidRPr="003342C3">
        <w:rPr>
          <w:rFonts w:cs="Arial"/>
          <w:sz w:val="20"/>
          <w:szCs w:val="20"/>
        </w:rPr>
        <w:t>obesity</w:t>
      </w:r>
      <w:r w:rsidR="00EF5066" w:rsidRPr="003342C3">
        <w:rPr>
          <w:rFonts w:cs="Arial"/>
          <w:sz w:val="20"/>
          <w:szCs w:val="20"/>
        </w:rPr>
        <w:t xml:space="preserve"> across both different buffers and data</w:t>
      </w:r>
      <w:r w:rsidR="009F11D4" w:rsidRPr="003342C3">
        <w:rPr>
          <w:rFonts w:cs="Arial"/>
          <w:sz w:val="20"/>
          <w:szCs w:val="20"/>
        </w:rPr>
        <w:t>sets</w:t>
      </w:r>
      <w:r w:rsidR="00EF5066" w:rsidRPr="003342C3">
        <w:rPr>
          <w:rFonts w:cs="Arial"/>
          <w:sz w:val="20"/>
          <w:szCs w:val="20"/>
        </w:rPr>
        <w:t>.</w:t>
      </w:r>
      <w:r w:rsidR="00860071" w:rsidRPr="003342C3">
        <w:rPr>
          <w:rFonts w:cs="Arial"/>
          <w:sz w:val="20"/>
          <w:szCs w:val="20"/>
        </w:rPr>
        <w:t xml:space="preserve"> </w:t>
      </w:r>
      <w:r w:rsidR="004B23D4" w:rsidRPr="003342C3">
        <w:rPr>
          <w:rFonts w:cs="Arial"/>
          <w:sz w:val="20"/>
          <w:szCs w:val="20"/>
        </w:rPr>
        <w:t xml:space="preserve">Our key finding was that there is little change in size of associations between the </w:t>
      </w:r>
      <w:r w:rsidR="00C920EA" w:rsidRPr="003342C3">
        <w:rPr>
          <w:rFonts w:cs="Arial"/>
          <w:sz w:val="20"/>
          <w:szCs w:val="20"/>
        </w:rPr>
        <w:t xml:space="preserve">food outlet availability </w:t>
      </w:r>
      <w:r w:rsidR="004B23D4" w:rsidRPr="003342C3">
        <w:rPr>
          <w:rFonts w:cs="Arial"/>
          <w:sz w:val="20"/>
          <w:szCs w:val="20"/>
        </w:rPr>
        <w:t xml:space="preserve">and </w:t>
      </w:r>
      <w:r w:rsidR="000E550A" w:rsidRPr="003342C3">
        <w:rPr>
          <w:rFonts w:cs="Arial"/>
          <w:sz w:val="20"/>
          <w:szCs w:val="20"/>
        </w:rPr>
        <w:t xml:space="preserve">obesity </w:t>
      </w:r>
      <w:r w:rsidR="004B23D4" w:rsidRPr="003342C3">
        <w:rPr>
          <w:rFonts w:cs="Arial"/>
          <w:sz w:val="20"/>
          <w:szCs w:val="20"/>
        </w:rPr>
        <w:t xml:space="preserve">across </w:t>
      </w:r>
      <w:r w:rsidR="000E550A" w:rsidRPr="003342C3">
        <w:rPr>
          <w:rFonts w:cs="Arial"/>
          <w:sz w:val="20"/>
          <w:szCs w:val="20"/>
        </w:rPr>
        <w:t xml:space="preserve">both </w:t>
      </w:r>
      <w:r w:rsidR="004B23D4" w:rsidRPr="003342C3">
        <w:rPr>
          <w:rFonts w:cs="Arial"/>
          <w:sz w:val="20"/>
          <w:szCs w:val="20"/>
        </w:rPr>
        <w:t>different food ava</w:t>
      </w:r>
      <w:r w:rsidR="000567EF" w:rsidRPr="003342C3">
        <w:rPr>
          <w:rFonts w:cs="Arial"/>
          <w:sz w:val="20"/>
          <w:szCs w:val="20"/>
        </w:rPr>
        <w:t>ilability measures and datasets</w:t>
      </w:r>
      <w:r w:rsidR="00182E46" w:rsidRPr="003342C3">
        <w:rPr>
          <w:rFonts w:cs="Arial"/>
          <w:sz w:val="20"/>
          <w:szCs w:val="20"/>
        </w:rPr>
        <w:t>.</w:t>
      </w:r>
      <w:r w:rsidR="00A532E2" w:rsidRPr="003342C3">
        <w:rPr>
          <w:rFonts w:cs="Arial"/>
          <w:sz w:val="20"/>
          <w:szCs w:val="20"/>
        </w:rPr>
        <w:t xml:space="preserve"> I</w:t>
      </w:r>
      <w:r w:rsidR="004B23D4" w:rsidRPr="003342C3">
        <w:rPr>
          <w:rFonts w:cs="Arial"/>
          <w:sz w:val="20"/>
          <w:szCs w:val="20"/>
        </w:rPr>
        <w:t>t remains important to consider the impact of this choice in relation to the magnitude of change in associations.</w:t>
      </w:r>
    </w:p>
    <w:p w14:paraId="5D4C8501" w14:textId="77777777" w:rsidR="003D7F3C" w:rsidRPr="003342C3" w:rsidRDefault="003D7F3C" w:rsidP="004B23D4">
      <w:pPr>
        <w:pStyle w:val="NoSpacing"/>
        <w:spacing w:line="480" w:lineRule="auto"/>
        <w:jc w:val="both"/>
        <w:rPr>
          <w:rFonts w:cs="Arial"/>
          <w:sz w:val="20"/>
          <w:szCs w:val="20"/>
        </w:rPr>
      </w:pPr>
    </w:p>
    <w:p w14:paraId="5B97504D" w14:textId="77777777" w:rsidR="003D7F3C" w:rsidRPr="003342C3" w:rsidRDefault="003D7F3C" w:rsidP="004B23D4">
      <w:pPr>
        <w:pStyle w:val="NoSpacing"/>
        <w:spacing w:line="480" w:lineRule="auto"/>
        <w:jc w:val="both"/>
        <w:rPr>
          <w:rFonts w:cs="Arial"/>
          <w:b/>
          <w:sz w:val="20"/>
          <w:szCs w:val="20"/>
        </w:rPr>
      </w:pPr>
      <w:r w:rsidRPr="003342C3">
        <w:rPr>
          <w:rFonts w:cs="Arial"/>
          <w:b/>
          <w:sz w:val="20"/>
          <w:szCs w:val="20"/>
        </w:rPr>
        <w:t>Key words</w:t>
      </w:r>
    </w:p>
    <w:p w14:paraId="56F08B1D" w14:textId="295B6145" w:rsidR="008F71A5" w:rsidRPr="003342C3" w:rsidRDefault="00D462E6" w:rsidP="00A21886">
      <w:pPr>
        <w:pStyle w:val="NoSpacing"/>
        <w:rPr>
          <w:rFonts w:cs="Arial"/>
          <w:sz w:val="20"/>
          <w:szCs w:val="20"/>
        </w:rPr>
      </w:pPr>
      <w:r w:rsidRPr="003342C3">
        <w:rPr>
          <w:rFonts w:cs="Arial"/>
          <w:sz w:val="20"/>
          <w:szCs w:val="20"/>
        </w:rPr>
        <w:t>Food e</w:t>
      </w:r>
      <w:r w:rsidR="003D7F3C" w:rsidRPr="003342C3">
        <w:rPr>
          <w:rFonts w:cs="Arial"/>
          <w:sz w:val="20"/>
          <w:szCs w:val="20"/>
        </w:rPr>
        <w:t>nvironment; obesity; nutrition; availability</w:t>
      </w:r>
      <w:r w:rsidR="00AD6888" w:rsidRPr="003342C3">
        <w:rPr>
          <w:rFonts w:cs="Arial"/>
          <w:sz w:val="20"/>
          <w:szCs w:val="20"/>
        </w:rPr>
        <w:t>, buffers</w:t>
      </w:r>
      <w:r w:rsidR="003D7F3C" w:rsidRPr="003342C3">
        <w:rPr>
          <w:rFonts w:cs="Arial"/>
          <w:sz w:val="20"/>
          <w:szCs w:val="20"/>
        </w:rPr>
        <w:t xml:space="preserve">. </w:t>
      </w:r>
    </w:p>
    <w:p w14:paraId="6515BC03" w14:textId="77777777" w:rsidR="003D7F3C" w:rsidRPr="003342C3" w:rsidRDefault="003D7F3C" w:rsidP="00A21886">
      <w:pPr>
        <w:pStyle w:val="NoSpacing"/>
        <w:rPr>
          <w:rFonts w:cs="Arial"/>
          <w:sz w:val="20"/>
          <w:szCs w:val="20"/>
        </w:rPr>
      </w:pPr>
    </w:p>
    <w:p w14:paraId="0DDAAF30" w14:textId="77777777" w:rsidR="004B23D4" w:rsidRPr="003342C3" w:rsidRDefault="004B23D4">
      <w:pPr>
        <w:rPr>
          <w:rFonts w:ascii="Arial" w:hAnsi="Arial" w:cs="Arial"/>
          <w:sz w:val="20"/>
          <w:szCs w:val="20"/>
        </w:rPr>
      </w:pPr>
      <w:r w:rsidRPr="003342C3">
        <w:rPr>
          <w:rFonts w:ascii="Arial" w:hAnsi="Arial" w:cs="Arial"/>
          <w:sz w:val="20"/>
          <w:szCs w:val="20"/>
        </w:rPr>
        <w:br w:type="page"/>
      </w:r>
    </w:p>
    <w:p w14:paraId="57A56F3C" w14:textId="2C312B12" w:rsidR="005F7603" w:rsidRPr="003342C3" w:rsidRDefault="004616F2" w:rsidP="005F7603">
      <w:pPr>
        <w:pStyle w:val="NoSpacing"/>
        <w:jc w:val="both"/>
        <w:rPr>
          <w:rFonts w:cs="Arial"/>
          <w:sz w:val="20"/>
          <w:szCs w:val="20"/>
        </w:rPr>
      </w:pPr>
      <w:r w:rsidRPr="003342C3">
        <w:rPr>
          <w:rFonts w:cs="Arial"/>
          <w:sz w:val="20"/>
          <w:szCs w:val="20"/>
        </w:rPr>
        <w:lastRenderedPageBreak/>
        <w:t xml:space="preserve">Obesity is </w:t>
      </w:r>
      <w:r w:rsidR="001B6069" w:rsidRPr="003342C3">
        <w:rPr>
          <w:rFonts w:cs="Arial"/>
          <w:sz w:val="20"/>
          <w:szCs w:val="20"/>
        </w:rPr>
        <w:t>one of the leading burdens of disease in the UK</w:t>
      </w:r>
      <w:hyperlink w:anchor="_ENREF_1" w:tooltip="Ng, 2014 #3220" w:history="1">
        <w:r w:rsidR="00CA259E" w:rsidRPr="003342C3">
          <w:rPr>
            <w:rFonts w:cs="Arial"/>
            <w:sz w:val="20"/>
            <w:szCs w:val="20"/>
          </w:rPr>
          <w:fldChar w:fldCharType="begin">
            <w:fldData xml:space="preserve">PEVuZE5vdGU+PENpdGU+PEF1dGhvcj5OZzwvQXV0aG9yPjxZZWFyPjIwMTQ8L1llYXI+PFJlY051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</w:fldData>
          </w:fldChar>
        </w:r>
        <w:r w:rsidR="00CA259E" w:rsidRPr="003342C3">
          <w:rPr>
            <w:rFonts w:cs="Arial"/>
            <w:sz w:val="20"/>
            <w:szCs w:val="20"/>
          </w:rPr>
          <w:instrText xml:space="preserve"> ADDIN EN.CITE </w:instrText>
        </w:r>
        <w:r w:rsidR="00CA259E" w:rsidRPr="003342C3">
          <w:rPr>
            <w:rFonts w:cs="Arial"/>
            <w:sz w:val="20"/>
            <w:szCs w:val="20"/>
          </w:rPr>
          <w:fldChar w:fldCharType="begin">
            <w:fldData xml:space="preserve">PEVuZE5vdGU+PENpdGU+PEF1dGhvcj5OZzwvQXV0aG9yPjxZZWFyPjIwMTQ8L1llYXI+PFJlY051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</w:fldData>
          </w:fldChar>
        </w:r>
        <w:r w:rsidR="00CA259E" w:rsidRPr="003342C3">
          <w:rPr>
            <w:rFonts w:cs="Arial"/>
            <w:sz w:val="20"/>
            <w:szCs w:val="20"/>
          </w:rPr>
          <w:instrText xml:space="preserve"> ADDIN EN.CITE.DATA </w:instrText>
        </w:r>
        <w:r w:rsidR="00CA259E" w:rsidRPr="003342C3">
          <w:rPr>
            <w:rFonts w:cs="Arial"/>
            <w:sz w:val="20"/>
            <w:szCs w:val="20"/>
          </w:rPr>
        </w:r>
        <w:r w:rsidR="00CA259E" w:rsidRPr="003342C3">
          <w:rPr>
            <w:rFonts w:cs="Arial"/>
            <w:sz w:val="20"/>
            <w:szCs w:val="20"/>
          </w:rPr>
          <w:fldChar w:fldCharType="end"/>
        </w:r>
        <w:r w:rsidR="00CA259E" w:rsidRPr="003342C3">
          <w:rPr>
            <w:rFonts w:cs="Arial"/>
            <w:sz w:val="20"/>
            <w:szCs w:val="20"/>
          </w:rPr>
        </w:r>
        <w:r w:rsidR="00CA259E" w:rsidRPr="003342C3">
          <w:rPr>
            <w:rFonts w:cs="Arial"/>
            <w:sz w:val="20"/>
            <w:szCs w:val="20"/>
          </w:rPr>
          <w:fldChar w:fldCharType="separate"/>
        </w:r>
        <w:r w:rsidR="00CA259E" w:rsidRPr="003342C3">
          <w:rPr>
            <w:rFonts w:cs="Arial"/>
            <w:noProof/>
            <w:sz w:val="20"/>
            <w:szCs w:val="20"/>
            <w:vertAlign w:val="superscript"/>
          </w:rPr>
          <w:t>1</w:t>
        </w:r>
        <w:r w:rsidR="00CA259E" w:rsidRPr="003342C3">
          <w:rPr>
            <w:rFonts w:cs="Arial"/>
            <w:sz w:val="20"/>
            <w:szCs w:val="20"/>
          </w:rPr>
          <w:fldChar w:fldCharType="end"/>
        </w:r>
      </w:hyperlink>
      <w:r w:rsidR="001B6069" w:rsidRPr="003342C3">
        <w:rPr>
          <w:rFonts w:cs="Arial"/>
          <w:sz w:val="20"/>
          <w:szCs w:val="20"/>
        </w:rPr>
        <w:t xml:space="preserve"> </w:t>
      </w:r>
      <w:r w:rsidR="005A4877" w:rsidRPr="003342C3">
        <w:rPr>
          <w:rFonts w:cs="Arial"/>
          <w:sz w:val="20"/>
          <w:szCs w:val="20"/>
        </w:rPr>
        <w:t xml:space="preserve">costing an </w:t>
      </w:r>
      <w:r w:rsidR="001B6069" w:rsidRPr="003342C3">
        <w:rPr>
          <w:rFonts w:cs="Arial"/>
          <w:sz w:val="20"/>
          <w:szCs w:val="20"/>
        </w:rPr>
        <w:t xml:space="preserve">estimated </w:t>
      </w:r>
      <w:r w:rsidR="00FE1316" w:rsidRPr="003342C3">
        <w:rPr>
          <w:rFonts w:cs="Arial"/>
          <w:sz w:val="20"/>
          <w:szCs w:val="20"/>
        </w:rPr>
        <w:t>£5.1 billion per year</w:t>
      </w:r>
      <w:r w:rsidR="001B6069" w:rsidRPr="003342C3">
        <w:rPr>
          <w:rFonts w:cs="Arial"/>
          <w:sz w:val="20"/>
          <w:szCs w:val="20"/>
        </w:rPr>
        <w:t>.</w:t>
      </w:r>
      <w:hyperlink w:anchor="_ENREF_2" w:tooltip="Scarborough, 2011 #3219" w:history="1">
        <w:r w:rsidR="00CA259E" w:rsidRPr="003342C3">
          <w:rPr>
            <w:rFonts w:cs="Arial"/>
            <w:sz w:val="20"/>
            <w:szCs w:val="20"/>
          </w:rPr>
          <w:fldChar w:fldCharType="begin">
            <w:fldData xml:space="preserve">PEVuZE5vdGU+PENpdGU+PEF1dGhvcj5TY2FyYm9yb3VnaDwvQXV0aG9yPjxZZWFyPjIwMTE8L1ll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</w:fldData>
          </w:fldChar>
        </w:r>
        <w:r w:rsidR="00CA259E" w:rsidRPr="003342C3">
          <w:rPr>
            <w:rFonts w:cs="Arial"/>
            <w:sz w:val="20"/>
            <w:szCs w:val="20"/>
          </w:rPr>
          <w:instrText xml:space="preserve"> ADDIN EN.CITE </w:instrText>
        </w:r>
        <w:r w:rsidR="00CA259E" w:rsidRPr="003342C3">
          <w:rPr>
            <w:rFonts w:cs="Arial"/>
            <w:sz w:val="20"/>
            <w:szCs w:val="20"/>
          </w:rPr>
          <w:fldChar w:fldCharType="begin">
            <w:fldData xml:space="preserve">PEVuZE5vdGU+PENpdGU+PEF1dGhvcj5TY2FyYm9yb3VnaDwvQXV0aG9yPjxZZWFyPjIwMTE8L1ll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</w:fldData>
          </w:fldChar>
        </w:r>
        <w:r w:rsidR="00CA259E" w:rsidRPr="003342C3">
          <w:rPr>
            <w:rFonts w:cs="Arial"/>
            <w:sz w:val="20"/>
            <w:szCs w:val="20"/>
          </w:rPr>
          <w:instrText xml:space="preserve"> ADDIN EN.CITE.DATA </w:instrText>
        </w:r>
        <w:r w:rsidR="00CA259E" w:rsidRPr="003342C3">
          <w:rPr>
            <w:rFonts w:cs="Arial"/>
            <w:sz w:val="20"/>
            <w:szCs w:val="20"/>
          </w:rPr>
        </w:r>
        <w:r w:rsidR="00CA259E" w:rsidRPr="003342C3">
          <w:rPr>
            <w:rFonts w:cs="Arial"/>
            <w:sz w:val="20"/>
            <w:szCs w:val="20"/>
          </w:rPr>
          <w:fldChar w:fldCharType="end"/>
        </w:r>
        <w:r w:rsidR="00CA259E" w:rsidRPr="003342C3">
          <w:rPr>
            <w:rFonts w:cs="Arial"/>
            <w:sz w:val="20"/>
            <w:szCs w:val="20"/>
          </w:rPr>
        </w:r>
        <w:r w:rsidR="00CA259E" w:rsidRPr="003342C3">
          <w:rPr>
            <w:rFonts w:cs="Arial"/>
            <w:sz w:val="20"/>
            <w:szCs w:val="20"/>
          </w:rPr>
          <w:fldChar w:fldCharType="separate"/>
        </w:r>
        <w:r w:rsidR="00CA259E" w:rsidRPr="003342C3">
          <w:rPr>
            <w:rFonts w:cs="Arial"/>
            <w:noProof/>
            <w:sz w:val="20"/>
            <w:szCs w:val="20"/>
            <w:vertAlign w:val="superscript"/>
          </w:rPr>
          <w:t>2</w:t>
        </w:r>
        <w:r w:rsidR="00CA259E" w:rsidRPr="003342C3">
          <w:rPr>
            <w:rFonts w:cs="Arial"/>
            <w:sz w:val="20"/>
            <w:szCs w:val="20"/>
          </w:rPr>
          <w:fldChar w:fldCharType="end"/>
        </w:r>
      </w:hyperlink>
      <w:r w:rsidR="00E55A4D" w:rsidRPr="003342C3">
        <w:rPr>
          <w:rFonts w:cs="Arial"/>
          <w:sz w:val="20"/>
          <w:szCs w:val="20"/>
        </w:rPr>
        <w:t xml:space="preserve"> Both research and policy now suggest that the ‘obesogenic environment’ may be a contributing factor to obesity based on the principle that an increased food outlet availability within an </w:t>
      </w:r>
      <w:r w:rsidR="000202A8" w:rsidRPr="003342C3">
        <w:rPr>
          <w:rFonts w:cs="Arial"/>
          <w:sz w:val="20"/>
          <w:szCs w:val="20"/>
        </w:rPr>
        <w:t xml:space="preserve">individual’s </w:t>
      </w:r>
      <w:r w:rsidR="00E55A4D" w:rsidRPr="003342C3">
        <w:rPr>
          <w:rFonts w:cs="Arial"/>
          <w:sz w:val="20"/>
          <w:szCs w:val="20"/>
        </w:rPr>
        <w:t xml:space="preserve">neighbourhood </w:t>
      </w:r>
      <w:r w:rsidR="005A20D1" w:rsidRPr="003342C3">
        <w:rPr>
          <w:rFonts w:cs="Arial"/>
          <w:sz w:val="20"/>
          <w:szCs w:val="20"/>
        </w:rPr>
        <w:t xml:space="preserve">may </w:t>
      </w:r>
      <w:r w:rsidR="005641AC" w:rsidRPr="003342C3">
        <w:rPr>
          <w:rFonts w:cs="Arial"/>
          <w:sz w:val="20"/>
          <w:szCs w:val="20"/>
        </w:rPr>
        <w:t>encourage</w:t>
      </w:r>
      <w:r w:rsidR="005A20D1" w:rsidRPr="003342C3">
        <w:rPr>
          <w:rFonts w:cs="Arial"/>
          <w:sz w:val="20"/>
          <w:szCs w:val="20"/>
        </w:rPr>
        <w:t xml:space="preserve"> </w:t>
      </w:r>
      <w:r w:rsidR="005641AC" w:rsidRPr="003342C3">
        <w:rPr>
          <w:rFonts w:cs="Arial"/>
          <w:sz w:val="20"/>
          <w:szCs w:val="20"/>
        </w:rPr>
        <w:t>an overconsumption of energy-dense, nutrient poor foods</w:t>
      </w:r>
      <w:r w:rsidR="000202A8" w:rsidRPr="003342C3">
        <w:rPr>
          <w:rFonts w:cs="Arial"/>
          <w:sz w:val="20"/>
          <w:szCs w:val="20"/>
        </w:rPr>
        <w:t>.</w:t>
      </w:r>
      <w:r w:rsidR="00F401A4" w:rsidRPr="003342C3">
        <w:rPr>
          <w:rFonts w:cs="Arial"/>
          <w:sz w:val="20"/>
          <w:szCs w:val="20"/>
        </w:rPr>
        <w:t xml:space="preserve"> </w:t>
      </w:r>
      <w:r w:rsidR="00E55A4D" w:rsidRPr="003342C3">
        <w:rPr>
          <w:rFonts w:cs="Arial"/>
          <w:sz w:val="20"/>
          <w:szCs w:val="20"/>
        </w:rPr>
        <w:t>Despite this, findings linking food outlet availability and obesity are inconsistent. This may be due to large heterogeneity in methodologies between studies, examples of which include; the use of a variety of food outlet databases and inconsistencies in neighbourhood definitions.</w:t>
      </w:r>
      <w:hyperlink w:anchor="_ENREF_3" w:tooltip="Cobb, 2015 #3265" w:history="1">
        <w:r w:rsidR="00CA259E" w:rsidRPr="003342C3">
          <w:rPr>
            <w:rFonts w:cs="Arial"/>
            <w:sz w:val="20"/>
            <w:szCs w:val="20"/>
          </w:rPr>
          <w:fldChar w:fldCharType="begin"/>
        </w:r>
        <w:r w:rsidR="00CA259E" w:rsidRPr="003342C3">
          <w:rPr>
            <w:rFonts w:cs="Arial"/>
            <w:sz w:val="20"/>
            <w:szCs w:val="20"/>
          </w:rPr>
          <w:instrText xml:space="preserve"> ADDIN EN.CITE &lt;EndNote&gt;&lt;Cite&gt;&lt;Author&gt;Cobb&lt;/Author&gt;&lt;Year&gt;2015&lt;/Year&gt;&lt;RecNum&gt;3265&lt;/RecNum&gt;&lt;DisplayText&gt;&lt;style face="superscript"&gt;3&lt;/style&gt;&lt;/DisplayText&gt;&lt;record&gt;&lt;rec-number&gt;3265&lt;/rec-number&gt;&lt;foreign-keys&gt;&lt;key app="EN" db-id="zrsespedwsd00qewtfnxtt0f9sdware5f2ae"&gt;3265&lt;/key&gt;&lt;/foreign-keys&gt;&lt;ref-type name="Journal Article"&gt;17&lt;/ref-type&gt;&lt;contributors&gt;&lt;authors&gt;&lt;author&gt;Cobb, Laura K.&lt;/author&gt;&lt;author&gt;Appel, Lawrence J.&lt;/author&gt;&lt;author&gt;Franco, Manuel&lt;/author&gt;&lt;author&gt;Jones-Smith, Jessica C.&lt;/author&gt;&lt;author&gt;Nur, Alana&lt;/author&gt;&lt;author&gt;Anderson, Cheryl A. M.&lt;/author&gt;&lt;/authors&gt;&lt;/contributors&gt;&lt;titles&gt;&lt;title&gt;The relationship of the local food environment with obesity: A systematic review of methods, study quality, and results&lt;/title&gt;&lt;secondary-title&gt;Obesity&lt;/secondary-title&gt;&lt;/titles&gt;&lt;periodical&gt;&lt;full-title&gt;Obesity&lt;/full-title&gt;&lt;abbr-1&gt;Obesity&lt;/abbr-1&gt;&lt;/periodical&gt;&lt;pages&gt;n/a-n/a&lt;/pages&gt;&lt;dates&gt;&lt;year&gt;2015&lt;/year&gt;&lt;/dates&gt;&lt;isbn&gt;1930-739X&lt;/isbn&gt;&lt;urls&gt;&lt;related-urls&gt;&lt;url&gt;http://dx.doi.org/10.1002/oby.21118&lt;/url&gt;&lt;/related-urls&gt;&lt;/urls&gt;&lt;electronic-resource-num&gt;10.1002/oby.21118&lt;/electronic-resource-num&gt;&lt;/record&gt;&lt;/Cite&gt;&lt;/EndNote&gt;</w:instrText>
        </w:r>
        <w:r w:rsidR="00CA259E" w:rsidRPr="003342C3">
          <w:rPr>
            <w:rFonts w:cs="Arial"/>
            <w:sz w:val="20"/>
            <w:szCs w:val="20"/>
          </w:rPr>
          <w:fldChar w:fldCharType="separate"/>
        </w:r>
        <w:r w:rsidR="00CA259E" w:rsidRPr="003342C3">
          <w:rPr>
            <w:rFonts w:cs="Arial"/>
            <w:noProof/>
            <w:sz w:val="20"/>
            <w:szCs w:val="20"/>
            <w:vertAlign w:val="superscript"/>
          </w:rPr>
          <w:t>3</w:t>
        </w:r>
        <w:r w:rsidR="00CA259E" w:rsidRPr="003342C3">
          <w:rPr>
            <w:rFonts w:cs="Arial"/>
            <w:sz w:val="20"/>
            <w:szCs w:val="20"/>
          </w:rPr>
          <w:fldChar w:fldCharType="end"/>
        </w:r>
      </w:hyperlink>
      <w:r w:rsidR="00E55A4D" w:rsidRPr="003342C3">
        <w:rPr>
          <w:rFonts w:cs="Arial"/>
          <w:sz w:val="20"/>
          <w:szCs w:val="20"/>
        </w:rPr>
        <w:t xml:space="preserve"> Previous evidence has begun to establish that</w:t>
      </w:r>
      <w:r w:rsidR="005F7603" w:rsidRPr="003342C3">
        <w:rPr>
          <w:rFonts w:cs="Arial"/>
          <w:sz w:val="20"/>
          <w:szCs w:val="20"/>
        </w:rPr>
        <w:t xml:space="preserve"> although</w:t>
      </w:r>
      <w:r w:rsidR="00E55A4D" w:rsidRPr="003342C3">
        <w:rPr>
          <w:rFonts w:cs="Arial"/>
          <w:sz w:val="20"/>
          <w:szCs w:val="20"/>
        </w:rPr>
        <w:t xml:space="preserve"> Local Authority (LA)</w:t>
      </w:r>
      <w:r w:rsidR="005F7603" w:rsidRPr="003342C3">
        <w:rPr>
          <w:rFonts w:cs="Arial"/>
          <w:sz w:val="20"/>
          <w:szCs w:val="20"/>
        </w:rPr>
        <w:t xml:space="preserve"> </w:t>
      </w:r>
      <w:r w:rsidR="005A20D1" w:rsidRPr="003342C3">
        <w:rPr>
          <w:rFonts w:cs="Arial"/>
          <w:sz w:val="20"/>
          <w:szCs w:val="20"/>
        </w:rPr>
        <w:t xml:space="preserve">food outlet databases </w:t>
      </w:r>
      <w:r w:rsidR="005F7603" w:rsidRPr="003342C3">
        <w:rPr>
          <w:rFonts w:cs="Arial"/>
          <w:sz w:val="20"/>
          <w:szCs w:val="20"/>
        </w:rPr>
        <w:t xml:space="preserve">may be </w:t>
      </w:r>
      <w:r w:rsidR="00E55A4D" w:rsidRPr="003342C3">
        <w:rPr>
          <w:rFonts w:cs="Arial"/>
          <w:sz w:val="20"/>
          <w:szCs w:val="20"/>
        </w:rPr>
        <w:t>more accurate than Point of Interest (PoI) databases</w:t>
      </w:r>
      <w:r w:rsidR="00F93D3B" w:rsidRPr="003342C3">
        <w:rPr>
          <w:rFonts w:cs="Arial"/>
          <w:sz w:val="20"/>
          <w:szCs w:val="20"/>
        </w:rPr>
        <w:t>,</w:t>
      </w:r>
      <w:r w:rsidR="005A20D1" w:rsidRPr="003342C3">
        <w:rPr>
          <w:rFonts w:cs="Arial"/>
          <w:sz w:val="20"/>
          <w:szCs w:val="20"/>
        </w:rPr>
        <w:t xml:space="preserve"> </w:t>
      </w:r>
      <w:r w:rsidR="00E55A4D" w:rsidRPr="003342C3">
        <w:rPr>
          <w:rFonts w:cs="Arial"/>
          <w:sz w:val="20"/>
          <w:szCs w:val="20"/>
        </w:rPr>
        <w:t xml:space="preserve">PoI </w:t>
      </w:r>
      <w:r w:rsidR="00F93D3B" w:rsidRPr="003342C3">
        <w:rPr>
          <w:rFonts w:cs="Arial"/>
          <w:sz w:val="20"/>
          <w:szCs w:val="20"/>
        </w:rPr>
        <w:t xml:space="preserve">is still </w:t>
      </w:r>
      <w:r w:rsidR="00E55A4D" w:rsidRPr="003342C3">
        <w:rPr>
          <w:rFonts w:cs="Arial"/>
          <w:sz w:val="20"/>
          <w:szCs w:val="20"/>
        </w:rPr>
        <w:t xml:space="preserve">considered a viable alternative to </w:t>
      </w:r>
      <w:r w:rsidR="005F7603" w:rsidRPr="003342C3">
        <w:rPr>
          <w:rFonts w:cs="Arial"/>
          <w:sz w:val="20"/>
          <w:szCs w:val="20"/>
        </w:rPr>
        <w:t xml:space="preserve">the </w:t>
      </w:r>
      <w:r w:rsidR="00E55A4D" w:rsidRPr="003342C3">
        <w:rPr>
          <w:rFonts w:cs="Arial"/>
          <w:sz w:val="20"/>
          <w:szCs w:val="20"/>
        </w:rPr>
        <w:t>LA</w:t>
      </w:r>
      <w:r w:rsidR="005F7603" w:rsidRPr="003342C3">
        <w:rPr>
          <w:rFonts w:cs="Arial"/>
          <w:sz w:val="20"/>
          <w:szCs w:val="20"/>
        </w:rPr>
        <w:t xml:space="preserve"> database</w:t>
      </w:r>
      <w:r w:rsidR="00E55A4D" w:rsidRPr="003342C3">
        <w:rPr>
          <w:rFonts w:cs="Arial"/>
          <w:sz w:val="20"/>
          <w:szCs w:val="20"/>
        </w:rPr>
        <w:t>.</w:t>
      </w:r>
      <w:hyperlink w:anchor="_ENREF_4" w:tooltip="Burgoine, 2013 #2427" w:history="1">
        <w:r w:rsidR="00CA259E" w:rsidRPr="003342C3">
          <w:rPr>
            <w:rFonts w:cs="Arial"/>
            <w:sz w:val="20"/>
            <w:szCs w:val="20"/>
          </w:rPr>
          <w:fldChar w:fldCharType="begin">
            <w:fldData xml:space="preserve">PEVuZE5vdGU+PENpdGU+PEF1dGhvcj5CdXJnb2luZTwvQXV0aG9yPjxZZWFyPjIwMTM8L1llYXI+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=
</w:fldData>
          </w:fldChar>
        </w:r>
        <w:r w:rsidR="00CA259E" w:rsidRPr="003342C3">
          <w:rPr>
            <w:rFonts w:cs="Arial"/>
            <w:sz w:val="20"/>
            <w:szCs w:val="20"/>
          </w:rPr>
          <w:instrText xml:space="preserve"> ADDIN EN.CITE </w:instrText>
        </w:r>
        <w:r w:rsidR="00CA259E" w:rsidRPr="003342C3">
          <w:rPr>
            <w:rFonts w:cs="Arial"/>
            <w:sz w:val="20"/>
            <w:szCs w:val="20"/>
          </w:rPr>
          <w:fldChar w:fldCharType="begin">
            <w:fldData xml:space="preserve">PEVuZE5vdGU+PENpdGU+PEF1dGhvcj5CdXJnb2luZTwvQXV0aG9yPjxZZWFyPjIwMTM8L1llYXI+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=
</w:fldData>
          </w:fldChar>
        </w:r>
        <w:r w:rsidR="00CA259E" w:rsidRPr="003342C3">
          <w:rPr>
            <w:rFonts w:cs="Arial"/>
            <w:sz w:val="20"/>
            <w:szCs w:val="20"/>
          </w:rPr>
          <w:instrText xml:space="preserve"> ADDIN EN.CITE.DATA </w:instrText>
        </w:r>
        <w:r w:rsidR="00CA259E" w:rsidRPr="003342C3">
          <w:rPr>
            <w:rFonts w:cs="Arial"/>
            <w:sz w:val="20"/>
            <w:szCs w:val="20"/>
          </w:rPr>
        </w:r>
        <w:r w:rsidR="00CA259E" w:rsidRPr="003342C3">
          <w:rPr>
            <w:rFonts w:cs="Arial"/>
            <w:sz w:val="20"/>
            <w:szCs w:val="20"/>
          </w:rPr>
          <w:fldChar w:fldCharType="end"/>
        </w:r>
        <w:r w:rsidR="00CA259E" w:rsidRPr="003342C3">
          <w:rPr>
            <w:rFonts w:cs="Arial"/>
            <w:sz w:val="20"/>
            <w:szCs w:val="20"/>
          </w:rPr>
        </w:r>
        <w:r w:rsidR="00CA259E" w:rsidRPr="003342C3">
          <w:rPr>
            <w:rFonts w:cs="Arial"/>
            <w:sz w:val="20"/>
            <w:szCs w:val="20"/>
          </w:rPr>
          <w:fldChar w:fldCharType="separate"/>
        </w:r>
        <w:r w:rsidR="00CA259E" w:rsidRPr="003342C3">
          <w:rPr>
            <w:rFonts w:cs="Arial"/>
            <w:noProof/>
            <w:sz w:val="20"/>
            <w:szCs w:val="20"/>
            <w:vertAlign w:val="superscript"/>
          </w:rPr>
          <w:t>4</w:t>
        </w:r>
        <w:r w:rsidR="00CA259E" w:rsidRPr="003342C3">
          <w:rPr>
            <w:rFonts w:cs="Arial"/>
            <w:sz w:val="20"/>
            <w:szCs w:val="20"/>
          </w:rPr>
          <w:fldChar w:fldCharType="end"/>
        </w:r>
      </w:hyperlink>
      <w:r w:rsidR="00E55A4D" w:rsidRPr="003342C3">
        <w:rPr>
          <w:rFonts w:cs="Arial"/>
          <w:sz w:val="20"/>
          <w:szCs w:val="20"/>
        </w:rPr>
        <w:t xml:space="preserve"> </w:t>
      </w:r>
      <w:r w:rsidR="005F7603" w:rsidRPr="003342C3">
        <w:rPr>
          <w:rFonts w:cs="Arial"/>
          <w:sz w:val="20"/>
          <w:szCs w:val="20"/>
        </w:rPr>
        <w:t>Despite this</w:t>
      </w:r>
      <w:r w:rsidR="00D268FE" w:rsidRPr="003342C3">
        <w:rPr>
          <w:rFonts w:cs="Arial"/>
          <w:sz w:val="20"/>
          <w:szCs w:val="20"/>
        </w:rPr>
        <w:t xml:space="preserve"> progress</w:t>
      </w:r>
      <w:r w:rsidR="005F7603" w:rsidRPr="003342C3">
        <w:rPr>
          <w:rFonts w:cs="Arial"/>
          <w:sz w:val="20"/>
          <w:szCs w:val="20"/>
        </w:rPr>
        <w:t xml:space="preserve">, no research </w:t>
      </w:r>
      <w:r w:rsidR="00D268FE" w:rsidRPr="003342C3">
        <w:rPr>
          <w:rFonts w:cs="Arial"/>
          <w:sz w:val="20"/>
          <w:szCs w:val="20"/>
        </w:rPr>
        <w:t xml:space="preserve">to date </w:t>
      </w:r>
      <w:r w:rsidR="005F7603" w:rsidRPr="003342C3">
        <w:rPr>
          <w:rFonts w:cs="Arial"/>
          <w:sz w:val="20"/>
          <w:szCs w:val="20"/>
        </w:rPr>
        <w:t xml:space="preserve">has assessed whether </w:t>
      </w:r>
      <w:r w:rsidR="005A20D1" w:rsidRPr="003342C3">
        <w:rPr>
          <w:rFonts w:cs="Arial"/>
          <w:sz w:val="20"/>
          <w:szCs w:val="20"/>
        </w:rPr>
        <w:t xml:space="preserve">inaccuracies between food outlets databases impact </w:t>
      </w:r>
      <w:r w:rsidR="005F7603" w:rsidRPr="003342C3">
        <w:rPr>
          <w:rFonts w:cs="Arial"/>
          <w:sz w:val="20"/>
          <w:szCs w:val="20"/>
        </w:rPr>
        <w:t xml:space="preserve">on </w:t>
      </w:r>
      <w:r w:rsidR="005A20D1" w:rsidRPr="003342C3">
        <w:rPr>
          <w:rFonts w:cs="Arial"/>
          <w:sz w:val="20"/>
          <w:szCs w:val="20"/>
        </w:rPr>
        <w:t xml:space="preserve">the strength of associations </w:t>
      </w:r>
      <w:r w:rsidR="005F7603" w:rsidRPr="003342C3">
        <w:rPr>
          <w:rFonts w:cs="Arial"/>
          <w:sz w:val="20"/>
          <w:szCs w:val="20"/>
        </w:rPr>
        <w:t xml:space="preserve">seen </w:t>
      </w:r>
      <w:r w:rsidR="001D14B2" w:rsidRPr="003342C3">
        <w:rPr>
          <w:rFonts w:cs="Arial"/>
          <w:sz w:val="20"/>
          <w:szCs w:val="20"/>
        </w:rPr>
        <w:t xml:space="preserve">between the food outlet availability and </w:t>
      </w:r>
      <w:r w:rsidR="000E550A" w:rsidRPr="003342C3">
        <w:rPr>
          <w:rFonts w:cs="Arial"/>
          <w:sz w:val="20"/>
          <w:szCs w:val="20"/>
        </w:rPr>
        <w:t>obesity</w:t>
      </w:r>
      <w:r w:rsidR="005F7603" w:rsidRPr="003342C3">
        <w:rPr>
          <w:rFonts w:cs="Arial"/>
          <w:sz w:val="20"/>
          <w:szCs w:val="20"/>
        </w:rPr>
        <w:t xml:space="preserve">. </w:t>
      </w:r>
    </w:p>
    <w:p w14:paraId="2BE80DAD" w14:textId="77777777" w:rsidR="005F7603" w:rsidRPr="003342C3" w:rsidRDefault="005F7603" w:rsidP="005F7603">
      <w:pPr>
        <w:pStyle w:val="NoSpacing"/>
        <w:jc w:val="both"/>
        <w:rPr>
          <w:rFonts w:cs="Arial"/>
          <w:sz w:val="20"/>
          <w:szCs w:val="20"/>
        </w:rPr>
      </w:pPr>
    </w:p>
    <w:p w14:paraId="6A9F3478" w14:textId="353CCAA5" w:rsidR="00C703B7" w:rsidRPr="003342C3" w:rsidRDefault="00D268FE" w:rsidP="005F7603">
      <w:pPr>
        <w:pStyle w:val="NoSpacing"/>
        <w:jc w:val="both"/>
        <w:rPr>
          <w:rFonts w:cs="Arial"/>
          <w:sz w:val="20"/>
          <w:szCs w:val="20"/>
        </w:rPr>
      </w:pPr>
      <w:r w:rsidRPr="003342C3">
        <w:rPr>
          <w:rFonts w:cs="Arial"/>
          <w:sz w:val="20"/>
          <w:szCs w:val="20"/>
        </w:rPr>
        <w:t>Inconsistencies in neighbourhood definitions may also explain the mixed associations seen between the food environment and obesity.</w:t>
      </w:r>
      <w:r w:rsidRPr="003342C3">
        <w:rPr>
          <w:rFonts w:cs="Arial"/>
          <w:sz w:val="20"/>
          <w:szCs w:val="20"/>
        </w:rPr>
        <w:fldChar w:fldCharType="begin">
          <w:fldData xml:space="preserve">PEVuZE5vdGU+PENpdGU+PEF1dGhvcj5GbG93ZXJkZXc8L0F1dGhvcj48WWVhcj4yMDA4PC9ZZWFy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</w:fldData>
        </w:fldChar>
      </w:r>
      <w:r w:rsidRPr="003342C3">
        <w:rPr>
          <w:rFonts w:cs="Arial"/>
          <w:sz w:val="20"/>
          <w:szCs w:val="20"/>
        </w:rPr>
        <w:instrText xml:space="preserve"> ADDIN EN.CITE </w:instrText>
      </w:r>
      <w:r w:rsidRPr="003342C3">
        <w:rPr>
          <w:rFonts w:cs="Arial"/>
          <w:sz w:val="20"/>
          <w:szCs w:val="20"/>
        </w:rPr>
        <w:fldChar w:fldCharType="begin">
          <w:fldData xml:space="preserve">PEVuZE5vdGU+PENpdGU+PEF1dGhvcj5GbG93ZXJkZXc8L0F1dGhvcj48WWVhcj4yMDA4PC9ZZWFy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</w:fldData>
        </w:fldChar>
      </w:r>
      <w:r w:rsidRPr="003342C3">
        <w:rPr>
          <w:rFonts w:cs="Arial"/>
          <w:sz w:val="20"/>
          <w:szCs w:val="20"/>
        </w:rPr>
        <w:instrText xml:space="preserve"> ADDIN EN.CITE.DATA </w:instrText>
      </w:r>
      <w:r w:rsidRPr="003342C3">
        <w:rPr>
          <w:rFonts w:cs="Arial"/>
          <w:sz w:val="20"/>
          <w:szCs w:val="20"/>
        </w:rPr>
      </w:r>
      <w:r w:rsidRPr="003342C3">
        <w:rPr>
          <w:rFonts w:cs="Arial"/>
          <w:sz w:val="20"/>
          <w:szCs w:val="20"/>
        </w:rPr>
        <w:fldChar w:fldCharType="end"/>
      </w:r>
      <w:r w:rsidRPr="003342C3">
        <w:rPr>
          <w:rFonts w:cs="Arial"/>
          <w:sz w:val="20"/>
          <w:szCs w:val="20"/>
        </w:rPr>
      </w:r>
      <w:r w:rsidRPr="003342C3">
        <w:rPr>
          <w:rFonts w:cs="Arial"/>
          <w:sz w:val="20"/>
          <w:szCs w:val="20"/>
        </w:rPr>
        <w:fldChar w:fldCharType="separate"/>
      </w:r>
      <w:hyperlink w:anchor="_ENREF_5" w:tooltip="Flowerdew, 2008 #3012" w:history="1">
        <w:r w:rsidR="00CA259E" w:rsidRPr="003342C3">
          <w:rPr>
            <w:rFonts w:cs="Arial"/>
            <w:noProof/>
            <w:sz w:val="20"/>
            <w:szCs w:val="20"/>
            <w:vertAlign w:val="superscript"/>
          </w:rPr>
          <w:t>5</w:t>
        </w:r>
      </w:hyperlink>
      <w:r w:rsidRPr="003342C3">
        <w:rPr>
          <w:rFonts w:cs="Arial"/>
          <w:noProof/>
          <w:sz w:val="20"/>
          <w:szCs w:val="20"/>
          <w:vertAlign w:val="superscript"/>
        </w:rPr>
        <w:t xml:space="preserve"> </w:t>
      </w:r>
      <w:hyperlink w:anchor="_ENREF_6" w:tooltip="James, 2014 #3238" w:history="1">
        <w:r w:rsidR="00CA259E" w:rsidRPr="003342C3">
          <w:rPr>
            <w:rFonts w:cs="Arial"/>
            <w:noProof/>
            <w:sz w:val="20"/>
            <w:szCs w:val="20"/>
            <w:vertAlign w:val="superscript"/>
          </w:rPr>
          <w:t>6</w:t>
        </w:r>
      </w:hyperlink>
      <w:r w:rsidRPr="003342C3">
        <w:rPr>
          <w:rFonts w:cs="Arial"/>
          <w:sz w:val="20"/>
          <w:szCs w:val="20"/>
        </w:rPr>
        <w:fldChar w:fldCharType="end"/>
      </w:r>
      <w:r w:rsidRPr="003342C3">
        <w:rPr>
          <w:rFonts w:cs="Arial"/>
          <w:sz w:val="20"/>
          <w:szCs w:val="20"/>
        </w:rPr>
        <w:t xml:space="preserve"> The neighbourhood definition that best represents actual food outlet usage </w:t>
      </w:r>
      <w:r w:rsidR="005A20D1" w:rsidRPr="003342C3">
        <w:rPr>
          <w:rFonts w:cs="Arial"/>
          <w:sz w:val="20"/>
          <w:szCs w:val="20"/>
        </w:rPr>
        <w:t>remains unknown</w:t>
      </w:r>
      <w:r w:rsidRPr="003342C3">
        <w:rPr>
          <w:rFonts w:cs="Arial"/>
          <w:sz w:val="20"/>
          <w:szCs w:val="20"/>
        </w:rPr>
        <w:t>.</w:t>
      </w:r>
      <w:hyperlink w:anchor="_ENREF_6" w:tooltip="James, 2014 #3238" w:history="1">
        <w:r w:rsidR="00CA259E" w:rsidRPr="003342C3">
          <w:rPr>
            <w:rFonts w:cs="Arial"/>
            <w:sz w:val="20"/>
            <w:szCs w:val="20"/>
          </w:rPr>
          <w:fldChar w:fldCharType="begin"/>
        </w:r>
        <w:r w:rsidR="00CA259E" w:rsidRPr="003342C3">
          <w:rPr>
            <w:rFonts w:cs="Arial"/>
            <w:sz w:val="20"/>
            <w:szCs w:val="20"/>
          </w:rPr>
          <w:instrText xml:space="preserve"> ADDIN EN.CITE &lt;EndNote&gt;&lt;Cite&gt;&lt;Author&gt;James&lt;/Author&gt;&lt;Year&gt;2014&lt;/Year&gt;&lt;RecNum&gt;3238&lt;/RecNum&gt;&lt;DisplayText&gt;&lt;style face="superscript"&gt;6&lt;/style&gt;&lt;/DisplayText&gt;&lt;record&gt;&lt;rec-number&gt;3238&lt;/rec-number&gt;&lt;foreign-keys&gt;&lt;key app="EN" db-id="zrsespedwsd00qewtfnxtt0f9sdware5f2ae"&gt;3238&lt;/key&gt;&lt;/foreign-keys&gt;&lt;ref-type name="Journal Article"&gt;17&lt;/ref-type&gt;&lt;contributors&gt;&lt;authors&gt;&lt;author&gt;James, Peter&lt;/author&gt;&lt;author&gt;Berrigan, David&lt;/author&gt;&lt;author&gt;Hart, Jaime E.&lt;/author&gt;&lt;author&gt;Aaron Hipp, J.&lt;/author&gt;&lt;author&gt;Hoehner, Christine M.&lt;/author&gt;&lt;author&gt;Kerr, Jacqueline&lt;/author&gt;&lt;author&gt;Major, Jacqueline M.&lt;/author&gt;&lt;author&gt;Oka, Masayoshi&lt;/author&gt;&lt;author&gt;Laden, Francine&lt;/author&gt;&lt;/authors&gt;&lt;/contributors&gt;&lt;titles&gt;&lt;title&gt;Effects of buffer size and shape on associations between the built environment and energy balance&lt;/title&gt;&lt;secondary-title&gt;Health Place&lt;/secondary-title&gt;&lt;/titles&gt;&lt;periodical&gt;&lt;full-title&gt;Health Place&lt;/full-title&gt;&lt;abbr-1&gt;Health &amp;amp; place&lt;/abbr-1&gt;&lt;/periodical&gt;&lt;pages&gt;162-170&lt;/pages&gt;&lt;volume&gt;27&lt;/volume&gt;&lt;number&gt;0&lt;/number&gt;&lt;keywords&gt;&lt;keyword&gt;Built environment&lt;/keyword&gt;&lt;keyword&gt;Walking&lt;/keyword&gt;&lt;keyword&gt;Body mass index&lt;/keyword&gt;&lt;keyword&gt;Geographic information systems&lt;/keyword&gt;&lt;keyword&gt;Spatial uncertainty&lt;/keyword&gt;&lt;/keywords&gt;&lt;dates&gt;&lt;year&gt;2014&lt;/year&gt;&lt;/dates&gt;&lt;isbn&gt;1353-8292&lt;/isbn&gt;&lt;urls&gt;&lt;related-urls&gt;&lt;url&gt;http://www.sciencedirect.com/science/article/pii/S1353829214000227&lt;/url&gt;&lt;/related-urls&gt;&lt;/urls&gt;&lt;electronic-resource-num&gt;http://dx.doi.org/10.1016/j.healthplace.2014.02.003&lt;/electronic-resource-num&gt;&lt;/record&gt;&lt;/Cite&gt;&lt;/EndNote&gt;</w:instrText>
        </w:r>
        <w:r w:rsidR="00CA259E" w:rsidRPr="003342C3">
          <w:rPr>
            <w:rFonts w:cs="Arial"/>
            <w:sz w:val="20"/>
            <w:szCs w:val="20"/>
          </w:rPr>
          <w:fldChar w:fldCharType="separate"/>
        </w:r>
        <w:r w:rsidR="00CA259E" w:rsidRPr="003342C3">
          <w:rPr>
            <w:rFonts w:cs="Arial"/>
            <w:noProof/>
            <w:sz w:val="20"/>
            <w:szCs w:val="20"/>
            <w:vertAlign w:val="superscript"/>
          </w:rPr>
          <w:t>6</w:t>
        </w:r>
        <w:r w:rsidR="00CA259E" w:rsidRPr="003342C3">
          <w:rPr>
            <w:rFonts w:cs="Arial"/>
            <w:sz w:val="20"/>
            <w:szCs w:val="20"/>
          </w:rPr>
          <w:fldChar w:fldCharType="end"/>
        </w:r>
      </w:hyperlink>
      <w:r w:rsidRPr="003342C3">
        <w:rPr>
          <w:rFonts w:cs="Arial"/>
          <w:sz w:val="20"/>
          <w:szCs w:val="20"/>
        </w:rPr>
        <w:t xml:space="preserve"> However, t</w:t>
      </w:r>
      <w:r w:rsidR="008F01BA" w:rsidRPr="003342C3">
        <w:rPr>
          <w:rFonts w:cs="Arial"/>
          <w:sz w:val="20"/>
          <w:szCs w:val="20"/>
        </w:rPr>
        <w:t xml:space="preserve">wo definitions of </w:t>
      </w:r>
      <w:r w:rsidRPr="003342C3">
        <w:rPr>
          <w:rFonts w:cs="Arial"/>
          <w:sz w:val="20"/>
          <w:szCs w:val="20"/>
        </w:rPr>
        <w:t xml:space="preserve">neighbourhood (geocoded around a participant’s home) </w:t>
      </w:r>
      <w:r w:rsidR="008F01BA" w:rsidRPr="003342C3">
        <w:rPr>
          <w:rFonts w:cs="Arial"/>
          <w:sz w:val="20"/>
          <w:szCs w:val="20"/>
        </w:rPr>
        <w:t>currently dominate the evidence base</w:t>
      </w:r>
      <w:r w:rsidRPr="003342C3">
        <w:rPr>
          <w:rFonts w:cs="Arial"/>
          <w:sz w:val="20"/>
          <w:szCs w:val="20"/>
        </w:rPr>
        <w:t>; a</w:t>
      </w:r>
      <w:r w:rsidR="008F01BA" w:rsidRPr="003342C3">
        <w:rPr>
          <w:rFonts w:cs="Arial"/>
          <w:sz w:val="20"/>
          <w:szCs w:val="20"/>
        </w:rPr>
        <w:t xml:space="preserve">dministratively defined </w:t>
      </w:r>
      <w:r w:rsidR="005A20D1" w:rsidRPr="003342C3">
        <w:rPr>
          <w:rFonts w:cs="Arial"/>
          <w:sz w:val="20"/>
          <w:szCs w:val="20"/>
        </w:rPr>
        <w:t>areas</w:t>
      </w:r>
      <w:r w:rsidR="008F01BA" w:rsidRPr="003342C3">
        <w:rPr>
          <w:rFonts w:cs="Arial"/>
          <w:sz w:val="20"/>
          <w:szCs w:val="20"/>
        </w:rPr>
        <w:t xml:space="preserve"> such </w:t>
      </w:r>
      <w:r w:rsidR="00744050" w:rsidRPr="003342C3">
        <w:rPr>
          <w:rFonts w:cs="Arial"/>
          <w:sz w:val="20"/>
          <w:szCs w:val="20"/>
        </w:rPr>
        <w:t>as a lower-super output area</w:t>
      </w:r>
      <w:r w:rsidR="008F01BA" w:rsidRPr="003342C3">
        <w:rPr>
          <w:rFonts w:cs="Arial"/>
          <w:sz w:val="20"/>
          <w:szCs w:val="20"/>
        </w:rPr>
        <w:t xml:space="preserve"> </w:t>
      </w:r>
      <w:r w:rsidR="00744050" w:rsidRPr="003342C3">
        <w:rPr>
          <w:rFonts w:cs="Arial"/>
          <w:sz w:val="20"/>
          <w:szCs w:val="20"/>
        </w:rPr>
        <w:t xml:space="preserve">(LSOAs) </w:t>
      </w:r>
      <w:r w:rsidR="008F01BA" w:rsidRPr="003342C3">
        <w:rPr>
          <w:rFonts w:cs="Arial"/>
          <w:sz w:val="20"/>
          <w:szCs w:val="20"/>
        </w:rPr>
        <w:t>or arbitrary defined radial buffers.</w:t>
      </w:r>
      <w:r w:rsidRPr="003342C3">
        <w:rPr>
          <w:rFonts w:cs="Arial"/>
          <w:sz w:val="20"/>
          <w:szCs w:val="20"/>
        </w:rPr>
        <w:t xml:space="preserve"> </w:t>
      </w:r>
      <w:r w:rsidR="005A20D1" w:rsidRPr="003342C3">
        <w:rPr>
          <w:rFonts w:cs="Arial"/>
          <w:sz w:val="20"/>
          <w:szCs w:val="20"/>
        </w:rPr>
        <w:t>Radial b</w:t>
      </w:r>
      <w:r w:rsidR="007D461B" w:rsidRPr="003342C3">
        <w:rPr>
          <w:rFonts w:cs="Arial"/>
          <w:sz w:val="20"/>
          <w:szCs w:val="20"/>
        </w:rPr>
        <w:t xml:space="preserve">uffers </w:t>
      </w:r>
      <w:r w:rsidR="000E550A" w:rsidRPr="003342C3">
        <w:rPr>
          <w:rFonts w:cs="Arial"/>
          <w:sz w:val="20"/>
          <w:szCs w:val="20"/>
        </w:rPr>
        <w:t xml:space="preserve">may </w:t>
      </w:r>
      <w:r w:rsidR="00744050" w:rsidRPr="003342C3">
        <w:rPr>
          <w:rFonts w:cs="Arial"/>
          <w:sz w:val="20"/>
          <w:szCs w:val="20"/>
        </w:rPr>
        <w:t xml:space="preserve">currently represent the best available </w:t>
      </w:r>
      <w:r w:rsidR="007D461B" w:rsidRPr="003342C3">
        <w:rPr>
          <w:rFonts w:cs="Arial"/>
          <w:sz w:val="20"/>
          <w:szCs w:val="20"/>
        </w:rPr>
        <w:t>proxy</w:t>
      </w:r>
      <w:r w:rsidR="00744050" w:rsidRPr="003342C3">
        <w:rPr>
          <w:rFonts w:cs="Arial"/>
          <w:sz w:val="20"/>
          <w:szCs w:val="20"/>
        </w:rPr>
        <w:t xml:space="preserve"> measure in large epidemiological studies</w:t>
      </w:r>
      <w:r w:rsidRPr="003342C3">
        <w:rPr>
          <w:rFonts w:cs="Arial"/>
          <w:sz w:val="20"/>
          <w:szCs w:val="20"/>
        </w:rPr>
        <w:t xml:space="preserve"> however i</w:t>
      </w:r>
      <w:r w:rsidR="00744050" w:rsidRPr="003342C3">
        <w:rPr>
          <w:rFonts w:cs="Arial"/>
          <w:sz w:val="20"/>
          <w:szCs w:val="20"/>
        </w:rPr>
        <w:t>t is important to note that</w:t>
      </w:r>
      <w:bookmarkStart w:id="0" w:name="_GoBack"/>
      <w:bookmarkEnd w:id="0"/>
      <w:r w:rsidR="00744050" w:rsidRPr="003342C3">
        <w:rPr>
          <w:rFonts w:cs="Arial"/>
          <w:sz w:val="20"/>
          <w:szCs w:val="20"/>
        </w:rPr>
        <w:t xml:space="preserve"> the choices made when selecting a buffer and dataset are rarely challenged rigorously.</w:t>
      </w:r>
      <w:r w:rsidR="007877A9" w:rsidRPr="003342C3">
        <w:rPr>
          <w:rFonts w:cs="Arial"/>
          <w:sz w:val="20"/>
          <w:szCs w:val="20"/>
        </w:rPr>
        <w:t xml:space="preserve"> </w:t>
      </w:r>
      <w:r w:rsidR="00B77916" w:rsidRPr="003342C3">
        <w:rPr>
          <w:rFonts w:cs="Arial"/>
          <w:sz w:val="20"/>
          <w:szCs w:val="20"/>
        </w:rPr>
        <w:t xml:space="preserve">This study </w:t>
      </w:r>
      <w:r w:rsidR="005A20D1" w:rsidRPr="003342C3">
        <w:rPr>
          <w:rFonts w:cs="Arial"/>
          <w:sz w:val="20"/>
          <w:szCs w:val="20"/>
        </w:rPr>
        <w:t xml:space="preserve">therefore aims to assess any change in strength of associations between food outlets and </w:t>
      </w:r>
      <w:r w:rsidR="009C2081" w:rsidRPr="003342C3">
        <w:rPr>
          <w:rFonts w:cs="Arial"/>
          <w:sz w:val="20"/>
          <w:szCs w:val="20"/>
        </w:rPr>
        <w:t>body-mass-index</w:t>
      </w:r>
      <w:r w:rsidR="005A20D1" w:rsidRPr="003342C3">
        <w:rPr>
          <w:rFonts w:cs="Arial"/>
          <w:sz w:val="20"/>
          <w:szCs w:val="20"/>
        </w:rPr>
        <w:t xml:space="preserve"> by using </w:t>
      </w:r>
      <w:r w:rsidR="00821BE8" w:rsidRPr="003342C3">
        <w:rPr>
          <w:rFonts w:cs="Arial"/>
          <w:sz w:val="20"/>
          <w:szCs w:val="20"/>
        </w:rPr>
        <w:t xml:space="preserve">different </w:t>
      </w:r>
      <w:r w:rsidRPr="003342C3">
        <w:rPr>
          <w:rFonts w:cs="Arial"/>
          <w:sz w:val="20"/>
          <w:szCs w:val="20"/>
        </w:rPr>
        <w:t>databases</w:t>
      </w:r>
      <w:r w:rsidR="00F0765B" w:rsidRPr="003342C3">
        <w:rPr>
          <w:rFonts w:cs="Arial"/>
          <w:sz w:val="20"/>
          <w:szCs w:val="20"/>
        </w:rPr>
        <w:t xml:space="preserve"> </w:t>
      </w:r>
      <w:r w:rsidR="00A465FC" w:rsidRPr="003342C3">
        <w:rPr>
          <w:rFonts w:cs="Arial"/>
          <w:sz w:val="20"/>
          <w:szCs w:val="20"/>
        </w:rPr>
        <w:t xml:space="preserve">and </w:t>
      </w:r>
      <w:r w:rsidR="00B77916" w:rsidRPr="003342C3">
        <w:rPr>
          <w:rFonts w:cs="Arial"/>
          <w:sz w:val="20"/>
          <w:szCs w:val="20"/>
        </w:rPr>
        <w:t xml:space="preserve">definitions of </w:t>
      </w:r>
      <w:r w:rsidRPr="003342C3">
        <w:rPr>
          <w:rFonts w:cs="Arial"/>
          <w:sz w:val="20"/>
          <w:szCs w:val="20"/>
        </w:rPr>
        <w:t>neighbourhood</w:t>
      </w:r>
      <w:r w:rsidR="005641AC" w:rsidRPr="003342C3">
        <w:rPr>
          <w:rFonts w:cs="Arial"/>
          <w:sz w:val="20"/>
          <w:szCs w:val="20"/>
        </w:rPr>
        <w:t xml:space="preserve">. </w:t>
      </w:r>
    </w:p>
    <w:p w14:paraId="78ACC797" w14:textId="77777777" w:rsidR="0053310F" w:rsidRPr="003342C3" w:rsidRDefault="0053310F" w:rsidP="005F7603">
      <w:pPr>
        <w:pStyle w:val="NoSpacing"/>
        <w:rPr>
          <w:rFonts w:cs="Arial"/>
          <w:sz w:val="20"/>
          <w:szCs w:val="20"/>
        </w:rPr>
      </w:pPr>
    </w:p>
    <w:p w14:paraId="24FE2639" w14:textId="37FC7AC7" w:rsidR="00F23444" w:rsidRPr="003342C3" w:rsidRDefault="00FF4EBB" w:rsidP="005F7603">
      <w:pPr>
        <w:pStyle w:val="NoSpacing"/>
        <w:jc w:val="both"/>
        <w:rPr>
          <w:rFonts w:cs="Arial"/>
          <w:sz w:val="20"/>
          <w:szCs w:val="20"/>
        </w:rPr>
      </w:pPr>
      <w:r w:rsidRPr="003342C3">
        <w:rPr>
          <w:rFonts w:cs="Arial"/>
          <w:sz w:val="20"/>
          <w:szCs w:val="20"/>
        </w:rPr>
        <w:t>This</w:t>
      </w:r>
      <w:r w:rsidR="0042139B" w:rsidRPr="003342C3">
        <w:rPr>
          <w:rFonts w:cs="Arial"/>
          <w:sz w:val="20"/>
          <w:szCs w:val="20"/>
        </w:rPr>
        <w:t xml:space="preserve"> cross-sectional study </w:t>
      </w:r>
      <w:r w:rsidR="00F23444" w:rsidRPr="003342C3">
        <w:rPr>
          <w:rFonts w:cs="Arial"/>
          <w:sz w:val="20"/>
          <w:szCs w:val="20"/>
        </w:rPr>
        <w:t>uses individual-</w:t>
      </w:r>
      <w:r w:rsidR="005A20D1" w:rsidRPr="003342C3">
        <w:rPr>
          <w:rFonts w:cs="Arial"/>
          <w:sz w:val="20"/>
          <w:szCs w:val="20"/>
        </w:rPr>
        <w:t xml:space="preserve">level data </w:t>
      </w:r>
      <w:r w:rsidR="00F23444" w:rsidRPr="003342C3">
        <w:rPr>
          <w:rFonts w:cs="Arial"/>
          <w:sz w:val="20"/>
          <w:szCs w:val="20"/>
        </w:rPr>
        <w:t xml:space="preserve">from the </w:t>
      </w:r>
      <w:r w:rsidR="005A20D1" w:rsidRPr="003342C3">
        <w:rPr>
          <w:rFonts w:cs="Arial"/>
          <w:sz w:val="20"/>
          <w:szCs w:val="20"/>
        </w:rPr>
        <w:t xml:space="preserve">Yorkshire Health Study (YHS) which offers a large range of self-reported health-related information </w:t>
      </w:r>
      <w:r w:rsidR="009C2081" w:rsidRPr="003342C3">
        <w:rPr>
          <w:rFonts w:cs="Arial"/>
          <w:sz w:val="20"/>
          <w:szCs w:val="20"/>
        </w:rPr>
        <w:t xml:space="preserve">such as height and weight </w:t>
      </w:r>
      <w:r w:rsidR="005A20D1" w:rsidRPr="003342C3">
        <w:rPr>
          <w:rFonts w:cs="Arial"/>
          <w:sz w:val="20"/>
          <w:szCs w:val="20"/>
        </w:rPr>
        <w:t>on a representative population.</w:t>
      </w:r>
      <w:hyperlink w:anchor="_ENREF_7" w:tooltip="Green, 2014 #3150" w:history="1">
        <w:r w:rsidR="00CA259E" w:rsidRPr="003342C3">
          <w:rPr>
            <w:rFonts w:cs="Arial"/>
            <w:sz w:val="20"/>
            <w:szCs w:val="20"/>
          </w:rPr>
          <w:fldChar w:fldCharType="begin"/>
        </w:r>
        <w:r w:rsidR="00CA259E" w:rsidRPr="003342C3">
          <w:rPr>
            <w:rFonts w:cs="Arial"/>
            <w:sz w:val="20"/>
            <w:szCs w:val="20"/>
          </w:rPr>
          <w:instrText xml:space="preserve"> ADDIN EN.CITE &lt;EndNote&gt;&lt;Cite&gt;&lt;Author&gt;Green&lt;/Author&gt;&lt;Year&gt;2014&lt;/Year&gt;&lt;RecNum&gt;3150&lt;/RecNum&gt;&lt;DisplayText&gt;&lt;style face="superscript"&gt;7&lt;/style&gt;&lt;/DisplayText&gt;&lt;record&gt;&lt;rec-number&gt;3150&lt;/rec-number&gt;&lt;foreign-keys&gt;&lt;key app="EN" db-id="zrsespedwsd00qewtfnxtt0f9sdware5f2ae"&gt;3150&lt;/key&gt;&lt;/foreign-keys&gt;&lt;ref-type name="Journal Article"&gt;17&lt;/ref-type&gt;&lt;contributors&gt;&lt;authors&gt;&lt;author&gt;Green, M&lt;/author&gt;&lt;author&gt;Li, J&lt;/author&gt;&lt;author&gt;Relton, C&lt;/author&gt;&lt;author&gt;Strong, M&lt;/author&gt;&lt;author&gt;Kearns, B&lt;/author&gt;&lt;author&gt;Wu, M&lt;/author&gt;&lt;author&gt;Bissell, P &lt;/author&gt;&lt;author&gt;Blackburn, J&lt;/author&gt;&lt;author&gt;Cooper, C&lt;/author&gt;&lt;author&gt;Goyder, E &lt;/author&gt;&lt;author&gt;Loban, A&lt;/author&gt;&lt;author&gt;Smith, C&lt;/author&gt;&lt;/authors&gt;&lt;/contributors&gt;&lt;titles&gt;&lt;title&gt;Cohort Profile: The Yorkshire Health Study&lt;/title&gt;&lt;secondary-title&gt;International Journal of Epidemiology&lt;/secondary-title&gt;&lt;/titles&gt;&lt;periodical&gt;&lt;full-title&gt;International Journal Of Epidemiology&lt;/full-title&gt;&lt;/periodical&gt;&lt;pages&gt;1-6&lt;/pages&gt;&lt;volume&gt;121&lt;/volume&gt;&lt;dates&gt;&lt;year&gt;2014&lt;/year&gt;&lt;/dates&gt;&lt;urls&gt;&lt;/urls&gt;&lt;/record&gt;&lt;/Cite&gt;&lt;/EndNote&gt;</w:instrText>
        </w:r>
        <w:r w:rsidR="00CA259E" w:rsidRPr="003342C3">
          <w:rPr>
            <w:rFonts w:cs="Arial"/>
            <w:sz w:val="20"/>
            <w:szCs w:val="20"/>
          </w:rPr>
          <w:fldChar w:fldCharType="separate"/>
        </w:r>
        <w:r w:rsidR="00CA259E" w:rsidRPr="003342C3">
          <w:rPr>
            <w:rFonts w:cs="Arial"/>
            <w:noProof/>
            <w:sz w:val="20"/>
            <w:szCs w:val="20"/>
            <w:vertAlign w:val="superscript"/>
          </w:rPr>
          <w:t>7</w:t>
        </w:r>
        <w:r w:rsidR="00CA259E" w:rsidRPr="003342C3">
          <w:rPr>
            <w:rFonts w:cs="Arial"/>
            <w:sz w:val="20"/>
            <w:szCs w:val="20"/>
          </w:rPr>
          <w:fldChar w:fldCharType="end"/>
        </w:r>
      </w:hyperlink>
      <w:r w:rsidR="005A20D1" w:rsidRPr="003342C3">
        <w:rPr>
          <w:rFonts w:cs="Arial"/>
          <w:sz w:val="20"/>
          <w:szCs w:val="20"/>
        </w:rPr>
        <w:t xml:space="preserve"> </w:t>
      </w:r>
      <w:r w:rsidR="00F23444" w:rsidRPr="003342C3">
        <w:rPr>
          <w:rFonts w:cs="Arial"/>
          <w:sz w:val="20"/>
          <w:szCs w:val="20"/>
        </w:rPr>
        <w:t>P</w:t>
      </w:r>
      <w:r w:rsidR="005A20D1" w:rsidRPr="003342C3">
        <w:rPr>
          <w:rFonts w:cs="Arial"/>
          <w:sz w:val="20"/>
          <w:szCs w:val="20"/>
        </w:rPr>
        <w:t xml:space="preserve">articipants within Rotherham LA were exported from the YHS </w:t>
      </w:r>
      <w:r w:rsidR="00F23444" w:rsidRPr="003342C3">
        <w:rPr>
          <w:rFonts w:cs="Arial"/>
          <w:sz w:val="20"/>
          <w:szCs w:val="20"/>
        </w:rPr>
        <w:t xml:space="preserve">(n=27,809) </w:t>
      </w:r>
      <w:r w:rsidR="005A20D1" w:rsidRPr="003342C3">
        <w:rPr>
          <w:rFonts w:cs="Arial"/>
          <w:sz w:val="20"/>
          <w:szCs w:val="20"/>
        </w:rPr>
        <w:t xml:space="preserve">yielding </w:t>
      </w:r>
      <w:r w:rsidR="00F23444" w:rsidRPr="003342C3">
        <w:rPr>
          <w:rFonts w:cs="Arial"/>
          <w:sz w:val="20"/>
          <w:szCs w:val="20"/>
        </w:rPr>
        <w:t>a final sample of n=</w:t>
      </w:r>
      <w:r w:rsidR="005A20D1" w:rsidRPr="003342C3">
        <w:rPr>
          <w:rFonts w:cs="Arial"/>
          <w:sz w:val="20"/>
          <w:szCs w:val="20"/>
        </w:rPr>
        <w:t>4,723 participants</w:t>
      </w:r>
      <w:r w:rsidR="006019FC" w:rsidRPr="003342C3">
        <w:rPr>
          <w:rFonts w:cs="Arial"/>
          <w:sz w:val="20"/>
          <w:szCs w:val="20"/>
        </w:rPr>
        <w:t xml:space="preserve"> who resided within </w:t>
      </w:r>
      <w:r w:rsidR="00DC3081" w:rsidRPr="003342C3">
        <w:rPr>
          <w:rFonts w:cs="Arial"/>
          <w:sz w:val="20"/>
          <w:szCs w:val="20"/>
        </w:rPr>
        <w:t>134</w:t>
      </w:r>
      <w:r w:rsidR="006019FC" w:rsidRPr="003342C3">
        <w:rPr>
          <w:rFonts w:cs="Arial"/>
          <w:sz w:val="20"/>
          <w:szCs w:val="20"/>
        </w:rPr>
        <w:t xml:space="preserve"> of </w:t>
      </w:r>
      <w:r w:rsidR="00BA018A" w:rsidRPr="003342C3">
        <w:rPr>
          <w:rFonts w:cs="Arial"/>
          <w:sz w:val="20"/>
          <w:szCs w:val="20"/>
        </w:rPr>
        <w:t xml:space="preserve">166 </w:t>
      </w:r>
      <w:r w:rsidR="006019FC" w:rsidRPr="003342C3">
        <w:rPr>
          <w:rFonts w:cs="Arial"/>
          <w:sz w:val="20"/>
          <w:szCs w:val="20"/>
        </w:rPr>
        <w:t>LSOAs (</w:t>
      </w:r>
      <w:r w:rsidR="00BA018A" w:rsidRPr="003342C3">
        <w:rPr>
          <w:rFonts w:cs="Arial"/>
          <w:sz w:val="20"/>
          <w:szCs w:val="20"/>
        </w:rPr>
        <w:t xml:space="preserve">average of </w:t>
      </w:r>
      <w:r w:rsidR="00DC3081" w:rsidRPr="003342C3">
        <w:rPr>
          <w:rFonts w:cs="Arial"/>
          <w:sz w:val="20"/>
          <w:szCs w:val="20"/>
        </w:rPr>
        <w:t xml:space="preserve">35 </w:t>
      </w:r>
      <w:r w:rsidR="006019FC" w:rsidRPr="003342C3">
        <w:rPr>
          <w:rFonts w:cs="Arial"/>
          <w:sz w:val="20"/>
          <w:szCs w:val="20"/>
        </w:rPr>
        <w:t>i</w:t>
      </w:r>
      <w:r w:rsidR="002609A3" w:rsidRPr="003342C3">
        <w:rPr>
          <w:rFonts w:cs="Arial"/>
          <w:sz w:val="20"/>
          <w:szCs w:val="20"/>
        </w:rPr>
        <w:t xml:space="preserve">ndividuals per </w:t>
      </w:r>
      <w:r w:rsidR="006019FC" w:rsidRPr="003342C3">
        <w:rPr>
          <w:rFonts w:cs="Arial"/>
          <w:sz w:val="20"/>
          <w:szCs w:val="20"/>
        </w:rPr>
        <w:t>LSOA) in Rotherham LA</w:t>
      </w:r>
      <w:r w:rsidR="00ED6890" w:rsidRPr="003342C3">
        <w:rPr>
          <w:rFonts w:cs="Arial"/>
          <w:sz w:val="20"/>
          <w:szCs w:val="20"/>
        </w:rPr>
        <w:t xml:space="preserve">. </w:t>
      </w:r>
      <w:r w:rsidR="007877A9" w:rsidRPr="003342C3">
        <w:rPr>
          <w:rFonts w:cs="Arial"/>
          <w:sz w:val="20"/>
          <w:szCs w:val="20"/>
        </w:rPr>
        <w:t>Ethical clearance was granted by the ethics committee of the Carnegie Faculty, Leeds Beckett University.</w:t>
      </w:r>
      <w:r w:rsidR="00F23444" w:rsidRPr="003342C3">
        <w:rPr>
          <w:rFonts w:cs="Arial"/>
          <w:sz w:val="20"/>
          <w:szCs w:val="20"/>
        </w:rPr>
        <w:t xml:space="preserve"> </w:t>
      </w:r>
    </w:p>
    <w:p w14:paraId="6B6EBDF2" w14:textId="77777777" w:rsidR="00F23444" w:rsidRPr="003342C3" w:rsidRDefault="00F23444" w:rsidP="005F7603">
      <w:pPr>
        <w:pStyle w:val="NoSpacing"/>
        <w:jc w:val="both"/>
        <w:rPr>
          <w:rFonts w:cs="Arial"/>
          <w:sz w:val="20"/>
          <w:szCs w:val="20"/>
        </w:rPr>
      </w:pPr>
    </w:p>
    <w:p w14:paraId="20D68317" w14:textId="6041A7F4" w:rsidR="00AD6888" w:rsidRPr="003342C3" w:rsidRDefault="009B0658" w:rsidP="005F7603">
      <w:pPr>
        <w:pStyle w:val="NoSpacing"/>
        <w:jc w:val="both"/>
        <w:rPr>
          <w:rFonts w:cs="Arial"/>
          <w:sz w:val="20"/>
          <w:szCs w:val="20"/>
        </w:rPr>
      </w:pPr>
      <w:r w:rsidRPr="003342C3">
        <w:rPr>
          <w:rFonts w:cs="Arial"/>
          <w:sz w:val="20"/>
          <w:szCs w:val="20"/>
        </w:rPr>
        <w:t>Data on the food environment was obtained from two sources; (i) the UK Ordnance Survey P</w:t>
      </w:r>
      <w:r w:rsidR="000567EF" w:rsidRPr="003342C3">
        <w:rPr>
          <w:rFonts w:cs="Arial"/>
          <w:sz w:val="20"/>
          <w:szCs w:val="20"/>
        </w:rPr>
        <w:t>oints of Interest (PoI) dataset</w:t>
      </w:r>
      <w:r w:rsidRPr="003342C3">
        <w:rPr>
          <w:rFonts w:cs="Arial"/>
          <w:sz w:val="20"/>
          <w:szCs w:val="20"/>
        </w:rPr>
        <w:t xml:space="preserve"> and (ii) Rotherham LA. </w:t>
      </w:r>
      <w:r w:rsidR="00E578FD" w:rsidRPr="003342C3">
        <w:rPr>
          <w:rFonts w:cs="Arial"/>
          <w:sz w:val="20"/>
          <w:szCs w:val="20"/>
        </w:rPr>
        <w:t xml:space="preserve">The PoI dataset contains the location of all commercial facilities across England. The </w:t>
      </w:r>
      <w:r w:rsidR="00AD6888" w:rsidRPr="003342C3">
        <w:rPr>
          <w:rFonts w:cs="Arial"/>
          <w:sz w:val="20"/>
          <w:szCs w:val="20"/>
        </w:rPr>
        <w:t>PoI</w:t>
      </w:r>
      <w:r w:rsidR="00E578FD" w:rsidRPr="003342C3">
        <w:rPr>
          <w:rFonts w:cs="Arial"/>
          <w:sz w:val="20"/>
          <w:szCs w:val="20"/>
        </w:rPr>
        <w:t xml:space="preserve"> database</w:t>
      </w:r>
      <w:r w:rsidR="00AD6888" w:rsidRPr="003342C3">
        <w:rPr>
          <w:rFonts w:cs="Arial"/>
          <w:sz w:val="20"/>
          <w:szCs w:val="20"/>
        </w:rPr>
        <w:t xml:space="preserve"> is</w:t>
      </w:r>
      <w:r w:rsidR="00E578FD" w:rsidRPr="003342C3">
        <w:rPr>
          <w:rFonts w:cs="Arial"/>
          <w:sz w:val="20"/>
          <w:szCs w:val="20"/>
        </w:rPr>
        <w:t xml:space="preserve"> pre-coded into different categories and classes of commercial services</w:t>
      </w:r>
      <w:r w:rsidR="00F23444" w:rsidRPr="003342C3">
        <w:rPr>
          <w:rFonts w:cs="Arial"/>
          <w:sz w:val="20"/>
          <w:szCs w:val="20"/>
        </w:rPr>
        <w:t>.</w:t>
      </w:r>
      <w:hyperlink w:anchor="_ENREF_8" w:tooltip="Ordnance Survey, 2012 #3142" w:history="1">
        <w:r w:rsidR="00CA259E" w:rsidRPr="003342C3">
          <w:rPr>
            <w:rFonts w:cs="Arial"/>
            <w:sz w:val="20"/>
            <w:szCs w:val="20"/>
          </w:rPr>
          <w:fldChar w:fldCharType="begin"/>
        </w:r>
        <w:r w:rsidR="00CA259E" w:rsidRPr="003342C3">
          <w:rPr>
            <w:rFonts w:cs="Arial"/>
            <w:sz w:val="20"/>
            <w:szCs w:val="20"/>
          </w:rPr>
          <w:instrText xml:space="preserve"> ADDIN EN.CITE &lt;EndNote&gt;&lt;Cite&gt;&lt;Author&gt;Ordnance Survey&lt;/Author&gt;&lt;Year&gt;2012&lt;/Year&gt;&lt;RecNum&gt;3142&lt;/RecNum&gt;&lt;DisplayText&gt;&lt;style face="superscript"&gt;8&lt;/style&gt;&lt;/DisplayText&gt;&lt;record&gt;&lt;rec-number&gt;3142&lt;/rec-number&gt;&lt;foreign-keys&gt;&lt;key app="EN" db-id="zrsespedwsd00qewtfnxtt0f9sdware5f2ae"&gt;3142&lt;/key&gt;&lt;/foreign-keys&gt;&lt;ref-type name="Book"&gt;6&lt;/ref-type&gt;&lt;contributors&gt;&lt;authors&gt;&lt;author&gt;Ordnance Survey,&lt;/author&gt;&lt;/authors&gt;&lt;/contributors&gt;&lt;titles&gt;&lt;title&gt;Points of Interest database - user guide and technical specification&lt;/title&gt;&lt;/titles&gt;&lt;dates&gt;&lt;year&gt;2012&lt;/year&gt;&lt;/dates&gt;&lt;pub-location&gt;Southampton&lt;/pub-location&gt;&lt;publisher&gt;Ordnance Survey&lt;/publisher&gt;&lt;urls&gt;&lt;/urls&gt;&lt;/record&gt;&lt;/Cite&gt;&lt;/EndNote&gt;</w:instrText>
        </w:r>
        <w:r w:rsidR="00CA259E" w:rsidRPr="003342C3">
          <w:rPr>
            <w:rFonts w:cs="Arial"/>
            <w:sz w:val="20"/>
            <w:szCs w:val="20"/>
          </w:rPr>
          <w:fldChar w:fldCharType="separate"/>
        </w:r>
        <w:r w:rsidR="00CA259E" w:rsidRPr="003342C3">
          <w:rPr>
            <w:rFonts w:cs="Arial"/>
            <w:noProof/>
            <w:sz w:val="20"/>
            <w:szCs w:val="20"/>
            <w:vertAlign w:val="superscript"/>
          </w:rPr>
          <w:t>8</w:t>
        </w:r>
        <w:r w:rsidR="00CA259E" w:rsidRPr="003342C3">
          <w:rPr>
            <w:rFonts w:cs="Arial"/>
            <w:sz w:val="20"/>
            <w:szCs w:val="20"/>
          </w:rPr>
          <w:fldChar w:fldCharType="end"/>
        </w:r>
      </w:hyperlink>
      <w:r w:rsidR="00F23444" w:rsidRPr="003342C3">
        <w:rPr>
          <w:rFonts w:cs="Arial"/>
          <w:sz w:val="20"/>
          <w:szCs w:val="20"/>
        </w:rPr>
        <w:t xml:space="preserve"> </w:t>
      </w:r>
      <w:r w:rsidR="00AD6888" w:rsidRPr="003342C3">
        <w:rPr>
          <w:rFonts w:cs="Arial"/>
          <w:sz w:val="20"/>
          <w:szCs w:val="20"/>
        </w:rPr>
        <w:t xml:space="preserve">Rotherham </w:t>
      </w:r>
      <w:r w:rsidR="00F23444" w:rsidRPr="003342C3">
        <w:rPr>
          <w:rFonts w:cs="Arial"/>
          <w:sz w:val="20"/>
          <w:szCs w:val="20"/>
        </w:rPr>
        <w:t xml:space="preserve">LA </w:t>
      </w:r>
      <w:r w:rsidR="00AD6888" w:rsidRPr="003342C3">
        <w:rPr>
          <w:rFonts w:cs="Arial"/>
          <w:sz w:val="20"/>
          <w:szCs w:val="20"/>
        </w:rPr>
        <w:t>provided their ‘current’ environmental health food outlet records for temporal comparison. Food outlets were then categorised into three groups; (i) supermarkets, (ii) takeaways and (iii) other food retail (such as petrol stations, convenience stores selling food).</w:t>
      </w:r>
      <w:r w:rsidR="00F23444" w:rsidRPr="003342C3">
        <w:rPr>
          <w:rFonts w:cs="Arial"/>
          <w:sz w:val="20"/>
          <w:szCs w:val="20"/>
        </w:rPr>
        <w:t xml:space="preserve"> </w:t>
      </w:r>
      <w:r w:rsidR="00AD6888" w:rsidRPr="003342C3">
        <w:rPr>
          <w:rFonts w:cs="Arial"/>
          <w:sz w:val="20"/>
          <w:szCs w:val="20"/>
        </w:rPr>
        <w:t xml:space="preserve"> </w:t>
      </w:r>
    </w:p>
    <w:p w14:paraId="6D4B5F72" w14:textId="77777777" w:rsidR="00F23444" w:rsidRPr="003342C3" w:rsidRDefault="00F23444" w:rsidP="005A20D1">
      <w:pPr>
        <w:pStyle w:val="NoSpacing"/>
        <w:jc w:val="both"/>
        <w:rPr>
          <w:rFonts w:cs="Arial"/>
          <w:sz w:val="20"/>
          <w:szCs w:val="20"/>
        </w:rPr>
      </w:pPr>
    </w:p>
    <w:p w14:paraId="4E76E29E" w14:textId="3359A0B6" w:rsidR="009C2081" w:rsidRPr="003342C3" w:rsidRDefault="00F23444" w:rsidP="009C2081">
      <w:pPr>
        <w:pStyle w:val="NoSpacing"/>
        <w:jc w:val="both"/>
        <w:rPr>
          <w:rFonts w:cs="Arial"/>
          <w:sz w:val="20"/>
          <w:szCs w:val="20"/>
        </w:rPr>
      </w:pPr>
      <w:r w:rsidRPr="003342C3">
        <w:rPr>
          <w:rFonts w:cs="Arial"/>
          <w:sz w:val="20"/>
          <w:szCs w:val="20"/>
        </w:rPr>
        <w:t xml:space="preserve">Home addresses were geocoded based on post-code. Three commonly used definitions of neighbourhood </w:t>
      </w:r>
      <w:r w:rsidR="00F93D3B" w:rsidRPr="003342C3">
        <w:rPr>
          <w:rFonts w:cs="Arial"/>
          <w:sz w:val="20"/>
          <w:szCs w:val="20"/>
        </w:rPr>
        <w:t xml:space="preserve">exposure based on previous research </w:t>
      </w:r>
      <w:r w:rsidRPr="003342C3">
        <w:rPr>
          <w:rFonts w:cs="Arial"/>
          <w:sz w:val="20"/>
          <w:szCs w:val="20"/>
        </w:rPr>
        <w:t>were computed in ArcGIS (</w:t>
      </w:r>
      <w:r w:rsidRPr="003342C3">
        <w:rPr>
          <w:rFonts w:cs="Arial"/>
          <w:i/>
          <w:sz w:val="20"/>
          <w:szCs w:val="20"/>
        </w:rPr>
        <w:t>version</w:t>
      </w:r>
      <w:r w:rsidRPr="003342C3">
        <w:rPr>
          <w:rFonts w:cs="Arial"/>
          <w:sz w:val="20"/>
          <w:szCs w:val="20"/>
        </w:rPr>
        <w:t xml:space="preserve"> </w:t>
      </w:r>
      <w:r w:rsidRPr="003342C3">
        <w:rPr>
          <w:rFonts w:cs="Arial"/>
          <w:i/>
          <w:sz w:val="20"/>
          <w:szCs w:val="20"/>
        </w:rPr>
        <w:t>10.2.2, ESRI Inc., Redlands, CA</w:t>
      </w:r>
      <w:r w:rsidRPr="003342C3">
        <w:rPr>
          <w:rFonts w:cs="Arial"/>
          <w:sz w:val="20"/>
          <w:szCs w:val="20"/>
        </w:rPr>
        <w:t xml:space="preserve">) around the geocoded home location; i) an 800m radial buffer ii) a 2000m radial buffer iii) defined by identifying which LSOA an individual resided in. </w:t>
      </w:r>
      <w:r w:rsidR="002609A3" w:rsidRPr="003342C3">
        <w:rPr>
          <w:rFonts w:cs="Arial"/>
          <w:sz w:val="20"/>
          <w:szCs w:val="20"/>
        </w:rPr>
        <w:t xml:space="preserve">A LSOA is an administratively defined geographical area that typically contains a minimum population of 1000 and a mean of 1500. </w:t>
      </w:r>
      <w:r w:rsidRPr="003342C3">
        <w:rPr>
          <w:rFonts w:cs="Arial"/>
          <w:sz w:val="20"/>
          <w:szCs w:val="20"/>
        </w:rPr>
        <w:t>A count of food outlets per buffer (800m and 2000m) and LSOA (km</w:t>
      </w:r>
      <w:r w:rsidRPr="003342C3">
        <w:rPr>
          <w:rFonts w:cs="Arial"/>
          <w:sz w:val="20"/>
          <w:szCs w:val="20"/>
          <w:vertAlign w:val="superscript"/>
        </w:rPr>
        <w:t>2</w:t>
      </w:r>
      <w:r w:rsidRPr="003342C3">
        <w:rPr>
          <w:rFonts w:cs="Arial"/>
          <w:sz w:val="20"/>
          <w:szCs w:val="20"/>
        </w:rPr>
        <w:t>) was computed. LSOA sizes was obtained from the 2011 Population Census. Food outlets falling within these buffers and LSOAs were then identified, counted and joined within ArcGIS based on a unique identifier in both the environment dataset and YHS dataset to provide a unique count for each individual based on an 800m, 2000m radial buffer and per LSOA (km</w:t>
      </w:r>
      <w:r w:rsidRPr="003342C3">
        <w:rPr>
          <w:rFonts w:cs="Arial"/>
          <w:sz w:val="20"/>
          <w:szCs w:val="20"/>
          <w:vertAlign w:val="superscript"/>
        </w:rPr>
        <w:t>2</w:t>
      </w:r>
      <w:r w:rsidRPr="003342C3">
        <w:rPr>
          <w:rFonts w:cs="Arial"/>
          <w:sz w:val="20"/>
          <w:szCs w:val="20"/>
        </w:rPr>
        <w:t>).</w:t>
      </w:r>
      <w:r w:rsidR="009C2081" w:rsidRPr="003342C3">
        <w:rPr>
          <w:rFonts w:cs="Arial"/>
          <w:sz w:val="20"/>
          <w:szCs w:val="20"/>
        </w:rPr>
        <w:t xml:space="preserve"> IMD (Index of Multiple Deprivation) scores were assigned to the lower super-output area (LSOA) of each individual, as determined by their geocoded postcode. </w:t>
      </w:r>
    </w:p>
    <w:p w14:paraId="2683BEC0" w14:textId="76F92114" w:rsidR="005A20D1" w:rsidRPr="003342C3" w:rsidRDefault="005A20D1" w:rsidP="005A20D1">
      <w:pPr>
        <w:pStyle w:val="NoSpacing"/>
        <w:jc w:val="both"/>
        <w:rPr>
          <w:rFonts w:cs="Arial"/>
          <w:sz w:val="20"/>
          <w:szCs w:val="20"/>
        </w:rPr>
      </w:pPr>
    </w:p>
    <w:p w14:paraId="2D7689F8" w14:textId="2A894A9F" w:rsidR="00BF4D5F" w:rsidRPr="003342C3" w:rsidRDefault="00CB264F" w:rsidP="005F7603">
      <w:pPr>
        <w:pStyle w:val="NoSpacing"/>
        <w:jc w:val="both"/>
        <w:rPr>
          <w:rFonts w:cs="Arial"/>
          <w:sz w:val="20"/>
          <w:szCs w:val="20"/>
        </w:rPr>
      </w:pPr>
      <w:r w:rsidRPr="003342C3">
        <w:rPr>
          <w:rFonts w:cs="Arial"/>
          <w:sz w:val="20"/>
          <w:szCs w:val="20"/>
        </w:rPr>
        <w:t>A multi-level modelling (MLM) framework account</w:t>
      </w:r>
      <w:r w:rsidR="00403FAA" w:rsidRPr="003342C3">
        <w:rPr>
          <w:rFonts w:cs="Arial"/>
          <w:sz w:val="20"/>
          <w:szCs w:val="20"/>
        </w:rPr>
        <w:t xml:space="preserve">s </w:t>
      </w:r>
      <w:r w:rsidRPr="003342C3">
        <w:rPr>
          <w:rFonts w:cs="Arial"/>
          <w:sz w:val="20"/>
          <w:szCs w:val="20"/>
        </w:rPr>
        <w:t>for the hierarchical data</w:t>
      </w:r>
      <w:r w:rsidR="009D5162" w:rsidRPr="003342C3">
        <w:rPr>
          <w:rFonts w:cs="Arial"/>
          <w:sz w:val="20"/>
          <w:szCs w:val="20"/>
        </w:rPr>
        <w:t xml:space="preserve"> structure</w:t>
      </w:r>
      <w:r w:rsidR="00FF4EBB" w:rsidRPr="003342C3">
        <w:rPr>
          <w:rFonts w:cs="Arial"/>
          <w:sz w:val="20"/>
          <w:szCs w:val="20"/>
        </w:rPr>
        <w:t xml:space="preserve"> with people nested within areas</w:t>
      </w:r>
      <w:r w:rsidR="009D5162" w:rsidRPr="003342C3">
        <w:rPr>
          <w:rFonts w:cs="Arial"/>
          <w:sz w:val="20"/>
          <w:szCs w:val="20"/>
        </w:rPr>
        <w:t xml:space="preserve">. </w:t>
      </w:r>
      <w:r w:rsidR="009C2081" w:rsidRPr="003342C3">
        <w:rPr>
          <w:rFonts w:cs="Arial"/>
          <w:sz w:val="20"/>
          <w:szCs w:val="20"/>
        </w:rPr>
        <w:t>L</w:t>
      </w:r>
      <w:r w:rsidR="009D5162" w:rsidRPr="003342C3">
        <w:rPr>
          <w:rFonts w:cs="Arial"/>
          <w:sz w:val="20"/>
          <w:szCs w:val="20"/>
        </w:rPr>
        <w:t>inear</w:t>
      </w:r>
      <w:r w:rsidR="00D84B78" w:rsidRPr="003342C3">
        <w:rPr>
          <w:rFonts w:cs="Arial"/>
          <w:sz w:val="20"/>
          <w:szCs w:val="20"/>
        </w:rPr>
        <w:t xml:space="preserve"> </w:t>
      </w:r>
      <w:r w:rsidR="009D5162" w:rsidRPr="003342C3">
        <w:rPr>
          <w:rFonts w:cs="Arial"/>
          <w:sz w:val="20"/>
          <w:szCs w:val="20"/>
        </w:rPr>
        <w:t>MLMs</w:t>
      </w:r>
      <w:r w:rsidRPr="003342C3">
        <w:rPr>
          <w:rFonts w:cs="Arial"/>
          <w:sz w:val="20"/>
          <w:szCs w:val="20"/>
        </w:rPr>
        <w:t xml:space="preserve"> </w:t>
      </w:r>
      <w:r w:rsidR="005F3972" w:rsidRPr="003342C3">
        <w:rPr>
          <w:rFonts w:cs="Arial"/>
          <w:sz w:val="20"/>
          <w:szCs w:val="20"/>
        </w:rPr>
        <w:t>(β and 95% confidence intervals (CI)</w:t>
      </w:r>
      <w:r w:rsidR="007877A9" w:rsidRPr="003342C3">
        <w:rPr>
          <w:rFonts w:cs="Arial"/>
          <w:sz w:val="20"/>
          <w:szCs w:val="20"/>
        </w:rPr>
        <w:t xml:space="preserve">) </w:t>
      </w:r>
      <w:r w:rsidR="009C2081" w:rsidRPr="003342C3">
        <w:rPr>
          <w:rFonts w:cs="Arial"/>
          <w:sz w:val="20"/>
          <w:szCs w:val="20"/>
        </w:rPr>
        <w:t xml:space="preserve">were used </w:t>
      </w:r>
      <w:r w:rsidR="007877A9" w:rsidRPr="003342C3">
        <w:rPr>
          <w:rFonts w:cs="Arial"/>
          <w:sz w:val="20"/>
          <w:szCs w:val="20"/>
        </w:rPr>
        <w:t xml:space="preserve">to identify </w:t>
      </w:r>
      <w:r w:rsidRPr="003342C3">
        <w:rPr>
          <w:rFonts w:cs="Arial"/>
          <w:sz w:val="20"/>
          <w:szCs w:val="20"/>
        </w:rPr>
        <w:t>how</w:t>
      </w:r>
      <w:r w:rsidR="007877A9" w:rsidRPr="003342C3">
        <w:rPr>
          <w:rFonts w:cs="Arial"/>
          <w:sz w:val="20"/>
          <w:szCs w:val="20"/>
        </w:rPr>
        <w:t xml:space="preserve"> different </w:t>
      </w:r>
      <w:r w:rsidR="00F0765B" w:rsidRPr="003342C3">
        <w:rPr>
          <w:rFonts w:cs="Arial"/>
          <w:sz w:val="20"/>
          <w:szCs w:val="20"/>
        </w:rPr>
        <w:t>buffers</w:t>
      </w:r>
      <w:r w:rsidR="007877A9" w:rsidRPr="003342C3">
        <w:rPr>
          <w:rFonts w:cs="Arial"/>
          <w:sz w:val="20"/>
          <w:szCs w:val="20"/>
        </w:rPr>
        <w:t xml:space="preserve"> and datas</w:t>
      </w:r>
      <w:r w:rsidR="00F0765B" w:rsidRPr="003342C3">
        <w:rPr>
          <w:rFonts w:cs="Arial"/>
          <w:sz w:val="20"/>
          <w:szCs w:val="20"/>
        </w:rPr>
        <w:t>ets</w:t>
      </w:r>
      <w:r w:rsidR="007877A9" w:rsidRPr="003342C3">
        <w:rPr>
          <w:rFonts w:cs="Arial"/>
          <w:sz w:val="20"/>
          <w:szCs w:val="20"/>
        </w:rPr>
        <w:t xml:space="preserve"> </w:t>
      </w:r>
      <w:r w:rsidR="00FB103B" w:rsidRPr="003342C3">
        <w:rPr>
          <w:rFonts w:cs="Arial"/>
          <w:sz w:val="20"/>
          <w:szCs w:val="20"/>
        </w:rPr>
        <w:t xml:space="preserve">are associated with </w:t>
      </w:r>
      <w:r w:rsidRPr="003342C3">
        <w:rPr>
          <w:rFonts w:cs="Arial"/>
          <w:sz w:val="20"/>
          <w:szCs w:val="20"/>
        </w:rPr>
        <w:t>BMI</w:t>
      </w:r>
      <w:r w:rsidR="007877A9" w:rsidRPr="003342C3">
        <w:rPr>
          <w:rFonts w:cs="Arial"/>
          <w:sz w:val="20"/>
          <w:szCs w:val="20"/>
        </w:rPr>
        <w:t xml:space="preserve"> whilst adjusting for both individual- and neighbourhood-level factors</w:t>
      </w:r>
      <w:r w:rsidRPr="003342C3">
        <w:rPr>
          <w:rFonts w:cs="Arial"/>
          <w:sz w:val="20"/>
          <w:szCs w:val="20"/>
        </w:rPr>
        <w:t xml:space="preserve">. </w:t>
      </w:r>
      <w:r w:rsidR="00BC7F26" w:rsidRPr="003342C3">
        <w:rPr>
          <w:rFonts w:cs="Arial"/>
          <w:sz w:val="20"/>
          <w:szCs w:val="20"/>
        </w:rPr>
        <w:t xml:space="preserve">Level 2 residuals (lower super-output area) were distributed normally. </w:t>
      </w:r>
      <w:r w:rsidR="0042139B" w:rsidRPr="003342C3">
        <w:rPr>
          <w:rFonts w:cs="Arial"/>
          <w:sz w:val="20"/>
          <w:szCs w:val="20"/>
        </w:rPr>
        <w:t>Age, gender</w:t>
      </w:r>
      <w:r w:rsidR="009C2081" w:rsidRPr="003342C3">
        <w:rPr>
          <w:rFonts w:cs="Arial"/>
          <w:sz w:val="20"/>
          <w:szCs w:val="20"/>
        </w:rPr>
        <w:t xml:space="preserve">, </w:t>
      </w:r>
      <w:r w:rsidR="0042139B" w:rsidRPr="003342C3">
        <w:rPr>
          <w:rFonts w:cs="Arial"/>
          <w:sz w:val="20"/>
          <w:szCs w:val="20"/>
        </w:rPr>
        <w:t>ethnicity</w:t>
      </w:r>
      <w:r w:rsidR="009C2081" w:rsidRPr="003342C3">
        <w:rPr>
          <w:rFonts w:cs="Arial"/>
          <w:sz w:val="20"/>
          <w:szCs w:val="20"/>
        </w:rPr>
        <w:t>, r</w:t>
      </w:r>
      <w:r w:rsidR="009D5162" w:rsidRPr="003342C3">
        <w:rPr>
          <w:rFonts w:cs="Arial"/>
          <w:sz w:val="20"/>
          <w:szCs w:val="20"/>
        </w:rPr>
        <w:t xml:space="preserve">ural or urban </w:t>
      </w:r>
      <w:r w:rsidR="00220D13" w:rsidRPr="003342C3">
        <w:rPr>
          <w:rFonts w:cs="Arial"/>
          <w:sz w:val="20"/>
          <w:szCs w:val="20"/>
        </w:rPr>
        <w:t xml:space="preserve">status (local government classification) </w:t>
      </w:r>
      <w:r w:rsidR="0042139B" w:rsidRPr="003342C3">
        <w:rPr>
          <w:rFonts w:cs="Arial"/>
          <w:sz w:val="20"/>
          <w:szCs w:val="20"/>
        </w:rPr>
        <w:t>and area level socio-economic status (Indices of Multiple Deprivation</w:t>
      </w:r>
      <w:r w:rsidRPr="003342C3">
        <w:rPr>
          <w:rFonts w:cs="Arial"/>
          <w:sz w:val="20"/>
          <w:szCs w:val="20"/>
        </w:rPr>
        <w:t xml:space="preserve"> (IMD)</w:t>
      </w:r>
      <w:r w:rsidR="0042139B" w:rsidRPr="003342C3">
        <w:rPr>
          <w:rFonts w:cs="Arial"/>
          <w:sz w:val="20"/>
          <w:szCs w:val="20"/>
        </w:rPr>
        <w:t xml:space="preserve">) </w:t>
      </w:r>
      <w:r w:rsidR="009B0658" w:rsidRPr="003342C3">
        <w:rPr>
          <w:rFonts w:cs="Arial"/>
          <w:sz w:val="20"/>
          <w:szCs w:val="20"/>
        </w:rPr>
        <w:t xml:space="preserve">were </w:t>
      </w:r>
      <w:r w:rsidR="0042139B" w:rsidRPr="003342C3">
        <w:rPr>
          <w:rFonts w:cs="Arial"/>
          <w:sz w:val="20"/>
          <w:szCs w:val="20"/>
        </w:rPr>
        <w:t xml:space="preserve">included in </w:t>
      </w:r>
      <w:r w:rsidR="009D5162" w:rsidRPr="003342C3">
        <w:rPr>
          <w:rFonts w:cs="Arial"/>
          <w:sz w:val="20"/>
          <w:szCs w:val="20"/>
        </w:rPr>
        <w:t xml:space="preserve">all </w:t>
      </w:r>
      <w:r w:rsidR="0042139B" w:rsidRPr="003342C3">
        <w:rPr>
          <w:rFonts w:cs="Arial"/>
          <w:sz w:val="20"/>
          <w:szCs w:val="20"/>
        </w:rPr>
        <w:t>analyses</w:t>
      </w:r>
      <w:r w:rsidR="007877A9" w:rsidRPr="003342C3">
        <w:rPr>
          <w:rFonts w:cs="Arial"/>
          <w:sz w:val="20"/>
          <w:szCs w:val="20"/>
        </w:rPr>
        <w:t xml:space="preserve"> as</w:t>
      </w:r>
      <w:r w:rsidR="00123574" w:rsidRPr="003342C3">
        <w:rPr>
          <w:rFonts w:cs="Arial"/>
          <w:sz w:val="20"/>
          <w:szCs w:val="20"/>
        </w:rPr>
        <w:t xml:space="preserve"> </w:t>
      </w:r>
      <w:r w:rsidR="009C2081" w:rsidRPr="003342C3">
        <w:rPr>
          <w:rFonts w:cs="Arial"/>
          <w:sz w:val="20"/>
          <w:szCs w:val="20"/>
        </w:rPr>
        <w:t>covariates</w:t>
      </w:r>
      <w:r w:rsidR="0042139B" w:rsidRPr="003342C3">
        <w:rPr>
          <w:rFonts w:cs="Arial"/>
          <w:sz w:val="20"/>
          <w:szCs w:val="20"/>
        </w:rPr>
        <w:t>.</w:t>
      </w:r>
      <w:r w:rsidR="00ED6890" w:rsidRPr="003342C3">
        <w:rPr>
          <w:rFonts w:cs="Arial"/>
          <w:sz w:val="20"/>
          <w:szCs w:val="20"/>
        </w:rPr>
        <w:t xml:space="preserve"> </w:t>
      </w:r>
      <w:r w:rsidRPr="003342C3">
        <w:rPr>
          <w:rFonts w:cs="Arial"/>
          <w:sz w:val="20"/>
          <w:szCs w:val="20"/>
        </w:rPr>
        <w:t xml:space="preserve">Differences in </w:t>
      </w:r>
      <w:r w:rsidR="00495471" w:rsidRPr="003342C3">
        <w:rPr>
          <w:rFonts w:cs="Arial"/>
          <w:sz w:val="20"/>
          <w:szCs w:val="20"/>
        </w:rPr>
        <w:t xml:space="preserve">the magnitudes of </w:t>
      </w:r>
      <w:r w:rsidRPr="003342C3">
        <w:rPr>
          <w:rFonts w:cs="Arial"/>
          <w:sz w:val="20"/>
          <w:szCs w:val="20"/>
        </w:rPr>
        <w:t xml:space="preserve">associations were then assessed across </w:t>
      </w:r>
      <w:r w:rsidR="009D5162" w:rsidRPr="003342C3">
        <w:rPr>
          <w:rFonts w:cs="Arial"/>
          <w:sz w:val="20"/>
          <w:szCs w:val="20"/>
        </w:rPr>
        <w:t xml:space="preserve">different </w:t>
      </w:r>
      <w:r w:rsidRPr="003342C3">
        <w:rPr>
          <w:rFonts w:cs="Arial"/>
          <w:sz w:val="20"/>
          <w:szCs w:val="20"/>
        </w:rPr>
        <w:t>data sources and buffer</w:t>
      </w:r>
      <w:r w:rsidR="00F0765B" w:rsidRPr="003342C3">
        <w:rPr>
          <w:rFonts w:cs="Arial"/>
          <w:sz w:val="20"/>
          <w:szCs w:val="20"/>
        </w:rPr>
        <w:t>s</w:t>
      </w:r>
      <w:r w:rsidR="00BC7F26" w:rsidRPr="003342C3">
        <w:rPr>
          <w:rFonts w:cs="Arial"/>
          <w:sz w:val="20"/>
          <w:szCs w:val="20"/>
        </w:rPr>
        <w:t xml:space="preserve"> </w:t>
      </w:r>
      <w:r w:rsidR="005F3972" w:rsidRPr="003342C3">
        <w:rPr>
          <w:rFonts w:cs="Arial"/>
          <w:sz w:val="20"/>
          <w:szCs w:val="20"/>
        </w:rPr>
        <w:t xml:space="preserve">by assessing the change in (β and 95% CI) </w:t>
      </w:r>
      <w:r w:rsidR="00304148" w:rsidRPr="003342C3">
        <w:rPr>
          <w:rFonts w:cs="Arial"/>
          <w:sz w:val="20"/>
          <w:szCs w:val="20"/>
        </w:rPr>
        <w:t>(Appendix 1</w:t>
      </w:r>
      <w:r w:rsidR="00BC7F26" w:rsidRPr="003342C3">
        <w:rPr>
          <w:rFonts w:cs="Arial"/>
          <w:sz w:val="20"/>
          <w:szCs w:val="20"/>
        </w:rPr>
        <w:t>)</w:t>
      </w:r>
      <w:r w:rsidRPr="003342C3">
        <w:rPr>
          <w:rFonts w:cs="Arial"/>
          <w:sz w:val="20"/>
          <w:szCs w:val="20"/>
        </w:rPr>
        <w:t>.</w:t>
      </w:r>
      <w:r w:rsidR="007877A9" w:rsidRPr="003342C3">
        <w:rPr>
          <w:rFonts w:cs="Arial"/>
          <w:sz w:val="20"/>
          <w:szCs w:val="20"/>
        </w:rPr>
        <w:t xml:space="preserve"> </w:t>
      </w:r>
      <w:r w:rsidR="00123574" w:rsidRPr="003342C3">
        <w:rPr>
          <w:rFonts w:cs="Arial"/>
          <w:sz w:val="20"/>
          <w:szCs w:val="20"/>
        </w:rPr>
        <w:t>All statistical analysis will be performed using STATA IC version 14.</w:t>
      </w:r>
    </w:p>
    <w:p w14:paraId="3D8A3744" w14:textId="77777777" w:rsidR="00123574" w:rsidRPr="003342C3" w:rsidRDefault="00123574" w:rsidP="005F7603">
      <w:pPr>
        <w:pStyle w:val="NoSpacing"/>
        <w:jc w:val="both"/>
        <w:rPr>
          <w:rFonts w:cs="Arial"/>
          <w:sz w:val="20"/>
          <w:szCs w:val="20"/>
        </w:rPr>
      </w:pPr>
    </w:p>
    <w:p w14:paraId="513E2852" w14:textId="5F7DF36B" w:rsidR="00CC6892" w:rsidRPr="003342C3" w:rsidRDefault="00CC20C1" w:rsidP="005F7603">
      <w:pPr>
        <w:pStyle w:val="NoSpacing"/>
        <w:jc w:val="both"/>
        <w:rPr>
          <w:rFonts w:cs="Arial"/>
          <w:sz w:val="20"/>
          <w:szCs w:val="20"/>
        </w:rPr>
      </w:pPr>
      <w:r w:rsidRPr="003342C3">
        <w:rPr>
          <w:rFonts w:cs="Arial"/>
          <w:sz w:val="20"/>
          <w:szCs w:val="20"/>
        </w:rPr>
        <w:t>Our results</w:t>
      </w:r>
      <w:r w:rsidR="00ED6890" w:rsidRPr="003342C3">
        <w:rPr>
          <w:rFonts w:cs="Arial"/>
          <w:sz w:val="20"/>
          <w:szCs w:val="20"/>
        </w:rPr>
        <w:t xml:space="preserve"> show no difference</w:t>
      </w:r>
      <w:r w:rsidR="00E11A99" w:rsidRPr="003342C3">
        <w:rPr>
          <w:rFonts w:cs="Arial"/>
          <w:sz w:val="20"/>
          <w:szCs w:val="20"/>
        </w:rPr>
        <w:t>s</w:t>
      </w:r>
      <w:r w:rsidR="00ED6890" w:rsidRPr="003342C3">
        <w:rPr>
          <w:rFonts w:cs="Arial"/>
          <w:sz w:val="20"/>
          <w:szCs w:val="20"/>
        </w:rPr>
        <w:t xml:space="preserve"> in </w:t>
      </w:r>
      <w:r w:rsidR="00E11A99" w:rsidRPr="003342C3">
        <w:rPr>
          <w:rFonts w:cs="Arial"/>
          <w:sz w:val="20"/>
          <w:szCs w:val="20"/>
        </w:rPr>
        <w:t xml:space="preserve">the strength or direction of </w:t>
      </w:r>
      <w:r w:rsidR="00ED6890" w:rsidRPr="003342C3">
        <w:rPr>
          <w:rFonts w:cs="Arial"/>
          <w:sz w:val="20"/>
          <w:szCs w:val="20"/>
        </w:rPr>
        <w:t>association</w:t>
      </w:r>
      <w:r w:rsidR="00E11A99" w:rsidRPr="003342C3">
        <w:rPr>
          <w:rFonts w:cs="Arial"/>
          <w:sz w:val="20"/>
          <w:szCs w:val="20"/>
        </w:rPr>
        <w:t xml:space="preserve">s between food outlet availability when using different </w:t>
      </w:r>
      <w:r w:rsidR="00ED6890" w:rsidRPr="003342C3">
        <w:rPr>
          <w:rFonts w:cs="Arial"/>
          <w:sz w:val="20"/>
          <w:szCs w:val="20"/>
        </w:rPr>
        <w:t>database</w:t>
      </w:r>
      <w:r w:rsidR="00E11A99" w:rsidRPr="003342C3">
        <w:rPr>
          <w:rFonts w:cs="Arial"/>
          <w:sz w:val="20"/>
          <w:szCs w:val="20"/>
        </w:rPr>
        <w:t>s</w:t>
      </w:r>
      <w:r w:rsidR="00ED6890" w:rsidRPr="003342C3">
        <w:rPr>
          <w:rFonts w:cs="Arial"/>
          <w:sz w:val="20"/>
          <w:szCs w:val="20"/>
        </w:rPr>
        <w:t xml:space="preserve"> or neighbourhood definition</w:t>
      </w:r>
      <w:r w:rsidR="00E11A99" w:rsidRPr="003342C3">
        <w:rPr>
          <w:rFonts w:cs="Arial"/>
          <w:sz w:val="20"/>
          <w:szCs w:val="20"/>
        </w:rPr>
        <w:t xml:space="preserve">s. A small difference was noted for </w:t>
      </w:r>
      <w:r w:rsidR="00ED6890" w:rsidRPr="003342C3">
        <w:rPr>
          <w:rFonts w:cs="Arial"/>
          <w:sz w:val="20"/>
          <w:szCs w:val="20"/>
        </w:rPr>
        <w:t xml:space="preserve">supermarkets which differed </w:t>
      </w:r>
      <w:r w:rsidR="00E11A99" w:rsidRPr="003342C3">
        <w:rPr>
          <w:rFonts w:cs="Arial"/>
          <w:sz w:val="20"/>
          <w:szCs w:val="20"/>
        </w:rPr>
        <w:t xml:space="preserve">only </w:t>
      </w:r>
      <w:r w:rsidR="00ED6890" w:rsidRPr="003342C3">
        <w:rPr>
          <w:rFonts w:cs="Arial"/>
          <w:sz w:val="20"/>
          <w:szCs w:val="20"/>
        </w:rPr>
        <w:t>within the PoI dataset when comparing radial buffers to LSOA administratively defined neighbourhoods.</w:t>
      </w:r>
      <w:r w:rsidR="00E11A99" w:rsidRPr="003342C3">
        <w:rPr>
          <w:rFonts w:cs="Arial"/>
          <w:sz w:val="20"/>
          <w:szCs w:val="20"/>
        </w:rPr>
        <w:t xml:space="preserve"> </w:t>
      </w:r>
      <w:r w:rsidR="00476A65" w:rsidRPr="003342C3">
        <w:rPr>
          <w:rFonts w:cs="Arial"/>
          <w:sz w:val="20"/>
          <w:szCs w:val="20"/>
        </w:rPr>
        <w:t xml:space="preserve">The </w:t>
      </w:r>
      <w:r w:rsidR="009D017F" w:rsidRPr="003342C3">
        <w:rPr>
          <w:rFonts w:cs="Arial"/>
          <w:sz w:val="20"/>
          <w:szCs w:val="20"/>
        </w:rPr>
        <w:t xml:space="preserve">LA database contained </w:t>
      </w:r>
      <w:r w:rsidR="003C4513" w:rsidRPr="003342C3">
        <w:rPr>
          <w:rFonts w:cs="Arial"/>
          <w:sz w:val="20"/>
          <w:szCs w:val="20"/>
        </w:rPr>
        <w:t xml:space="preserve">approximately twice as many food outlet records as the </w:t>
      </w:r>
      <w:r w:rsidR="009D017F" w:rsidRPr="003342C3">
        <w:rPr>
          <w:rFonts w:cs="Arial"/>
          <w:sz w:val="20"/>
          <w:szCs w:val="20"/>
        </w:rPr>
        <w:t>Point of Interest (PoI) dataset;</w:t>
      </w:r>
      <w:r w:rsidR="00ED6890" w:rsidRPr="003342C3">
        <w:rPr>
          <w:rFonts w:cs="Arial"/>
          <w:sz w:val="20"/>
          <w:szCs w:val="20"/>
        </w:rPr>
        <w:t xml:space="preserve"> more specifically an additional </w:t>
      </w:r>
      <w:r w:rsidR="009D017F" w:rsidRPr="003342C3">
        <w:rPr>
          <w:rFonts w:cs="Arial"/>
          <w:sz w:val="20"/>
          <w:szCs w:val="20"/>
        </w:rPr>
        <w:t xml:space="preserve">8 supermarkets, 23 takeaways and </w:t>
      </w:r>
      <w:r w:rsidR="007B3648" w:rsidRPr="003342C3">
        <w:rPr>
          <w:rFonts w:cs="Arial"/>
          <w:sz w:val="20"/>
          <w:szCs w:val="20"/>
        </w:rPr>
        <w:t xml:space="preserve">589 </w:t>
      </w:r>
      <w:r w:rsidR="009D017F" w:rsidRPr="003342C3">
        <w:rPr>
          <w:rFonts w:cs="Arial"/>
          <w:sz w:val="20"/>
          <w:szCs w:val="20"/>
        </w:rPr>
        <w:t xml:space="preserve">other food retail outlets </w:t>
      </w:r>
      <w:r w:rsidR="003C4513" w:rsidRPr="003342C3">
        <w:rPr>
          <w:rFonts w:cs="Arial"/>
          <w:sz w:val="20"/>
          <w:szCs w:val="20"/>
        </w:rPr>
        <w:t>(Table 1).</w:t>
      </w:r>
      <w:r w:rsidR="009D017F" w:rsidRPr="003342C3">
        <w:rPr>
          <w:rFonts w:cs="Arial"/>
          <w:sz w:val="20"/>
          <w:szCs w:val="20"/>
        </w:rPr>
        <w:t xml:space="preserve"> </w:t>
      </w:r>
      <w:r w:rsidR="00ED6890" w:rsidRPr="003342C3">
        <w:rPr>
          <w:rFonts w:cs="Arial"/>
          <w:sz w:val="20"/>
          <w:szCs w:val="20"/>
        </w:rPr>
        <w:t xml:space="preserve">Exposure to </w:t>
      </w:r>
      <w:r w:rsidR="00B519A5" w:rsidRPr="003342C3">
        <w:rPr>
          <w:rFonts w:cs="Arial"/>
          <w:sz w:val="20"/>
          <w:szCs w:val="20"/>
        </w:rPr>
        <w:t>food outlets</w:t>
      </w:r>
      <w:r w:rsidR="00ED6890" w:rsidRPr="003342C3">
        <w:rPr>
          <w:rFonts w:cs="Arial"/>
          <w:sz w:val="20"/>
          <w:szCs w:val="20"/>
        </w:rPr>
        <w:t xml:space="preserve"> also varied; within</w:t>
      </w:r>
      <w:r w:rsidR="00B519A5" w:rsidRPr="003342C3">
        <w:rPr>
          <w:rFonts w:cs="Arial"/>
          <w:sz w:val="20"/>
          <w:szCs w:val="20"/>
        </w:rPr>
        <w:t xml:space="preserve"> </w:t>
      </w:r>
      <w:r w:rsidR="00ED6890" w:rsidRPr="003342C3">
        <w:rPr>
          <w:rFonts w:cs="Arial"/>
          <w:sz w:val="20"/>
          <w:szCs w:val="20"/>
        </w:rPr>
        <w:t xml:space="preserve">an </w:t>
      </w:r>
      <w:r w:rsidR="00B519A5" w:rsidRPr="003342C3">
        <w:rPr>
          <w:rFonts w:cs="Arial"/>
          <w:sz w:val="20"/>
          <w:szCs w:val="20"/>
        </w:rPr>
        <w:t xml:space="preserve">800m </w:t>
      </w:r>
      <w:r w:rsidR="00ED6890" w:rsidRPr="003342C3">
        <w:rPr>
          <w:rFonts w:cs="Arial"/>
          <w:sz w:val="20"/>
          <w:szCs w:val="20"/>
        </w:rPr>
        <w:t xml:space="preserve">radial buffer </w:t>
      </w:r>
      <w:r w:rsidR="00B519A5" w:rsidRPr="003342C3">
        <w:rPr>
          <w:rFonts w:cs="Arial"/>
          <w:sz w:val="20"/>
          <w:szCs w:val="20"/>
        </w:rPr>
        <w:t xml:space="preserve">LA data showed that </w:t>
      </w:r>
      <w:r w:rsidR="00ED6890" w:rsidRPr="003342C3">
        <w:rPr>
          <w:rFonts w:cs="Arial"/>
          <w:sz w:val="20"/>
          <w:szCs w:val="20"/>
        </w:rPr>
        <w:t xml:space="preserve">some individuals had no fast-food outlets, whilst the average had </w:t>
      </w:r>
      <w:r w:rsidR="00B519A5" w:rsidRPr="003342C3">
        <w:rPr>
          <w:rFonts w:cs="Arial"/>
          <w:sz w:val="20"/>
          <w:szCs w:val="20"/>
        </w:rPr>
        <w:t>1.48</w:t>
      </w:r>
      <w:r w:rsidR="00ED6890" w:rsidRPr="003342C3">
        <w:rPr>
          <w:rFonts w:cs="Arial"/>
          <w:sz w:val="20"/>
          <w:szCs w:val="20"/>
        </w:rPr>
        <w:t>±2.04</w:t>
      </w:r>
      <w:r w:rsidR="00B519A5" w:rsidRPr="003342C3">
        <w:rPr>
          <w:rFonts w:cs="Arial"/>
          <w:sz w:val="20"/>
          <w:szCs w:val="20"/>
        </w:rPr>
        <w:t xml:space="preserve"> </w:t>
      </w:r>
      <w:r w:rsidR="00ED6890" w:rsidRPr="003342C3">
        <w:rPr>
          <w:rFonts w:cs="Arial"/>
          <w:sz w:val="20"/>
          <w:szCs w:val="20"/>
        </w:rPr>
        <w:t xml:space="preserve">and the </w:t>
      </w:r>
      <w:r w:rsidR="00B519A5" w:rsidRPr="003342C3">
        <w:rPr>
          <w:rFonts w:cs="Arial"/>
          <w:sz w:val="20"/>
          <w:szCs w:val="20"/>
        </w:rPr>
        <w:t>max</w:t>
      </w:r>
      <w:r w:rsidR="00ED6890" w:rsidRPr="003342C3">
        <w:rPr>
          <w:rFonts w:cs="Arial"/>
          <w:sz w:val="20"/>
          <w:szCs w:val="20"/>
        </w:rPr>
        <w:t xml:space="preserve">imum was </w:t>
      </w:r>
      <w:r w:rsidR="00B519A5" w:rsidRPr="003342C3">
        <w:rPr>
          <w:rFonts w:cs="Arial"/>
          <w:sz w:val="20"/>
          <w:szCs w:val="20"/>
        </w:rPr>
        <w:t>23.00</w:t>
      </w:r>
      <w:r w:rsidR="00ED6890" w:rsidRPr="003342C3">
        <w:rPr>
          <w:rFonts w:cs="Arial"/>
          <w:sz w:val="20"/>
          <w:szCs w:val="20"/>
        </w:rPr>
        <w:t xml:space="preserve"> fast-food outlets. </w:t>
      </w:r>
      <w:r w:rsidR="00E11A99" w:rsidRPr="003342C3">
        <w:rPr>
          <w:rFonts w:cs="Arial"/>
          <w:sz w:val="20"/>
          <w:szCs w:val="20"/>
        </w:rPr>
        <w:t xml:space="preserve">Associations were </w:t>
      </w:r>
      <w:r w:rsidR="003609CB" w:rsidRPr="003342C3">
        <w:rPr>
          <w:rFonts w:cs="Arial"/>
          <w:sz w:val="20"/>
          <w:szCs w:val="20"/>
        </w:rPr>
        <w:t>substantively the same</w:t>
      </w:r>
      <w:r w:rsidR="003C4513" w:rsidRPr="003342C3">
        <w:rPr>
          <w:rFonts w:cs="Arial"/>
          <w:sz w:val="20"/>
          <w:szCs w:val="20"/>
        </w:rPr>
        <w:t xml:space="preserve"> </w:t>
      </w:r>
      <w:r w:rsidR="00D06EFC" w:rsidRPr="003342C3">
        <w:rPr>
          <w:rFonts w:cs="Arial"/>
          <w:sz w:val="20"/>
          <w:szCs w:val="20"/>
        </w:rPr>
        <w:t>for all associations</w:t>
      </w:r>
      <w:r w:rsidR="00E11A99" w:rsidRPr="003342C3">
        <w:rPr>
          <w:rFonts w:cs="Arial"/>
          <w:sz w:val="20"/>
          <w:szCs w:val="20"/>
        </w:rPr>
        <w:t xml:space="preserve"> f</w:t>
      </w:r>
      <w:r w:rsidR="003C4513" w:rsidRPr="003342C3">
        <w:rPr>
          <w:rFonts w:cs="Arial"/>
          <w:sz w:val="20"/>
          <w:szCs w:val="20"/>
        </w:rPr>
        <w:t xml:space="preserve">or instance, </w:t>
      </w:r>
      <w:r w:rsidR="001064DB" w:rsidRPr="003342C3">
        <w:rPr>
          <w:rFonts w:cs="Arial"/>
          <w:sz w:val="20"/>
          <w:szCs w:val="20"/>
        </w:rPr>
        <w:t xml:space="preserve">across the two different databases, </w:t>
      </w:r>
      <w:r w:rsidR="003C4513" w:rsidRPr="003342C3">
        <w:rPr>
          <w:rFonts w:cs="Arial"/>
          <w:sz w:val="20"/>
          <w:szCs w:val="20"/>
        </w:rPr>
        <w:t xml:space="preserve">LSOA density </w:t>
      </w:r>
      <w:r w:rsidR="001064DB" w:rsidRPr="003342C3">
        <w:rPr>
          <w:rFonts w:cs="Arial"/>
          <w:sz w:val="20"/>
          <w:szCs w:val="20"/>
        </w:rPr>
        <w:t>(km</w:t>
      </w:r>
      <w:r w:rsidR="001064DB" w:rsidRPr="003342C3">
        <w:rPr>
          <w:rFonts w:cs="Arial"/>
          <w:sz w:val="20"/>
          <w:szCs w:val="20"/>
          <w:vertAlign w:val="superscript"/>
        </w:rPr>
        <w:t>2</w:t>
      </w:r>
      <w:r w:rsidR="001064DB" w:rsidRPr="003342C3">
        <w:rPr>
          <w:rFonts w:cs="Arial"/>
          <w:sz w:val="20"/>
          <w:szCs w:val="20"/>
        </w:rPr>
        <w:t xml:space="preserve">) </w:t>
      </w:r>
      <w:r w:rsidR="003C4513" w:rsidRPr="003342C3">
        <w:rPr>
          <w:rFonts w:cs="Arial"/>
          <w:sz w:val="20"/>
          <w:szCs w:val="20"/>
        </w:rPr>
        <w:t>demonstrated no relationship between takeaway availability and BMI</w:t>
      </w:r>
      <w:r w:rsidR="009345AD" w:rsidRPr="003342C3">
        <w:rPr>
          <w:rFonts w:cs="Arial"/>
          <w:sz w:val="20"/>
          <w:szCs w:val="20"/>
        </w:rPr>
        <w:t xml:space="preserve"> (POI (</w:t>
      </w:r>
      <w:r w:rsidR="007B3648" w:rsidRPr="003342C3">
        <w:rPr>
          <w:rFonts w:cs="Arial"/>
          <w:sz w:val="20"/>
          <w:szCs w:val="20"/>
        </w:rPr>
        <w:t>0.013 [</w:t>
      </w:r>
      <w:r w:rsidR="009345AD" w:rsidRPr="003342C3">
        <w:rPr>
          <w:rFonts w:cs="Arial"/>
          <w:sz w:val="20"/>
          <w:szCs w:val="20"/>
        </w:rPr>
        <w:t>-0.056; 0.083</w:t>
      </w:r>
      <w:r w:rsidR="007B3648" w:rsidRPr="003342C3">
        <w:rPr>
          <w:rFonts w:cs="Arial"/>
          <w:sz w:val="20"/>
          <w:szCs w:val="20"/>
        </w:rPr>
        <w:t>]; LA</w:t>
      </w:r>
      <w:r w:rsidR="009345AD" w:rsidRPr="003342C3">
        <w:rPr>
          <w:rFonts w:cs="Arial"/>
          <w:sz w:val="20"/>
          <w:szCs w:val="20"/>
        </w:rPr>
        <w:t xml:space="preserve"> (0.013</w:t>
      </w:r>
      <w:r w:rsidR="003C4513" w:rsidRPr="003342C3">
        <w:rPr>
          <w:rFonts w:cs="Arial"/>
          <w:sz w:val="20"/>
          <w:szCs w:val="20"/>
        </w:rPr>
        <w:t xml:space="preserve"> [</w:t>
      </w:r>
      <w:r w:rsidR="009345AD" w:rsidRPr="003342C3">
        <w:rPr>
          <w:rFonts w:cs="Arial"/>
          <w:sz w:val="20"/>
          <w:szCs w:val="20"/>
        </w:rPr>
        <w:t>-0.014; 0.040</w:t>
      </w:r>
      <w:r w:rsidR="003C4513" w:rsidRPr="003342C3">
        <w:rPr>
          <w:rFonts w:cs="Arial"/>
          <w:sz w:val="20"/>
          <w:szCs w:val="20"/>
        </w:rPr>
        <w:t xml:space="preserve">]). It seems that despite </w:t>
      </w:r>
      <w:r w:rsidR="009D017F" w:rsidRPr="003342C3">
        <w:rPr>
          <w:rFonts w:cs="Arial"/>
          <w:sz w:val="20"/>
          <w:szCs w:val="20"/>
        </w:rPr>
        <w:t xml:space="preserve">some </w:t>
      </w:r>
      <w:r w:rsidR="003C4513" w:rsidRPr="003342C3">
        <w:rPr>
          <w:rFonts w:cs="Arial"/>
          <w:sz w:val="20"/>
          <w:szCs w:val="20"/>
        </w:rPr>
        <w:t xml:space="preserve">differences in </w:t>
      </w:r>
      <w:r w:rsidR="00EA52A9" w:rsidRPr="003342C3">
        <w:rPr>
          <w:rFonts w:cs="Arial"/>
          <w:sz w:val="20"/>
          <w:szCs w:val="20"/>
        </w:rPr>
        <w:t>the</w:t>
      </w:r>
      <w:r w:rsidR="009D017F" w:rsidRPr="003342C3">
        <w:rPr>
          <w:rFonts w:cs="Arial"/>
          <w:sz w:val="20"/>
          <w:szCs w:val="20"/>
        </w:rPr>
        <w:t xml:space="preserve"> count of outlets</w:t>
      </w:r>
      <w:r w:rsidR="003C4513" w:rsidRPr="003342C3">
        <w:rPr>
          <w:rFonts w:cs="Arial"/>
          <w:sz w:val="20"/>
          <w:szCs w:val="20"/>
        </w:rPr>
        <w:t xml:space="preserve">, </w:t>
      </w:r>
      <w:r w:rsidR="00D06EFC" w:rsidRPr="003342C3">
        <w:rPr>
          <w:rFonts w:cs="Arial"/>
          <w:sz w:val="20"/>
          <w:szCs w:val="20"/>
        </w:rPr>
        <w:t xml:space="preserve">associations between food outlets and obesity </w:t>
      </w:r>
      <w:r w:rsidR="003C4513" w:rsidRPr="003342C3">
        <w:rPr>
          <w:rFonts w:cs="Arial"/>
          <w:sz w:val="20"/>
          <w:szCs w:val="20"/>
        </w:rPr>
        <w:t xml:space="preserve">are consistent. The magnitude of change in coefficients was </w:t>
      </w:r>
      <w:r w:rsidR="009D017F" w:rsidRPr="003342C3">
        <w:rPr>
          <w:rFonts w:cs="Arial"/>
          <w:sz w:val="20"/>
          <w:szCs w:val="20"/>
        </w:rPr>
        <w:t xml:space="preserve">also </w:t>
      </w:r>
      <w:r w:rsidR="003C4513" w:rsidRPr="003342C3">
        <w:rPr>
          <w:rFonts w:cs="Arial"/>
          <w:sz w:val="20"/>
          <w:szCs w:val="20"/>
        </w:rPr>
        <w:t xml:space="preserve">negligible when comparing administratively and radially defined buffers across all food availability variables but supermarkets (Table 1). </w:t>
      </w:r>
    </w:p>
    <w:p w14:paraId="589DAABA" w14:textId="77777777" w:rsidR="00CC6892" w:rsidRPr="003342C3" w:rsidRDefault="00CC6892" w:rsidP="005F7603">
      <w:pPr>
        <w:pStyle w:val="NoSpacing"/>
        <w:jc w:val="both"/>
        <w:rPr>
          <w:rFonts w:cs="Arial"/>
          <w:sz w:val="20"/>
          <w:szCs w:val="20"/>
        </w:rPr>
      </w:pPr>
    </w:p>
    <w:p w14:paraId="34183EDF" w14:textId="0D3442EC" w:rsidR="00B519A5" w:rsidRPr="003342C3" w:rsidRDefault="00CC6892" w:rsidP="005F7603">
      <w:pPr>
        <w:pStyle w:val="NoSpacing"/>
        <w:jc w:val="both"/>
        <w:rPr>
          <w:rFonts w:cs="Arial"/>
          <w:sz w:val="20"/>
          <w:szCs w:val="20"/>
        </w:rPr>
      </w:pPr>
      <w:r w:rsidRPr="003342C3">
        <w:rPr>
          <w:rFonts w:cs="Arial"/>
          <w:sz w:val="20"/>
          <w:szCs w:val="20"/>
        </w:rPr>
        <w:t>Our finding</w:t>
      </w:r>
      <w:r w:rsidR="003609CB" w:rsidRPr="003342C3">
        <w:rPr>
          <w:rFonts w:cs="Arial"/>
          <w:sz w:val="20"/>
          <w:szCs w:val="20"/>
        </w:rPr>
        <w:t>s</w:t>
      </w:r>
      <w:r w:rsidRPr="003342C3">
        <w:rPr>
          <w:rFonts w:cs="Arial"/>
          <w:sz w:val="20"/>
          <w:szCs w:val="20"/>
        </w:rPr>
        <w:t xml:space="preserve"> </w:t>
      </w:r>
      <w:r w:rsidR="00774EC4" w:rsidRPr="003342C3">
        <w:rPr>
          <w:rFonts w:cs="Arial"/>
          <w:sz w:val="20"/>
          <w:szCs w:val="20"/>
        </w:rPr>
        <w:t xml:space="preserve">agree with previous </w:t>
      </w:r>
      <w:r w:rsidR="00623BFB" w:rsidRPr="003342C3">
        <w:rPr>
          <w:rFonts w:cs="Arial"/>
          <w:sz w:val="20"/>
          <w:szCs w:val="20"/>
        </w:rPr>
        <w:t xml:space="preserve">evidence </w:t>
      </w:r>
      <w:r w:rsidR="00774EC4" w:rsidRPr="003342C3">
        <w:rPr>
          <w:rFonts w:cs="Arial"/>
          <w:sz w:val="20"/>
          <w:szCs w:val="20"/>
        </w:rPr>
        <w:t xml:space="preserve">that suggests </w:t>
      </w:r>
      <w:r w:rsidRPr="003342C3">
        <w:rPr>
          <w:rFonts w:cs="Arial"/>
          <w:sz w:val="20"/>
          <w:szCs w:val="20"/>
        </w:rPr>
        <w:t xml:space="preserve">there is little change in size of associations across </w:t>
      </w:r>
      <w:r w:rsidR="00623BFB" w:rsidRPr="003342C3">
        <w:rPr>
          <w:rFonts w:cs="Arial"/>
          <w:sz w:val="20"/>
          <w:szCs w:val="20"/>
        </w:rPr>
        <w:t xml:space="preserve">different </w:t>
      </w:r>
      <w:r w:rsidR="001064DB" w:rsidRPr="003342C3">
        <w:rPr>
          <w:rFonts w:cs="Arial"/>
          <w:sz w:val="20"/>
          <w:szCs w:val="20"/>
        </w:rPr>
        <w:t>definitions of neighbourhood</w:t>
      </w:r>
      <w:hyperlink w:anchor="_ENREF_9" w:tooltip="Forsyth, 2008 #3241" w:history="1">
        <w:r w:rsidR="00CA259E" w:rsidRPr="003342C3">
          <w:rPr>
            <w:rFonts w:cs="Arial"/>
            <w:sz w:val="20"/>
            <w:szCs w:val="20"/>
          </w:rPr>
          <w:fldChar w:fldCharType="begin"/>
        </w:r>
        <w:r w:rsidR="00CA259E" w:rsidRPr="003342C3">
          <w:rPr>
            <w:rFonts w:cs="Arial"/>
            <w:sz w:val="20"/>
            <w:szCs w:val="20"/>
          </w:rPr>
          <w:instrText xml:space="preserve"> ADDIN EN.CITE &lt;EndNote&gt;&lt;Cite&gt;&lt;Author&gt;Forsyth&lt;/Author&gt;&lt;Year&gt;2008&lt;/Year&gt;&lt;RecNum&gt;3241&lt;/RecNum&gt;&lt;DisplayText&gt;&lt;style face="superscript"&gt;9&lt;/style&gt;&lt;/DisplayText&gt;&lt;record&gt;&lt;rec-number&gt;3241&lt;/rec-number&gt;&lt;foreign-keys&gt;&lt;key app="EN" db-id="zrsespedwsd00qewtfnxtt0f9sdware5f2ae"&gt;3241&lt;/key&gt;&lt;/foreign-keys&gt;&lt;ref-type name="Journal Article"&gt;17&lt;/ref-type&gt;&lt;contributors&gt;&lt;authors&gt;&lt;author&gt;Forsyth, Ann&lt;/author&gt;&lt;author&gt;Hearst, Mary&lt;/author&gt;&lt;author&gt;Oakes, J. Michael&lt;/author&gt;&lt;author&gt;Schmitz, Kathryn H.&lt;/author&gt;&lt;/authors&gt;&lt;/contributors&gt;&lt;titles&gt;&lt;title&gt;Design and Destinations: Factors Influencing Walking and Total Physical Activity&lt;/title&gt;&lt;secondary-title&gt;Urban Studies&lt;/secondary-title&gt;&lt;/titles&gt;&lt;periodical&gt;&lt;full-title&gt;Urban Studies&lt;/full-title&gt;&lt;/periodical&gt;&lt;pages&gt;1973-1996&lt;/pages&gt;&lt;volume&gt;45&lt;/volume&gt;&lt;number&gt;9&lt;/number&gt;&lt;dates&gt;&lt;year&gt;2008&lt;/year&gt;&lt;pub-dates&gt;&lt;date&gt;August 1, 2008&lt;/date&gt;&lt;/pub-dates&gt;&lt;/dates&gt;&lt;urls&gt;&lt;related-urls&gt;&lt;url&gt;http://usj.sagepub.com/content/45/9/1973.abstract&lt;/url&gt;&lt;/related-urls&gt;&lt;/urls&gt;&lt;electronic-resource-num&gt;10.1177/0042098008093386&lt;/electronic-resource-num&gt;&lt;/record&gt;&lt;/Cite&gt;&lt;/EndNote&gt;</w:instrText>
        </w:r>
        <w:r w:rsidR="00CA259E" w:rsidRPr="003342C3">
          <w:rPr>
            <w:rFonts w:cs="Arial"/>
            <w:sz w:val="20"/>
            <w:szCs w:val="20"/>
          </w:rPr>
          <w:fldChar w:fldCharType="separate"/>
        </w:r>
        <w:r w:rsidR="00CA259E" w:rsidRPr="003342C3">
          <w:rPr>
            <w:rFonts w:cs="Arial"/>
            <w:noProof/>
            <w:sz w:val="20"/>
            <w:szCs w:val="20"/>
            <w:vertAlign w:val="superscript"/>
          </w:rPr>
          <w:t>9</w:t>
        </w:r>
        <w:r w:rsidR="00CA259E" w:rsidRPr="003342C3">
          <w:rPr>
            <w:rFonts w:cs="Arial"/>
            <w:sz w:val="20"/>
            <w:szCs w:val="20"/>
          </w:rPr>
          <w:fldChar w:fldCharType="end"/>
        </w:r>
      </w:hyperlink>
      <w:r w:rsidR="00623BFB" w:rsidRPr="003342C3">
        <w:rPr>
          <w:rFonts w:cs="Arial"/>
          <w:sz w:val="20"/>
          <w:szCs w:val="20"/>
        </w:rPr>
        <w:t xml:space="preserve"> and different datasets, despite the exception of supermarkets. The </w:t>
      </w:r>
      <w:r w:rsidR="00774EC4" w:rsidRPr="003342C3">
        <w:rPr>
          <w:rFonts w:cs="Arial"/>
          <w:sz w:val="20"/>
          <w:szCs w:val="20"/>
        </w:rPr>
        <w:t>PoI database contained eight fewer supermarkets however differences were seen across neighbourhood definitions and databases</w:t>
      </w:r>
      <w:r w:rsidR="00623BFB" w:rsidRPr="003342C3">
        <w:rPr>
          <w:rFonts w:cs="Arial"/>
          <w:sz w:val="20"/>
          <w:szCs w:val="20"/>
        </w:rPr>
        <w:t xml:space="preserve"> in strength and direction of associations. This may suggest such database inaccuracies and differences in neighbourhood definitions for supermarkets should not be overlooked.</w:t>
      </w:r>
      <w:r w:rsidR="004108A6" w:rsidRPr="003342C3">
        <w:rPr>
          <w:rFonts w:cs="Arial"/>
          <w:sz w:val="20"/>
          <w:szCs w:val="20"/>
        </w:rPr>
        <w:t xml:space="preserve"> In contrast, other evidence suggests neighbourhood definition may have significant implications on findings.</w:t>
      </w:r>
      <w:r w:rsidR="004108A6" w:rsidRPr="003342C3">
        <w:rPr>
          <w:rFonts w:cs="Arial"/>
          <w:sz w:val="20"/>
          <w:szCs w:val="20"/>
        </w:rPr>
        <w:fldChar w:fldCharType="begin">
          <w:fldData xml:space="preserve">PEVuZE5vdGU+PENpdGU+PEF1dGhvcj5KYW1lczwvQXV0aG9yPjxZZWFyPjIwMTQ8L1llYXI+PFJl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==
</w:fldData>
        </w:fldChar>
      </w:r>
      <w:r w:rsidR="004108A6" w:rsidRPr="003342C3">
        <w:rPr>
          <w:rFonts w:cs="Arial"/>
          <w:sz w:val="20"/>
          <w:szCs w:val="20"/>
        </w:rPr>
        <w:instrText xml:space="preserve"> ADDIN EN.CITE </w:instrText>
      </w:r>
      <w:r w:rsidR="004108A6" w:rsidRPr="003342C3">
        <w:rPr>
          <w:rFonts w:cs="Arial"/>
          <w:sz w:val="20"/>
          <w:szCs w:val="20"/>
        </w:rPr>
        <w:fldChar w:fldCharType="begin">
          <w:fldData xml:space="preserve">PEVuZE5vdGU+PENpdGU+PEF1dGhvcj5KYW1lczwvQXV0aG9yPjxZZWFyPjIwMTQ8L1llYXI+PFJl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==
</w:fldData>
        </w:fldChar>
      </w:r>
      <w:r w:rsidR="004108A6" w:rsidRPr="003342C3">
        <w:rPr>
          <w:rFonts w:cs="Arial"/>
          <w:sz w:val="20"/>
          <w:szCs w:val="20"/>
        </w:rPr>
        <w:instrText xml:space="preserve"> ADDIN EN.CITE.DATA </w:instrText>
      </w:r>
      <w:r w:rsidR="004108A6" w:rsidRPr="003342C3">
        <w:rPr>
          <w:rFonts w:cs="Arial"/>
          <w:sz w:val="20"/>
          <w:szCs w:val="20"/>
        </w:rPr>
      </w:r>
      <w:r w:rsidR="004108A6" w:rsidRPr="003342C3">
        <w:rPr>
          <w:rFonts w:cs="Arial"/>
          <w:sz w:val="20"/>
          <w:szCs w:val="20"/>
        </w:rPr>
        <w:fldChar w:fldCharType="end"/>
      </w:r>
      <w:r w:rsidR="004108A6" w:rsidRPr="003342C3">
        <w:rPr>
          <w:rFonts w:cs="Arial"/>
          <w:sz w:val="20"/>
          <w:szCs w:val="20"/>
        </w:rPr>
      </w:r>
      <w:r w:rsidR="004108A6" w:rsidRPr="003342C3">
        <w:rPr>
          <w:rFonts w:cs="Arial"/>
          <w:sz w:val="20"/>
          <w:szCs w:val="20"/>
        </w:rPr>
        <w:fldChar w:fldCharType="separate"/>
      </w:r>
      <w:hyperlink w:anchor="_ENREF_6" w:tooltip="James, 2014 #3238" w:history="1">
        <w:r w:rsidR="00CA259E" w:rsidRPr="003342C3">
          <w:rPr>
            <w:rFonts w:cs="Arial"/>
            <w:noProof/>
            <w:sz w:val="20"/>
            <w:szCs w:val="20"/>
            <w:vertAlign w:val="superscript"/>
          </w:rPr>
          <w:t>6</w:t>
        </w:r>
      </w:hyperlink>
      <w:r w:rsidR="004108A6" w:rsidRPr="003342C3">
        <w:rPr>
          <w:rFonts w:cs="Arial"/>
          <w:noProof/>
          <w:sz w:val="20"/>
          <w:szCs w:val="20"/>
          <w:vertAlign w:val="superscript"/>
        </w:rPr>
        <w:t xml:space="preserve"> </w:t>
      </w:r>
      <w:hyperlink w:anchor="_ENREF_10" w:tooltip="Bodicoat, 2015 #3317" w:history="1">
        <w:r w:rsidR="00CA259E" w:rsidRPr="003342C3">
          <w:rPr>
            <w:rFonts w:cs="Arial"/>
            <w:noProof/>
            <w:sz w:val="20"/>
            <w:szCs w:val="20"/>
            <w:vertAlign w:val="superscript"/>
          </w:rPr>
          <w:t>10</w:t>
        </w:r>
      </w:hyperlink>
      <w:r w:rsidR="004108A6" w:rsidRPr="003342C3">
        <w:rPr>
          <w:rFonts w:cs="Arial"/>
          <w:sz w:val="20"/>
          <w:szCs w:val="20"/>
        </w:rPr>
        <w:fldChar w:fldCharType="end"/>
      </w:r>
      <w:r w:rsidR="00623BFB" w:rsidRPr="003342C3">
        <w:rPr>
          <w:rFonts w:cs="Arial"/>
          <w:sz w:val="20"/>
          <w:szCs w:val="20"/>
        </w:rPr>
        <w:t xml:space="preserve"> </w:t>
      </w:r>
      <w:r w:rsidR="004108A6" w:rsidRPr="003342C3">
        <w:rPr>
          <w:rFonts w:cs="Arial"/>
          <w:sz w:val="20"/>
          <w:szCs w:val="20"/>
        </w:rPr>
        <w:t xml:space="preserve">Bodicoat et al. (2015) showed that </w:t>
      </w:r>
      <w:r w:rsidR="00CA259E" w:rsidRPr="003342C3">
        <w:rPr>
          <w:rFonts w:cs="Arial"/>
          <w:sz w:val="20"/>
          <w:szCs w:val="20"/>
        </w:rPr>
        <w:t>fast-food outlets were weakly but positively associated with type II diabetes in smaller radial buffers (100m or 250m).</w:t>
      </w:r>
      <w:hyperlink w:anchor="_ENREF_10" w:tooltip="Bodicoat, 2015 #3317" w:history="1">
        <w:r w:rsidR="00CA259E" w:rsidRPr="003342C3">
          <w:rPr>
            <w:rFonts w:cs="Arial"/>
            <w:sz w:val="20"/>
            <w:szCs w:val="20"/>
          </w:rPr>
          <w:fldChar w:fldCharType="begin"/>
        </w:r>
        <w:r w:rsidR="00CA259E" w:rsidRPr="003342C3">
          <w:rPr>
            <w:rFonts w:cs="Arial"/>
            <w:sz w:val="20"/>
            <w:szCs w:val="20"/>
          </w:rPr>
          <w:instrText xml:space="preserve"> ADDIN EN.CITE &lt;EndNote&gt;&lt;Cite&gt;&lt;Author&gt;Bodicoat&lt;/Author&gt;&lt;Year&gt;2015&lt;/Year&gt;&lt;RecNum&gt;3317&lt;/RecNum&gt;&lt;DisplayText&gt;&lt;style face="superscript"&gt;10&lt;/style&gt;&lt;/DisplayText&gt;&lt;record&gt;&lt;rec-number&gt;3317&lt;/rec-number&gt;&lt;foreign-keys&gt;&lt;key app="EN" db-id="zrsespedwsd00qewtfnxtt0f9sdware5f2ae"&gt;3317&lt;/key&gt;&lt;/foreign-keys&gt;&lt;ref-type name="Journal Article"&gt;17&lt;/ref-type&gt;&lt;contributors&gt;&lt;authors&gt;&lt;author&gt;Bodicoat, D. H.&lt;/author&gt;&lt;author&gt;Carter, P.&lt;/author&gt;&lt;author&gt;Comber, A.&lt;/author&gt;&lt;author&gt;Edwardson, C.&lt;/author&gt;&lt;author&gt;Gray, L. J.&lt;/author&gt;&lt;author&gt;Hill, S.&lt;/author&gt;&lt;author&gt;Webb, D.&lt;/author&gt;&lt;author&gt;Yates, T.&lt;/author&gt;&lt;author&gt;Davies, M. J.&lt;/author&gt;&lt;author&gt;Khunti, K.&lt;/author&gt;&lt;/authors&gt;&lt;/contributors&gt;&lt;auth-address&gt;1University of Leicester,Diabetes Research Centre and Leicester Diabetes Centre,Leicester General Hospital,Gwendolen Road,Leicester LE5 4PW,UK.&amp;#xD;2University of Leicester,Department of Geography,Leicester,UK.&amp;#xD;3University of Leicester,Department of Health Sciences and Leicester Diabetes Centre,Leicester General Hospital,Leicester,UK.&lt;/auth-address&gt;&lt;titles&gt;&lt;title&gt;Is the number of fast-food outlets in the neighbourhood related to screen-detected type 2 diabetes mellitus and associated risk factors?&lt;/title&gt;&lt;secondary-title&gt;Public Health Nutr&lt;/secondary-title&gt;&lt;alt-title&gt;Public health nutrition&lt;/alt-title&gt;&lt;/titles&gt;&lt;periodical&gt;&lt;full-title&gt;Public Health Nutr&lt;/full-title&gt;&lt;abbr-1&gt;Public health nutrition&lt;/abbr-1&gt;&lt;/periodical&gt;&lt;alt-periodical&gt;&lt;full-title&gt;Public Health Nutr&lt;/full-title&gt;&lt;abbr-1&gt;Public health nutrition&lt;/abbr-1&gt;&lt;/alt-periodical&gt;&lt;pages&gt;1698-705&lt;/pages&gt;&lt;volume&gt;18&lt;/volume&gt;&lt;number&gt;9&lt;/number&gt;&lt;edition&gt;2014/11/02&lt;/edition&gt;&lt;dates&gt;&lt;year&gt;2015&lt;/year&gt;&lt;pub-dates&gt;&lt;date&gt;Jun&lt;/date&gt;&lt;/pub-dates&gt;&lt;/dates&gt;&lt;isbn&gt;1475-2727 (Electronic)&amp;#xD;1368-9800 (Linking)&lt;/isbn&gt;&lt;accession-num&gt;25358618&lt;/accession-num&gt;&lt;work-type&gt;Research Support, Non-U.S. Gov&amp;apos;t&lt;/work-type&gt;&lt;urls&gt;&lt;related-urls&gt;&lt;url&gt;http://www.ncbi.nlm.nih.gov/pubmed/25358618&lt;/url&gt;&lt;/related-urls&gt;&lt;/urls&gt;&lt;electronic-resource-num&gt;10.1017/S1368980014002316&lt;/electronic-resource-num&gt;&lt;language&gt;eng&lt;/language&gt;&lt;/record&gt;&lt;/Cite&gt;&lt;/EndNote&gt;</w:instrText>
        </w:r>
        <w:r w:rsidR="00CA259E" w:rsidRPr="003342C3">
          <w:rPr>
            <w:rFonts w:cs="Arial"/>
            <w:sz w:val="20"/>
            <w:szCs w:val="20"/>
          </w:rPr>
          <w:fldChar w:fldCharType="separate"/>
        </w:r>
        <w:r w:rsidR="00CA259E" w:rsidRPr="003342C3">
          <w:rPr>
            <w:rFonts w:cs="Arial"/>
            <w:noProof/>
            <w:sz w:val="20"/>
            <w:szCs w:val="20"/>
            <w:vertAlign w:val="superscript"/>
          </w:rPr>
          <w:t>10</w:t>
        </w:r>
        <w:r w:rsidR="00CA259E" w:rsidRPr="003342C3">
          <w:rPr>
            <w:rFonts w:cs="Arial"/>
            <w:sz w:val="20"/>
            <w:szCs w:val="20"/>
          </w:rPr>
          <w:fldChar w:fldCharType="end"/>
        </w:r>
      </w:hyperlink>
      <w:r w:rsidR="00CA259E" w:rsidRPr="003342C3">
        <w:rPr>
          <w:rFonts w:cs="Arial"/>
          <w:sz w:val="20"/>
          <w:szCs w:val="20"/>
        </w:rPr>
        <w:t xml:space="preserve"> However, within larger neighbourhood definitions (500m, 750m, 1000m) the number of fast-food outlets were associated with type II diabetes, obesity and fasting glucose. </w:t>
      </w:r>
      <w:r w:rsidR="003C4513" w:rsidRPr="003342C3">
        <w:rPr>
          <w:rFonts w:cs="Arial"/>
          <w:sz w:val="20"/>
          <w:szCs w:val="20"/>
        </w:rPr>
        <w:t xml:space="preserve">James et al. (2014) </w:t>
      </w:r>
      <w:r w:rsidR="00CA259E" w:rsidRPr="003342C3">
        <w:rPr>
          <w:rFonts w:cs="Arial"/>
          <w:sz w:val="20"/>
          <w:szCs w:val="20"/>
        </w:rPr>
        <w:t xml:space="preserve">showed that for </w:t>
      </w:r>
      <w:r w:rsidR="003C4513" w:rsidRPr="003342C3">
        <w:rPr>
          <w:rFonts w:cs="Arial"/>
          <w:sz w:val="20"/>
          <w:szCs w:val="20"/>
        </w:rPr>
        <w:t>intersection count the strongest effect sizes were seen in the 400m buffers; effects reduced as buffer sizes got larger i.e. to 1600m.</w:t>
      </w:r>
      <w:hyperlink w:anchor="_ENREF_6" w:tooltip="James, 2014 #3238" w:history="1">
        <w:r w:rsidR="00CA259E" w:rsidRPr="003342C3">
          <w:rPr>
            <w:rFonts w:cs="Arial"/>
            <w:sz w:val="20"/>
            <w:szCs w:val="20"/>
          </w:rPr>
          <w:fldChar w:fldCharType="begin"/>
        </w:r>
        <w:r w:rsidR="00CA259E" w:rsidRPr="003342C3">
          <w:rPr>
            <w:rFonts w:cs="Arial"/>
            <w:sz w:val="20"/>
            <w:szCs w:val="20"/>
          </w:rPr>
          <w:instrText xml:space="preserve"> ADDIN EN.CITE &lt;EndNote&gt;&lt;Cite&gt;&lt;Author&gt;James&lt;/Author&gt;&lt;Year&gt;2014&lt;/Year&gt;&lt;RecNum&gt;3238&lt;/RecNum&gt;&lt;DisplayText&gt;&lt;style face="superscript"&gt;6&lt;/style&gt;&lt;/DisplayText&gt;&lt;record&gt;&lt;rec-number&gt;3238&lt;/rec-number&gt;&lt;foreign-keys&gt;&lt;key app="EN" db-id="zrsespedwsd00qewtfnxtt0f9sdware5f2ae"&gt;3238&lt;/key&gt;&lt;/foreign-keys&gt;&lt;ref-type name="Journal Article"&gt;17&lt;/ref-type&gt;&lt;contributors&gt;&lt;authors&gt;&lt;author&gt;James, Peter&lt;/author&gt;&lt;author&gt;Berrigan, David&lt;/author&gt;&lt;author&gt;Hart, Jaime E.&lt;/author&gt;&lt;author&gt;Aaron Hipp, J.&lt;/author&gt;&lt;author&gt;Hoehner, Christine M.&lt;/author&gt;&lt;author&gt;Kerr, Jacqueline&lt;/author&gt;&lt;author&gt;Major, Jacqueline M.&lt;/author&gt;&lt;author&gt;Oka, Masayoshi&lt;/author&gt;&lt;author&gt;Laden, Francine&lt;/author&gt;&lt;/authors&gt;&lt;/contributors&gt;&lt;titles&gt;&lt;title&gt;Effects of buffer size and shape on associations between the built environment and energy balance&lt;/title&gt;&lt;secondary-title&gt;Health Place&lt;/secondary-title&gt;&lt;/titles&gt;&lt;periodical&gt;&lt;full-title&gt;Health Place&lt;/full-title&gt;&lt;abbr-1&gt;Health &amp;amp; place&lt;/abbr-1&gt;&lt;/periodical&gt;&lt;pages&gt;162-170&lt;/pages&gt;&lt;volume&gt;27&lt;/volume&gt;&lt;number&gt;0&lt;/number&gt;&lt;keywords&gt;&lt;keyword&gt;Built environment&lt;/keyword&gt;&lt;keyword&gt;Walking&lt;/keyword&gt;&lt;keyword&gt;Body mass index&lt;/keyword&gt;&lt;keyword&gt;Geographic information systems&lt;/keyword&gt;&lt;keyword&gt;Spatial uncertainty&lt;/keyword&gt;&lt;/keywords&gt;&lt;dates&gt;&lt;year&gt;2014&lt;/year&gt;&lt;/dates&gt;&lt;isbn&gt;1353-8292&lt;/isbn&gt;&lt;urls&gt;&lt;related-urls&gt;&lt;url&gt;http://www.sciencedirect.com/science/article/pii/S1353829214000227&lt;/url&gt;&lt;/related-urls&gt;&lt;/urls&gt;&lt;electronic-resource-num&gt;http://dx.doi.org/10.1016/j.healthplace.2014.02.003&lt;/electronic-resource-num&gt;&lt;/record&gt;&lt;/Cite&gt;&lt;/EndNote&gt;</w:instrText>
        </w:r>
        <w:r w:rsidR="00CA259E" w:rsidRPr="003342C3">
          <w:rPr>
            <w:rFonts w:cs="Arial"/>
            <w:sz w:val="20"/>
            <w:szCs w:val="20"/>
          </w:rPr>
          <w:fldChar w:fldCharType="separate"/>
        </w:r>
        <w:r w:rsidR="00CA259E" w:rsidRPr="003342C3">
          <w:rPr>
            <w:rFonts w:cs="Arial"/>
            <w:noProof/>
            <w:sz w:val="20"/>
            <w:szCs w:val="20"/>
            <w:vertAlign w:val="superscript"/>
          </w:rPr>
          <w:t>6</w:t>
        </w:r>
        <w:r w:rsidR="00CA259E" w:rsidRPr="003342C3">
          <w:rPr>
            <w:rFonts w:cs="Arial"/>
            <w:sz w:val="20"/>
            <w:szCs w:val="20"/>
          </w:rPr>
          <w:fldChar w:fldCharType="end"/>
        </w:r>
      </w:hyperlink>
      <w:r w:rsidR="00CA259E" w:rsidRPr="003342C3">
        <w:rPr>
          <w:rFonts w:cs="Arial"/>
          <w:sz w:val="20"/>
          <w:szCs w:val="20"/>
        </w:rPr>
        <w:t xml:space="preserve"> Studies</w:t>
      </w:r>
      <w:r w:rsidR="003C4513" w:rsidRPr="003342C3">
        <w:rPr>
          <w:rFonts w:cs="Arial"/>
          <w:sz w:val="20"/>
          <w:szCs w:val="20"/>
        </w:rPr>
        <w:t xml:space="preserve"> </w:t>
      </w:r>
      <w:r w:rsidR="00CA259E" w:rsidRPr="003342C3">
        <w:rPr>
          <w:rFonts w:cs="Arial"/>
          <w:sz w:val="20"/>
          <w:szCs w:val="20"/>
        </w:rPr>
        <w:t xml:space="preserve">often use or only report associations within </w:t>
      </w:r>
      <w:r w:rsidR="003C4513" w:rsidRPr="003342C3">
        <w:rPr>
          <w:rFonts w:cs="Arial"/>
          <w:sz w:val="20"/>
          <w:szCs w:val="20"/>
        </w:rPr>
        <w:t>one</w:t>
      </w:r>
      <w:r w:rsidR="00CA259E" w:rsidRPr="003342C3">
        <w:rPr>
          <w:rFonts w:cs="Arial"/>
          <w:sz w:val="20"/>
          <w:szCs w:val="20"/>
        </w:rPr>
        <w:t xml:space="preserve"> neighbourhood definition. Although f</w:t>
      </w:r>
      <w:r w:rsidR="00744050" w:rsidRPr="003342C3">
        <w:rPr>
          <w:rFonts w:cs="Arial"/>
          <w:sz w:val="20"/>
          <w:szCs w:val="20"/>
        </w:rPr>
        <w:t xml:space="preserve">indings within this study suggest </w:t>
      </w:r>
      <w:r w:rsidR="00CA259E" w:rsidRPr="003342C3">
        <w:rPr>
          <w:rFonts w:cs="Arial"/>
          <w:sz w:val="20"/>
          <w:szCs w:val="20"/>
        </w:rPr>
        <w:t xml:space="preserve">such </w:t>
      </w:r>
      <w:r w:rsidR="00744050" w:rsidRPr="003342C3">
        <w:rPr>
          <w:rFonts w:cs="Arial"/>
          <w:sz w:val="20"/>
          <w:szCs w:val="20"/>
        </w:rPr>
        <w:t>differences are inconsequential</w:t>
      </w:r>
      <w:r w:rsidR="00CA259E" w:rsidRPr="003342C3">
        <w:rPr>
          <w:rFonts w:cs="Arial"/>
          <w:sz w:val="20"/>
          <w:szCs w:val="20"/>
        </w:rPr>
        <w:t>, it is important researchers continue to consider and report the impact of such choices</w:t>
      </w:r>
      <w:r w:rsidR="007C7D5B" w:rsidRPr="003342C3">
        <w:rPr>
          <w:rFonts w:cs="Arial"/>
          <w:sz w:val="20"/>
          <w:szCs w:val="20"/>
        </w:rPr>
        <w:t xml:space="preserve"> by reporting, where possible, a sensitivity analysis of different definitions of neighbourhood</w:t>
      </w:r>
      <w:r w:rsidR="00CA259E" w:rsidRPr="003342C3">
        <w:rPr>
          <w:rFonts w:cs="Arial"/>
          <w:sz w:val="20"/>
          <w:szCs w:val="20"/>
        </w:rPr>
        <w:t xml:space="preserve">. This is especially true given that accuracy and therefore associations may differ by setting and that there is </w:t>
      </w:r>
      <w:r w:rsidR="003D0518" w:rsidRPr="003342C3">
        <w:rPr>
          <w:rFonts w:cs="Arial"/>
          <w:sz w:val="20"/>
          <w:szCs w:val="20"/>
        </w:rPr>
        <w:t xml:space="preserve">a dearth of </w:t>
      </w:r>
      <w:r w:rsidR="00CA259E" w:rsidRPr="003342C3">
        <w:rPr>
          <w:rFonts w:cs="Arial"/>
          <w:sz w:val="20"/>
          <w:szCs w:val="20"/>
        </w:rPr>
        <w:t xml:space="preserve">evidence </w:t>
      </w:r>
      <w:r w:rsidR="003D0518" w:rsidRPr="003342C3">
        <w:rPr>
          <w:rFonts w:cs="Arial"/>
          <w:sz w:val="20"/>
          <w:szCs w:val="20"/>
        </w:rPr>
        <w:t xml:space="preserve">from which to </w:t>
      </w:r>
      <w:r w:rsidR="00CA259E" w:rsidRPr="003342C3">
        <w:rPr>
          <w:rFonts w:cs="Arial"/>
          <w:sz w:val="20"/>
          <w:szCs w:val="20"/>
        </w:rPr>
        <w:t>compare this study</w:t>
      </w:r>
      <w:r w:rsidR="003D0518" w:rsidRPr="003342C3">
        <w:rPr>
          <w:rFonts w:cs="Arial"/>
          <w:sz w:val="20"/>
          <w:szCs w:val="20"/>
        </w:rPr>
        <w:t xml:space="preserve"> with</w:t>
      </w:r>
      <w:r w:rsidR="00CA259E" w:rsidRPr="003342C3">
        <w:rPr>
          <w:rFonts w:cs="Arial"/>
          <w:sz w:val="20"/>
          <w:szCs w:val="20"/>
        </w:rPr>
        <w:t xml:space="preserve">. </w:t>
      </w:r>
      <w:r w:rsidR="00744050" w:rsidRPr="003342C3">
        <w:rPr>
          <w:rFonts w:cs="Arial"/>
          <w:sz w:val="20"/>
          <w:szCs w:val="20"/>
        </w:rPr>
        <w:t xml:space="preserve"> </w:t>
      </w:r>
    </w:p>
    <w:p w14:paraId="58283498" w14:textId="2130B0C7" w:rsidR="003C4513" w:rsidRPr="003342C3" w:rsidRDefault="003C4513" w:rsidP="005F7603">
      <w:pPr>
        <w:pStyle w:val="NoSpacing"/>
        <w:jc w:val="both"/>
        <w:rPr>
          <w:rFonts w:cs="Arial"/>
          <w:sz w:val="20"/>
          <w:szCs w:val="20"/>
        </w:rPr>
      </w:pPr>
      <w:r w:rsidRPr="003342C3">
        <w:rPr>
          <w:rFonts w:cs="Arial"/>
          <w:sz w:val="20"/>
          <w:szCs w:val="20"/>
        </w:rPr>
        <w:t xml:space="preserve">   </w:t>
      </w:r>
    </w:p>
    <w:p w14:paraId="19769B50" w14:textId="231F315B" w:rsidR="009D5162" w:rsidRPr="003342C3" w:rsidRDefault="00F0765B" w:rsidP="005F7603">
      <w:pPr>
        <w:pStyle w:val="NoSpacing"/>
        <w:jc w:val="both"/>
        <w:rPr>
          <w:rFonts w:cs="Arial"/>
          <w:sz w:val="20"/>
          <w:szCs w:val="20"/>
        </w:rPr>
      </w:pPr>
      <w:r w:rsidRPr="003342C3">
        <w:rPr>
          <w:rFonts w:cs="Arial"/>
          <w:sz w:val="20"/>
          <w:szCs w:val="20"/>
        </w:rPr>
        <w:t xml:space="preserve">This study contributes to the research in two ways. Firstly, the </w:t>
      </w:r>
      <w:r w:rsidR="00E731A8" w:rsidRPr="003342C3">
        <w:rPr>
          <w:rFonts w:cs="Arial"/>
          <w:sz w:val="20"/>
          <w:szCs w:val="20"/>
        </w:rPr>
        <w:t xml:space="preserve">association between </w:t>
      </w:r>
      <w:r w:rsidRPr="003342C3">
        <w:rPr>
          <w:rFonts w:cs="Arial"/>
          <w:sz w:val="20"/>
          <w:szCs w:val="20"/>
        </w:rPr>
        <w:t xml:space="preserve">food outlet availability </w:t>
      </w:r>
      <w:r w:rsidR="00E731A8" w:rsidRPr="003342C3">
        <w:rPr>
          <w:rFonts w:cs="Arial"/>
          <w:sz w:val="20"/>
          <w:szCs w:val="20"/>
        </w:rPr>
        <w:t xml:space="preserve">and </w:t>
      </w:r>
      <w:r w:rsidR="000E550A" w:rsidRPr="003342C3">
        <w:rPr>
          <w:rFonts w:cs="Arial"/>
          <w:sz w:val="20"/>
          <w:szCs w:val="20"/>
        </w:rPr>
        <w:t xml:space="preserve">obesity </w:t>
      </w:r>
      <w:r w:rsidRPr="003342C3">
        <w:rPr>
          <w:rFonts w:cs="Arial"/>
          <w:sz w:val="20"/>
          <w:szCs w:val="20"/>
        </w:rPr>
        <w:t>was assessed</w:t>
      </w:r>
      <w:r w:rsidR="00E731A8" w:rsidRPr="003342C3">
        <w:rPr>
          <w:rFonts w:cs="Arial"/>
          <w:sz w:val="20"/>
          <w:szCs w:val="20"/>
        </w:rPr>
        <w:t xml:space="preserve"> using different definitions of neighbourhood</w:t>
      </w:r>
      <w:r w:rsidRPr="003342C3">
        <w:rPr>
          <w:rFonts w:cs="Arial"/>
          <w:sz w:val="20"/>
          <w:szCs w:val="20"/>
        </w:rPr>
        <w:t>. Secondly, this paper examined the extent to which using different data</w:t>
      </w:r>
      <w:r w:rsidR="00E731A8" w:rsidRPr="003342C3">
        <w:rPr>
          <w:rFonts w:cs="Arial"/>
          <w:sz w:val="20"/>
          <w:szCs w:val="20"/>
        </w:rPr>
        <w:t xml:space="preserve">bases </w:t>
      </w:r>
      <w:r w:rsidRPr="003342C3">
        <w:rPr>
          <w:rFonts w:cs="Arial"/>
          <w:sz w:val="20"/>
          <w:szCs w:val="20"/>
        </w:rPr>
        <w:t xml:space="preserve">may contribute to a lack of inter-study comparability. Given that the most appropriate criterion for defining </w:t>
      </w:r>
      <w:r w:rsidR="00E731A8" w:rsidRPr="003342C3">
        <w:rPr>
          <w:rFonts w:cs="Arial"/>
          <w:sz w:val="20"/>
          <w:szCs w:val="20"/>
        </w:rPr>
        <w:t xml:space="preserve">neighbourhood </w:t>
      </w:r>
      <w:r w:rsidRPr="003342C3">
        <w:rPr>
          <w:rFonts w:cs="Arial"/>
          <w:sz w:val="20"/>
          <w:szCs w:val="20"/>
        </w:rPr>
        <w:t>remains open to debate, understanding any resulting differences in the magnitude of these associations is important.</w:t>
      </w:r>
      <w:r w:rsidR="008B1D62" w:rsidRPr="003342C3">
        <w:rPr>
          <w:rFonts w:cs="Arial"/>
          <w:sz w:val="20"/>
          <w:szCs w:val="20"/>
        </w:rPr>
        <w:t xml:space="preserve"> </w:t>
      </w:r>
      <w:r w:rsidR="004F57FC" w:rsidRPr="003342C3">
        <w:rPr>
          <w:rFonts w:cs="Arial"/>
          <w:sz w:val="20"/>
          <w:szCs w:val="20"/>
        </w:rPr>
        <w:t>R</w:t>
      </w:r>
      <w:r w:rsidR="00B97966" w:rsidRPr="003342C3">
        <w:rPr>
          <w:rFonts w:cs="Arial"/>
          <w:sz w:val="20"/>
          <w:szCs w:val="20"/>
        </w:rPr>
        <w:t xml:space="preserve">adial buffers </w:t>
      </w:r>
      <w:r w:rsidR="008B1D62" w:rsidRPr="003342C3">
        <w:rPr>
          <w:rFonts w:cs="Arial"/>
          <w:sz w:val="20"/>
          <w:szCs w:val="20"/>
        </w:rPr>
        <w:t>have been</w:t>
      </w:r>
      <w:r w:rsidRPr="003342C3">
        <w:rPr>
          <w:rFonts w:cs="Arial"/>
          <w:sz w:val="20"/>
          <w:szCs w:val="20"/>
        </w:rPr>
        <w:t xml:space="preserve"> </w:t>
      </w:r>
      <w:r w:rsidR="008B1D62" w:rsidRPr="003342C3">
        <w:rPr>
          <w:rFonts w:cs="Arial"/>
          <w:sz w:val="20"/>
          <w:szCs w:val="20"/>
        </w:rPr>
        <w:t xml:space="preserve">proposed </w:t>
      </w:r>
      <w:r w:rsidR="007C0D70" w:rsidRPr="003342C3">
        <w:rPr>
          <w:rFonts w:cs="Arial"/>
          <w:sz w:val="20"/>
          <w:szCs w:val="20"/>
        </w:rPr>
        <w:t xml:space="preserve">as an alternative </w:t>
      </w:r>
      <w:r w:rsidRPr="003342C3">
        <w:rPr>
          <w:rFonts w:cs="Arial"/>
          <w:sz w:val="20"/>
          <w:szCs w:val="20"/>
        </w:rPr>
        <w:t xml:space="preserve">to </w:t>
      </w:r>
      <w:r w:rsidR="007C0D70" w:rsidRPr="003342C3">
        <w:rPr>
          <w:rFonts w:cs="Arial"/>
          <w:sz w:val="20"/>
          <w:szCs w:val="20"/>
        </w:rPr>
        <w:t xml:space="preserve">administrative boundaries to </w:t>
      </w:r>
      <w:r w:rsidR="00B97966" w:rsidRPr="003342C3">
        <w:rPr>
          <w:rFonts w:cs="Arial"/>
          <w:sz w:val="20"/>
          <w:szCs w:val="20"/>
        </w:rPr>
        <w:t xml:space="preserve">represent </w:t>
      </w:r>
      <w:r w:rsidR="00F95C13" w:rsidRPr="003342C3">
        <w:rPr>
          <w:rFonts w:cs="Arial"/>
          <w:sz w:val="20"/>
          <w:szCs w:val="20"/>
        </w:rPr>
        <w:t xml:space="preserve">an individual’s actual </w:t>
      </w:r>
      <w:r w:rsidR="00B97966" w:rsidRPr="003342C3">
        <w:rPr>
          <w:rFonts w:cs="Arial"/>
          <w:sz w:val="20"/>
          <w:szCs w:val="20"/>
        </w:rPr>
        <w:t>neighbourhood</w:t>
      </w:r>
      <w:r w:rsidR="00F95C13" w:rsidRPr="003342C3">
        <w:rPr>
          <w:rFonts w:cs="Arial"/>
          <w:sz w:val="20"/>
          <w:szCs w:val="20"/>
        </w:rPr>
        <w:t>. H</w:t>
      </w:r>
      <w:r w:rsidR="004F57FC" w:rsidRPr="003342C3">
        <w:rPr>
          <w:rFonts w:cs="Arial"/>
          <w:sz w:val="20"/>
          <w:szCs w:val="20"/>
        </w:rPr>
        <w:t>owever</w:t>
      </w:r>
      <w:r w:rsidR="00F95C13" w:rsidRPr="003342C3">
        <w:rPr>
          <w:rFonts w:cs="Arial"/>
          <w:sz w:val="20"/>
          <w:szCs w:val="20"/>
        </w:rPr>
        <w:t>,</w:t>
      </w:r>
      <w:r w:rsidR="004F57FC" w:rsidRPr="003342C3">
        <w:rPr>
          <w:rFonts w:cs="Arial"/>
          <w:sz w:val="20"/>
          <w:szCs w:val="20"/>
        </w:rPr>
        <w:t xml:space="preserve"> </w:t>
      </w:r>
      <w:r w:rsidR="00B97966" w:rsidRPr="003342C3">
        <w:rPr>
          <w:rFonts w:cs="Arial"/>
          <w:sz w:val="20"/>
          <w:szCs w:val="20"/>
        </w:rPr>
        <w:t xml:space="preserve">there remains no uniform buffer </w:t>
      </w:r>
      <w:r w:rsidR="00254AD2" w:rsidRPr="003342C3">
        <w:rPr>
          <w:rFonts w:cs="Arial"/>
          <w:sz w:val="20"/>
          <w:szCs w:val="20"/>
        </w:rPr>
        <w:t>across studies</w:t>
      </w:r>
      <w:r w:rsidR="00FE1316" w:rsidRPr="003342C3">
        <w:rPr>
          <w:rFonts w:cs="Arial"/>
          <w:sz w:val="20"/>
          <w:szCs w:val="20"/>
        </w:rPr>
        <w:t>.</w:t>
      </w:r>
      <w:r w:rsidR="004108A6" w:rsidRPr="003342C3">
        <w:rPr>
          <w:rFonts w:cs="Arial"/>
          <w:sz w:val="20"/>
          <w:szCs w:val="20"/>
        </w:rPr>
        <w:t xml:space="preserve"> </w:t>
      </w:r>
      <w:r w:rsidR="00F95C13" w:rsidRPr="003342C3">
        <w:rPr>
          <w:rFonts w:cs="Arial"/>
          <w:sz w:val="20"/>
          <w:szCs w:val="20"/>
        </w:rPr>
        <w:t>Furthermore</w:t>
      </w:r>
      <w:r w:rsidR="001B6069" w:rsidRPr="003342C3">
        <w:rPr>
          <w:rFonts w:cs="Arial"/>
          <w:sz w:val="20"/>
          <w:szCs w:val="20"/>
        </w:rPr>
        <w:t xml:space="preserve">, </w:t>
      </w:r>
      <w:r w:rsidR="006F3F17" w:rsidRPr="003342C3">
        <w:rPr>
          <w:rFonts w:cs="Arial"/>
          <w:sz w:val="20"/>
          <w:szCs w:val="20"/>
        </w:rPr>
        <w:t xml:space="preserve">most </w:t>
      </w:r>
      <w:r w:rsidR="001B6069" w:rsidRPr="003342C3">
        <w:rPr>
          <w:rFonts w:cs="Arial"/>
          <w:sz w:val="20"/>
          <w:szCs w:val="20"/>
        </w:rPr>
        <w:t xml:space="preserve">policy based decisions </w:t>
      </w:r>
      <w:r w:rsidR="004F57FC" w:rsidRPr="003342C3">
        <w:rPr>
          <w:rFonts w:cs="Arial"/>
          <w:sz w:val="20"/>
          <w:szCs w:val="20"/>
        </w:rPr>
        <w:t xml:space="preserve">in the UK </w:t>
      </w:r>
      <w:r w:rsidR="001B6069" w:rsidRPr="003342C3">
        <w:rPr>
          <w:rFonts w:cs="Arial"/>
          <w:sz w:val="20"/>
          <w:szCs w:val="20"/>
        </w:rPr>
        <w:t xml:space="preserve">are still made </w:t>
      </w:r>
      <w:r w:rsidR="00F95C13" w:rsidRPr="003342C3">
        <w:rPr>
          <w:rFonts w:cs="Arial"/>
          <w:sz w:val="20"/>
          <w:szCs w:val="20"/>
        </w:rPr>
        <w:t xml:space="preserve">according to </w:t>
      </w:r>
      <w:r w:rsidR="001B6069" w:rsidRPr="003342C3">
        <w:rPr>
          <w:rFonts w:cs="Arial"/>
          <w:sz w:val="20"/>
          <w:szCs w:val="20"/>
        </w:rPr>
        <w:t>administratively defined areas</w:t>
      </w:r>
      <w:r w:rsidR="00E731A8" w:rsidRPr="003342C3">
        <w:rPr>
          <w:rFonts w:cs="Arial"/>
          <w:sz w:val="20"/>
          <w:szCs w:val="20"/>
        </w:rPr>
        <w:t xml:space="preserve"> such as LSOA</w:t>
      </w:r>
      <w:r w:rsidR="001B6069" w:rsidRPr="003342C3">
        <w:rPr>
          <w:rFonts w:cs="Arial"/>
          <w:sz w:val="20"/>
          <w:szCs w:val="20"/>
        </w:rPr>
        <w:t>.</w:t>
      </w:r>
      <w:r w:rsidR="007C0D70" w:rsidRPr="003342C3">
        <w:rPr>
          <w:rFonts w:cs="Arial"/>
          <w:sz w:val="20"/>
          <w:szCs w:val="20"/>
        </w:rPr>
        <w:t xml:space="preserve"> </w:t>
      </w:r>
      <w:r w:rsidR="00F95C13" w:rsidRPr="003342C3">
        <w:rPr>
          <w:rFonts w:cs="Arial"/>
          <w:sz w:val="20"/>
          <w:szCs w:val="20"/>
        </w:rPr>
        <w:t>F</w:t>
      </w:r>
      <w:r w:rsidR="001B6069" w:rsidRPr="003342C3">
        <w:rPr>
          <w:rFonts w:cs="Arial"/>
          <w:sz w:val="20"/>
          <w:szCs w:val="20"/>
        </w:rPr>
        <w:t xml:space="preserve">or local level dissemination it could be argued </w:t>
      </w:r>
      <w:r w:rsidR="00F95C13" w:rsidRPr="003342C3">
        <w:rPr>
          <w:rFonts w:cs="Arial"/>
          <w:sz w:val="20"/>
          <w:szCs w:val="20"/>
        </w:rPr>
        <w:t xml:space="preserve">that </w:t>
      </w:r>
      <w:r w:rsidR="001B6069" w:rsidRPr="003342C3">
        <w:rPr>
          <w:rFonts w:cs="Arial"/>
          <w:sz w:val="20"/>
          <w:szCs w:val="20"/>
        </w:rPr>
        <w:t>administrative areas continue to inform</w:t>
      </w:r>
      <w:r w:rsidR="0067492B" w:rsidRPr="003342C3">
        <w:rPr>
          <w:rFonts w:cs="Arial"/>
          <w:sz w:val="20"/>
          <w:szCs w:val="20"/>
        </w:rPr>
        <w:t xml:space="preserve"> local level policy</w:t>
      </w:r>
      <w:r w:rsidR="00F95C13" w:rsidRPr="003342C3">
        <w:rPr>
          <w:rFonts w:cs="Arial"/>
          <w:sz w:val="20"/>
          <w:szCs w:val="20"/>
        </w:rPr>
        <w:t xml:space="preserve"> best</w:t>
      </w:r>
      <w:r w:rsidR="0067492B" w:rsidRPr="003342C3">
        <w:rPr>
          <w:rFonts w:cs="Arial"/>
          <w:sz w:val="20"/>
          <w:szCs w:val="20"/>
        </w:rPr>
        <w:t xml:space="preserve">. </w:t>
      </w:r>
      <w:r w:rsidR="009D5162" w:rsidRPr="003342C3">
        <w:rPr>
          <w:rFonts w:cs="Arial"/>
          <w:sz w:val="20"/>
          <w:szCs w:val="20"/>
        </w:rPr>
        <w:t>The choices that researcher</w:t>
      </w:r>
      <w:r w:rsidR="00F95C13" w:rsidRPr="003342C3">
        <w:rPr>
          <w:rFonts w:cs="Arial"/>
          <w:sz w:val="20"/>
          <w:szCs w:val="20"/>
        </w:rPr>
        <w:t xml:space="preserve">s make </w:t>
      </w:r>
      <w:r w:rsidR="009D5162" w:rsidRPr="003342C3">
        <w:rPr>
          <w:rFonts w:cs="Arial"/>
          <w:sz w:val="20"/>
          <w:szCs w:val="20"/>
        </w:rPr>
        <w:t xml:space="preserve">throughout the </w:t>
      </w:r>
      <w:r w:rsidR="00481AF0" w:rsidRPr="003342C3">
        <w:rPr>
          <w:rFonts w:cs="Arial"/>
          <w:sz w:val="20"/>
          <w:szCs w:val="20"/>
        </w:rPr>
        <w:t>research</w:t>
      </w:r>
      <w:r w:rsidR="009D5162" w:rsidRPr="003342C3">
        <w:rPr>
          <w:rFonts w:cs="Arial"/>
          <w:sz w:val="20"/>
          <w:szCs w:val="20"/>
        </w:rPr>
        <w:t xml:space="preserve"> process </w:t>
      </w:r>
      <w:r w:rsidR="00821BE8" w:rsidRPr="003342C3">
        <w:rPr>
          <w:rFonts w:cs="Arial"/>
          <w:sz w:val="20"/>
          <w:szCs w:val="20"/>
        </w:rPr>
        <w:t>may</w:t>
      </w:r>
      <w:r w:rsidR="00F95C13" w:rsidRPr="003342C3">
        <w:rPr>
          <w:rFonts w:cs="Arial"/>
          <w:sz w:val="20"/>
          <w:szCs w:val="20"/>
        </w:rPr>
        <w:t xml:space="preserve"> </w:t>
      </w:r>
      <w:r w:rsidR="009D5162" w:rsidRPr="003342C3">
        <w:rPr>
          <w:rFonts w:cs="Arial"/>
          <w:sz w:val="20"/>
          <w:szCs w:val="20"/>
        </w:rPr>
        <w:t xml:space="preserve">change the </w:t>
      </w:r>
      <w:r w:rsidR="00E731A8" w:rsidRPr="003342C3">
        <w:rPr>
          <w:rFonts w:cs="Arial"/>
          <w:sz w:val="20"/>
          <w:szCs w:val="20"/>
        </w:rPr>
        <w:t xml:space="preserve">strength and direction </w:t>
      </w:r>
      <w:r w:rsidR="009D5162" w:rsidRPr="003342C3">
        <w:rPr>
          <w:rFonts w:cs="Arial"/>
          <w:sz w:val="20"/>
          <w:szCs w:val="20"/>
        </w:rPr>
        <w:t xml:space="preserve">associations </w:t>
      </w:r>
      <w:r w:rsidR="00E731A8" w:rsidRPr="003342C3">
        <w:rPr>
          <w:rFonts w:cs="Arial"/>
          <w:sz w:val="20"/>
          <w:szCs w:val="20"/>
        </w:rPr>
        <w:t>seen</w:t>
      </w:r>
      <w:r w:rsidR="00821BE8" w:rsidRPr="003342C3">
        <w:rPr>
          <w:rFonts w:cs="Arial"/>
          <w:sz w:val="20"/>
          <w:szCs w:val="20"/>
        </w:rPr>
        <w:t>.</w:t>
      </w:r>
      <w:r w:rsidR="006F3F17" w:rsidRPr="003342C3">
        <w:rPr>
          <w:rFonts w:cs="Arial"/>
          <w:sz w:val="20"/>
          <w:szCs w:val="20"/>
        </w:rPr>
        <w:t xml:space="preserve"> </w:t>
      </w:r>
      <w:r w:rsidR="00E731A8" w:rsidRPr="003342C3">
        <w:rPr>
          <w:rFonts w:cs="Arial"/>
          <w:sz w:val="20"/>
          <w:szCs w:val="20"/>
        </w:rPr>
        <w:t>However, t</w:t>
      </w:r>
      <w:r w:rsidR="00821BE8" w:rsidRPr="003342C3">
        <w:rPr>
          <w:rFonts w:cs="Arial"/>
          <w:sz w:val="20"/>
          <w:szCs w:val="20"/>
        </w:rPr>
        <w:t>his study suggests that different data</w:t>
      </w:r>
      <w:r w:rsidR="00E731A8" w:rsidRPr="003342C3">
        <w:rPr>
          <w:rFonts w:cs="Arial"/>
          <w:sz w:val="20"/>
          <w:szCs w:val="20"/>
        </w:rPr>
        <w:t xml:space="preserve">bases and definitions of neighbourhood are broadly </w:t>
      </w:r>
      <w:r w:rsidR="00821BE8" w:rsidRPr="003342C3">
        <w:rPr>
          <w:rFonts w:cs="Arial"/>
          <w:sz w:val="20"/>
          <w:szCs w:val="20"/>
        </w:rPr>
        <w:t>inconsequential in changing statistical inference</w:t>
      </w:r>
      <w:r w:rsidR="009D5162" w:rsidRPr="003342C3">
        <w:rPr>
          <w:rFonts w:cs="Arial"/>
          <w:sz w:val="20"/>
          <w:szCs w:val="20"/>
        </w:rPr>
        <w:t>.</w:t>
      </w:r>
      <w:hyperlink w:anchor="_ENREF_6" w:tooltip="James, 2014 #3238" w:history="1">
        <w:r w:rsidR="00CA259E" w:rsidRPr="003342C3">
          <w:rPr>
            <w:rFonts w:cs="Arial"/>
            <w:sz w:val="20"/>
            <w:szCs w:val="20"/>
          </w:rPr>
          <w:fldChar w:fldCharType="begin"/>
        </w:r>
        <w:r w:rsidR="00CA259E" w:rsidRPr="003342C3">
          <w:rPr>
            <w:rFonts w:cs="Arial"/>
            <w:sz w:val="20"/>
            <w:szCs w:val="20"/>
          </w:rPr>
          <w:instrText xml:space="preserve"> ADDIN EN.CITE &lt;EndNote&gt;&lt;Cite&gt;&lt;Author&gt;James&lt;/Author&gt;&lt;Year&gt;2014&lt;/Year&gt;&lt;RecNum&gt;3238&lt;/RecNum&gt;&lt;DisplayText&gt;&lt;style face="superscript"&gt;6&lt;/style&gt;&lt;/DisplayText&gt;&lt;record&gt;&lt;rec-number&gt;3238&lt;/rec-number&gt;&lt;foreign-keys&gt;&lt;key app="EN" db-id="zrsespedwsd00qewtfnxtt0f9sdware5f2ae"&gt;3238&lt;/key&gt;&lt;/foreign-keys&gt;&lt;ref-type name="Journal Article"&gt;17&lt;/ref-type&gt;&lt;contributors&gt;&lt;authors&gt;&lt;author&gt;James, Peter&lt;/author&gt;&lt;author&gt;Berrigan, David&lt;/author&gt;&lt;author&gt;Hart, Jaime E.&lt;/author&gt;&lt;author&gt;Aaron Hipp, J.&lt;/author&gt;&lt;author&gt;Hoehner, Christine M.&lt;/author&gt;&lt;author&gt;Kerr, Jacqueline&lt;/author&gt;&lt;author&gt;Major, Jacqueline M.&lt;/author&gt;&lt;author&gt;Oka, Masayoshi&lt;/author&gt;&lt;author&gt;Laden, Francine&lt;/author&gt;&lt;/authors&gt;&lt;/contributors&gt;&lt;titles&gt;&lt;title&gt;Effects of buffer size and shape on associations between the built environment and energy balance&lt;/title&gt;&lt;secondary-title&gt;Health Place&lt;/secondary-title&gt;&lt;/titles&gt;&lt;periodical&gt;&lt;full-title&gt;Health Place&lt;/full-title&gt;&lt;abbr-1&gt;Health &amp;amp; place&lt;/abbr-1&gt;&lt;/periodical&gt;&lt;pages&gt;162-170&lt;/pages&gt;&lt;volume&gt;27&lt;/volume&gt;&lt;number&gt;0&lt;/number&gt;&lt;keywords&gt;&lt;keyword&gt;Built environment&lt;/keyword&gt;&lt;keyword&gt;Walking&lt;/keyword&gt;&lt;keyword&gt;Body mass index&lt;/keyword&gt;&lt;keyword&gt;Geographic information systems&lt;/keyword&gt;&lt;keyword&gt;Spatial uncertainty&lt;/keyword&gt;&lt;/keywords&gt;&lt;dates&gt;&lt;year&gt;2014&lt;/year&gt;&lt;/dates&gt;&lt;isbn&gt;1353-8292&lt;/isbn&gt;&lt;urls&gt;&lt;related-urls&gt;&lt;url&gt;http://www.sciencedirect.com/science/article/pii/S1353829214000227&lt;/url&gt;&lt;/related-urls&gt;&lt;/urls&gt;&lt;electronic-resource-num&gt;http://dx.doi.org/10.1016/j.healthplace.2014.02.003&lt;/electronic-resource-num&gt;&lt;/record&gt;&lt;/Cite&gt;&lt;/EndNote&gt;</w:instrText>
        </w:r>
        <w:r w:rsidR="00CA259E" w:rsidRPr="003342C3">
          <w:rPr>
            <w:rFonts w:cs="Arial"/>
            <w:sz w:val="20"/>
            <w:szCs w:val="20"/>
          </w:rPr>
          <w:fldChar w:fldCharType="separate"/>
        </w:r>
        <w:r w:rsidR="00CA259E" w:rsidRPr="003342C3">
          <w:rPr>
            <w:rFonts w:cs="Arial"/>
            <w:noProof/>
            <w:sz w:val="20"/>
            <w:szCs w:val="20"/>
            <w:vertAlign w:val="superscript"/>
          </w:rPr>
          <w:t>6</w:t>
        </w:r>
        <w:r w:rsidR="00CA259E" w:rsidRPr="003342C3">
          <w:rPr>
            <w:rFonts w:cs="Arial"/>
            <w:sz w:val="20"/>
            <w:szCs w:val="20"/>
          </w:rPr>
          <w:fldChar w:fldCharType="end"/>
        </w:r>
      </w:hyperlink>
      <w:r w:rsidR="009D5162" w:rsidRPr="003342C3">
        <w:rPr>
          <w:rFonts w:cs="Arial"/>
          <w:sz w:val="20"/>
          <w:szCs w:val="20"/>
        </w:rPr>
        <w:t xml:space="preserve">  </w:t>
      </w:r>
    </w:p>
    <w:p w14:paraId="76311BB5" w14:textId="77777777" w:rsidR="00AD13B9" w:rsidRPr="003342C3" w:rsidRDefault="00AD13B9" w:rsidP="005F7603">
      <w:pPr>
        <w:pStyle w:val="NoSpacing"/>
        <w:jc w:val="both"/>
        <w:rPr>
          <w:rFonts w:cs="Arial"/>
          <w:sz w:val="20"/>
          <w:szCs w:val="20"/>
        </w:rPr>
      </w:pPr>
    </w:p>
    <w:p w14:paraId="5500F22D" w14:textId="7DC6B967" w:rsidR="00D61587" w:rsidRPr="003342C3" w:rsidRDefault="00B97966" w:rsidP="005F7603">
      <w:pPr>
        <w:pStyle w:val="NoSpacing"/>
        <w:jc w:val="both"/>
        <w:rPr>
          <w:rFonts w:cs="Arial"/>
          <w:sz w:val="20"/>
          <w:szCs w:val="20"/>
        </w:rPr>
      </w:pPr>
      <w:r w:rsidRPr="003342C3">
        <w:rPr>
          <w:rFonts w:cs="Arial"/>
          <w:sz w:val="20"/>
          <w:szCs w:val="20"/>
        </w:rPr>
        <w:t>The uncertain</w:t>
      </w:r>
      <w:r w:rsidR="00744050" w:rsidRPr="003342C3">
        <w:rPr>
          <w:rFonts w:cs="Arial"/>
          <w:sz w:val="20"/>
          <w:szCs w:val="20"/>
        </w:rPr>
        <w:t xml:space="preserve">ty around accurately defining </w:t>
      </w:r>
      <w:r w:rsidR="00E731A8" w:rsidRPr="003342C3">
        <w:rPr>
          <w:rFonts w:cs="Arial"/>
          <w:sz w:val="20"/>
          <w:szCs w:val="20"/>
        </w:rPr>
        <w:t xml:space="preserve">neighbourhood </w:t>
      </w:r>
      <w:r w:rsidR="00744050" w:rsidRPr="003342C3">
        <w:rPr>
          <w:rFonts w:cs="Arial"/>
          <w:sz w:val="20"/>
          <w:szCs w:val="20"/>
        </w:rPr>
        <w:t>and</w:t>
      </w:r>
      <w:r w:rsidR="00F95C13" w:rsidRPr="003342C3">
        <w:rPr>
          <w:rFonts w:cs="Arial"/>
          <w:sz w:val="20"/>
          <w:szCs w:val="20"/>
        </w:rPr>
        <w:t xml:space="preserve"> </w:t>
      </w:r>
      <w:r w:rsidR="007C6721" w:rsidRPr="003342C3">
        <w:rPr>
          <w:rFonts w:cs="Arial"/>
          <w:sz w:val="20"/>
          <w:szCs w:val="20"/>
        </w:rPr>
        <w:t xml:space="preserve">the use of different </w:t>
      </w:r>
      <w:r w:rsidR="000567EF" w:rsidRPr="003342C3">
        <w:rPr>
          <w:rFonts w:cs="Arial"/>
          <w:sz w:val="20"/>
          <w:szCs w:val="20"/>
        </w:rPr>
        <w:t>dataset</w:t>
      </w:r>
      <w:r w:rsidR="00F95C13" w:rsidRPr="003342C3">
        <w:rPr>
          <w:rFonts w:cs="Arial"/>
          <w:sz w:val="20"/>
          <w:szCs w:val="20"/>
        </w:rPr>
        <w:t xml:space="preserve">s </w:t>
      </w:r>
      <w:r w:rsidRPr="003342C3">
        <w:rPr>
          <w:rFonts w:cs="Arial"/>
          <w:sz w:val="20"/>
          <w:szCs w:val="20"/>
        </w:rPr>
        <w:t>remain</w:t>
      </w:r>
      <w:r w:rsidR="00F95C13" w:rsidRPr="003342C3">
        <w:rPr>
          <w:rFonts w:cs="Arial"/>
          <w:sz w:val="20"/>
          <w:szCs w:val="20"/>
        </w:rPr>
        <w:t>s</w:t>
      </w:r>
      <w:r w:rsidRPr="003342C3">
        <w:rPr>
          <w:rFonts w:cs="Arial"/>
          <w:sz w:val="20"/>
          <w:szCs w:val="20"/>
        </w:rPr>
        <w:t xml:space="preserve"> </w:t>
      </w:r>
      <w:r w:rsidR="00F95C13" w:rsidRPr="003342C3">
        <w:rPr>
          <w:rFonts w:cs="Arial"/>
          <w:sz w:val="20"/>
          <w:szCs w:val="20"/>
        </w:rPr>
        <w:t xml:space="preserve">a </w:t>
      </w:r>
      <w:r w:rsidRPr="003342C3">
        <w:rPr>
          <w:rFonts w:cs="Arial"/>
          <w:sz w:val="20"/>
          <w:szCs w:val="20"/>
        </w:rPr>
        <w:t xml:space="preserve">complex issue for contemporary environment </w:t>
      </w:r>
      <w:r w:rsidR="00E731A8" w:rsidRPr="003342C3">
        <w:rPr>
          <w:rFonts w:cs="Arial"/>
          <w:sz w:val="20"/>
          <w:szCs w:val="20"/>
        </w:rPr>
        <w:t xml:space="preserve">based </w:t>
      </w:r>
      <w:r w:rsidRPr="003342C3">
        <w:rPr>
          <w:rFonts w:cs="Arial"/>
          <w:sz w:val="20"/>
          <w:szCs w:val="20"/>
        </w:rPr>
        <w:t>research</w:t>
      </w:r>
      <w:r w:rsidR="00FE1316" w:rsidRPr="003342C3">
        <w:rPr>
          <w:rFonts w:cs="Arial"/>
          <w:sz w:val="20"/>
          <w:szCs w:val="20"/>
        </w:rPr>
        <w:t>.</w:t>
      </w:r>
      <w:r w:rsidR="004108A6" w:rsidRPr="003342C3">
        <w:rPr>
          <w:rFonts w:cs="Arial"/>
          <w:sz w:val="20"/>
          <w:szCs w:val="20"/>
        </w:rPr>
        <w:t xml:space="preserve"> </w:t>
      </w:r>
      <w:r w:rsidR="00FF4EBB" w:rsidRPr="003342C3">
        <w:rPr>
          <w:rFonts w:cs="Arial"/>
          <w:sz w:val="20"/>
          <w:szCs w:val="20"/>
        </w:rPr>
        <w:t xml:space="preserve">Results demonstrate </w:t>
      </w:r>
      <w:r w:rsidR="00821BE8" w:rsidRPr="003342C3">
        <w:rPr>
          <w:rFonts w:cs="Arial"/>
          <w:sz w:val="20"/>
          <w:szCs w:val="20"/>
        </w:rPr>
        <w:t xml:space="preserve">little </w:t>
      </w:r>
      <w:r w:rsidR="00781196" w:rsidRPr="003342C3">
        <w:rPr>
          <w:rFonts w:cs="Arial"/>
          <w:sz w:val="20"/>
          <w:szCs w:val="20"/>
        </w:rPr>
        <w:t xml:space="preserve">heterogeneity </w:t>
      </w:r>
      <w:r w:rsidR="00BB34E1" w:rsidRPr="003342C3">
        <w:rPr>
          <w:rFonts w:cs="Arial"/>
          <w:sz w:val="20"/>
          <w:szCs w:val="20"/>
        </w:rPr>
        <w:t>in</w:t>
      </w:r>
      <w:r w:rsidR="008B1D62" w:rsidRPr="003342C3">
        <w:rPr>
          <w:rFonts w:cs="Arial"/>
          <w:sz w:val="20"/>
          <w:szCs w:val="20"/>
        </w:rPr>
        <w:t xml:space="preserve"> magnitude of</w:t>
      </w:r>
      <w:r w:rsidR="00BB34E1" w:rsidRPr="003342C3">
        <w:rPr>
          <w:rFonts w:cs="Arial"/>
          <w:sz w:val="20"/>
          <w:szCs w:val="20"/>
        </w:rPr>
        <w:t xml:space="preserve"> </w:t>
      </w:r>
      <w:r w:rsidR="008E73DC" w:rsidRPr="003342C3">
        <w:rPr>
          <w:rFonts w:cs="Arial"/>
          <w:sz w:val="20"/>
          <w:szCs w:val="20"/>
        </w:rPr>
        <w:t xml:space="preserve">associations </w:t>
      </w:r>
      <w:r w:rsidR="00821BE8" w:rsidRPr="003342C3">
        <w:rPr>
          <w:rFonts w:cs="Arial"/>
          <w:sz w:val="20"/>
          <w:szCs w:val="20"/>
        </w:rPr>
        <w:t xml:space="preserve">using </w:t>
      </w:r>
      <w:r w:rsidRPr="003342C3">
        <w:rPr>
          <w:rFonts w:cs="Arial"/>
          <w:sz w:val="20"/>
          <w:szCs w:val="20"/>
        </w:rPr>
        <w:t xml:space="preserve">different </w:t>
      </w:r>
      <w:r w:rsidR="00821BE8" w:rsidRPr="003342C3">
        <w:rPr>
          <w:rFonts w:cs="Arial"/>
          <w:sz w:val="20"/>
          <w:szCs w:val="20"/>
        </w:rPr>
        <w:t>definitions</w:t>
      </w:r>
      <w:r w:rsidR="00E731A8" w:rsidRPr="003342C3">
        <w:rPr>
          <w:rFonts w:cs="Arial"/>
          <w:sz w:val="20"/>
          <w:szCs w:val="20"/>
        </w:rPr>
        <w:t xml:space="preserve"> of neighbourhood</w:t>
      </w:r>
      <w:r w:rsidR="00412971" w:rsidRPr="003342C3">
        <w:rPr>
          <w:rFonts w:cs="Arial"/>
          <w:sz w:val="20"/>
          <w:szCs w:val="20"/>
        </w:rPr>
        <w:t xml:space="preserve">. </w:t>
      </w:r>
      <w:r w:rsidR="00834C0E" w:rsidRPr="003342C3">
        <w:rPr>
          <w:rFonts w:cs="Arial"/>
          <w:sz w:val="20"/>
          <w:szCs w:val="20"/>
        </w:rPr>
        <w:t xml:space="preserve">Future papers </w:t>
      </w:r>
      <w:r w:rsidR="009D5162" w:rsidRPr="003342C3">
        <w:rPr>
          <w:rFonts w:cs="Arial"/>
          <w:sz w:val="20"/>
          <w:szCs w:val="20"/>
        </w:rPr>
        <w:t xml:space="preserve">should </w:t>
      </w:r>
      <w:r w:rsidR="00A465FC" w:rsidRPr="003342C3">
        <w:rPr>
          <w:rFonts w:cs="Arial"/>
          <w:sz w:val="20"/>
          <w:szCs w:val="20"/>
        </w:rPr>
        <w:t xml:space="preserve">continue to </w:t>
      </w:r>
      <w:r w:rsidR="00834C0E" w:rsidRPr="003342C3">
        <w:rPr>
          <w:rFonts w:cs="Arial"/>
          <w:sz w:val="20"/>
          <w:szCs w:val="20"/>
        </w:rPr>
        <w:t xml:space="preserve">explore </w:t>
      </w:r>
      <w:r w:rsidR="000567EF" w:rsidRPr="003342C3">
        <w:rPr>
          <w:rFonts w:cs="Arial"/>
          <w:sz w:val="20"/>
          <w:szCs w:val="20"/>
        </w:rPr>
        <w:t>the accuracy of these datasets</w:t>
      </w:r>
      <w:r w:rsidR="00A465FC" w:rsidRPr="003342C3">
        <w:rPr>
          <w:rFonts w:cs="Arial"/>
          <w:sz w:val="20"/>
          <w:szCs w:val="20"/>
        </w:rPr>
        <w:t xml:space="preserve"> and </w:t>
      </w:r>
      <w:r w:rsidR="00744050" w:rsidRPr="003342C3">
        <w:rPr>
          <w:rFonts w:cs="Arial"/>
          <w:sz w:val="20"/>
          <w:szCs w:val="20"/>
        </w:rPr>
        <w:t xml:space="preserve">extend analyses to assess </w:t>
      </w:r>
      <w:r w:rsidR="00A465FC" w:rsidRPr="003342C3">
        <w:rPr>
          <w:rFonts w:cs="Arial"/>
          <w:sz w:val="20"/>
          <w:szCs w:val="20"/>
        </w:rPr>
        <w:t xml:space="preserve">associations </w:t>
      </w:r>
      <w:r w:rsidR="00744050" w:rsidRPr="003342C3">
        <w:rPr>
          <w:rFonts w:cs="Arial"/>
          <w:sz w:val="20"/>
          <w:szCs w:val="20"/>
        </w:rPr>
        <w:t xml:space="preserve">with health </w:t>
      </w:r>
      <w:r w:rsidR="00E731A8" w:rsidRPr="003342C3">
        <w:rPr>
          <w:rFonts w:cs="Arial"/>
          <w:sz w:val="20"/>
          <w:szCs w:val="20"/>
        </w:rPr>
        <w:t xml:space="preserve">and how these </w:t>
      </w:r>
      <w:r w:rsidR="00A465FC" w:rsidRPr="003342C3">
        <w:rPr>
          <w:rFonts w:cs="Arial"/>
          <w:sz w:val="20"/>
          <w:szCs w:val="20"/>
        </w:rPr>
        <w:t xml:space="preserve">may be </w:t>
      </w:r>
      <w:r w:rsidR="00CA751E" w:rsidRPr="003342C3">
        <w:rPr>
          <w:rFonts w:cs="Arial"/>
          <w:sz w:val="20"/>
          <w:szCs w:val="20"/>
        </w:rPr>
        <w:t xml:space="preserve">modified </w:t>
      </w:r>
      <w:r w:rsidR="00412971" w:rsidRPr="003342C3">
        <w:rPr>
          <w:rFonts w:cs="Arial"/>
          <w:sz w:val="20"/>
          <w:szCs w:val="20"/>
        </w:rPr>
        <w:t xml:space="preserve">by factors such as </w:t>
      </w:r>
      <w:r w:rsidR="00EC6FC5" w:rsidRPr="003342C3">
        <w:rPr>
          <w:rFonts w:cs="Arial"/>
          <w:sz w:val="20"/>
          <w:szCs w:val="20"/>
        </w:rPr>
        <w:t xml:space="preserve">age, </w:t>
      </w:r>
      <w:r w:rsidR="00924933" w:rsidRPr="003342C3">
        <w:rPr>
          <w:rFonts w:cs="Arial"/>
          <w:sz w:val="20"/>
          <w:szCs w:val="20"/>
        </w:rPr>
        <w:t>gender</w:t>
      </w:r>
      <w:r w:rsidR="00A465FC" w:rsidRPr="003342C3">
        <w:rPr>
          <w:rFonts w:cs="Arial"/>
          <w:sz w:val="20"/>
          <w:szCs w:val="20"/>
        </w:rPr>
        <w:t xml:space="preserve">, ethnicity or </w:t>
      </w:r>
      <w:r w:rsidR="00412971" w:rsidRPr="003342C3">
        <w:rPr>
          <w:rFonts w:cs="Arial"/>
          <w:sz w:val="20"/>
          <w:szCs w:val="20"/>
        </w:rPr>
        <w:t>deprivation</w:t>
      </w:r>
      <w:r w:rsidR="00EC6FC5" w:rsidRPr="003342C3">
        <w:rPr>
          <w:rFonts w:cs="Arial"/>
          <w:sz w:val="20"/>
          <w:szCs w:val="20"/>
        </w:rPr>
        <w:t xml:space="preserve">. </w:t>
      </w:r>
      <w:r w:rsidR="00A465FC" w:rsidRPr="003342C3">
        <w:rPr>
          <w:rFonts w:cs="Arial"/>
          <w:sz w:val="20"/>
          <w:szCs w:val="20"/>
        </w:rPr>
        <w:t xml:space="preserve">Furthermore, research may </w:t>
      </w:r>
      <w:r w:rsidR="00EC3935" w:rsidRPr="003342C3">
        <w:rPr>
          <w:rFonts w:cs="Arial"/>
          <w:sz w:val="20"/>
          <w:szCs w:val="20"/>
        </w:rPr>
        <w:t xml:space="preserve">also </w:t>
      </w:r>
      <w:r w:rsidR="00A465FC" w:rsidRPr="003342C3">
        <w:rPr>
          <w:rFonts w:cs="Arial"/>
          <w:sz w:val="20"/>
          <w:szCs w:val="20"/>
        </w:rPr>
        <w:t xml:space="preserve">explore </w:t>
      </w:r>
      <w:r w:rsidR="006F3F17" w:rsidRPr="003342C3">
        <w:rPr>
          <w:rFonts w:cs="Arial"/>
          <w:sz w:val="20"/>
          <w:szCs w:val="20"/>
        </w:rPr>
        <w:t>additional</w:t>
      </w:r>
      <w:r w:rsidR="000821AC" w:rsidRPr="003342C3">
        <w:rPr>
          <w:rFonts w:cs="Arial"/>
          <w:sz w:val="20"/>
          <w:szCs w:val="20"/>
        </w:rPr>
        <w:t xml:space="preserve"> </w:t>
      </w:r>
      <w:r w:rsidR="00352324" w:rsidRPr="003342C3">
        <w:rPr>
          <w:rFonts w:cs="Arial"/>
          <w:sz w:val="20"/>
          <w:szCs w:val="20"/>
        </w:rPr>
        <w:t>definitions</w:t>
      </w:r>
      <w:r w:rsidR="00EC3935" w:rsidRPr="003342C3">
        <w:rPr>
          <w:rFonts w:cs="Arial"/>
          <w:sz w:val="20"/>
          <w:szCs w:val="20"/>
        </w:rPr>
        <w:t xml:space="preserve"> of neighbourhood such as proximity, </w:t>
      </w:r>
      <w:r w:rsidR="0041006C" w:rsidRPr="003342C3">
        <w:rPr>
          <w:rFonts w:cs="Arial"/>
          <w:sz w:val="20"/>
          <w:szCs w:val="20"/>
        </w:rPr>
        <w:t xml:space="preserve">street network buffers, </w:t>
      </w:r>
      <w:r w:rsidR="00352324" w:rsidRPr="003342C3">
        <w:rPr>
          <w:rFonts w:cs="Arial"/>
          <w:sz w:val="20"/>
          <w:szCs w:val="20"/>
        </w:rPr>
        <w:t xml:space="preserve">self-defined buffers or GPS defined </w:t>
      </w:r>
      <w:r w:rsidR="00EC3935" w:rsidRPr="003342C3">
        <w:rPr>
          <w:rFonts w:cs="Arial"/>
          <w:sz w:val="20"/>
          <w:szCs w:val="20"/>
        </w:rPr>
        <w:t>activity spaces.</w:t>
      </w:r>
      <w:r w:rsidR="00E731A8" w:rsidRPr="003342C3">
        <w:rPr>
          <w:rFonts w:asciiTheme="minorHAnsi" w:hAnsiTheme="minorHAnsi"/>
          <w:sz w:val="20"/>
          <w:szCs w:val="20"/>
        </w:rPr>
        <w:t xml:space="preserve"> </w:t>
      </w:r>
      <w:hyperlink w:anchor="_ENREF_5" w:tooltip="Flowerdew, 2008 #3012" w:history="1">
        <w:r w:rsidR="00CA259E" w:rsidRPr="003342C3">
          <w:rPr>
            <w:rFonts w:cs="Arial"/>
            <w:sz w:val="20"/>
            <w:szCs w:val="20"/>
          </w:rPr>
          <w:fldChar w:fldCharType="begin">
            <w:fldData xml:space="preserve">PEVuZE5vdGU+PENpdGU+PEF1dGhvcj5GbG93ZXJkZXc8L0F1dGhvcj48WWVhcj4yMDA4PC9ZZWFy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</w:fldData>
          </w:fldChar>
        </w:r>
        <w:r w:rsidR="00CA259E" w:rsidRPr="003342C3">
          <w:rPr>
            <w:rFonts w:cs="Arial"/>
            <w:sz w:val="20"/>
            <w:szCs w:val="20"/>
          </w:rPr>
          <w:instrText xml:space="preserve"> ADDIN EN.CITE </w:instrText>
        </w:r>
        <w:r w:rsidR="00CA259E" w:rsidRPr="003342C3">
          <w:rPr>
            <w:rFonts w:cs="Arial"/>
            <w:sz w:val="20"/>
            <w:szCs w:val="20"/>
          </w:rPr>
          <w:fldChar w:fldCharType="begin">
            <w:fldData xml:space="preserve">PEVuZE5vdGU+PENpdGU+PEF1dGhvcj5GbG93ZXJkZXc8L0F1dGhvcj48WWVhcj4yMDA4PC9ZZWFy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</w:fldData>
          </w:fldChar>
        </w:r>
        <w:r w:rsidR="00CA259E" w:rsidRPr="003342C3">
          <w:rPr>
            <w:rFonts w:cs="Arial"/>
            <w:sz w:val="20"/>
            <w:szCs w:val="20"/>
          </w:rPr>
          <w:instrText xml:space="preserve"> ADDIN EN.CITE.DATA </w:instrText>
        </w:r>
        <w:r w:rsidR="00CA259E" w:rsidRPr="003342C3">
          <w:rPr>
            <w:rFonts w:cs="Arial"/>
            <w:sz w:val="20"/>
            <w:szCs w:val="20"/>
          </w:rPr>
        </w:r>
        <w:r w:rsidR="00CA259E" w:rsidRPr="003342C3">
          <w:rPr>
            <w:rFonts w:cs="Arial"/>
            <w:sz w:val="20"/>
            <w:szCs w:val="20"/>
          </w:rPr>
          <w:fldChar w:fldCharType="end"/>
        </w:r>
        <w:r w:rsidR="00CA259E" w:rsidRPr="003342C3">
          <w:rPr>
            <w:rFonts w:cs="Arial"/>
            <w:sz w:val="20"/>
            <w:szCs w:val="20"/>
          </w:rPr>
        </w:r>
        <w:r w:rsidR="00CA259E" w:rsidRPr="003342C3">
          <w:rPr>
            <w:rFonts w:cs="Arial"/>
            <w:sz w:val="20"/>
            <w:szCs w:val="20"/>
          </w:rPr>
          <w:fldChar w:fldCharType="separate"/>
        </w:r>
        <w:r w:rsidR="00CA259E" w:rsidRPr="003342C3">
          <w:rPr>
            <w:rFonts w:cs="Arial"/>
            <w:noProof/>
            <w:sz w:val="20"/>
            <w:szCs w:val="20"/>
            <w:vertAlign w:val="superscript"/>
          </w:rPr>
          <w:t>5</w:t>
        </w:r>
        <w:r w:rsidR="00CA259E" w:rsidRPr="003342C3">
          <w:rPr>
            <w:rFonts w:cs="Arial"/>
            <w:sz w:val="20"/>
            <w:szCs w:val="20"/>
          </w:rPr>
          <w:fldChar w:fldCharType="end"/>
        </w:r>
      </w:hyperlink>
      <w:r w:rsidR="00352324" w:rsidRPr="003342C3">
        <w:rPr>
          <w:rFonts w:cs="Arial"/>
          <w:sz w:val="20"/>
          <w:szCs w:val="20"/>
        </w:rPr>
        <w:t xml:space="preserve"> </w:t>
      </w:r>
      <w:r w:rsidR="007C6721" w:rsidRPr="003342C3">
        <w:rPr>
          <w:rFonts w:cs="Arial"/>
          <w:sz w:val="20"/>
          <w:szCs w:val="20"/>
        </w:rPr>
        <w:t>Finally, r</w:t>
      </w:r>
      <w:r w:rsidR="00EC3935" w:rsidRPr="003342C3">
        <w:rPr>
          <w:rFonts w:cs="Arial"/>
          <w:sz w:val="20"/>
          <w:szCs w:val="20"/>
        </w:rPr>
        <w:t xml:space="preserve">esults may </w:t>
      </w:r>
      <w:r w:rsidR="00352324" w:rsidRPr="003342C3">
        <w:rPr>
          <w:rFonts w:cs="Arial"/>
          <w:sz w:val="20"/>
          <w:szCs w:val="20"/>
        </w:rPr>
        <w:t xml:space="preserve">also </w:t>
      </w:r>
      <w:r w:rsidR="00EC3935" w:rsidRPr="003342C3">
        <w:rPr>
          <w:rFonts w:cs="Arial"/>
          <w:sz w:val="20"/>
          <w:szCs w:val="20"/>
        </w:rPr>
        <w:t xml:space="preserve">differ for the physical </w:t>
      </w:r>
      <w:r w:rsidR="00D61587" w:rsidRPr="003342C3">
        <w:rPr>
          <w:rFonts w:cs="Arial"/>
          <w:sz w:val="20"/>
          <w:szCs w:val="20"/>
        </w:rPr>
        <w:t>activity environment</w:t>
      </w:r>
      <w:r w:rsidR="00EC3935" w:rsidRPr="003342C3">
        <w:rPr>
          <w:rFonts w:cs="Arial"/>
          <w:sz w:val="20"/>
          <w:szCs w:val="20"/>
        </w:rPr>
        <w:t xml:space="preserve">, especially </w:t>
      </w:r>
      <w:r w:rsidR="00EC6FC5" w:rsidRPr="003342C3">
        <w:rPr>
          <w:rFonts w:cs="Arial"/>
          <w:sz w:val="20"/>
          <w:szCs w:val="20"/>
        </w:rPr>
        <w:t xml:space="preserve">since </w:t>
      </w:r>
      <w:r w:rsidR="00EC3935" w:rsidRPr="003342C3">
        <w:rPr>
          <w:rFonts w:cs="Arial"/>
          <w:sz w:val="20"/>
          <w:szCs w:val="20"/>
        </w:rPr>
        <w:t>numerous sources of data are available for the location of parks or green space.</w:t>
      </w:r>
      <w:r w:rsidR="00924933" w:rsidRPr="003342C3">
        <w:rPr>
          <w:rFonts w:cs="Arial"/>
          <w:sz w:val="20"/>
          <w:szCs w:val="20"/>
        </w:rPr>
        <w:t xml:space="preserve"> </w:t>
      </w:r>
    </w:p>
    <w:p w14:paraId="439C69C8" w14:textId="77777777" w:rsidR="00F23444" w:rsidRPr="003342C3" w:rsidRDefault="00F23444" w:rsidP="005F7603">
      <w:pPr>
        <w:pStyle w:val="NoSpacing"/>
        <w:jc w:val="both"/>
        <w:rPr>
          <w:rFonts w:cs="Arial"/>
          <w:sz w:val="20"/>
          <w:szCs w:val="20"/>
        </w:rPr>
      </w:pPr>
    </w:p>
    <w:p w14:paraId="5B9F9547" w14:textId="0E479225" w:rsidR="009B0658" w:rsidRPr="003342C3" w:rsidRDefault="00F95C13" w:rsidP="005F7603">
      <w:pPr>
        <w:pStyle w:val="NoSpacing"/>
        <w:jc w:val="both"/>
        <w:rPr>
          <w:rFonts w:cs="Arial"/>
          <w:sz w:val="20"/>
          <w:szCs w:val="20"/>
        </w:rPr>
      </w:pPr>
      <w:r w:rsidRPr="003342C3">
        <w:rPr>
          <w:rFonts w:cs="Arial"/>
          <w:sz w:val="20"/>
          <w:szCs w:val="20"/>
        </w:rPr>
        <w:t>Ultimately, i</w:t>
      </w:r>
      <w:r w:rsidR="009D5162" w:rsidRPr="003342C3">
        <w:rPr>
          <w:rFonts w:cs="Arial"/>
          <w:sz w:val="20"/>
          <w:szCs w:val="20"/>
        </w:rPr>
        <w:t>t may be difficult to a</w:t>
      </w:r>
      <w:r w:rsidR="00E731A8" w:rsidRPr="003342C3">
        <w:rPr>
          <w:rFonts w:cs="Arial"/>
          <w:sz w:val="20"/>
          <w:szCs w:val="20"/>
        </w:rPr>
        <w:t xml:space="preserve">n accurate and </w:t>
      </w:r>
      <w:r w:rsidR="009D5162" w:rsidRPr="003342C3">
        <w:rPr>
          <w:rFonts w:cs="Arial"/>
          <w:sz w:val="20"/>
          <w:szCs w:val="20"/>
        </w:rPr>
        <w:t>s</w:t>
      </w:r>
      <w:r w:rsidR="006F1645" w:rsidRPr="003342C3">
        <w:rPr>
          <w:rFonts w:cs="Arial"/>
          <w:sz w:val="20"/>
          <w:szCs w:val="20"/>
        </w:rPr>
        <w:t xml:space="preserve">tandardised definition </w:t>
      </w:r>
      <w:r w:rsidR="009D5162" w:rsidRPr="003342C3">
        <w:rPr>
          <w:rFonts w:cs="Arial"/>
          <w:sz w:val="20"/>
          <w:szCs w:val="20"/>
        </w:rPr>
        <w:t xml:space="preserve">of </w:t>
      </w:r>
      <w:r w:rsidR="00E731A8" w:rsidRPr="003342C3">
        <w:rPr>
          <w:rFonts w:cs="Arial"/>
          <w:sz w:val="20"/>
          <w:szCs w:val="20"/>
        </w:rPr>
        <w:t xml:space="preserve">neighbourhood </w:t>
      </w:r>
      <w:r w:rsidR="00A21886" w:rsidRPr="003342C3">
        <w:rPr>
          <w:rFonts w:cs="Arial"/>
          <w:sz w:val="20"/>
          <w:szCs w:val="20"/>
        </w:rPr>
        <w:t xml:space="preserve">within </w:t>
      </w:r>
      <w:r w:rsidR="009D5162" w:rsidRPr="003342C3">
        <w:rPr>
          <w:rFonts w:cs="Arial"/>
          <w:sz w:val="20"/>
          <w:szCs w:val="20"/>
        </w:rPr>
        <w:t>the environment</w:t>
      </w:r>
      <w:r w:rsidR="00E731A8" w:rsidRPr="003342C3">
        <w:rPr>
          <w:rFonts w:cs="Arial"/>
          <w:sz w:val="20"/>
          <w:szCs w:val="20"/>
        </w:rPr>
        <w:t>,</w:t>
      </w:r>
      <w:r w:rsidR="009D5162" w:rsidRPr="003342C3">
        <w:rPr>
          <w:rFonts w:cs="Arial"/>
          <w:sz w:val="20"/>
          <w:szCs w:val="20"/>
        </w:rPr>
        <w:t xml:space="preserve"> particularly given </w:t>
      </w:r>
      <w:r w:rsidRPr="003342C3">
        <w:rPr>
          <w:rFonts w:cs="Arial"/>
          <w:sz w:val="20"/>
          <w:szCs w:val="20"/>
        </w:rPr>
        <w:t xml:space="preserve">the nature of </w:t>
      </w:r>
      <w:r w:rsidR="009D5162" w:rsidRPr="003342C3">
        <w:rPr>
          <w:rFonts w:cs="Arial"/>
          <w:sz w:val="20"/>
          <w:szCs w:val="20"/>
        </w:rPr>
        <w:t>individual behaviours.</w:t>
      </w:r>
      <w:r w:rsidR="00EC6FC5" w:rsidRPr="003342C3">
        <w:rPr>
          <w:rFonts w:cs="Arial"/>
          <w:sz w:val="20"/>
          <w:szCs w:val="20"/>
        </w:rPr>
        <w:t xml:space="preserve"> I</w:t>
      </w:r>
      <w:r w:rsidR="00481AF0" w:rsidRPr="003342C3">
        <w:rPr>
          <w:rFonts w:cs="Arial"/>
          <w:sz w:val="20"/>
          <w:szCs w:val="20"/>
        </w:rPr>
        <w:t xml:space="preserve">t is </w:t>
      </w:r>
      <w:r w:rsidR="00E731A8" w:rsidRPr="003342C3">
        <w:rPr>
          <w:rFonts w:cs="Arial"/>
          <w:sz w:val="20"/>
          <w:szCs w:val="20"/>
        </w:rPr>
        <w:t xml:space="preserve">therefore </w:t>
      </w:r>
      <w:r w:rsidR="00481AF0" w:rsidRPr="003342C3">
        <w:rPr>
          <w:rFonts w:cs="Arial"/>
          <w:sz w:val="20"/>
          <w:szCs w:val="20"/>
        </w:rPr>
        <w:t xml:space="preserve">important to continue </w:t>
      </w:r>
      <w:r w:rsidR="00481AF0" w:rsidRPr="003342C3">
        <w:rPr>
          <w:rFonts w:cs="Arial"/>
          <w:sz w:val="20"/>
          <w:szCs w:val="20"/>
        </w:rPr>
        <w:lastRenderedPageBreak/>
        <w:t>to rigorously challenge the choices made at a methodological level</w:t>
      </w:r>
      <w:r w:rsidR="00EC6FC5" w:rsidRPr="003342C3">
        <w:rPr>
          <w:rFonts w:cs="Arial"/>
          <w:sz w:val="20"/>
          <w:szCs w:val="20"/>
        </w:rPr>
        <w:t>,</w:t>
      </w:r>
      <w:r w:rsidR="008B1D62" w:rsidRPr="003342C3">
        <w:rPr>
          <w:rFonts w:cs="Arial"/>
          <w:sz w:val="20"/>
          <w:szCs w:val="20"/>
        </w:rPr>
        <w:t xml:space="preserve"> but also to consider the usability of such measures for </w:t>
      </w:r>
      <w:r w:rsidR="00EC6FC5" w:rsidRPr="003342C3">
        <w:rPr>
          <w:rFonts w:cs="Arial"/>
          <w:sz w:val="20"/>
          <w:szCs w:val="20"/>
        </w:rPr>
        <w:t xml:space="preserve">the development and implementation of </w:t>
      </w:r>
      <w:r w:rsidR="008B1D62" w:rsidRPr="003342C3">
        <w:rPr>
          <w:rFonts w:cs="Arial"/>
          <w:sz w:val="20"/>
          <w:szCs w:val="20"/>
        </w:rPr>
        <w:t>local level policy</w:t>
      </w:r>
      <w:r w:rsidR="00481AF0" w:rsidRPr="003342C3">
        <w:rPr>
          <w:rFonts w:cs="Arial"/>
          <w:sz w:val="20"/>
          <w:szCs w:val="20"/>
        </w:rPr>
        <w:t>.</w:t>
      </w:r>
      <w:r w:rsidR="00EC6FC5" w:rsidRPr="003342C3">
        <w:rPr>
          <w:rFonts w:cs="Arial"/>
          <w:sz w:val="20"/>
          <w:szCs w:val="20"/>
        </w:rPr>
        <w:t xml:space="preserve"> </w:t>
      </w:r>
      <w:r w:rsidR="006F3F17" w:rsidRPr="003342C3">
        <w:rPr>
          <w:rFonts w:cs="Arial"/>
          <w:sz w:val="20"/>
          <w:szCs w:val="20"/>
        </w:rPr>
        <w:t>A</w:t>
      </w:r>
      <w:r w:rsidR="006F1645" w:rsidRPr="003342C3">
        <w:rPr>
          <w:rFonts w:cs="Arial"/>
          <w:sz w:val="20"/>
          <w:szCs w:val="20"/>
        </w:rPr>
        <w:t xml:space="preserve">t present researchers </w:t>
      </w:r>
      <w:r w:rsidR="00E33C5E" w:rsidRPr="003342C3">
        <w:rPr>
          <w:rFonts w:cs="Arial"/>
          <w:sz w:val="20"/>
          <w:szCs w:val="20"/>
        </w:rPr>
        <w:t xml:space="preserve">should </w:t>
      </w:r>
      <w:r w:rsidR="006F1645" w:rsidRPr="003342C3">
        <w:rPr>
          <w:rFonts w:cs="Arial"/>
          <w:sz w:val="20"/>
          <w:szCs w:val="20"/>
        </w:rPr>
        <w:t>use the local context</w:t>
      </w:r>
      <w:r w:rsidR="00907625" w:rsidRPr="003342C3">
        <w:rPr>
          <w:rFonts w:cs="Arial"/>
          <w:sz w:val="20"/>
          <w:szCs w:val="20"/>
        </w:rPr>
        <w:t xml:space="preserve"> and problem being investigated</w:t>
      </w:r>
      <w:r w:rsidR="006F1645" w:rsidRPr="003342C3">
        <w:rPr>
          <w:rFonts w:cs="Arial"/>
          <w:sz w:val="20"/>
          <w:szCs w:val="20"/>
        </w:rPr>
        <w:t xml:space="preserve"> to </w:t>
      </w:r>
      <w:r w:rsidR="006F3F17" w:rsidRPr="003342C3">
        <w:rPr>
          <w:rFonts w:cs="Arial"/>
          <w:sz w:val="20"/>
          <w:szCs w:val="20"/>
        </w:rPr>
        <w:t xml:space="preserve">inform </w:t>
      </w:r>
      <w:r w:rsidR="006F1645" w:rsidRPr="003342C3">
        <w:rPr>
          <w:rFonts w:cs="Arial"/>
          <w:sz w:val="20"/>
          <w:szCs w:val="20"/>
        </w:rPr>
        <w:t xml:space="preserve">the </w:t>
      </w:r>
      <w:r w:rsidR="006F3F17" w:rsidRPr="003342C3">
        <w:rPr>
          <w:rFonts w:cs="Arial"/>
          <w:sz w:val="20"/>
          <w:szCs w:val="20"/>
        </w:rPr>
        <w:t xml:space="preserve">most appropriate </w:t>
      </w:r>
      <w:r w:rsidR="006F1645" w:rsidRPr="003342C3">
        <w:rPr>
          <w:rFonts w:cs="Arial"/>
          <w:sz w:val="20"/>
          <w:szCs w:val="20"/>
        </w:rPr>
        <w:t xml:space="preserve">definition of </w:t>
      </w:r>
      <w:r w:rsidR="00821BE8" w:rsidRPr="003342C3">
        <w:rPr>
          <w:rFonts w:cs="Arial"/>
          <w:sz w:val="20"/>
          <w:szCs w:val="20"/>
        </w:rPr>
        <w:t>availability</w:t>
      </w:r>
      <w:r w:rsidR="00834C0E" w:rsidRPr="003342C3">
        <w:rPr>
          <w:rFonts w:cs="Arial"/>
          <w:sz w:val="20"/>
          <w:szCs w:val="20"/>
        </w:rPr>
        <w:t xml:space="preserve"> and data source used</w:t>
      </w:r>
      <w:r w:rsidR="006F1645" w:rsidRPr="003342C3">
        <w:rPr>
          <w:rFonts w:cs="Arial"/>
          <w:sz w:val="20"/>
          <w:szCs w:val="20"/>
        </w:rPr>
        <w:t>.</w:t>
      </w:r>
      <w:r w:rsidR="00E33C5E" w:rsidRPr="003342C3">
        <w:rPr>
          <w:rFonts w:cs="Arial"/>
          <w:sz w:val="20"/>
          <w:szCs w:val="20"/>
        </w:rPr>
        <w:t xml:space="preserve"> That is until better evidence emerges suggesting any different.</w:t>
      </w:r>
      <w:r w:rsidR="0041006C" w:rsidRPr="003342C3">
        <w:rPr>
          <w:rFonts w:cs="Arial"/>
          <w:sz w:val="20"/>
          <w:szCs w:val="20"/>
        </w:rPr>
        <w:t xml:space="preserve"> </w:t>
      </w:r>
      <w:r w:rsidR="00F0765B" w:rsidRPr="003342C3">
        <w:rPr>
          <w:rFonts w:cs="Arial"/>
          <w:sz w:val="20"/>
          <w:szCs w:val="20"/>
        </w:rPr>
        <w:t xml:space="preserve">Contrary to expectations, this research demonstrates few differences in the strength of associations between food outlet availability and </w:t>
      </w:r>
      <w:r w:rsidR="000E550A" w:rsidRPr="003342C3">
        <w:rPr>
          <w:rFonts w:cs="Arial"/>
          <w:sz w:val="20"/>
          <w:szCs w:val="20"/>
        </w:rPr>
        <w:t>obesity</w:t>
      </w:r>
      <w:r w:rsidR="00F0765B" w:rsidRPr="003342C3">
        <w:rPr>
          <w:rFonts w:cs="Arial"/>
          <w:sz w:val="20"/>
          <w:szCs w:val="20"/>
        </w:rPr>
        <w:t xml:space="preserve"> across both different </w:t>
      </w:r>
      <w:r w:rsidR="00E731A8" w:rsidRPr="003342C3">
        <w:rPr>
          <w:rFonts w:cs="Arial"/>
          <w:sz w:val="20"/>
          <w:szCs w:val="20"/>
        </w:rPr>
        <w:t xml:space="preserve">neighbourhood definitions </w:t>
      </w:r>
      <w:r w:rsidR="00F0765B" w:rsidRPr="003342C3">
        <w:rPr>
          <w:rFonts w:cs="Arial"/>
          <w:sz w:val="20"/>
          <w:szCs w:val="20"/>
        </w:rPr>
        <w:t>and data</w:t>
      </w:r>
      <w:r w:rsidR="00E731A8" w:rsidRPr="003342C3">
        <w:rPr>
          <w:rFonts w:cs="Arial"/>
          <w:sz w:val="20"/>
          <w:szCs w:val="20"/>
        </w:rPr>
        <w:t>bases</w:t>
      </w:r>
      <w:r w:rsidR="00F0765B" w:rsidRPr="003342C3">
        <w:rPr>
          <w:rFonts w:cs="Arial"/>
          <w:sz w:val="20"/>
          <w:szCs w:val="20"/>
        </w:rPr>
        <w:t>.</w:t>
      </w:r>
      <w:r w:rsidR="009F11D4" w:rsidRPr="003342C3">
        <w:rPr>
          <w:rFonts w:cs="Arial"/>
          <w:sz w:val="20"/>
          <w:szCs w:val="20"/>
        </w:rPr>
        <w:t xml:space="preserve"> </w:t>
      </w:r>
    </w:p>
    <w:p w14:paraId="704A201A" w14:textId="77777777" w:rsidR="00CA259E" w:rsidRPr="003342C3" w:rsidRDefault="00CA259E" w:rsidP="005F7603">
      <w:pPr>
        <w:pStyle w:val="NoSpacing"/>
        <w:jc w:val="both"/>
        <w:rPr>
          <w:rFonts w:cs="Arial"/>
          <w:sz w:val="20"/>
          <w:szCs w:val="20"/>
        </w:rPr>
      </w:pPr>
    </w:p>
    <w:p w14:paraId="3B38BB19" w14:textId="77777777" w:rsidR="00E731A8" w:rsidRPr="003342C3" w:rsidRDefault="00E731A8">
      <w:pPr>
        <w:rPr>
          <w:rFonts w:ascii="Arial" w:hAnsi="Arial" w:cs="Arial"/>
          <w:sz w:val="20"/>
          <w:szCs w:val="20"/>
        </w:rPr>
      </w:pPr>
      <w:r w:rsidRPr="003342C3">
        <w:rPr>
          <w:rFonts w:cs="Arial"/>
          <w:sz w:val="20"/>
          <w:szCs w:val="20"/>
        </w:rPr>
        <w:br w:type="page"/>
      </w:r>
    </w:p>
    <w:p w14:paraId="4256CC6C" w14:textId="0C768E2B" w:rsidR="00CA259E" w:rsidRPr="003342C3" w:rsidRDefault="00254AD2" w:rsidP="00CA259E">
      <w:pPr>
        <w:pStyle w:val="NoSpacing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r w:rsidRPr="003342C3">
        <w:rPr>
          <w:rFonts w:cs="Arial"/>
          <w:sz w:val="20"/>
          <w:szCs w:val="20"/>
        </w:rPr>
        <w:lastRenderedPageBreak/>
        <w:fldChar w:fldCharType="begin"/>
      </w:r>
      <w:r w:rsidRPr="003342C3">
        <w:rPr>
          <w:rFonts w:cs="Arial"/>
          <w:sz w:val="20"/>
          <w:szCs w:val="20"/>
        </w:rPr>
        <w:instrText xml:space="preserve"> ADDIN EN.REFLIST </w:instrText>
      </w:r>
      <w:r w:rsidRPr="003342C3">
        <w:rPr>
          <w:rFonts w:cs="Arial"/>
          <w:sz w:val="20"/>
          <w:szCs w:val="20"/>
        </w:rPr>
        <w:fldChar w:fldCharType="separate"/>
      </w:r>
      <w:bookmarkStart w:id="1" w:name="_ENREF_1"/>
      <w:r w:rsidR="00CA259E" w:rsidRPr="003342C3">
        <w:rPr>
          <w:rFonts w:ascii="Times New Roman" w:hAnsi="Times New Roman" w:cs="Times New Roman"/>
          <w:noProof/>
          <w:sz w:val="20"/>
          <w:szCs w:val="20"/>
        </w:rPr>
        <w:t xml:space="preserve">1. Ng M, Fleming T, Robinson M, Thomson B, Graetz N, Margono C, et al. Global, regional, and national prevalence of overweight and obesity in children and adults during 1980–2013: a systematic analysis for the Global Burden of Disease Study 2013. </w:t>
      </w:r>
      <w:r w:rsidR="00CA259E" w:rsidRPr="003342C3">
        <w:rPr>
          <w:rFonts w:ascii="Times New Roman" w:hAnsi="Times New Roman" w:cs="Times New Roman"/>
          <w:i/>
          <w:noProof/>
          <w:sz w:val="20"/>
          <w:szCs w:val="20"/>
        </w:rPr>
        <w:t>The Lancet</w:t>
      </w:r>
      <w:r w:rsidR="00CA259E" w:rsidRPr="003342C3">
        <w:rPr>
          <w:rFonts w:ascii="Times New Roman" w:hAnsi="Times New Roman" w:cs="Times New Roman"/>
          <w:noProof/>
          <w:sz w:val="20"/>
          <w:szCs w:val="20"/>
        </w:rPr>
        <w:t xml:space="preserve"> 2014;384(9945):766-81.</w:t>
      </w:r>
      <w:bookmarkEnd w:id="1"/>
    </w:p>
    <w:p w14:paraId="31DD77FA" w14:textId="77777777" w:rsidR="00CA259E" w:rsidRPr="003342C3" w:rsidRDefault="00CA259E" w:rsidP="00CA259E">
      <w:pPr>
        <w:pStyle w:val="NoSpacing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2" w:name="_ENREF_2"/>
      <w:r w:rsidRPr="003342C3">
        <w:rPr>
          <w:rFonts w:ascii="Times New Roman" w:hAnsi="Times New Roman" w:cs="Times New Roman"/>
          <w:noProof/>
          <w:sz w:val="20"/>
          <w:szCs w:val="20"/>
        </w:rPr>
        <w:t xml:space="preserve">2. Scarborough P, Bhatnagar P, Wickramasinghe KK, Allender S, Foster C, Rayner M. The economic burden of ill health due to diet, physical inactivity, smoking, alcohol and obesity in the UK: an update to 2006-07 NHS costs. </w:t>
      </w:r>
      <w:r w:rsidRPr="003342C3">
        <w:rPr>
          <w:rFonts w:ascii="Times New Roman" w:hAnsi="Times New Roman" w:cs="Times New Roman"/>
          <w:i/>
          <w:noProof/>
          <w:sz w:val="20"/>
          <w:szCs w:val="20"/>
        </w:rPr>
        <w:t>Journal of public health</w:t>
      </w:r>
      <w:r w:rsidRPr="003342C3">
        <w:rPr>
          <w:rFonts w:ascii="Times New Roman" w:hAnsi="Times New Roman" w:cs="Times New Roman"/>
          <w:noProof/>
          <w:sz w:val="20"/>
          <w:szCs w:val="20"/>
        </w:rPr>
        <w:t xml:space="preserve"> 2011;33(4):527-35.</w:t>
      </w:r>
      <w:bookmarkEnd w:id="2"/>
    </w:p>
    <w:p w14:paraId="60BDB599" w14:textId="77777777" w:rsidR="00CA259E" w:rsidRPr="003342C3" w:rsidRDefault="00CA259E" w:rsidP="00CA259E">
      <w:pPr>
        <w:pStyle w:val="NoSpacing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3" w:name="_ENREF_3"/>
      <w:r w:rsidRPr="003342C3">
        <w:rPr>
          <w:rFonts w:ascii="Times New Roman" w:hAnsi="Times New Roman" w:cs="Times New Roman"/>
          <w:noProof/>
          <w:sz w:val="20"/>
          <w:szCs w:val="20"/>
        </w:rPr>
        <w:t xml:space="preserve">3. Cobb LK, Appel LJ, Franco M, Jones-Smith JC, Nur A, Anderson CAM. The relationship of the local food environment with obesity: A systematic review of methods, study quality, and results. </w:t>
      </w:r>
      <w:r w:rsidRPr="003342C3">
        <w:rPr>
          <w:rFonts w:ascii="Times New Roman" w:hAnsi="Times New Roman" w:cs="Times New Roman"/>
          <w:i/>
          <w:noProof/>
          <w:sz w:val="20"/>
          <w:szCs w:val="20"/>
        </w:rPr>
        <w:t>Obesity</w:t>
      </w:r>
      <w:r w:rsidRPr="003342C3">
        <w:rPr>
          <w:rFonts w:ascii="Times New Roman" w:hAnsi="Times New Roman" w:cs="Times New Roman"/>
          <w:noProof/>
          <w:sz w:val="20"/>
          <w:szCs w:val="20"/>
        </w:rPr>
        <w:t xml:space="preserve"> 2015:n/a-n/a.</w:t>
      </w:r>
      <w:bookmarkEnd w:id="3"/>
    </w:p>
    <w:p w14:paraId="19451C59" w14:textId="77777777" w:rsidR="00CA259E" w:rsidRPr="003342C3" w:rsidRDefault="00CA259E" w:rsidP="00CA259E">
      <w:pPr>
        <w:pStyle w:val="NoSpacing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4" w:name="_ENREF_4"/>
      <w:r w:rsidRPr="003342C3">
        <w:rPr>
          <w:rFonts w:ascii="Times New Roman" w:hAnsi="Times New Roman" w:cs="Times New Roman"/>
          <w:noProof/>
          <w:sz w:val="20"/>
          <w:szCs w:val="20"/>
        </w:rPr>
        <w:t xml:space="preserve">4. Burgoine T, Harrison F. Comparing the accuracy of two secondary food environment data sources in the UK across socio-economic and urban/rural divides. </w:t>
      </w:r>
      <w:r w:rsidRPr="003342C3">
        <w:rPr>
          <w:rFonts w:ascii="Times New Roman" w:hAnsi="Times New Roman" w:cs="Times New Roman"/>
          <w:i/>
          <w:noProof/>
          <w:sz w:val="20"/>
          <w:szCs w:val="20"/>
        </w:rPr>
        <w:t>International journal of health geographics</w:t>
      </w:r>
      <w:r w:rsidRPr="003342C3">
        <w:rPr>
          <w:rFonts w:ascii="Times New Roman" w:hAnsi="Times New Roman" w:cs="Times New Roman"/>
          <w:noProof/>
          <w:sz w:val="20"/>
          <w:szCs w:val="20"/>
        </w:rPr>
        <w:t xml:space="preserve"> 2013;12:2.</w:t>
      </w:r>
      <w:bookmarkEnd w:id="4"/>
    </w:p>
    <w:p w14:paraId="4CB113B8" w14:textId="77777777" w:rsidR="00CA259E" w:rsidRPr="003342C3" w:rsidRDefault="00CA259E" w:rsidP="00CA259E">
      <w:pPr>
        <w:pStyle w:val="NoSpacing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5" w:name="_ENREF_5"/>
      <w:r w:rsidRPr="003342C3">
        <w:rPr>
          <w:rFonts w:ascii="Times New Roman" w:hAnsi="Times New Roman" w:cs="Times New Roman"/>
          <w:noProof/>
          <w:sz w:val="20"/>
          <w:szCs w:val="20"/>
        </w:rPr>
        <w:t xml:space="preserve">5. Flowerdew R, Manley DJ, Sabel CE. Neighbourhood effects on health: does it matter where you draw the boundaries? </w:t>
      </w:r>
      <w:r w:rsidRPr="003342C3">
        <w:rPr>
          <w:rFonts w:ascii="Times New Roman" w:hAnsi="Times New Roman" w:cs="Times New Roman"/>
          <w:i/>
          <w:noProof/>
          <w:sz w:val="20"/>
          <w:szCs w:val="20"/>
        </w:rPr>
        <w:t>Social Science and Medicine</w:t>
      </w:r>
      <w:r w:rsidRPr="003342C3">
        <w:rPr>
          <w:rFonts w:ascii="Times New Roman" w:hAnsi="Times New Roman" w:cs="Times New Roman"/>
          <w:noProof/>
          <w:sz w:val="20"/>
          <w:szCs w:val="20"/>
        </w:rPr>
        <w:t xml:space="preserve"> 2008;66(6):1241-55.</w:t>
      </w:r>
      <w:bookmarkEnd w:id="5"/>
    </w:p>
    <w:p w14:paraId="5FC3D4CD" w14:textId="77777777" w:rsidR="00CA259E" w:rsidRPr="003342C3" w:rsidRDefault="00CA259E" w:rsidP="00CA259E">
      <w:pPr>
        <w:pStyle w:val="NoSpacing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6" w:name="_ENREF_6"/>
      <w:r w:rsidRPr="003342C3">
        <w:rPr>
          <w:rFonts w:ascii="Times New Roman" w:hAnsi="Times New Roman" w:cs="Times New Roman"/>
          <w:noProof/>
          <w:sz w:val="20"/>
          <w:szCs w:val="20"/>
        </w:rPr>
        <w:t xml:space="preserve">6. James P, Berrigan D, Hart JE, Aaron Hipp J, Hoehner CM, Kerr J, et al. Effects of buffer size and shape on associations between the built environment and energy balance. </w:t>
      </w:r>
      <w:r w:rsidRPr="003342C3">
        <w:rPr>
          <w:rFonts w:ascii="Times New Roman" w:hAnsi="Times New Roman" w:cs="Times New Roman"/>
          <w:i/>
          <w:noProof/>
          <w:sz w:val="20"/>
          <w:szCs w:val="20"/>
        </w:rPr>
        <w:t>Health &amp; place</w:t>
      </w:r>
      <w:r w:rsidRPr="003342C3">
        <w:rPr>
          <w:rFonts w:ascii="Times New Roman" w:hAnsi="Times New Roman" w:cs="Times New Roman"/>
          <w:noProof/>
          <w:sz w:val="20"/>
          <w:szCs w:val="20"/>
        </w:rPr>
        <w:t xml:space="preserve"> 2014;27(0):162-70.</w:t>
      </w:r>
      <w:bookmarkEnd w:id="6"/>
    </w:p>
    <w:p w14:paraId="61B60E8B" w14:textId="77777777" w:rsidR="00CA259E" w:rsidRPr="003342C3" w:rsidRDefault="00CA259E" w:rsidP="00CA259E">
      <w:pPr>
        <w:pStyle w:val="NoSpacing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7" w:name="_ENREF_7"/>
      <w:r w:rsidRPr="003342C3">
        <w:rPr>
          <w:rFonts w:ascii="Times New Roman" w:hAnsi="Times New Roman" w:cs="Times New Roman"/>
          <w:noProof/>
          <w:sz w:val="20"/>
          <w:szCs w:val="20"/>
        </w:rPr>
        <w:t xml:space="preserve">7. Green M, Li J, Relton C, Strong M, Kearns B, Wu M, et al. Cohort Profile: The Yorkshire Health Study. </w:t>
      </w:r>
      <w:r w:rsidRPr="003342C3">
        <w:rPr>
          <w:rFonts w:ascii="Times New Roman" w:hAnsi="Times New Roman" w:cs="Times New Roman"/>
          <w:i/>
          <w:noProof/>
          <w:sz w:val="20"/>
          <w:szCs w:val="20"/>
        </w:rPr>
        <w:t>International Journal of Epidemiology</w:t>
      </w:r>
      <w:r w:rsidRPr="003342C3">
        <w:rPr>
          <w:rFonts w:ascii="Times New Roman" w:hAnsi="Times New Roman" w:cs="Times New Roman"/>
          <w:noProof/>
          <w:sz w:val="20"/>
          <w:szCs w:val="20"/>
        </w:rPr>
        <w:t xml:space="preserve"> 2014;121:1-6.</w:t>
      </w:r>
      <w:bookmarkEnd w:id="7"/>
    </w:p>
    <w:p w14:paraId="7BF46ED7" w14:textId="77777777" w:rsidR="00CA259E" w:rsidRPr="003342C3" w:rsidRDefault="00CA259E" w:rsidP="00CA259E">
      <w:pPr>
        <w:pStyle w:val="NoSpacing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8" w:name="_ENREF_8"/>
      <w:r w:rsidRPr="003342C3">
        <w:rPr>
          <w:rFonts w:ascii="Times New Roman" w:hAnsi="Times New Roman" w:cs="Times New Roman"/>
          <w:noProof/>
          <w:sz w:val="20"/>
          <w:szCs w:val="20"/>
        </w:rPr>
        <w:t xml:space="preserve">8. Ordnance Survey. </w:t>
      </w:r>
      <w:r w:rsidRPr="003342C3">
        <w:rPr>
          <w:rFonts w:ascii="Times New Roman" w:hAnsi="Times New Roman" w:cs="Times New Roman"/>
          <w:i/>
          <w:noProof/>
          <w:sz w:val="20"/>
          <w:szCs w:val="20"/>
        </w:rPr>
        <w:t>Points of Interest database - user guide and technical specification</w:t>
      </w:r>
      <w:r w:rsidRPr="003342C3">
        <w:rPr>
          <w:rFonts w:ascii="Times New Roman" w:hAnsi="Times New Roman" w:cs="Times New Roman"/>
          <w:noProof/>
          <w:sz w:val="20"/>
          <w:szCs w:val="20"/>
        </w:rPr>
        <w:t>. Southampton: Ordnance Survey, 2012.</w:t>
      </w:r>
      <w:bookmarkEnd w:id="8"/>
    </w:p>
    <w:p w14:paraId="0BDF33E6" w14:textId="77777777" w:rsidR="00CA259E" w:rsidRPr="003342C3" w:rsidRDefault="00CA259E" w:rsidP="00CA259E">
      <w:pPr>
        <w:pStyle w:val="NoSpacing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9" w:name="_ENREF_9"/>
      <w:r w:rsidRPr="003342C3">
        <w:rPr>
          <w:rFonts w:ascii="Times New Roman" w:hAnsi="Times New Roman" w:cs="Times New Roman"/>
          <w:noProof/>
          <w:sz w:val="20"/>
          <w:szCs w:val="20"/>
        </w:rPr>
        <w:t xml:space="preserve">9. Forsyth A, Hearst M, Oakes JM, Schmitz KH. Design and Destinations: Factors Influencing Walking and Total Physical Activity. </w:t>
      </w:r>
      <w:r w:rsidRPr="003342C3">
        <w:rPr>
          <w:rFonts w:ascii="Times New Roman" w:hAnsi="Times New Roman" w:cs="Times New Roman"/>
          <w:i/>
          <w:noProof/>
          <w:sz w:val="20"/>
          <w:szCs w:val="20"/>
        </w:rPr>
        <w:t>Urban Studies</w:t>
      </w:r>
      <w:r w:rsidRPr="003342C3">
        <w:rPr>
          <w:rFonts w:ascii="Times New Roman" w:hAnsi="Times New Roman" w:cs="Times New Roman"/>
          <w:noProof/>
          <w:sz w:val="20"/>
          <w:szCs w:val="20"/>
        </w:rPr>
        <w:t xml:space="preserve"> 2008;45(9):1973-96.</w:t>
      </w:r>
      <w:bookmarkEnd w:id="9"/>
    </w:p>
    <w:p w14:paraId="288374FA" w14:textId="77777777" w:rsidR="00CA259E" w:rsidRPr="003342C3" w:rsidRDefault="00CA259E" w:rsidP="00CA259E">
      <w:pPr>
        <w:pStyle w:val="NoSpacing"/>
        <w:ind w:left="720" w:hanging="720"/>
        <w:rPr>
          <w:rFonts w:ascii="Times New Roman" w:hAnsi="Times New Roman" w:cs="Times New Roman"/>
          <w:noProof/>
          <w:sz w:val="20"/>
          <w:szCs w:val="20"/>
        </w:rPr>
      </w:pPr>
      <w:bookmarkStart w:id="10" w:name="_ENREF_10"/>
      <w:r w:rsidRPr="003342C3">
        <w:rPr>
          <w:rFonts w:ascii="Times New Roman" w:hAnsi="Times New Roman" w:cs="Times New Roman"/>
          <w:noProof/>
          <w:sz w:val="20"/>
          <w:szCs w:val="20"/>
        </w:rPr>
        <w:t xml:space="preserve">10. Bodicoat DH, Carter P, Comber A, Edwardson C, Gray LJ, Hill S, et al. Is the number of fast-food outlets in the neighbourhood related to screen-detected type 2 diabetes mellitus and associated risk factors? </w:t>
      </w:r>
      <w:r w:rsidRPr="003342C3">
        <w:rPr>
          <w:rFonts w:ascii="Times New Roman" w:hAnsi="Times New Roman" w:cs="Times New Roman"/>
          <w:i/>
          <w:noProof/>
          <w:sz w:val="20"/>
          <w:szCs w:val="20"/>
        </w:rPr>
        <w:t>Public health nutrition</w:t>
      </w:r>
      <w:r w:rsidRPr="003342C3">
        <w:rPr>
          <w:rFonts w:ascii="Times New Roman" w:hAnsi="Times New Roman" w:cs="Times New Roman"/>
          <w:noProof/>
          <w:sz w:val="20"/>
          <w:szCs w:val="20"/>
        </w:rPr>
        <w:t xml:space="preserve"> 2015;18(9):1698-705.</w:t>
      </w:r>
      <w:bookmarkEnd w:id="10"/>
    </w:p>
    <w:p w14:paraId="5AB0E389" w14:textId="25221B71" w:rsidR="00CA259E" w:rsidRPr="003342C3" w:rsidRDefault="00CA259E" w:rsidP="00CA259E">
      <w:pPr>
        <w:pStyle w:val="NoSpacing"/>
        <w:rPr>
          <w:rFonts w:ascii="Times New Roman" w:hAnsi="Times New Roman" w:cs="Times New Roman"/>
          <w:noProof/>
          <w:sz w:val="20"/>
          <w:szCs w:val="20"/>
        </w:rPr>
      </w:pPr>
    </w:p>
    <w:p w14:paraId="176D01DE" w14:textId="2CFF56C7" w:rsidR="009E7154" w:rsidRPr="003342C3" w:rsidRDefault="00254AD2" w:rsidP="00134C27">
      <w:pPr>
        <w:pStyle w:val="NoSpacing"/>
        <w:rPr>
          <w:rFonts w:cs="Arial"/>
          <w:sz w:val="20"/>
          <w:szCs w:val="20"/>
        </w:rPr>
      </w:pPr>
      <w:r w:rsidRPr="003342C3">
        <w:rPr>
          <w:rFonts w:cs="Arial"/>
          <w:sz w:val="20"/>
          <w:szCs w:val="20"/>
        </w:rPr>
        <w:fldChar w:fldCharType="end"/>
      </w:r>
    </w:p>
    <w:p w14:paraId="64ED213A" w14:textId="77777777" w:rsidR="009E7154" w:rsidRPr="003342C3" w:rsidRDefault="009E7154">
      <w:pPr>
        <w:rPr>
          <w:rFonts w:ascii="Arial" w:hAnsi="Arial" w:cs="Arial"/>
          <w:sz w:val="20"/>
          <w:szCs w:val="20"/>
        </w:rPr>
      </w:pPr>
      <w:r w:rsidRPr="003342C3">
        <w:rPr>
          <w:rFonts w:ascii="Arial" w:hAnsi="Arial" w:cs="Arial"/>
          <w:sz w:val="20"/>
          <w:szCs w:val="20"/>
        </w:rPr>
        <w:br w:type="page"/>
      </w:r>
    </w:p>
    <w:p w14:paraId="477462E5" w14:textId="77777777" w:rsidR="00DC25FD" w:rsidRPr="003342C3" w:rsidRDefault="00DC25FD">
      <w:pPr>
        <w:rPr>
          <w:rFonts w:ascii="Arial" w:hAnsi="Arial" w:cs="Arial"/>
          <w:sz w:val="20"/>
          <w:szCs w:val="20"/>
        </w:rPr>
        <w:sectPr w:rsidR="00DC25FD" w:rsidRPr="003342C3" w:rsidSect="003A2CAC">
          <w:footerReference w:type="default" r:id="rId7"/>
          <w:pgSz w:w="11906" w:h="16838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tbl>
      <w:tblPr>
        <w:tblStyle w:val="TableGrid"/>
        <w:tblpPr w:leftFromText="180" w:rightFromText="180" w:tblpY="670"/>
        <w:tblW w:w="122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3"/>
        <w:gridCol w:w="2557"/>
        <w:gridCol w:w="895"/>
        <w:gridCol w:w="1618"/>
        <w:gridCol w:w="950"/>
        <w:gridCol w:w="1673"/>
        <w:gridCol w:w="906"/>
        <w:gridCol w:w="1684"/>
      </w:tblGrid>
      <w:tr w:rsidR="003342C3" w:rsidRPr="003342C3" w14:paraId="5DF63377" w14:textId="77777777" w:rsidTr="000E5B91">
        <w:tc>
          <w:tcPr>
            <w:tcW w:w="196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84555" w14:textId="77777777" w:rsidR="00DC25FD" w:rsidRPr="003342C3" w:rsidRDefault="00DC25FD" w:rsidP="00DC25FD">
            <w:pPr>
              <w:pStyle w:val="NoSpacing"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342C3">
              <w:rPr>
                <w:rFonts w:cs="Arial"/>
                <w:b/>
                <w:sz w:val="20"/>
                <w:szCs w:val="20"/>
              </w:rPr>
              <w:lastRenderedPageBreak/>
              <w:t>Data Source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8A3F9" w14:textId="5902A3AE" w:rsidR="00DC25FD" w:rsidRPr="003342C3" w:rsidRDefault="00DD2DFE" w:rsidP="009A5B11">
            <w:pPr>
              <w:pStyle w:val="NoSpacing"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342C3">
              <w:rPr>
                <w:rFonts w:cs="Arial"/>
                <w:b/>
                <w:sz w:val="20"/>
                <w:szCs w:val="20"/>
              </w:rPr>
              <w:t>Count (n)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755FB" w14:textId="77777777" w:rsidR="00DC25FD" w:rsidRPr="003342C3" w:rsidRDefault="00DC25FD" w:rsidP="00DC25FD">
            <w:pPr>
              <w:pStyle w:val="NoSpacing"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342C3">
              <w:rPr>
                <w:rFonts w:cs="Arial"/>
                <w:b/>
                <w:sz w:val="20"/>
                <w:szCs w:val="20"/>
              </w:rPr>
              <w:t>LSOA Density (km</w:t>
            </w:r>
            <w:r w:rsidRPr="003342C3">
              <w:rPr>
                <w:rFonts w:cs="Arial"/>
                <w:b/>
                <w:sz w:val="20"/>
                <w:szCs w:val="20"/>
                <w:vertAlign w:val="superscript"/>
              </w:rPr>
              <w:t>2</w:t>
            </w:r>
            <w:r w:rsidRPr="003342C3"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A65D0" w14:textId="77777777" w:rsidR="00DC25FD" w:rsidRPr="003342C3" w:rsidRDefault="00DC25FD" w:rsidP="00DC25FD">
            <w:pPr>
              <w:pStyle w:val="NoSpacing"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342C3">
              <w:rPr>
                <w:rFonts w:cs="Arial"/>
                <w:b/>
                <w:sz w:val="20"/>
                <w:szCs w:val="20"/>
              </w:rPr>
              <w:t>800m Buffer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0980E" w14:textId="77777777" w:rsidR="00DC25FD" w:rsidRPr="003342C3" w:rsidRDefault="00DC25FD" w:rsidP="00DC25FD">
            <w:pPr>
              <w:pStyle w:val="NoSpacing"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342C3">
              <w:rPr>
                <w:rFonts w:cs="Arial"/>
                <w:b/>
                <w:sz w:val="20"/>
                <w:szCs w:val="20"/>
              </w:rPr>
              <w:t>2000m buffer</w:t>
            </w:r>
          </w:p>
        </w:tc>
      </w:tr>
      <w:tr w:rsidR="003342C3" w:rsidRPr="003342C3" w14:paraId="063EE7F8" w14:textId="77777777" w:rsidTr="000E5B91">
        <w:tc>
          <w:tcPr>
            <w:tcW w:w="1963" w:type="dxa"/>
            <w:vMerge/>
            <w:tcBorders>
              <w:bottom w:val="single" w:sz="4" w:space="0" w:color="auto"/>
            </w:tcBorders>
            <w:vAlign w:val="center"/>
          </w:tcPr>
          <w:p w14:paraId="49214907" w14:textId="77777777" w:rsidR="00DC25FD" w:rsidRPr="003342C3" w:rsidRDefault="00DC25FD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57" w:type="dxa"/>
            <w:vMerge/>
            <w:tcBorders>
              <w:bottom w:val="single" w:sz="4" w:space="0" w:color="auto"/>
            </w:tcBorders>
            <w:vAlign w:val="center"/>
          </w:tcPr>
          <w:p w14:paraId="1CFB617E" w14:textId="77777777" w:rsidR="00DC25FD" w:rsidRPr="003342C3" w:rsidRDefault="00DC25FD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7F157" w14:textId="77777777" w:rsidR="00DC25FD" w:rsidRPr="003342C3" w:rsidRDefault="00DC25FD" w:rsidP="00DC25FD">
            <w:pPr>
              <w:pStyle w:val="NoSpacing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B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29D40" w14:textId="77777777" w:rsidR="00DC25FD" w:rsidRPr="003342C3" w:rsidRDefault="00DC25FD" w:rsidP="00DC25FD">
            <w:pPr>
              <w:pStyle w:val="NoSpacing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95% CI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14:paraId="396789D3" w14:textId="77777777" w:rsidR="00DC25FD" w:rsidRPr="003342C3" w:rsidRDefault="00DC25FD" w:rsidP="00DC25FD">
            <w:pPr>
              <w:pStyle w:val="NoSpacing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B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541F3ADE" w14:textId="77777777" w:rsidR="00DC25FD" w:rsidRPr="003342C3" w:rsidRDefault="00DC25FD" w:rsidP="00DC25FD">
            <w:pPr>
              <w:pStyle w:val="NoSpacing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95% CI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240F9" w14:textId="77777777" w:rsidR="00DC25FD" w:rsidRPr="003342C3" w:rsidRDefault="00DC25FD" w:rsidP="00DC25FD">
            <w:pPr>
              <w:pStyle w:val="NoSpacing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B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360A2" w14:textId="77777777" w:rsidR="00DC25FD" w:rsidRPr="003342C3" w:rsidRDefault="00DC25FD" w:rsidP="00DC25FD">
            <w:pPr>
              <w:pStyle w:val="NoSpacing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95% CI</w:t>
            </w:r>
          </w:p>
        </w:tc>
      </w:tr>
      <w:tr w:rsidR="003342C3" w:rsidRPr="003342C3" w14:paraId="4D96981B" w14:textId="77777777" w:rsidTr="000E5B91">
        <w:tc>
          <w:tcPr>
            <w:tcW w:w="1963" w:type="dxa"/>
            <w:vMerge w:val="restart"/>
            <w:tcBorders>
              <w:top w:val="single" w:sz="4" w:space="0" w:color="auto"/>
            </w:tcBorders>
          </w:tcPr>
          <w:p w14:paraId="3655C2A7" w14:textId="54CFC849" w:rsidR="00DC25FD" w:rsidRPr="003342C3" w:rsidRDefault="00DC25FD" w:rsidP="00C93901">
            <w:pPr>
              <w:pStyle w:val="NoSpacing"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342C3">
              <w:rPr>
                <w:rFonts w:cs="Arial"/>
                <w:b/>
                <w:sz w:val="20"/>
                <w:szCs w:val="20"/>
              </w:rPr>
              <w:t>Local</w:t>
            </w:r>
            <w:r w:rsidR="000F2EEE" w:rsidRPr="003342C3">
              <w:rPr>
                <w:rFonts w:cs="Arial"/>
                <w:b/>
                <w:sz w:val="20"/>
                <w:szCs w:val="20"/>
              </w:rPr>
              <w:t xml:space="preserve"> Authority </w:t>
            </w:r>
            <w:r w:rsidRPr="003342C3">
              <w:rPr>
                <w:rFonts w:cs="Arial"/>
                <w:b/>
                <w:sz w:val="20"/>
                <w:szCs w:val="20"/>
              </w:rPr>
              <w:t>(n=1</w:t>
            </w:r>
            <w:r w:rsidR="00C93901" w:rsidRPr="003342C3">
              <w:rPr>
                <w:rFonts w:cs="Arial"/>
                <w:b/>
                <w:sz w:val="20"/>
                <w:szCs w:val="20"/>
              </w:rPr>
              <w:t>,</w:t>
            </w:r>
            <w:r w:rsidRPr="003342C3">
              <w:rPr>
                <w:rFonts w:cs="Arial"/>
                <w:b/>
                <w:sz w:val="20"/>
                <w:szCs w:val="20"/>
              </w:rPr>
              <w:t>489)</w:t>
            </w:r>
          </w:p>
        </w:tc>
        <w:tc>
          <w:tcPr>
            <w:tcW w:w="2557" w:type="dxa"/>
            <w:tcBorders>
              <w:top w:val="single" w:sz="4" w:space="0" w:color="auto"/>
            </w:tcBorders>
          </w:tcPr>
          <w:p w14:paraId="131944EE" w14:textId="5520AC74" w:rsidR="00DC25FD" w:rsidRPr="003342C3" w:rsidRDefault="00DC25FD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All food outlets (n=1</w:t>
            </w:r>
            <w:r w:rsidR="00C93901" w:rsidRPr="003342C3">
              <w:rPr>
                <w:rFonts w:cs="Arial"/>
                <w:sz w:val="20"/>
                <w:szCs w:val="20"/>
              </w:rPr>
              <w:t>,</w:t>
            </w:r>
            <w:r w:rsidRPr="003342C3">
              <w:rPr>
                <w:rFonts w:cs="Arial"/>
                <w:sz w:val="20"/>
                <w:szCs w:val="20"/>
              </w:rPr>
              <w:t>489)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4B762425" w14:textId="586A1779" w:rsidR="00DC25FD" w:rsidRPr="003342C3" w:rsidRDefault="009A5B11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-0.003</w:t>
            </w:r>
          </w:p>
        </w:tc>
        <w:tc>
          <w:tcPr>
            <w:tcW w:w="1618" w:type="dxa"/>
            <w:tcBorders>
              <w:top w:val="single" w:sz="4" w:space="0" w:color="auto"/>
            </w:tcBorders>
          </w:tcPr>
          <w:p w14:paraId="0E557670" w14:textId="79135BAA" w:rsidR="00DC25FD" w:rsidRPr="003342C3" w:rsidRDefault="009A5B11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[-0.010, 0.005]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14:paraId="7FAD55BD" w14:textId="7047564F" w:rsidR="00DC25FD" w:rsidRPr="003342C3" w:rsidRDefault="009A5B11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-0.001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37BF3690" w14:textId="7BC701DE" w:rsidR="00DC25FD" w:rsidRPr="003342C3" w:rsidRDefault="009A5B11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[-0.018; 0.014]</w:t>
            </w:r>
          </w:p>
        </w:tc>
        <w:tc>
          <w:tcPr>
            <w:tcW w:w="906" w:type="dxa"/>
            <w:tcBorders>
              <w:top w:val="single" w:sz="4" w:space="0" w:color="auto"/>
            </w:tcBorders>
          </w:tcPr>
          <w:p w14:paraId="3D9CF260" w14:textId="6A149CD1" w:rsidR="00DC25FD" w:rsidRPr="003342C3" w:rsidRDefault="006A4C56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0.001</w:t>
            </w:r>
          </w:p>
        </w:tc>
        <w:tc>
          <w:tcPr>
            <w:tcW w:w="1684" w:type="dxa"/>
            <w:tcBorders>
              <w:top w:val="single" w:sz="4" w:space="0" w:color="auto"/>
            </w:tcBorders>
          </w:tcPr>
          <w:p w14:paraId="490B3254" w14:textId="71031CF0" w:rsidR="00DC25FD" w:rsidRPr="003342C3" w:rsidRDefault="006A4C56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[-0.003; 0.004]</w:t>
            </w:r>
          </w:p>
        </w:tc>
      </w:tr>
      <w:tr w:rsidR="003342C3" w:rsidRPr="003342C3" w14:paraId="02814AAA" w14:textId="77777777" w:rsidTr="000E5B91">
        <w:tc>
          <w:tcPr>
            <w:tcW w:w="1963" w:type="dxa"/>
            <w:vMerge/>
          </w:tcPr>
          <w:p w14:paraId="25562A9D" w14:textId="77777777" w:rsidR="00DC25FD" w:rsidRPr="003342C3" w:rsidRDefault="00DC25FD" w:rsidP="00C93901">
            <w:pPr>
              <w:pStyle w:val="NoSpacing"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57" w:type="dxa"/>
          </w:tcPr>
          <w:p w14:paraId="75AD849A" w14:textId="77777777" w:rsidR="00DC25FD" w:rsidRPr="003342C3" w:rsidRDefault="00DC25FD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Takeaways (n=257)</w:t>
            </w:r>
          </w:p>
        </w:tc>
        <w:tc>
          <w:tcPr>
            <w:tcW w:w="895" w:type="dxa"/>
          </w:tcPr>
          <w:p w14:paraId="1CC4F14C" w14:textId="4D1D0B28" w:rsidR="00DC25FD" w:rsidRPr="003342C3" w:rsidRDefault="009A5B11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-0.001</w:t>
            </w:r>
          </w:p>
        </w:tc>
        <w:tc>
          <w:tcPr>
            <w:tcW w:w="1618" w:type="dxa"/>
          </w:tcPr>
          <w:p w14:paraId="4A69B312" w14:textId="7252F36F" w:rsidR="00DC25FD" w:rsidRPr="003342C3" w:rsidRDefault="009A5B11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[-0.035, 0.033]</w:t>
            </w:r>
          </w:p>
        </w:tc>
        <w:tc>
          <w:tcPr>
            <w:tcW w:w="950" w:type="dxa"/>
          </w:tcPr>
          <w:p w14:paraId="540797CC" w14:textId="30EF2D76" w:rsidR="00DC25FD" w:rsidRPr="003342C3" w:rsidRDefault="009A5B11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0.013</w:t>
            </w:r>
          </w:p>
        </w:tc>
        <w:tc>
          <w:tcPr>
            <w:tcW w:w="1673" w:type="dxa"/>
          </w:tcPr>
          <w:p w14:paraId="42575A48" w14:textId="62AFC947" w:rsidR="00DC25FD" w:rsidRPr="003342C3" w:rsidRDefault="009A5B11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[-0.056; 0.083]</w:t>
            </w:r>
          </w:p>
        </w:tc>
        <w:tc>
          <w:tcPr>
            <w:tcW w:w="906" w:type="dxa"/>
          </w:tcPr>
          <w:p w14:paraId="2C2F4896" w14:textId="6FF318C7" w:rsidR="00DC25FD" w:rsidRPr="003342C3" w:rsidRDefault="006A4C56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0.013</w:t>
            </w:r>
          </w:p>
        </w:tc>
        <w:tc>
          <w:tcPr>
            <w:tcW w:w="1684" w:type="dxa"/>
          </w:tcPr>
          <w:p w14:paraId="2D006076" w14:textId="5C0A8BB1" w:rsidR="00DC25FD" w:rsidRPr="003342C3" w:rsidRDefault="006A4C56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[-0.014; 0.040]</w:t>
            </w:r>
          </w:p>
        </w:tc>
      </w:tr>
      <w:tr w:rsidR="003342C3" w:rsidRPr="003342C3" w14:paraId="009811D6" w14:textId="77777777" w:rsidTr="000E5B91">
        <w:tc>
          <w:tcPr>
            <w:tcW w:w="1963" w:type="dxa"/>
            <w:vMerge/>
          </w:tcPr>
          <w:p w14:paraId="351A0D49" w14:textId="77777777" w:rsidR="00DC25FD" w:rsidRPr="003342C3" w:rsidRDefault="00DC25FD" w:rsidP="00C93901">
            <w:pPr>
              <w:pStyle w:val="NoSpacing"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57" w:type="dxa"/>
          </w:tcPr>
          <w:p w14:paraId="437C85D5" w14:textId="336D0A05" w:rsidR="00DC25FD" w:rsidRPr="003342C3" w:rsidRDefault="00DC25FD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Other retail (n=1</w:t>
            </w:r>
            <w:r w:rsidR="00DD2DFE" w:rsidRPr="003342C3">
              <w:rPr>
                <w:rFonts w:cs="Arial"/>
                <w:sz w:val="20"/>
                <w:szCs w:val="20"/>
              </w:rPr>
              <w:t>,</w:t>
            </w:r>
            <w:r w:rsidRPr="003342C3">
              <w:rPr>
                <w:rFonts w:cs="Arial"/>
                <w:sz w:val="20"/>
                <w:szCs w:val="20"/>
              </w:rPr>
              <w:t>172)</w:t>
            </w:r>
          </w:p>
        </w:tc>
        <w:tc>
          <w:tcPr>
            <w:tcW w:w="895" w:type="dxa"/>
          </w:tcPr>
          <w:p w14:paraId="1B2724D5" w14:textId="76B0795F" w:rsidR="00DC25FD" w:rsidRPr="003342C3" w:rsidRDefault="009A5B11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-0.004</w:t>
            </w:r>
          </w:p>
        </w:tc>
        <w:tc>
          <w:tcPr>
            <w:tcW w:w="1618" w:type="dxa"/>
          </w:tcPr>
          <w:p w14:paraId="47BCBACC" w14:textId="6B2D3203" w:rsidR="00DC25FD" w:rsidRPr="003342C3" w:rsidRDefault="009A5B11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[-0.014; 0.006]</w:t>
            </w:r>
          </w:p>
        </w:tc>
        <w:tc>
          <w:tcPr>
            <w:tcW w:w="950" w:type="dxa"/>
          </w:tcPr>
          <w:p w14:paraId="2E56FF86" w14:textId="68D4C136" w:rsidR="00DC25FD" w:rsidRPr="003342C3" w:rsidRDefault="009A5B11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-0.006</w:t>
            </w:r>
          </w:p>
        </w:tc>
        <w:tc>
          <w:tcPr>
            <w:tcW w:w="1673" w:type="dxa"/>
          </w:tcPr>
          <w:p w14:paraId="5A95823B" w14:textId="564339D1" w:rsidR="00DC25FD" w:rsidRPr="003342C3" w:rsidRDefault="009A5B11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[-0.</w:t>
            </w:r>
            <w:r w:rsidR="001064DB" w:rsidRPr="003342C3">
              <w:rPr>
                <w:rFonts w:cs="Arial"/>
                <w:sz w:val="20"/>
                <w:szCs w:val="20"/>
              </w:rPr>
              <w:t>026</w:t>
            </w:r>
            <w:r w:rsidRPr="003342C3">
              <w:rPr>
                <w:rFonts w:cs="Arial"/>
                <w:sz w:val="20"/>
                <w:szCs w:val="20"/>
              </w:rPr>
              <w:t>; 0.015]</w:t>
            </w:r>
          </w:p>
        </w:tc>
        <w:tc>
          <w:tcPr>
            <w:tcW w:w="906" w:type="dxa"/>
          </w:tcPr>
          <w:p w14:paraId="34B2075F" w14:textId="1F7A2065" w:rsidR="00DC25FD" w:rsidRPr="003342C3" w:rsidRDefault="006A4C56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0.001</w:t>
            </w:r>
          </w:p>
        </w:tc>
        <w:tc>
          <w:tcPr>
            <w:tcW w:w="1684" w:type="dxa"/>
          </w:tcPr>
          <w:p w14:paraId="2CD19D9B" w14:textId="2B398A40" w:rsidR="00DC25FD" w:rsidRPr="003342C3" w:rsidRDefault="006A4C56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[-0.004; 0.005]</w:t>
            </w:r>
          </w:p>
        </w:tc>
      </w:tr>
      <w:tr w:rsidR="003342C3" w:rsidRPr="003342C3" w14:paraId="45965C13" w14:textId="77777777" w:rsidTr="000E5B91">
        <w:tc>
          <w:tcPr>
            <w:tcW w:w="1963" w:type="dxa"/>
            <w:vMerge/>
          </w:tcPr>
          <w:p w14:paraId="64F10001" w14:textId="77777777" w:rsidR="00DC25FD" w:rsidRPr="003342C3" w:rsidRDefault="00DC25FD" w:rsidP="00C93901">
            <w:pPr>
              <w:pStyle w:val="NoSpacing"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57" w:type="dxa"/>
          </w:tcPr>
          <w:p w14:paraId="0C9A0839" w14:textId="77777777" w:rsidR="00DC25FD" w:rsidRPr="003342C3" w:rsidRDefault="00DC25FD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Supermarkets (n=60)</w:t>
            </w:r>
          </w:p>
        </w:tc>
        <w:tc>
          <w:tcPr>
            <w:tcW w:w="895" w:type="dxa"/>
          </w:tcPr>
          <w:p w14:paraId="0C3A3A31" w14:textId="5C0727BE" w:rsidR="00DC25FD" w:rsidRPr="003342C3" w:rsidRDefault="009A5B11" w:rsidP="001064DB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-0.</w:t>
            </w:r>
            <w:r w:rsidR="001064DB" w:rsidRPr="003342C3">
              <w:rPr>
                <w:rFonts w:cs="Arial"/>
                <w:sz w:val="20"/>
                <w:szCs w:val="20"/>
              </w:rPr>
              <w:t>048</w:t>
            </w:r>
          </w:p>
        </w:tc>
        <w:tc>
          <w:tcPr>
            <w:tcW w:w="1618" w:type="dxa"/>
          </w:tcPr>
          <w:p w14:paraId="30D72838" w14:textId="19B9B84D" w:rsidR="00DC25FD" w:rsidRPr="003342C3" w:rsidRDefault="009A5B11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[-0.223, 0.127]</w:t>
            </w:r>
          </w:p>
        </w:tc>
        <w:tc>
          <w:tcPr>
            <w:tcW w:w="950" w:type="dxa"/>
          </w:tcPr>
          <w:p w14:paraId="492EAB95" w14:textId="0FBDA226" w:rsidR="00DC25FD" w:rsidRPr="003342C3" w:rsidRDefault="009A5B11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0.121</w:t>
            </w:r>
          </w:p>
        </w:tc>
        <w:tc>
          <w:tcPr>
            <w:tcW w:w="1673" w:type="dxa"/>
          </w:tcPr>
          <w:p w14:paraId="1E7958A9" w14:textId="79025070" w:rsidR="00DC25FD" w:rsidRPr="003342C3" w:rsidRDefault="009A5B11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[-0.171; 0.414]</w:t>
            </w:r>
          </w:p>
        </w:tc>
        <w:tc>
          <w:tcPr>
            <w:tcW w:w="906" w:type="dxa"/>
          </w:tcPr>
          <w:p w14:paraId="304B0398" w14:textId="59797EA2" w:rsidR="00DC25FD" w:rsidRPr="003342C3" w:rsidRDefault="006A4C56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0.001</w:t>
            </w:r>
          </w:p>
        </w:tc>
        <w:tc>
          <w:tcPr>
            <w:tcW w:w="1684" w:type="dxa"/>
          </w:tcPr>
          <w:p w14:paraId="48D59A89" w14:textId="24FBEE56" w:rsidR="00DC25FD" w:rsidRPr="003342C3" w:rsidRDefault="006A4C56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[-0.122; 0.124]</w:t>
            </w:r>
          </w:p>
        </w:tc>
      </w:tr>
      <w:tr w:rsidR="003342C3" w:rsidRPr="003342C3" w14:paraId="46E30992" w14:textId="77777777" w:rsidTr="000E5B91">
        <w:tc>
          <w:tcPr>
            <w:tcW w:w="1963" w:type="dxa"/>
            <w:vMerge w:val="restart"/>
          </w:tcPr>
          <w:p w14:paraId="34572ABB" w14:textId="4FCA7B79" w:rsidR="00DC25FD" w:rsidRPr="003342C3" w:rsidRDefault="00DC25FD" w:rsidP="00C93901">
            <w:pPr>
              <w:pStyle w:val="NoSpacing"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342C3">
              <w:rPr>
                <w:rFonts w:cs="Arial"/>
                <w:b/>
                <w:sz w:val="20"/>
                <w:szCs w:val="20"/>
              </w:rPr>
              <w:t>Point of Interest (n=869)</w:t>
            </w:r>
          </w:p>
        </w:tc>
        <w:tc>
          <w:tcPr>
            <w:tcW w:w="2557" w:type="dxa"/>
          </w:tcPr>
          <w:p w14:paraId="0F0F1C02" w14:textId="77777777" w:rsidR="00DC25FD" w:rsidRPr="003342C3" w:rsidRDefault="00DC25FD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All food outlets (n=869)</w:t>
            </w:r>
          </w:p>
        </w:tc>
        <w:tc>
          <w:tcPr>
            <w:tcW w:w="895" w:type="dxa"/>
          </w:tcPr>
          <w:p w14:paraId="51B2248F" w14:textId="4E23EA90" w:rsidR="00DC25FD" w:rsidRPr="003342C3" w:rsidRDefault="00C827B7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-0.006</w:t>
            </w:r>
          </w:p>
        </w:tc>
        <w:tc>
          <w:tcPr>
            <w:tcW w:w="1618" w:type="dxa"/>
          </w:tcPr>
          <w:p w14:paraId="3A3165C1" w14:textId="059B6854" w:rsidR="00DC25FD" w:rsidRPr="003342C3" w:rsidRDefault="00C827B7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[-0.016; 0.003]</w:t>
            </w:r>
          </w:p>
        </w:tc>
        <w:tc>
          <w:tcPr>
            <w:tcW w:w="950" w:type="dxa"/>
          </w:tcPr>
          <w:p w14:paraId="141974DB" w14:textId="0D29A5D1" w:rsidR="00DC25FD" w:rsidRPr="003342C3" w:rsidRDefault="0091397C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 xml:space="preserve">-0.005 </w:t>
            </w:r>
          </w:p>
        </w:tc>
        <w:tc>
          <w:tcPr>
            <w:tcW w:w="1673" w:type="dxa"/>
          </w:tcPr>
          <w:p w14:paraId="2FA4C3EF" w14:textId="11CB082A" w:rsidR="00DC25FD" w:rsidRPr="003342C3" w:rsidRDefault="0091397C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[-0.023; 0.012]</w:t>
            </w:r>
          </w:p>
        </w:tc>
        <w:tc>
          <w:tcPr>
            <w:tcW w:w="906" w:type="dxa"/>
          </w:tcPr>
          <w:p w14:paraId="5EFD8183" w14:textId="64FFD2CF" w:rsidR="00DC25FD" w:rsidRPr="003342C3" w:rsidRDefault="00DC25FD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-0.001</w:t>
            </w:r>
          </w:p>
        </w:tc>
        <w:tc>
          <w:tcPr>
            <w:tcW w:w="1684" w:type="dxa"/>
          </w:tcPr>
          <w:p w14:paraId="3E5E68B0" w14:textId="53E2102D" w:rsidR="00DC25FD" w:rsidRPr="003342C3" w:rsidRDefault="00DC25FD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[-0.006; 0.005]</w:t>
            </w:r>
          </w:p>
        </w:tc>
      </w:tr>
      <w:tr w:rsidR="003342C3" w:rsidRPr="003342C3" w14:paraId="5D1C6C5C" w14:textId="77777777" w:rsidTr="000E5B91">
        <w:tc>
          <w:tcPr>
            <w:tcW w:w="1963" w:type="dxa"/>
            <w:vMerge/>
            <w:vAlign w:val="center"/>
          </w:tcPr>
          <w:p w14:paraId="0EF2F385" w14:textId="77777777" w:rsidR="00DC25FD" w:rsidRPr="003342C3" w:rsidRDefault="00DC25FD" w:rsidP="00DC25FD">
            <w:pPr>
              <w:pStyle w:val="NoSpacing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57" w:type="dxa"/>
          </w:tcPr>
          <w:p w14:paraId="1974E1C0" w14:textId="77777777" w:rsidR="00DC25FD" w:rsidRPr="003342C3" w:rsidRDefault="00DC25FD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Takeaways (n=234)</w:t>
            </w:r>
          </w:p>
        </w:tc>
        <w:tc>
          <w:tcPr>
            <w:tcW w:w="895" w:type="dxa"/>
          </w:tcPr>
          <w:p w14:paraId="34055193" w14:textId="35FE12BE" w:rsidR="00DC25FD" w:rsidRPr="003342C3" w:rsidRDefault="00C827B7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-0.010</w:t>
            </w:r>
          </w:p>
        </w:tc>
        <w:tc>
          <w:tcPr>
            <w:tcW w:w="1618" w:type="dxa"/>
          </w:tcPr>
          <w:p w14:paraId="4B17518A" w14:textId="6F21CDA6" w:rsidR="00DC25FD" w:rsidRPr="003342C3" w:rsidRDefault="00C827B7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[-0.045; 0.025]</w:t>
            </w:r>
          </w:p>
        </w:tc>
        <w:tc>
          <w:tcPr>
            <w:tcW w:w="950" w:type="dxa"/>
          </w:tcPr>
          <w:p w14:paraId="589FEC81" w14:textId="5A14873B" w:rsidR="00DC25FD" w:rsidRPr="003342C3" w:rsidRDefault="00DC25FD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 xml:space="preserve">0.014 </w:t>
            </w:r>
          </w:p>
        </w:tc>
        <w:tc>
          <w:tcPr>
            <w:tcW w:w="1673" w:type="dxa"/>
          </w:tcPr>
          <w:p w14:paraId="0A40F4BF" w14:textId="1A48CB32" w:rsidR="00DC25FD" w:rsidRPr="003342C3" w:rsidRDefault="00DC25FD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[-0.041; 0.068]</w:t>
            </w:r>
          </w:p>
        </w:tc>
        <w:tc>
          <w:tcPr>
            <w:tcW w:w="906" w:type="dxa"/>
          </w:tcPr>
          <w:p w14:paraId="78F9FBBB" w14:textId="03E82A04" w:rsidR="00DC25FD" w:rsidRPr="003342C3" w:rsidRDefault="00DC25FD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-0.002</w:t>
            </w:r>
          </w:p>
        </w:tc>
        <w:tc>
          <w:tcPr>
            <w:tcW w:w="1684" w:type="dxa"/>
          </w:tcPr>
          <w:p w14:paraId="293B258D" w14:textId="434765F7" w:rsidR="00DC25FD" w:rsidRPr="003342C3" w:rsidRDefault="001064DB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 xml:space="preserve">[-0.023; </w:t>
            </w:r>
            <w:r w:rsidR="00DC25FD" w:rsidRPr="003342C3">
              <w:rPr>
                <w:rFonts w:cs="Arial"/>
                <w:sz w:val="20"/>
                <w:szCs w:val="20"/>
              </w:rPr>
              <w:t>0.019]</w:t>
            </w:r>
          </w:p>
        </w:tc>
      </w:tr>
      <w:tr w:rsidR="003342C3" w:rsidRPr="003342C3" w14:paraId="5547CA64" w14:textId="77777777" w:rsidTr="000E5B91">
        <w:tc>
          <w:tcPr>
            <w:tcW w:w="1963" w:type="dxa"/>
            <w:vMerge/>
            <w:vAlign w:val="center"/>
          </w:tcPr>
          <w:p w14:paraId="2675F2F8" w14:textId="77777777" w:rsidR="00DC25FD" w:rsidRPr="003342C3" w:rsidRDefault="00DC25FD" w:rsidP="00DC25FD">
            <w:pPr>
              <w:pStyle w:val="NoSpacing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57" w:type="dxa"/>
          </w:tcPr>
          <w:p w14:paraId="15F6DD00" w14:textId="77777777" w:rsidR="00DC25FD" w:rsidRPr="003342C3" w:rsidRDefault="00DC25FD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Other retail (n=583)</w:t>
            </w:r>
          </w:p>
        </w:tc>
        <w:tc>
          <w:tcPr>
            <w:tcW w:w="895" w:type="dxa"/>
          </w:tcPr>
          <w:p w14:paraId="3A8918B9" w14:textId="69B50BFA" w:rsidR="00DC25FD" w:rsidRPr="003342C3" w:rsidRDefault="00C827B7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-0.010</w:t>
            </w:r>
          </w:p>
        </w:tc>
        <w:tc>
          <w:tcPr>
            <w:tcW w:w="1618" w:type="dxa"/>
          </w:tcPr>
          <w:p w14:paraId="3886553D" w14:textId="619965B0" w:rsidR="00DC25FD" w:rsidRPr="003342C3" w:rsidRDefault="00C827B7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[-0.024; 0.003]</w:t>
            </w:r>
          </w:p>
        </w:tc>
        <w:tc>
          <w:tcPr>
            <w:tcW w:w="950" w:type="dxa"/>
          </w:tcPr>
          <w:p w14:paraId="1480CB72" w14:textId="3A3F082E" w:rsidR="00DC25FD" w:rsidRPr="003342C3" w:rsidRDefault="003B7D7B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-0.016</w:t>
            </w:r>
          </w:p>
        </w:tc>
        <w:tc>
          <w:tcPr>
            <w:tcW w:w="1673" w:type="dxa"/>
          </w:tcPr>
          <w:p w14:paraId="2C09966D" w14:textId="40039A9F" w:rsidR="00DC25FD" w:rsidRPr="003342C3" w:rsidRDefault="003B7D7B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 xml:space="preserve">[-0.040; 0.008] </w:t>
            </w:r>
          </w:p>
        </w:tc>
        <w:tc>
          <w:tcPr>
            <w:tcW w:w="906" w:type="dxa"/>
          </w:tcPr>
          <w:p w14:paraId="06DCAE6A" w14:textId="7430DF92" w:rsidR="00DC25FD" w:rsidRPr="003342C3" w:rsidRDefault="00DC25FD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-0.002</w:t>
            </w:r>
          </w:p>
        </w:tc>
        <w:tc>
          <w:tcPr>
            <w:tcW w:w="1684" w:type="dxa"/>
          </w:tcPr>
          <w:p w14:paraId="5B1BD1AD" w14:textId="28FCC220" w:rsidR="00DC25FD" w:rsidRPr="003342C3" w:rsidRDefault="00DC25FD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 xml:space="preserve">[-0.009; 0.005] </w:t>
            </w:r>
          </w:p>
        </w:tc>
      </w:tr>
      <w:tr w:rsidR="003342C3" w:rsidRPr="003342C3" w14:paraId="028895AB" w14:textId="77777777" w:rsidTr="000E5B91">
        <w:tc>
          <w:tcPr>
            <w:tcW w:w="1963" w:type="dxa"/>
            <w:vMerge/>
            <w:tcBorders>
              <w:bottom w:val="single" w:sz="4" w:space="0" w:color="auto"/>
            </w:tcBorders>
            <w:vAlign w:val="center"/>
          </w:tcPr>
          <w:p w14:paraId="3E2C316D" w14:textId="77777777" w:rsidR="00DC25FD" w:rsidRPr="003342C3" w:rsidRDefault="00DC25FD" w:rsidP="00DC25FD">
            <w:pPr>
              <w:pStyle w:val="NoSpacing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4070E6EF" w14:textId="77777777" w:rsidR="00DC25FD" w:rsidRPr="003342C3" w:rsidRDefault="00DC25FD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Supermarkets (n=52)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46582B7A" w14:textId="54DEF20B" w:rsidR="00DC25FD" w:rsidRPr="003342C3" w:rsidRDefault="00C827B7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0.027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14:paraId="3F88BA31" w14:textId="07F8796D" w:rsidR="00DC25FD" w:rsidRPr="003342C3" w:rsidRDefault="00C827B7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[-0.114; 0.169]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7B5BBF97" w14:textId="5B3A856E" w:rsidR="00DC25FD" w:rsidRPr="003342C3" w:rsidRDefault="00DC25FD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*0.392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09D2033D" w14:textId="647D8FD4" w:rsidR="00DC25FD" w:rsidRPr="003342C3" w:rsidRDefault="003B7D7B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[0.123;</w:t>
            </w:r>
            <w:r w:rsidR="00DC25FD" w:rsidRPr="003342C3">
              <w:rPr>
                <w:rFonts w:cs="Arial"/>
                <w:sz w:val="20"/>
                <w:szCs w:val="20"/>
              </w:rPr>
              <w:t xml:space="preserve"> 0.662]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58D2E68B" w14:textId="7592ACEC" w:rsidR="00DC25FD" w:rsidRPr="003342C3" w:rsidRDefault="00DC25FD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*0.214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14:paraId="2DE342DB" w14:textId="51F5E8D4" w:rsidR="00DC25FD" w:rsidRPr="003342C3" w:rsidRDefault="00DC25FD" w:rsidP="00DC25FD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[0.09; 0.339]</w:t>
            </w:r>
          </w:p>
        </w:tc>
      </w:tr>
      <w:tr w:rsidR="003342C3" w:rsidRPr="003342C3" w14:paraId="4712BF25" w14:textId="77777777" w:rsidTr="000E5B91">
        <w:trPr>
          <w:trHeight w:val="298"/>
        </w:trPr>
        <w:tc>
          <w:tcPr>
            <w:tcW w:w="1963" w:type="dxa"/>
            <w:tcBorders>
              <w:top w:val="single" w:sz="4" w:space="0" w:color="auto"/>
            </w:tcBorders>
          </w:tcPr>
          <w:p w14:paraId="46BF6065" w14:textId="77777777" w:rsidR="00DD2DFE" w:rsidRPr="003342C3" w:rsidRDefault="00DD2DFE" w:rsidP="00C93901">
            <w:pPr>
              <w:pStyle w:val="NoSpacing"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</w:tcBorders>
          </w:tcPr>
          <w:p w14:paraId="36E1D39D" w14:textId="77777777" w:rsidR="00DD2DFE" w:rsidRPr="003342C3" w:rsidRDefault="00DD2DFE" w:rsidP="00C93901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13" w:type="dxa"/>
            <w:gridSpan w:val="2"/>
            <w:tcBorders>
              <w:top w:val="single" w:sz="4" w:space="0" w:color="auto"/>
            </w:tcBorders>
            <w:vAlign w:val="center"/>
          </w:tcPr>
          <w:p w14:paraId="10800E79" w14:textId="50A3E0D3" w:rsidR="00DD2DFE" w:rsidRPr="003342C3" w:rsidRDefault="00DD2DFE" w:rsidP="003D5D7B">
            <w:pPr>
              <w:pStyle w:val="NoSpacing"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342C3">
              <w:rPr>
                <w:rFonts w:cs="Arial"/>
                <w:b/>
                <w:sz w:val="20"/>
                <w:szCs w:val="20"/>
              </w:rPr>
              <w:t>Mean</w:t>
            </w:r>
            <w:r w:rsidR="003D5D7B" w:rsidRPr="003342C3">
              <w:rPr>
                <w:rFonts w:cs="Arial"/>
                <w:b/>
                <w:sz w:val="20"/>
                <w:szCs w:val="20"/>
              </w:rPr>
              <w:t>(SD)</w:t>
            </w:r>
            <w:r w:rsidRPr="003342C3">
              <w:rPr>
                <w:rFonts w:cs="Arial"/>
                <w:b/>
                <w:sz w:val="20"/>
                <w:szCs w:val="20"/>
              </w:rPr>
              <w:t>,</w:t>
            </w:r>
            <w:r w:rsidR="003D5D7B" w:rsidRPr="003342C3">
              <w:rPr>
                <w:rFonts w:cs="Arial"/>
                <w:b/>
                <w:sz w:val="20"/>
                <w:szCs w:val="20"/>
              </w:rPr>
              <w:t>Max</w:t>
            </w:r>
            <w:r w:rsidR="000E5B91" w:rsidRPr="003342C3">
              <w:rPr>
                <w:rFonts w:cs="Arial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</w:tcBorders>
            <w:vAlign w:val="center"/>
          </w:tcPr>
          <w:p w14:paraId="787F8220" w14:textId="39F4F0B2" w:rsidR="00DD2DFE" w:rsidRPr="003342C3" w:rsidRDefault="003D5D7B" w:rsidP="003D5D7B">
            <w:pPr>
              <w:pStyle w:val="NoSpacing"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342C3">
              <w:rPr>
                <w:rFonts w:cs="Arial"/>
                <w:b/>
                <w:sz w:val="20"/>
                <w:szCs w:val="20"/>
              </w:rPr>
              <w:t>Mean(SD),Max</w:t>
            </w:r>
            <w:r w:rsidR="000E5B91" w:rsidRPr="003342C3">
              <w:rPr>
                <w:rFonts w:cs="Arial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</w:tcBorders>
            <w:vAlign w:val="center"/>
          </w:tcPr>
          <w:p w14:paraId="4F4FE50B" w14:textId="04C2A1AD" w:rsidR="00DD2DFE" w:rsidRPr="003342C3" w:rsidRDefault="003D5D7B" w:rsidP="00DD2DFE">
            <w:pPr>
              <w:pStyle w:val="NoSpacing"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342C3">
              <w:rPr>
                <w:rFonts w:cs="Arial"/>
                <w:b/>
                <w:sz w:val="20"/>
                <w:szCs w:val="20"/>
              </w:rPr>
              <w:t>Mean(SD),Max</w:t>
            </w:r>
            <w:r w:rsidR="000E5B91" w:rsidRPr="003342C3">
              <w:rPr>
                <w:rFonts w:cs="Arial"/>
                <w:sz w:val="20"/>
                <w:szCs w:val="20"/>
                <w:vertAlign w:val="superscript"/>
              </w:rPr>
              <w:t>+</w:t>
            </w:r>
          </w:p>
        </w:tc>
      </w:tr>
      <w:tr w:rsidR="003342C3" w:rsidRPr="003342C3" w14:paraId="01690F94" w14:textId="77777777" w:rsidTr="000E5B91">
        <w:trPr>
          <w:trHeight w:val="892"/>
        </w:trPr>
        <w:tc>
          <w:tcPr>
            <w:tcW w:w="1963" w:type="dxa"/>
            <w:vMerge w:val="restart"/>
          </w:tcPr>
          <w:p w14:paraId="316197F9" w14:textId="77777777" w:rsidR="006B49F8" w:rsidRPr="003342C3" w:rsidRDefault="006B49F8" w:rsidP="00C93901">
            <w:pPr>
              <w:pStyle w:val="NoSpacing"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342C3">
              <w:rPr>
                <w:rFonts w:cs="Arial"/>
                <w:b/>
                <w:sz w:val="20"/>
                <w:szCs w:val="20"/>
              </w:rPr>
              <w:t>Local Authority</w:t>
            </w:r>
          </w:p>
          <w:p w14:paraId="7417668D" w14:textId="6752212E" w:rsidR="006B49F8" w:rsidRPr="003342C3" w:rsidRDefault="006B49F8" w:rsidP="00C93901">
            <w:pPr>
              <w:pStyle w:val="NoSpacing"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342C3">
              <w:rPr>
                <w:rFonts w:cs="Arial"/>
                <w:b/>
                <w:sz w:val="20"/>
                <w:szCs w:val="20"/>
              </w:rPr>
              <w:t>(n=1,489)</w:t>
            </w:r>
          </w:p>
        </w:tc>
        <w:tc>
          <w:tcPr>
            <w:tcW w:w="2557" w:type="dxa"/>
            <w:vMerge w:val="restart"/>
          </w:tcPr>
          <w:p w14:paraId="0F42091C" w14:textId="11E5FC0C" w:rsidR="006B49F8" w:rsidRPr="003342C3" w:rsidRDefault="006B49F8" w:rsidP="00C93901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All food outlets (n=1,489)</w:t>
            </w:r>
          </w:p>
          <w:p w14:paraId="3DBBACDF" w14:textId="3F031427" w:rsidR="006B49F8" w:rsidRPr="003342C3" w:rsidRDefault="006B49F8" w:rsidP="00C93901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Takeaway (n=257)</w:t>
            </w:r>
          </w:p>
          <w:p w14:paraId="2B017A09" w14:textId="7428F40E" w:rsidR="006B49F8" w:rsidRPr="003342C3" w:rsidRDefault="006B49F8" w:rsidP="00C93901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Other retail (n=1,172)</w:t>
            </w:r>
          </w:p>
          <w:p w14:paraId="40C620BD" w14:textId="6969B9CF" w:rsidR="006B49F8" w:rsidRPr="003342C3" w:rsidRDefault="006B49F8" w:rsidP="00C93901">
            <w:pPr>
              <w:pStyle w:val="NoSpacing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Supermarkets (n=60)</w:t>
            </w:r>
          </w:p>
        </w:tc>
        <w:tc>
          <w:tcPr>
            <w:tcW w:w="2513" w:type="dxa"/>
            <w:gridSpan w:val="2"/>
          </w:tcPr>
          <w:p w14:paraId="3646E61E" w14:textId="65EDA8F2" w:rsidR="006B49F8" w:rsidRPr="003342C3" w:rsidRDefault="006B49F8" w:rsidP="003D5D7B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12.28(17.55),125.00</w:t>
            </w:r>
          </w:p>
          <w:p w14:paraId="1E73510A" w14:textId="1888B1D0" w:rsidR="006B49F8" w:rsidRPr="003342C3" w:rsidRDefault="006B49F8" w:rsidP="003D5D7B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2.21(4.08),20.83</w:t>
            </w:r>
          </w:p>
          <w:p w14:paraId="1B00FBB7" w14:textId="45CF2D2F" w:rsidR="006B49F8" w:rsidRPr="003342C3" w:rsidRDefault="006B49F8" w:rsidP="003D5D7B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9.73(13.72),104.61</w:t>
            </w:r>
          </w:p>
          <w:p w14:paraId="17E00FC2" w14:textId="724252BD" w:rsidR="006B49F8" w:rsidRPr="003342C3" w:rsidRDefault="006B49F8" w:rsidP="006B49F8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0.33(0.81),6.25</w:t>
            </w:r>
          </w:p>
        </w:tc>
        <w:tc>
          <w:tcPr>
            <w:tcW w:w="2623" w:type="dxa"/>
            <w:gridSpan w:val="2"/>
            <w:vMerge w:val="restart"/>
          </w:tcPr>
          <w:p w14:paraId="581077E6" w14:textId="16AF46F4" w:rsidR="006B49F8" w:rsidRPr="003342C3" w:rsidRDefault="006B49F8" w:rsidP="00C93901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7.55(8.72),160.00</w:t>
            </w:r>
          </w:p>
          <w:p w14:paraId="1679D79C" w14:textId="41130581" w:rsidR="006B49F8" w:rsidRPr="003342C3" w:rsidRDefault="006B49F8" w:rsidP="00C93901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1.48(2.04),23.00</w:t>
            </w:r>
          </w:p>
          <w:p w14:paraId="232C2B79" w14:textId="2144DA60" w:rsidR="006B49F8" w:rsidRPr="003342C3" w:rsidRDefault="006B49F8" w:rsidP="00C93901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5.80(6.97),135.00</w:t>
            </w:r>
          </w:p>
          <w:p w14:paraId="708C8C42" w14:textId="3E5E936B" w:rsidR="006B49F8" w:rsidRPr="003342C3" w:rsidRDefault="006B49F8" w:rsidP="006B49F8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0.27(0.49),3.00</w:t>
            </w:r>
          </w:p>
          <w:p w14:paraId="0B7D4D92" w14:textId="0AD146EC" w:rsidR="006B49F8" w:rsidRPr="003342C3" w:rsidRDefault="006B49F8" w:rsidP="00C93901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vMerge w:val="restart"/>
          </w:tcPr>
          <w:p w14:paraId="05477384" w14:textId="693A1466" w:rsidR="006B49F8" w:rsidRPr="003342C3" w:rsidRDefault="006B49F8" w:rsidP="00C93901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38.46(34.66),244.00</w:t>
            </w:r>
          </w:p>
          <w:p w14:paraId="21274D25" w14:textId="69CE686A" w:rsidR="006B49F8" w:rsidRPr="003342C3" w:rsidRDefault="006B49F8" w:rsidP="00C93901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7.03(5.59),33.00</w:t>
            </w:r>
          </w:p>
          <w:p w14:paraId="7BC75523" w14:textId="338C4F3F" w:rsidR="006B49F8" w:rsidRPr="003342C3" w:rsidRDefault="006B49F8" w:rsidP="00C93901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30.22(29.08),204.00</w:t>
            </w:r>
          </w:p>
          <w:p w14:paraId="11DA5E87" w14:textId="117A7EA5" w:rsidR="006B49F8" w:rsidRPr="003342C3" w:rsidRDefault="006B49F8" w:rsidP="00C93901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1.21(1.32),7.00</w:t>
            </w:r>
          </w:p>
        </w:tc>
      </w:tr>
      <w:tr w:rsidR="003342C3" w:rsidRPr="003342C3" w14:paraId="0E947E53" w14:textId="77777777" w:rsidTr="000E5B91">
        <w:trPr>
          <w:trHeight w:val="297"/>
        </w:trPr>
        <w:tc>
          <w:tcPr>
            <w:tcW w:w="1963" w:type="dxa"/>
            <w:vMerge/>
          </w:tcPr>
          <w:p w14:paraId="0F3B25A6" w14:textId="420FF0E1" w:rsidR="006B49F8" w:rsidRPr="003342C3" w:rsidRDefault="006B49F8" w:rsidP="00C93901">
            <w:pPr>
              <w:pStyle w:val="NoSpacing"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vMerge/>
          </w:tcPr>
          <w:p w14:paraId="6B1FFCFC" w14:textId="77777777" w:rsidR="006B49F8" w:rsidRPr="003342C3" w:rsidRDefault="006B49F8" w:rsidP="00C93901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13" w:type="dxa"/>
            <w:gridSpan w:val="2"/>
          </w:tcPr>
          <w:p w14:paraId="45394BC7" w14:textId="77777777" w:rsidR="006B49F8" w:rsidRPr="003342C3" w:rsidRDefault="006B49F8" w:rsidP="00C93901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23" w:type="dxa"/>
            <w:gridSpan w:val="2"/>
            <w:vMerge/>
          </w:tcPr>
          <w:p w14:paraId="6B66BE28" w14:textId="77777777" w:rsidR="006B49F8" w:rsidRPr="003342C3" w:rsidRDefault="006B49F8" w:rsidP="00C93901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vMerge/>
          </w:tcPr>
          <w:p w14:paraId="3280B45F" w14:textId="77777777" w:rsidR="006B49F8" w:rsidRPr="003342C3" w:rsidRDefault="006B49F8" w:rsidP="00C93901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3342C3" w:rsidRPr="003342C3" w14:paraId="323729FF" w14:textId="77777777" w:rsidTr="000E5B91">
        <w:trPr>
          <w:trHeight w:val="256"/>
        </w:trPr>
        <w:tc>
          <w:tcPr>
            <w:tcW w:w="1963" w:type="dxa"/>
            <w:vMerge w:val="restart"/>
          </w:tcPr>
          <w:p w14:paraId="456AFAF2" w14:textId="7BA92C68" w:rsidR="00E04108" w:rsidRPr="003342C3" w:rsidRDefault="00E04108" w:rsidP="00C93901">
            <w:pPr>
              <w:pStyle w:val="NoSpacing"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342C3">
              <w:rPr>
                <w:rFonts w:cs="Arial"/>
                <w:b/>
                <w:sz w:val="20"/>
                <w:szCs w:val="20"/>
              </w:rPr>
              <w:t>Point of Interest (n=869)</w:t>
            </w:r>
          </w:p>
        </w:tc>
        <w:tc>
          <w:tcPr>
            <w:tcW w:w="2557" w:type="dxa"/>
          </w:tcPr>
          <w:p w14:paraId="3429F3A7" w14:textId="24197CC8" w:rsidR="00E04108" w:rsidRPr="003342C3" w:rsidRDefault="00E04108" w:rsidP="00C93901">
            <w:pPr>
              <w:pStyle w:val="NoSpacing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All food outlets (n=869)</w:t>
            </w:r>
          </w:p>
        </w:tc>
        <w:tc>
          <w:tcPr>
            <w:tcW w:w="2513" w:type="dxa"/>
            <w:gridSpan w:val="2"/>
          </w:tcPr>
          <w:p w14:paraId="48750A0F" w14:textId="74A59473" w:rsidR="00E04108" w:rsidRPr="003342C3" w:rsidRDefault="00E04108" w:rsidP="00C93901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7.49(14.22),94.08</w:t>
            </w:r>
          </w:p>
        </w:tc>
        <w:tc>
          <w:tcPr>
            <w:tcW w:w="2623" w:type="dxa"/>
            <w:gridSpan w:val="2"/>
            <w:vMerge w:val="restart"/>
          </w:tcPr>
          <w:p w14:paraId="11A0D344" w14:textId="7BEBDF68" w:rsidR="00E04108" w:rsidRPr="003342C3" w:rsidRDefault="00E04108" w:rsidP="00C93901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4.86(8.25),114.00</w:t>
            </w:r>
          </w:p>
          <w:p w14:paraId="61D5A45A" w14:textId="061995A4" w:rsidR="00E04108" w:rsidRPr="003342C3" w:rsidRDefault="00E04108" w:rsidP="00C93901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1.43(2.62),33.00</w:t>
            </w:r>
          </w:p>
          <w:p w14:paraId="5C0F09EE" w14:textId="110F1081" w:rsidR="00E04108" w:rsidRPr="003342C3" w:rsidRDefault="00E04108" w:rsidP="00C93901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3.18(5.89),81.00</w:t>
            </w:r>
          </w:p>
          <w:p w14:paraId="71E0FCE9" w14:textId="2846280E" w:rsidR="00E04108" w:rsidRPr="003342C3" w:rsidRDefault="00E04108" w:rsidP="00F23444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0.25(0.51),4.00</w:t>
            </w:r>
          </w:p>
        </w:tc>
        <w:tc>
          <w:tcPr>
            <w:tcW w:w="2590" w:type="dxa"/>
            <w:gridSpan w:val="2"/>
            <w:vMerge w:val="restart"/>
          </w:tcPr>
          <w:p w14:paraId="65848BE6" w14:textId="11C8F8D4" w:rsidR="00E04108" w:rsidRPr="003342C3" w:rsidRDefault="00E04108" w:rsidP="00C93901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24.69(26.80),170.00</w:t>
            </w:r>
          </w:p>
          <w:p w14:paraId="28F7E05B" w14:textId="43B7F7EB" w:rsidR="00E04108" w:rsidRPr="003342C3" w:rsidRDefault="00E04108" w:rsidP="00C93901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6.78(7.16),44.00</w:t>
            </w:r>
          </w:p>
          <w:p w14:paraId="4866C8D1" w14:textId="6247F0E6" w:rsidR="00E04108" w:rsidRPr="003342C3" w:rsidRDefault="00E04108" w:rsidP="00C93901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16.72(19.79),125.00</w:t>
            </w:r>
          </w:p>
          <w:p w14:paraId="1F343DE5" w14:textId="1BDF50C1" w:rsidR="00E04108" w:rsidRPr="003342C3" w:rsidRDefault="00E04108" w:rsidP="00F23444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1.18(1.11),5.00</w:t>
            </w:r>
          </w:p>
        </w:tc>
      </w:tr>
      <w:tr w:rsidR="003342C3" w:rsidRPr="003342C3" w14:paraId="5227510C" w14:textId="77777777" w:rsidTr="000E5B91">
        <w:trPr>
          <w:trHeight w:val="256"/>
        </w:trPr>
        <w:tc>
          <w:tcPr>
            <w:tcW w:w="1963" w:type="dxa"/>
            <w:vMerge/>
            <w:vAlign w:val="center"/>
          </w:tcPr>
          <w:p w14:paraId="094C9060" w14:textId="77777777" w:rsidR="00E04108" w:rsidRPr="003342C3" w:rsidRDefault="00E04108" w:rsidP="00C93901">
            <w:pPr>
              <w:pStyle w:val="NoSpacing"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57" w:type="dxa"/>
          </w:tcPr>
          <w:p w14:paraId="594B7ABB" w14:textId="00D4C6D2" w:rsidR="00E04108" w:rsidRPr="003342C3" w:rsidRDefault="00E04108" w:rsidP="00C93901">
            <w:pPr>
              <w:pStyle w:val="NoSpacing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Takeaways (n=234)</w:t>
            </w:r>
          </w:p>
        </w:tc>
        <w:tc>
          <w:tcPr>
            <w:tcW w:w="2513" w:type="dxa"/>
            <w:gridSpan w:val="2"/>
          </w:tcPr>
          <w:p w14:paraId="3FB03931" w14:textId="39191A7D" w:rsidR="00E04108" w:rsidRPr="003342C3" w:rsidRDefault="00E04108" w:rsidP="00C93901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1.96(4.01),29.17</w:t>
            </w:r>
          </w:p>
        </w:tc>
        <w:tc>
          <w:tcPr>
            <w:tcW w:w="2623" w:type="dxa"/>
            <w:gridSpan w:val="2"/>
            <w:vMerge/>
          </w:tcPr>
          <w:p w14:paraId="11DFC283" w14:textId="5E0B4D1A" w:rsidR="00E04108" w:rsidRPr="003342C3" w:rsidRDefault="00E04108" w:rsidP="00F23444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vMerge/>
          </w:tcPr>
          <w:p w14:paraId="3F26E4E1" w14:textId="49006BCD" w:rsidR="00E04108" w:rsidRPr="003342C3" w:rsidRDefault="00E04108" w:rsidP="00F23444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3342C3" w:rsidRPr="003342C3" w14:paraId="5B5CEDC4" w14:textId="77777777" w:rsidTr="000E5B91">
        <w:trPr>
          <w:trHeight w:val="256"/>
        </w:trPr>
        <w:tc>
          <w:tcPr>
            <w:tcW w:w="1963" w:type="dxa"/>
            <w:vMerge/>
            <w:vAlign w:val="center"/>
          </w:tcPr>
          <w:p w14:paraId="1FB1C92F" w14:textId="2A55134B" w:rsidR="00E04108" w:rsidRPr="003342C3" w:rsidRDefault="00E04108" w:rsidP="00C93901">
            <w:pPr>
              <w:pStyle w:val="NoSpacing"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57" w:type="dxa"/>
          </w:tcPr>
          <w:p w14:paraId="027FC2BB" w14:textId="7DDC28AC" w:rsidR="00E04108" w:rsidRPr="003342C3" w:rsidRDefault="00E04108" w:rsidP="00C93901">
            <w:pPr>
              <w:pStyle w:val="NoSpacing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Other retail (n=583)</w:t>
            </w:r>
          </w:p>
        </w:tc>
        <w:tc>
          <w:tcPr>
            <w:tcW w:w="2513" w:type="dxa"/>
            <w:gridSpan w:val="2"/>
          </w:tcPr>
          <w:p w14:paraId="7A5E2B50" w14:textId="7A98F673" w:rsidR="00E04108" w:rsidRPr="003342C3" w:rsidRDefault="00E04108" w:rsidP="00C93901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5.19(10.45),68.42</w:t>
            </w:r>
          </w:p>
        </w:tc>
        <w:tc>
          <w:tcPr>
            <w:tcW w:w="2623" w:type="dxa"/>
            <w:gridSpan w:val="2"/>
            <w:vMerge/>
          </w:tcPr>
          <w:p w14:paraId="5861DA33" w14:textId="5E9E5060" w:rsidR="00E04108" w:rsidRPr="003342C3" w:rsidRDefault="00E04108" w:rsidP="00F23444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vMerge/>
          </w:tcPr>
          <w:p w14:paraId="486810E5" w14:textId="5E93B0DA" w:rsidR="00E04108" w:rsidRPr="003342C3" w:rsidRDefault="00E04108" w:rsidP="00F23444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3342C3" w:rsidRPr="003342C3" w14:paraId="4BD7040B" w14:textId="77777777" w:rsidTr="000E5B91">
        <w:trPr>
          <w:trHeight w:val="256"/>
        </w:trPr>
        <w:tc>
          <w:tcPr>
            <w:tcW w:w="1963" w:type="dxa"/>
            <w:vMerge/>
            <w:vAlign w:val="center"/>
          </w:tcPr>
          <w:p w14:paraId="52B03FB8" w14:textId="77777777" w:rsidR="00E04108" w:rsidRPr="003342C3" w:rsidRDefault="00E04108" w:rsidP="00C93901">
            <w:pPr>
              <w:pStyle w:val="NoSpacing"/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57" w:type="dxa"/>
          </w:tcPr>
          <w:p w14:paraId="4E89517B" w14:textId="02114C25" w:rsidR="00E04108" w:rsidRPr="003342C3" w:rsidRDefault="00E04108" w:rsidP="00C93901">
            <w:pPr>
              <w:pStyle w:val="NoSpacing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Supermarkets (n=52)</w:t>
            </w:r>
          </w:p>
        </w:tc>
        <w:tc>
          <w:tcPr>
            <w:tcW w:w="2513" w:type="dxa"/>
            <w:gridSpan w:val="2"/>
          </w:tcPr>
          <w:p w14:paraId="0507BB25" w14:textId="48AD0010" w:rsidR="00E04108" w:rsidRPr="003342C3" w:rsidRDefault="00E04108" w:rsidP="00C93901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0.35(0.97),6.90</w:t>
            </w:r>
          </w:p>
        </w:tc>
        <w:tc>
          <w:tcPr>
            <w:tcW w:w="2623" w:type="dxa"/>
            <w:gridSpan w:val="2"/>
            <w:vMerge/>
          </w:tcPr>
          <w:p w14:paraId="558106E2" w14:textId="398D4724" w:rsidR="00E04108" w:rsidRPr="003342C3" w:rsidRDefault="00E04108" w:rsidP="00C93901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vMerge/>
          </w:tcPr>
          <w:p w14:paraId="4A8783C5" w14:textId="462C845D" w:rsidR="00E04108" w:rsidRPr="003342C3" w:rsidRDefault="00E04108" w:rsidP="00C93901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3342C3" w:rsidRPr="003342C3" w14:paraId="2491DAED" w14:textId="77777777" w:rsidTr="000E5B91">
        <w:tc>
          <w:tcPr>
            <w:tcW w:w="12246" w:type="dxa"/>
            <w:gridSpan w:val="8"/>
            <w:tcBorders>
              <w:top w:val="single" w:sz="4" w:space="0" w:color="auto"/>
            </w:tcBorders>
          </w:tcPr>
          <w:p w14:paraId="588AE39A" w14:textId="77777777" w:rsidR="00C93901" w:rsidRPr="003342C3" w:rsidRDefault="00C93901" w:rsidP="00C93901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 xml:space="preserve">Note: all models control for gender, ethnicity, deprivation and rural/urban classification of the neighbourhood. </w:t>
            </w:r>
          </w:p>
          <w:p w14:paraId="4FA5126B" w14:textId="77777777" w:rsidR="00C93901" w:rsidRPr="003342C3" w:rsidRDefault="00C93901" w:rsidP="00C93901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 xml:space="preserve">* = significant (p&lt;0.05) </w:t>
            </w:r>
          </w:p>
          <w:p w14:paraId="4CE266E2" w14:textId="56C027F5" w:rsidR="000E5B91" w:rsidRPr="003342C3" w:rsidRDefault="000E5B91" w:rsidP="000E5B91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  <w:vertAlign w:val="superscript"/>
              </w:rPr>
              <w:t>+</w:t>
            </w:r>
            <w:r w:rsidRPr="003342C3">
              <w:rPr>
                <w:rFonts w:cs="Arial"/>
                <w:sz w:val="20"/>
                <w:szCs w:val="20"/>
              </w:rPr>
              <w:t xml:space="preserve"> = minimum value was zero for all types of outlets.</w:t>
            </w:r>
          </w:p>
        </w:tc>
      </w:tr>
    </w:tbl>
    <w:p w14:paraId="6C1125F9" w14:textId="76748282" w:rsidR="00123574" w:rsidRPr="003342C3" w:rsidRDefault="00123574" w:rsidP="00123574">
      <w:pPr>
        <w:pStyle w:val="NoSpacing"/>
        <w:rPr>
          <w:rFonts w:cs="Arial"/>
          <w:sz w:val="20"/>
          <w:szCs w:val="20"/>
        </w:rPr>
      </w:pPr>
      <w:r w:rsidRPr="003342C3">
        <w:rPr>
          <w:rFonts w:cs="Arial"/>
          <w:b/>
          <w:sz w:val="20"/>
          <w:szCs w:val="20"/>
        </w:rPr>
        <w:t>Table 1.</w:t>
      </w:r>
      <w:r w:rsidRPr="003342C3">
        <w:rPr>
          <w:rFonts w:cs="Arial"/>
          <w:sz w:val="20"/>
          <w:szCs w:val="20"/>
        </w:rPr>
        <w:t xml:space="preserve"> The change in magnitude of association between the environment and BMI by buffer size and data source </w:t>
      </w:r>
    </w:p>
    <w:p w14:paraId="74392EFF" w14:textId="77777777" w:rsidR="00DC25FD" w:rsidRPr="003342C3" w:rsidRDefault="00DC25FD">
      <w:pPr>
        <w:rPr>
          <w:rFonts w:ascii="Arial" w:hAnsi="Arial" w:cs="Arial"/>
          <w:sz w:val="20"/>
          <w:szCs w:val="20"/>
        </w:rPr>
      </w:pPr>
    </w:p>
    <w:p w14:paraId="6AFF09E9" w14:textId="77777777" w:rsidR="00DC25FD" w:rsidRPr="003342C3" w:rsidRDefault="00DC25FD">
      <w:pPr>
        <w:rPr>
          <w:rFonts w:ascii="Arial" w:hAnsi="Arial" w:cs="Arial"/>
          <w:sz w:val="20"/>
          <w:szCs w:val="20"/>
        </w:rPr>
      </w:pPr>
    </w:p>
    <w:p w14:paraId="24E83443" w14:textId="77777777" w:rsidR="00C93901" w:rsidRPr="003342C3" w:rsidRDefault="00C93901">
      <w:pPr>
        <w:rPr>
          <w:rFonts w:ascii="Arial" w:hAnsi="Arial" w:cs="Arial"/>
          <w:sz w:val="20"/>
          <w:szCs w:val="20"/>
        </w:rPr>
      </w:pPr>
    </w:p>
    <w:p w14:paraId="0D5CE17C" w14:textId="77777777" w:rsidR="00DC25FD" w:rsidRPr="003342C3" w:rsidRDefault="00DC25FD">
      <w:pPr>
        <w:rPr>
          <w:rFonts w:ascii="Arial" w:hAnsi="Arial" w:cs="Arial"/>
          <w:sz w:val="20"/>
          <w:szCs w:val="20"/>
        </w:rPr>
      </w:pPr>
    </w:p>
    <w:p w14:paraId="7BA5EC5D" w14:textId="77777777" w:rsidR="000F2EEE" w:rsidRPr="003342C3" w:rsidRDefault="000F2EEE" w:rsidP="000F2EEE">
      <w:pPr>
        <w:pStyle w:val="NoSpacing"/>
        <w:rPr>
          <w:rFonts w:cs="Arial"/>
          <w:sz w:val="20"/>
          <w:szCs w:val="20"/>
        </w:rPr>
      </w:pPr>
    </w:p>
    <w:p w14:paraId="0F878EBC" w14:textId="77777777" w:rsidR="00DC25FD" w:rsidRPr="003342C3" w:rsidRDefault="00DC25FD" w:rsidP="00134C27">
      <w:pPr>
        <w:pStyle w:val="NoSpacing"/>
        <w:rPr>
          <w:rFonts w:cs="Arial"/>
          <w:sz w:val="20"/>
          <w:szCs w:val="20"/>
        </w:rPr>
      </w:pPr>
    </w:p>
    <w:p w14:paraId="2F81EF58" w14:textId="77777777" w:rsidR="00F401A4" w:rsidRPr="003342C3" w:rsidRDefault="00F401A4" w:rsidP="00134C27">
      <w:pPr>
        <w:pStyle w:val="NoSpacing"/>
        <w:rPr>
          <w:rFonts w:cs="Arial"/>
          <w:sz w:val="20"/>
          <w:szCs w:val="20"/>
        </w:rPr>
        <w:sectPr w:rsidR="00F401A4" w:rsidRPr="003342C3" w:rsidSect="00DC25FD">
          <w:pgSz w:w="16838" w:h="11906" w:orient="landscape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14:paraId="312F5034" w14:textId="7A3B940C" w:rsidR="009E7154" w:rsidRPr="003342C3" w:rsidRDefault="009E7154" w:rsidP="00134C27">
      <w:pPr>
        <w:pStyle w:val="NoSpacing"/>
        <w:rPr>
          <w:rFonts w:cs="Arial"/>
          <w:sz w:val="20"/>
          <w:szCs w:val="20"/>
        </w:rPr>
      </w:pPr>
      <w:commentRangeStart w:id="11"/>
      <w:r w:rsidRPr="003342C3">
        <w:rPr>
          <w:rFonts w:cs="Arial"/>
          <w:b/>
          <w:sz w:val="20"/>
          <w:szCs w:val="20"/>
        </w:rPr>
        <w:lastRenderedPageBreak/>
        <w:t xml:space="preserve">Appendix </w:t>
      </w:r>
      <w:commentRangeEnd w:id="11"/>
      <w:r w:rsidR="00CC20C1" w:rsidRPr="003342C3">
        <w:rPr>
          <w:rStyle w:val="CommentReference"/>
          <w:rFonts w:asciiTheme="minorHAnsi" w:hAnsiTheme="minorHAnsi"/>
        </w:rPr>
        <w:commentReference w:id="11"/>
      </w:r>
      <w:r w:rsidR="007C7D5B" w:rsidRPr="003342C3">
        <w:rPr>
          <w:rFonts w:cs="Arial"/>
          <w:b/>
          <w:sz w:val="20"/>
          <w:szCs w:val="20"/>
        </w:rPr>
        <w:t>1</w:t>
      </w:r>
      <w:r w:rsidRPr="003342C3">
        <w:rPr>
          <w:rFonts w:cs="Arial"/>
          <w:sz w:val="20"/>
          <w:szCs w:val="20"/>
        </w:rPr>
        <w:t xml:space="preserve"> – Example of </w:t>
      </w:r>
      <w:r w:rsidR="00741133" w:rsidRPr="003342C3">
        <w:rPr>
          <w:rFonts w:cs="Arial"/>
          <w:sz w:val="20"/>
          <w:szCs w:val="20"/>
        </w:rPr>
        <w:t>random intercept (fixed slopes)</w:t>
      </w:r>
      <w:r w:rsidRPr="003342C3">
        <w:rPr>
          <w:rFonts w:cs="Arial"/>
          <w:sz w:val="20"/>
          <w:szCs w:val="20"/>
        </w:rPr>
        <w:t xml:space="preserve"> </w:t>
      </w:r>
      <w:r w:rsidR="00741133" w:rsidRPr="003342C3">
        <w:rPr>
          <w:rFonts w:cs="Arial"/>
          <w:sz w:val="20"/>
          <w:szCs w:val="20"/>
        </w:rPr>
        <w:t xml:space="preserve">multi-level regression </w:t>
      </w:r>
      <w:r w:rsidRPr="003342C3">
        <w:rPr>
          <w:rFonts w:cs="Arial"/>
          <w:sz w:val="20"/>
          <w:szCs w:val="20"/>
        </w:rPr>
        <w:t xml:space="preserve">model </w:t>
      </w:r>
    </w:p>
    <w:p w14:paraId="7DF0A7D3" w14:textId="77777777" w:rsidR="009E7154" w:rsidRPr="003342C3" w:rsidRDefault="009E7154" w:rsidP="00134C27">
      <w:pPr>
        <w:pStyle w:val="NoSpacing"/>
        <w:rPr>
          <w:rFonts w:cs="Arial"/>
          <w:sz w:val="20"/>
          <w:szCs w:val="20"/>
        </w:rPr>
      </w:pPr>
    </w:p>
    <w:p w14:paraId="0A08D659" w14:textId="77777777" w:rsidR="009E7154" w:rsidRPr="003342C3" w:rsidRDefault="009E7154" w:rsidP="00134C27">
      <w:pPr>
        <w:pStyle w:val="NoSpacing"/>
        <w:rPr>
          <w:rFonts w:cs="Arial"/>
          <w:sz w:val="20"/>
          <w:szCs w:val="20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70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8"/>
        <w:gridCol w:w="2685"/>
        <w:gridCol w:w="1091"/>
      </w:tblGrid>
      <w:tr w:rsidR="003342C3" w:rsidRPr="003342C3" w14:paraId="492A0199" w14:textId="77777777" w:rsidTr="005F3972">
        <w:tc>
          <w:tcPr>
            <w:tcW w:w="3318" w:type="dxa"/>
            <w:tcBorders>
              <w:top w:val="single" w:sz="18" w:space="0" w:color="auto"/>
              <w:bottom w:val="single" w:sz="4" w:space="0" w:color="auto"/>
            </w:tcBorders>
          </w:tcPr>
          <w:p w14:paraId="3FC80584" w14:textId="77777777" w:rsidR="003901DF" w:rsidRPr="003342C3" w:rsidRDefault="003901DF" w:rsidP="003901DF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7887629" w14:textId="716056A4" w:rsidR="003901DF" w:rsidRPr="003342C3" w:rsidRDefault="003901DF" w:rsidP="003901DF">
            <w:pPr>
              <w:pStyle w:val="NoSpacing"/>
              <w:tabs>
                <w:tab w:val="left" w:pos="1340"/>
              </w:tabs>
              <w:jc w:val="center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Takeaway</w:t>
            </w:r>
            <w:r w:rsidR="00277E8A" w:rsidRPr="003342C3">
              <w:rPr>
                <w:rFonts w:cs="Arial"/>
                <w:sz w:val="20"/>
                <w:szCs w:val="20"/>
              </w:rPr>
              <w:t xml:space="preserve"> 2000m Buffer</w:t>
            </w:r>
          </w:p>
        </w:tc>
      </w:tr>
      <w:tr w:rsidR="003342C3" w:rsidRPr="003342C3" w14:paraId="094121C0" w14:textId="77777777" w:rsidTr="005F3972">
        <w:tc>
          <w:tcPr>
            <w:tcW w:w="3318" w:type="dxa"/>
            <w:tcBorders>
              <w:top w:val="single" w:sz="4" w:space="0" w:color="auto"/>
            </w:tcBorders>
          </w:tcPr>
          <w:p w14:paraId="6B8C2A6A" w14:textId="77777777" w:rsidR="003901DF" w:rsidRPr="003342C3" w:rsidRDefault="003901DF" w:rsidP="003901DF">
            <w:pPr>
              <w:pStyle w:val="NoSpacing"/>
              <w:jc w:val="center"/>
              <w:rPr>
                <w:rFonts w:cs="Arial"/>
                <w:b/>
                <w:sz w:val="20"/>
                <w:szCs w:val="20"/>
              </w:rPr>
            </w:pPr>
            <w:r w:rsidRPr="003342C3">
              <w:rPr>
                <w:rFonts w:cs="Arial"/>
                <w:b/>
                <w:sz w:val="20"/>
                <w:szCs w:val="20"/>
              </w:rPr>
              <w:t>Fixed effects</w:t>
            </w:r>
          </w:p>
        </w:tc>
        <w:tc>
          <w:tcPr>
            <w:tcW w:w="2685" w:type="dxa"/>
            <w:tcBorders>
              <w:top w:val="single" w:sz="4" w:space="0" w:color="auto"/>
            </w:tcBorders>
          </w:tcPr>
          <w:p w14:paraId="7B440A8F" w14:textId="77777777" w:rsidR="003901DF" w:rsidRPr="003342C3" w:rsidRDefault="003901DF" w:rsidP="003901DF">
            <w:pPr>
              <w:pStyle w:val="NoSpacing"/>
              <w:jc w:val="center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B [95% CI]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14:paraId="7C55F912" w14:textId="77777777" w:rsidR="003901DF" w:rsidRPr="003342C3" w:rsidRDefault="003901DF" w:rsidP="003901DF">
            <w:pPr>
              <w:pStyle w:val="NoSpacing"/>
              <w:jc w:val="center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P</w:t>
            </w:r>
          </w:p>
        </w:tc>
      </w:tr>
      <w:tr w:rsidR="003342C3" w:rsidRPr="003342C3" w14:paraId="7D4C357F" w14:textId="77777777" w:rsidTr="005F3972">
        <w:tc>
          <w:tcPr>
            <w:tcW w:w="3318" w:type="dxa"/>
          </w:tcPr>
          <w:p w14:paraId="22B8801E" w14:textId="77777777" w:rsidR="003901DF" w:rsidRPr="003342C3" w:rsidRDefault="003901DF" w:rsidP="003901DF">
            <w:pPr>
              <w:pStyle w:val="NoSpacing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B (Intercept)</w:t>
            </w:r>
          </w:p>
        </w:tc>
        <w:tc>
          <w:tcPr>
            <w:tcW w:w="2685" w:type="dxa"/>
            <w:vAlign w:val="center"/>
          </w:tcPr>
          <w:p w14:paraId="1B17CFAC" w14:textId="007FF7AE" w:rsidR="003901DF" w:rsidRPr="003342C3" w:rsidRDefault="003901DF" w:rsidP="003901DF">
            <w:pPr>
              <w:pStyle w:val="NoSpacing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25.72 [24.85; 26.60]</w:t>
            </w:r>
          </w:p>
        </w:tc>
        <w:tc>
          <w:tcPr>
            <w:tcW w:w="1091" w:type="dxa"/>
            <w:vAlign w:val="center"/>
          </w:tcPr>
          <w:p w14:paraId="7B86CBFA" w14:textId="484D78C5" w:rsidR="003901DF" w:rsidRPr="003342C3" w:rsidRDefault="003901DF" w:rsidP="003901DF">
            <w:pPr>
              <w:pStyle w:val="NoSpacing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&lt;0.00</w:t>
            </w:r>
          </w:p>
        </w:tc>
      </w:tr>
      <w:tr w:rsidR="003342C3" w:rsidRPr="003342C3" w14:paraId="28EC39C7" w14:textId="77777777" w:rsidTr="005F3972">
        <w:tc>
          <w:tcPr>
            <w:tcW w:w="3318" w:type="dxa"/>
          </w:tcPr>
          <w:p w14:paraId="6FAD36C1" w14:textId="18C67CFD" w:rsidR="003901DF" w:rsidRPr="003342C3" w:rsidRDefault="003901DF" w:rsidP="003901DF">
            <w:pPr>
              <w:pStyle w:val="NoSpacing"/>
              <w:tabs>
                <w:tab w:val="right" w:pos="3013"/>
              </w:tabs>
              <w:rPr>
                <w:rFonts w:cs="Arial"/>
                <w:b/>
                <w:sz w:val="20"/>
                <w:szCs w:val="20"/>
              </w:rPr>
            </w:pPr>
            <w:r w:rsidRPr="003342C3">
              <w:rPr>
                <w:rFonts w:cs="Arial"/>
                <w:b/>
                <w:sz w:val="20"/>
                <w:szCs w:val="20"/>
              </w:rPr>
              <w:t>Availability</w:t>
            </w:r>
            <w:r w:rsidRPr="003342C3">
              <w:rPr>
                <w:rFonts w:cs="Arial"/>
                <w:b/>
                <w:sz w:val="20"/>
                <w:szCs w:val="20"/>
              </w:rPr>
              <w:tab/>
            </w:r>
          </w:p>
        </w:tc>
        <w:tc>
          <w:tcPr>
            <w:tcW w:w="2685" w:type="dxa"/>
            <w:vAlign w:val="center"/>
          </w:tcPr>
          <w:p w14:paraId="631A806C" w14:textId="77777777" w:rsidR="003901DF" w:rsidRPr="003342C3" w:rsidRDefault="003901DF" w:rsidP="003901DF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14:paraId="0ABDA83F" w14:textId="77777777" w:rsidR="003901DF" w:rsidRPr="003342C3" w:rsidRDefault="003901DF" w:rsidP="003901DF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  <w:tr w:rsidR="003342C3" w:rsidRPr="003342C3" w14:paraId="239488AD" w14:textId="77777777" w:rsidTr="005F3972">
        <w:tc>
          <w:tcPr>
            <w:tcW w:w="3318" w:type="dxa"/>
          </w:tcPr>
          <w:p w14:paraId="09714650" w14:textId="77777777" w:rsidR="003901DF" w:rsidRPr="003342C3" w:rsidRDefault="003901DF" w:rsidP="003901DF">
            <w:pPr>
              <w:pStyle w:val="NoSpacing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 xml:space="preserve">   Count within 2km radial buffer</w:t>
            </w:r>
          </w:p>
        </w:tc>
        <w:tc>
          <w:tcPr>
            <w:tcW w:w="2685" w:type="dxa"/>
            <w:vAlign w:val="center"/>
          </w:tcPr>
          <w:p w14:paraId="59A31552" w14:textId="6A50C81F" w:rsidR="003901DF" w:rsidRPr="003342C3" w:rsidRDefault="003901DF" w:rsidP="003901DF">
            <w:pPr>
              <w:pStyle w:val="NoSpacing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-0.002 [-0.023; 0.019]</w:t>
            </w:r>
          </w:p>
        </w:tc>
        <w:tc>
          <w:tcPr>
            <w:tcW w:w="1091" w:type="dxa"/>
            <w:vAlign w:val="center"/>
          </w:tcPr>
          <w:p w14:paraId="6075D5B6" w14:textId="5F0D1A19" w:rsidR="003901DF" w:rsidRPr="003342C3" w:rsidRDefault="003901DF" w:rsidP="003901DF">
            <w:pPr>
              <w:pStyle w:val="NoSpacing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=0.849</w:t>
            </w:r>
          </w:p>
        </w:tc>
      </w:tr>
      <w:tr w:rsidR="003342C3" w:rsidRPr="003342C3" w14:paraId="284AD0BA" w14:textId="77777777" w:rsidTr="005F3972">
        <w:tc>
          <w:tcPr>
            <w:tcW w:w="3318" w:type="dxa"/>
          </w:tcPr>
          <w:p w14:paraId="144C1B5C" w14:textId="77777777" w:rsidR="003901DF" w:rsidRPr="003342C3" w:rsidRDefault="003901DF" w:rsidP="003901DF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3342C3">
              <w:rPr>
                <w:rFonts w:cs="Arial"/>
                <w:b/>
                <w:sz w:val="20"/>
                <w:szCs w:val="20"/>
              </w:rPr>
              <w:t>IMD</w:t>
            </w:r>
          </w:p>
        </w:tc>
        <w:tc>
          <w:tcPr>
            <w:tcW w:w="2685" w:type="dxa"/>
            <w:vAlign w:val="center"/>
          </w:tcPr>
          <w:p w14:paraId="46C248FA" w14:textId="0866108D" w:rsidR="003901DF" w:rsidRPr="003342C3" w:rsidRDefault="00741133" w:rsidP="003901DF">
            <w:pPr>
              <w:pStyle w:val="NoSpacing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0.025 [0.015; 0.035]</w:t>
            </w:r>
          </w:p>
        </w:tc>
        <w:tc>
          <w:tcPr>
            <w:tcW w:w="1091" w:type="dxa"/>
            <w:vAlign w:val="center"/>
          </w:tcPr>
          <w:p w14:paraId="26766D46" w14:textId="4E959C3B" w:rsidR="003901DF" w:rsidRPr="003342C3" w:rsidRDefault="00741133" w:rsidP="003901DF">
            <w:pPr>
              <w:pStyle w:val="NoSpacing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&lt;0.00</w:t>
            </w:r>
          </w:p>
        </w:tc>
      </w:tr>
      <w:tr w:rsidR="003342C3" w:rsidRPr="003342C3" w14:paraId="68CC0BAE" w14:textId="77777777" w:rsidTr="005F3972">
        <w:tc>
          <w:tcPr>
            <w:tcW w:w="3318" w:type="dxa"/>
          </w:tcPr>
          <w:p w14:paraId="59362F2F" w14:textId="77777777" w:rsidR="003901DF" w:rsidRPr="003342C3" w:rsidRDefault="003901DF" w:rsidP="003901DF">
            <w:pPr>
              <w:pStyle w:val="NoSpacing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b/>
                <w:sz w:val="20"/>
                <w:szCs w:val="20"/>
              </w:rPr>
              <w:t>Gender</w:t>
            </w:r>
            <w:r w:rsidRPr="003342C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685" w:type="dxa"/>
            <w:vAlign w:val="center"/>
          </w:tcPr>
          <w:p w14:paraId="0EBD0015" w14:textId="77777777" w:rsidR="003901DF" w:rsidRPr="003342C3" w:rsidRDefault="003901DF" w:rsidP="003901DF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14:paraId="03B8EF96" w14:textId="77777777" w:rsidR="003901DF" w:rsidRPr="003342C3" w:rsidRDefault="003901DF" w:rsidP="003901DF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  <w:tr w:rsidR="003342C3" w:rsidRPr="003342C3" w14:paraId="521D2EEF" w14:textId="77777777" w:rsidTr="005F3972">
        <w:tc>
          <w:tcPr>
            <w:tcW w:w="3318" w:type="dxa"/>
          </w:tcPr>
          <w:p w14:paraId="76E90945" w14:textId="77777777" w:rsidR="003901DF" w:rsidRPr="003342C3" w:rsidRDefault="003901DF" w:rsidP="003901DF">
            <w:pPr>
              <w:pStyle w:val="NoSpacing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 xml:space="preserve">   Female</w:t>
            </w:r>
          </w:p>
        </w:tc>
        <w:tc>
          <w:tcPr>
            <w:tcW w:w="2685" w:type="dxa"/>
            <w:vAlign w:val="center"/>
          </w:tcPr>
          <w:p w14:paraId="65158DF5" w14:textId="4F1D7C03" w:rsidR="003901DF" w:rsidRPr="003342C3" w:rsidRDefault="00741133" w:rsidP="003901DF">
            <w:pPr>
              <w:pStyle w:val="NoSpacing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-0.354 [-0.631; -0.078]</w:t>
            </w:r>
          </w:p>
        </w:tc>
        <w:tc>
          <w:tcPr>
            <w:tcW w:w="1091" w:type="dxa"/>
            <w:vAlign w:val="center"/>
          </w:tcPr>
          <w:p w14:paraId="06F3CD71" w14:textId="376346C6" w:rsidR="003901DF" w:rsidRPr="003342C3" w:rsidRDefault="00741133" w:rsidP="003901DF">
            <w:pPr>
              <w:pStyle w:val="NoSpacing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&lt;0.00</w:t>
            </w:r>
          </w:p>
        </w:tc>
      </w:tr>
      <w:tr w:rsidR="003342C3" w:rsidRPr="003342C3" w14:paraId="7144FD7B" w14:textId="77777777" w:rsidTr="005F3972">
        <w:tc>
          <w:tcPr>
            <w:tcW w:w="3318" w:type="dxa"/>
          </w:tcPr>
          <w:p w14:paraId="449E5A38" w14:textId="77777777" w:rsidR="003901DF" w:rsidRPr="003342C3" w:rsidRDefault="003901DF" w:rsidP="003901DF">
            <w:pPr>
              <w:pStyle w:val="NoSpacing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b/>
                <w:sz w:val="20"/>
                <w:szCs w:val="20"/>
              </w:rPr>
              <w:t>LSOA Classification</w:t>
            </w:r>
            <w:r w:rsidRPr="003342C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685" w:type="dxa"/>
            <w:vAlign w:val="center"/>
          </w:tcPr>
          <w:p w14:paraId="09F7F68E" w14:textId="77777777" w:rsidR="003901DF" w:rsidRPr="003342C3" w:rsidRDefault="003901DF" w:rsidP="003901DF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14:paraId="08BA61C2" w14:textId="77777777" w:rsidR="003901DF" w:rsidRPr="003342C3" w:rsidRDefault="003901DF" w:rsidP="003901DF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  <w:tr w:rsidR="003342C3" w:rsidRPr="003342C3" w14:paraId="20C7C3BA" w14:textId="77777777" w:rsidTr="005F3972">
        <w:tc>
          <w:tcPr>
            <w:tcW w:w="3318" w:type="dxa"/>
          </w:tcPr>
          <w:p w14:paraId="7EBD45C0" w14:textId="77777777" w:rsidR="003901DF" w:rsidRPr="003342C3" w:rsidRDefault="003901DF" w:rsidP="003901DF">
            <w:pPr>
              <w:pStyle w:val="NoSpacing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 xml:space="preserve">   Urban</w:t>
            </w:r>
          </w:p>
        </w:tc>
        <w:tc>
          <w:tcPr>
            <w:tcW w:w="2685" w:type="dxa"/>
            <w:vAlign w:val="center"/>
          </w:tcPr>
          <w:p w14:paraId="3E29D082" w14:textId="392B6CB6" w:rsidR="003901DF" w:rsidRPr="003342C3" w:rsidRDefault="00741133" w:rsidP="003901DF">
            <w:pPr>
              <w:pStyle w:val="NoSpacing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-0.878 [-1.35; -0.405]</w:t>
            </w:r>
          </w:p>
        </w:tc>
        <w:tc>
          <w:tcPr>
            <w:tcW w:w="1091" w:type="dxa"/>
            <w:vAlign w:val="center"/>
          </w:tcPr>
          <w:p w14:paraId="6530EB82" w14:textId="51F651FD" w:rsidR="003901DF" w:rsidRPr="003342C3" w:rsidRDefault="00741133" w:rsidP="003901DF">
            <w:pPr>
              <w:pStyle w:val="NoSpacing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&lt;0.00</w:t>
            </w:r>
          </w:p>
        </w:tc>
      </w:tr>
      <w:tr w:rsidR="003342C3" w:rsidRPr="003342C3" w14:paraId="48C0FBB2" w14:textId="77777777" w:rsidTr="005F3972">
        <w:tc>
          <w:tcPr>
            <w:tcW w:w="3318" w:type="dxa"/>
          </w:tcPr>
          <w:p w14:paraId="2AAC86D2" w14:textId="77777777" w:rsidR="003901DF" w:rsidRPr="003342C3" w:rsidRDefault="003901DF" w:rsidP="003901DF">
            <w:pPr>
              <w:pStyle w:val="NoSpacing"/>
              <w:rPr>
                <w:rFonts w:cs="Arial"/>
                <w:sz w:val="20"/>
                <w:szCs w:val="20"/>
                <w:vertAlign w:val="subscript"/>
              </w:rPr>
            </w:pPr>
            <w:r w:rsidRPr="003342C3">
              <w:rPr>
                <w:rFonts w:cs="Arial"/>
                <w:b/>
                <w:sz w:val="20"/>
                <w:szCs w:val="20"/>
              </w:rPr>
              <w:t>Ethnicity</w:t>
            </w:r>
            <w:r w:rsidRPr="003342C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685" w:type="dxa"/>
            <w:vAlign w:val="center"/>
          </w:tcPr>
          <w:p w14:paraId="37BCEE5F" w14:textId="77777777" w:rsidR="003901DF" w:rsidRPr="003342C3" w:rsidRDefault="003901DF" w:rsidP="003901DF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14:paraId="6611824F" w14:textId="77777777" w:rsidR="003901DF" w:rsidRPr="003342C3" w:rsidRDefault="003901DF" w:rsidP="003901DF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  <w:tr w:rsidR="003342C3" w:rsidRPr="003342C3" w14:paraId="1851F6DD" w14:textId="77777777" w:rsidTr="005F3972">
        <w:tc>
          <w:tcPr>
            <w:tcW w:w="3318" w:type="dxa"/>
          </w:tcPr>
          <w:p w14:paraId="2E84C431" w14:textId="77777777" w:rsidR="003901DF" w:rsidRPr="003342C3" w:rsidRDefault="003901DF" w:rsidP="003901DF">
            <w:pPr>
              <w:pStyle w:val="NoSpacing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 xml:space="preserve">   Non-white</w:t>
            </w:r>
          </w:p>
        </w:tc>
        <w:tc>
          <w:tcPr>
            <w:tcW w:w="2685" w:type="dxa"/>
            <w:vAlign w:val="center"/>
          </w:tcPr>
          <w:p w14:paraId="36674E30" w14:textId="71B448E0" w:rsidR="003901DF" w:rsidRPr="003342C3" w:rsidRDefault="00741133" w:rsidP="003901DF">
            <w:pPr>
              <w:pStyle w:val="NoSpacing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-0.086 [-1.16; 0.990]</w:t>
            </w:r>
          </w:p>
        </w:tc>
        <w:tc>
          <w:tcPr>
            <w:tcW w:w="1091" w:type="dxa"/>
            <w:vAlign w:val="center"/>
          </w:tcPr>
          <w:p w14:paraId="342F5EBB" w14:textId="2C5C9DC8" w:rsidR="003901DF" w:rsidRPr="003342C3" w:rsidRDefault="00741133" w:rsidP="003901DF">
            <w:pPr>
              <w:pStyle w:val="NoSpacing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0.876</w:t>
            </w:r>
          </w:p>
        </w:tc>
      </w:tr>
      <w:tr w:rsidR="003342C3" w:rsidRPr="003342C3" w14:paraId="005644FF" w14:textId="77777777" w:rsidTr="005F3972">
        <w:tc>
          <w:tcPr>
            <w:tcW w:w="3318" w:type="dxa"/>
          </w:tcPr>
          <w:p w14:paraId="1B784857" w14:textId="77777777" w:rsidR="003901DF" w:rsidRPr="003342C3" w:rsidRDefault="003901DF" w:rsidP="003901DF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3342C3">
              <w:rPr>
                <w:rFonts w:cs="Arial"/>
                <w:b/>
                <w:sz w:val="20"/>
                <w:szCs w:val="20"/>
              </w:rPr>
              <w:t xml:space="preserve">Age </w:t>
            </w:r>
          </w:p>
        </w:tc>
        <w:tc>
          <w:tcPr>
            <w:tcW w:w="2685" w:type="dxa"/>
            <w:vAlign w:val="center"/>
          </w:tcPr>
          <w:p w14:paraId="707BF317" w14:textId="781DC46A" w:rsidR="003901DF" w:rsidRPr="003342C3" w:rsidRDefault="00741133" w:rsidP="003901DF">
            <w:pPr>
              <w:pStyle w:val="NoSpacing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0.029 [0.020; 0.037]</w:t>
            </w:r>
          </w:p>
        </w:tc>
        <w:tc>
          <w:tcPr>
            <w:tcW w:w="1091" w:type="dxa"/>
            <w:vAlign w:val="center"/>
          </w:tcPr>
          <w:p w14:paraId="5E29B01E" w14:textId="290510A5" w:rsidR="003901DF" w:rsidRPr="003342C3" w:rsidRDefault="00741133" w:rsidP="003901DF">
            <w:pPr>
              <w:pStyle w:val="NoSpacing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&lt;0.00</w:t>
            </w:r>
          </w:p>
        </w:tc>
      </w:tr>
      <w:tr w:rsidR="003342C3" w:rsidRPr="003342C3" w14:paraId="02E736B6" w14:textId="77777777" w:rsidTr="005F3972">
        <w:tc>
          <w:tcPr>
            <w:tcW w:w="3318" w:type="dxa"/>
          </w:tcPr>
          <w:p w14:paraId="08A192CD" w14:textId="77777777" w:rsidR="003901DF" w:rsidRPr="003342C3" w:rsidRDefault="003901DF" w:rsidP="003901DF">
            <w:pPr>
              <w:pStyle w:val="NoSpacing"/>
              <w:rPr>
                <w:rFonts w:cs="Arial"/>
                <w:i/>
                <w:sz w:val="20"/>
                <w:szCs w:val="20"/>
              </w:rPr>
            </w:pPr>
            <w:r w:rsidRPr="003342C3">
              <w:rPr>
                <w:rFonts w:cs="Arial"/>
                <w:i/>
                <w:sz w:val="20"/>
                <w:szCs w:val="20"/>
              </w:rPr>
              <w:t>Random effects</w:t>
            </w:r>
          </w:p>
        </w:tc>
        <w:tc>
          <w:tcPr>
            <w:tcW w:w="2685" w:type="dxa"/>
          </w:tcPr>
          <w:p w14:paraId="398983BD" w14:textId="77777777" w:rsidR="003901DF" w:rsidRPr="003342C3" w:rsidRDefault="003901DF" w:rsidP="003901DF">
            <w:pPr>
              <w:pStyle w:val="NoSpacing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1" w:type="dxa"/>
          </w:tcPr>
          <w:p w14:paraId="6B8FB387" w14:textId="77777777" w:rsidR="003901DF" w:rsidRPr="003342C3" w:rsidRDefault="003901DF" w:rsidP="003901DF">
            <w:pPr>
              <w:pStyle w:val="NoSpacing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342C3" w:rsidRPr="003342C3" w14:paraId="7803E538" w14:textId="77777777" w:rsidTr="005F3972">
        <w:tc>
          <w:tcPr>
            <w:tcW w:w="3318" w:type="dxa"/>
            <w:tcBorders>
              <w:bottom w:val="single" w:sz="18" w:space="0" w:color="auto"/>
            </w:tcBorders>
          </w:tcPr>
          <w:p w14:paraId="7B2A908C" w14:textId="77777777" w:rsidR="003901DF" w:rsidRPr="003342C3" w:rsidRDefault="003901DF" w:rsidP="003901DF">
            <w:pPr>
              <w:pStyle w:val="NoSpacing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 xml:space="preserve">   Level-2 variance (u</w:t>
            </w:r>
            <w:r w:rsidRPr="003342C3">
              <w:rPr>
                <w:rFonts w:cs="Arial"/>
                <w:sz w:val="20"/>
                <w:szCs w:val="20"/>
                <w:vertAlign w:val="subscript"/>
              </w:rPr>
              <w:t>0j</w:t>
            </w:r>
            <w:r w:rsidRPr="003342C3">
              <w:rPr>
                <w:rFonts w:cs="Arial"/>
                <w:sz w:val="20"/>
                <w:szCs w:val="20"/>
              </w:rPr>
              <w:t>)</w:t>
            </w:r>
          </w:p>
          <w:p w14:paraId="10BE0094" w14:textId="45F0FAE3" w:rsidR="003901DF" w:rsidRPr="003342C3" w:rsidRDefault="003901DF" w:rsidP="003901DF">
            <w:pPr>
              <w:pStyle w:val="NoSpacing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 xml:space="preserve">   Level-1 variance (u</w:t>
            </w:r>
            <w:r w:rsidRPr="003342C3">
              <w:rPr>
                <w:rFonts w:cs="Arial"/>
                <w:sz w:val="20"/>
                <w:szCs w:val="20"/>
                <w:vertAlign w:val="subscript"/>
              </w:rPr>
              <w:t>0i</w:t>
            </w:r>
            <w:r w:rsidRPr="003342C3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3776" w:type="dxa"/>
            <w:gridSpan w:val="2"/>
            <w:tcBorders>
              <w:bottom w:val="single" w:sz="18" w:space="0" w:color="auto"/>
            </w:tcBorders>
          </w:tcPr>
          <w:p w14:paraId="7F1B2C5B" w14:textId="77777777" w:rsidR="003901DF" w:rsidRPr="003342C3" w:rsidRDefault="00741133" w:rsidP="00741133">
            <w:pPr>
              <w:pStyle w:val="NoSpacing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2.02e-07 [3.62e-11;0.001]</w:t>
            </w:r>
          </w:p>
          <w:p w14:paraId="2EB1D9F9" w14:textId="48D5A30B" w:rsidR="00741133" w:rsidRPr="003342C3" w:rsidRDefault="00741133" w:rsidP="00741133">
            <w:pPr>
              <w:pStyle w:val="NoSpacing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22.88 [21.98; 23.83]</w:t>
            </w:r>
          </w:p>
        </w:tc>
      </w:tr>
      <w:tr w:rsidR="003342C3" w:rsidRPr="003342C3" w14:paraId="3DAE835D" w14:textId="77777777" w:rsidTr="005F3972">
        <w:tc>
          <w:tcPr>
            <w:tcW w:w="7094" w:type="dxa"/>
            <w:gridSpan w:val="3"/>
            <w:tcBorders>
              <w:top w:val="single" w:sz="18" w:space="0" w:color="auto"/>
            </w:tcBorders>
          </w:tcPr>
          <w:p w14:paraId="1077FEBB" w14:textId="2B0E8AFC" w:rsidR="00741133" w:rsidRPr="003342C3" w:rsidRDefault="00741133" w:rsidP="00741133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 xml:space="preserve">Note: all models control for gender, ethnicity, deprivation (Index of Multiple Deprivation (IMD)) and rural/urban classification of the neighbourhood. </w:t>
            </w:r>
          </w:p>
          <w:p w14:paraId="38B97446" w14:textId="667402DB" w:rsidR="00741133" w:rsidRPr="003342C3" w:rsidRDefault="00741133" w:rsidP="00741133">
            <w:pPr>
              <w:pStyle w:val="NoSpacing"/>
              <w:spacing w:line="276" w:lineRule="auto"/>
              <w:rPr>
                <w:rFonts w:cs="Arial"/>
                <w:sz w:val="20"/>
                <w:szCs w:val="20"/>
              </w:rPr>
            </w:pPr>
            <w:r w:rsidRPr="003342C3">
              <w:rPr>
                <w:rFonts w:cs="Arial"/>
                <w:sz w:val="20"/>
                <w:szCs w:val="20"/>
              </w:rPr>
              <w:t>* = significant (p&lt;0.05)</w:t>
            </w:r>
          </w:p>
        </w:tc>
      </w:tr>
    </w:tbl>
    <w:p w14:paraId="0CF131D6" w14:textId="5A50C0EB" w:rsidR="009E7154" w:rsidRPr="003342C3" w:rsidRDefault="003901DF" w:rsidP="00134C27">
      <w:pPr>
        <w:pStyle w:val="NoSpacing"/>
        <w:rPr>
          <w:rFonts w:cs="Arial"/>
          <w:sz w:val="20"/>
          <w:szCs w:val="20"/>
        </w:rPr>
      </w:pPr>
      <w:r w:rsidRPr="003342C3">
        <w:rPr>
          <w:rFonts w:cs="Arial"/>
          <w:sz w:val="20"/>
          <w:szCs w:val="20"/>
        </w:rPr>
        <w:br w:type="textWrapping" w:clear="all"/>
      </w:r>
    </w:p>
    <w:p w14:paraId="64DE05C3" w14:textId="21B69553" w:rsidR="009E7154" w:rsidRPr="003342C3" w:rsidRDefault="009E7154" w:rsidP="00134C27">
      <w:pPr>
        <w:pStyle w:val="NoSpacing"/>
        <w:rPr>
          <w:rFonts w:cs="Arial"/>
          <w:sz w:val="20"/>
          <w:szCs w:val="20"/>
        </w:rPr>
      </w:pPr>
    </w:p>
    <w:sectPr w:rsidR="009E7154" w:rsidRPr="003342C3" w:rsidSect="003609CB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1" w:author="Green, Mark" w:date="2016-03-30T16:49:00Z" w:initials="GM">
    <w:p w14:paraId="2C0EB577" w14:textId="1ED5B521" w:rsidR="00CC20C1" w:rsidRDefault="00CC20C1">
      <w:pPr>
        <w:pStyle w:val="CommentText"/>
      </w:pPr>
      <w:r>
        <w:rPr>
          <w:rStyle w:val="CommentReference"/>
        </w:rPr>
        <w:annotationRef/>
      </w:r>
      <w:r>
        <w:t>Is this required?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C0EB57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8CBA6E" w14:textId="77777777" w:rsidR="00BC2925" w:rsidRDefault="00BC2925" w:rsidP="00AA2CF3">
      <w:pPr>
        <w:spacing w:after="0" w:line="240" w:lineRule="auto"/>
      </w:pPr>
      <w:r>
        <w:separator/>
      </w:r>
    </w:p>
  </w:endnote>
  <w:endnote w:type="continuationSeparator" w:id="0">
    <w:p w14:paraId="006CBEB8" w14:textId="77777777" w:rsidR="00BC2925" w:rsidRDefault="00BC2925" w:rsidP="00AA2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1579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EB4A05" w14:textId="305BB208" w:rsidR="00CA259E" w:rsidRDefault="00CA25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42C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871610F" w14:textId="77777777" w:rsidR="00CA259E" w:rsidRDefault="00CA25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C01E5" w14:textId="77777777" w:rsidR="00BC2925" w:rsidRDefault="00BC2925" w:rsidP="00AA2CF3">
      <w:pPr>
        <w:spacing w:after="0" w:line="240" w:lineRule="auto"/>
      </w:pPr>
      <w:r>
        <w:separator/>
      </w:r>
    </w:p>
  </w:footnote>
  <w:footnote w:type="continuationSeparator" w:id="0">
    <w:p w14:paraId="4CF83287" w14:textId="77777777" w:rsidR="00BC2925" w:rsidRDefault="00BC2925" w:rsidP="00AA2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66F38"/>
    <w:multiLevelType w:val="hybridMultilevel"/>
    <w:tmpl w:val="B36CD5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36081"/>
    <w:multiLevelType w:val="hybridMultilevel"/>
    <w:tmpl w:val="02ACC7AA"/>
    <w:lvl w:ilvl="0" w:tplc="E1BEC67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776FD"/>
    <w:multiLevelType w:val="hybridMultilevel"/>
    <w:tmpl w:val="63B0ED8A"/>
    <w:lvl w:ilvl="0" w:tplc="CDD4C19E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reen, Mark">
    <w15:presenceInfo w15:providerId="AD" w15:userId="S-1-5-21-137024685-2204166116-4157399963-3485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rit Medical J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zrsespedwsd00qewtfnxtt0f9sdware5f2ae&quot;&gt;My EndNote Library&lt;record-ids&gt;&lt;item&gt;2427&lt;/item&gt;&lt;item&gt;3012&lt;/item&gt;&lt;item&gt;3142&lt;/item&gt;&lt;item&gt;3150&lt;/item&gt;&lt;item&gt;3219&lt;/item&gt;&lt;item&gt;3220&lt;/item&gt;&lt;item&gt;3238&lt;/item&gt;&lt;item&gt;3241&lt;/item&gt;&lt;item&gt;3317&lt;/item&gt;&lt;/record-ids&gt;&lt;/item&gt;&lt;/Libraries&gt;"/>
  </w:docVars>
  <w:rsids>
    <w:rsidRoot w:val="00134C27"/>
    <w:rsid w:val="00001EA1"/>
    <w:rsid w:val="000027E1"/>
    <w:rsid w:val="000202A8"/>
    <w:rsid w:val="0002298C"/>
    <w:rsid w:val="000424DB"/>
    <w:rsid w:val="00054BE1"/>
    <w:rsid w:val="000567EF"/>
    <w:rsid w:val="00060623"/>
    <w:rsid w:val="00064C7C"/>
    <w:rsid w:val="000821AC"/>
    <w:rsid w:val="00082DF9"/>
    <w:rsid w:val="0009527E"/>
    <w:rsid w:val="000A66CF"/>
    <w:rsid w:val="000C32C4"/>
    <w:rsid w:val="000D1887"/>
    <w:rsid w:val="000E550A"/>
    <w:rsid w:val="000E5B91"/>
    <w:rsid w:val="000F14EE"/>
    <w:rsid w:val="000F2EEE"/>
    <w:rsid w:val="001012E7"/>
    <w:rsid w:val="001064DB"/>
    <w:rsid w:val="00122A51"/>
    <w:rsid w:val="00123574"/>
    <w:rsid w:val="00125A3C"/>
    <w:rsid w:val="00134C27"/>
    <w:rsid w:val="001663B2"/>
    <w:rsid w:val="00166638"/>
    <w:rsid w:val="00182E46"/>
    <w:rsid w:val="00192D20"/>
    <w:rsid w:val="001964D0"/>
    <w:rsid w:val="001B6069"/>
    <w:rsid w:val="001D14B2"/>
    <w:rsid w:val="001D7F0F"/>
    <w:rsid w:val="00211E67"/>
    <w:rsid w:val="00220D13"/>
    <w:rsid w:val="0024039D"/>
    <w:rsid w:val="00240FDF"/>
    <w:rsid w:val="00251B95"/>
    <w:rsid w:val="00254AD2"/>
    <w:rsid w:val="002609A3"/>
    <w:rsid w:val="0026118C"/>
    <w:rsid w:val="002624FE"/>
    <w:rsid w:val="0026702C"/>
    <w:rsid w:val="00277E8A"/>
    <w:rsid w:val="002C136E"/>
    <w:rsid w:val="002C565B"/>
    <w:rsid w:val="002D4047"/>
    <w:rsid w:val="002F0B38"/>
    <w:rsid w:val="00304148"/>
    <w:rsid w:val="00305434"/>
    <w:rsid w:val="003342C3"/>
    <w:rsid w:val="00352324"/>
    <w:rsid w:val="0036083D"/>
    <w:rsid w:val="003609CB"/>
    <w:rsid w:val="0036372B"/>
    <w:rsid w:val="003901DF"/>
    <w:rsid w:val="003911DC"/>
    <w:rsid w:val="003A0620"/>
    <w:rsid w:val="003A2CAC"/>
    <w:rsid w:val="003B056B"/>
    <w:rsid w:val="003B7D7B"/>
    <w:rsid w:val="003C30A5"/>
    <w:rsid w:val="003C4513"/>
    <w:rsid w:val="003D0518"/>
    <w:rsid w:val="003D5D7B"/>
    <w:rsid w:val="003D7F3C"/>
    <w:rsid w:val="003E24A6"/>
    <w:rsid w:val="003E2F32"/>
    <w:rsid w:val="003E53E5"/>
    <w:rsid w:val="003F5C8B"/>
    <w:rsid w:val="00403FAA"/>
    <w:rsid w:val="0041006C"/>
    <w:rsid w:val="004108A6"/>
    <w:rsid w:val="00412971"/>
    <w:rsid w:val="0042139B"/>
    <w:rsid w:val="00427CBE"/>
    <w:rsid w:val="004521DA"/>
    <w:rsid w:val="004616F2"/>
    <w:rsid w:val="00476A65"/>
    <w:rsid w:val="00481AF0"/>
    <w:rsid w:val="004832CF"/>
    <w:rsid w:val="00495471"/>
    <w:rsid w:val="004B23D4"/>
    <w:rsid w:val="004F2D2B"/>
    <w:rsid w:val="004F57FC"/>
    <w:rsid w:val="00503D5C"/>
    <w:rsid w:val="005114A2"/>
    <w:rsid w:val="0053310F"/>
    <w:rsid w:val="00557040"/>
    <w:rsid w:val="005641AC"/>
    <w:rsid w:val="005650C9"/>
    <w:rsid w:val="00577C86"/>
    <w:rsid w:val="005A20D1"/>
    <w:rsid w:val="005A4877"/>
    <w:rsid w:val="005C089B"/>
    <w:rsid w:val="005C299C"/>
    <w:rsid w:val="005C7A7F"/>
    <w:rsid w:val="005F3972"/>
    <w:rsid w:val="005F7603"/>
    <w:rsid w:val="006019FC"/>
    <w:rsid w:val="00623BFB"/>
    <w:rsid w:val="00625265"/>
    <w:rsid w:val="00625CD4"/>
    <w:rsid w:val="00630EE4"/>
    <w:rsid w:val="00640465"/>
    <w:rsid w:val="0064692C"/>
    <w:rsid w:val="0065723F"/>
    <w:rsid w:val="0067492B"/>
    <w:rsid w:val="006A02B2"/>
    <w:rsid w:val="006A4C56"/>
    <w:rsid w:val="006B49F8"/>
    <w:rsid w:val="006F1645"/>
    <w:rsid w:val="006F3F17"/>
    <w:rsid w:val="006F568D"/>
    <w:rsid w:val="0071383C"/>
    <w:rsid w:val="007178B4"/>
    <w:rsid w:val="007359DD"/>
    <w:rsid w:val="00741133"/>
    <w:rsid w:val="00744050"/>
    <w:rsid w:val="00774A8B"/>
    <w:rsid w:val="00774EC4"/>
    <w:rsid w:val="00781196"/>
    <w:rsid w:val="007877A9"/>
    <w:rsid w:val="007A5C48"/>
    <w:rsid w:val="007B3648"/>
    <w:rsid w:val="007B50B0"/>
    <w:rsid w:val="007C0D70"/>
    <w:rsid w:val="007C6721"/>
    <w:rsid w:val="007C7D5B"/>
    <w:rsid w:val="007D461B"/>
    <w:rsid w:val="00810FEB"/>
    <w:rsid w:val="008212B4"/>
    <w:rsid w:val="00821BE8"/>
    <w:rsid w:val="00834C0E"/>
    <w:rsid w:val="00836B32"/>
    <w:rsid w:val="00860071"/>
    <w:rsid w:val="00861CFA"/>
    <w:rsid w:val="00867DE5"/>
    <w:rsid w:val="00895983"/>
    <w:rsid w:val="008A1E8F"/>
    <w:rsid w:val="008A66C0"/>
    <w:rsid w:val="008B1D62"/>
    <w:rsid w:val="008C5663"/>
    <w:rsid w:val="008E1ACF"/>
    <w:rsid w:val="008E73DC"/>
    <w:rsid w:val="008F01BA"/>
    <w:rsid w:val="008F71A5"/>
    <w:rsid w:val="00907625"/>
    <w:rsid w:val="00910608"/>
    <w:rsid w:val="00911896"/>
    <w:rsid w:val="0091397C"/>
    <w:rsid w:val="00923830"/>
    <w:rsid w:val="00924933"/>
    <w:rsid w:val="009345AD"/>
    <w:rsid w:val="00973EF6"/>
    <w:rsid w:val="00993CAE"/>
    <w:rsid w:val="009975C7"/>
    <w:rsid w:val="009A5B11"/>
    <w:rsid w:val="009B04CD"/>
    <w:rsid w:val="009B0658"/>
    <w:rsid w:val="009B1C42"/>
    <w:rsid w:val="009C2081"/>
    <w:rsid w:val="009D017F"/>
    <w:rsid w:val="009D5162"/>
    <w:rsid w:val="009E7154"/>
    <w:rsid w:val="009F11D4"/>
    <w:rsid w:val="009F3FE2"/>
    <w:rsid w:val="00A16DE6"/>
    <w:rsid w:val="00A21886"/>
    <w:rsid w:val="00A30F44"/>
    <w:rsid w:val="00A465FC"/>
    <w:rsid w:val="00A4773E"/>
    <w:rsid w:val="00A532E2"/>
    <w:rsid w:val="00A959AB"/>
    <w:rsid w:val="00AA2CF3"/>
    <w:rsid w:val="00AD13B9"/>
    <w:rsid w:val="00AD6888"/>
    <w:rsid w:val="00AF4E94"/>
    <w:rsid w:val="00AF6573"/>
    <w:rsid w:val="00AF6DDD"/>
    <w:rsid w:val="00B262FC"/>
    <w:rsid w:val="00B33722"/>
    <w:rsid w:val="00B519A5"/>
    <w:rsid w:val="00B77916"/>
    <w:rsid w:val="00B97966"/>
    <w:rsid w:val="00BA018A"/>
    <w:rsid w:val="00BB34E1"/>
    <w:rsid w:val="00BC2925"/>
    <w:rsid w:val="00BC7F26"/>
    <w:rsid w:val="00BF4D5F"/>
    <w:rsid w:val="00BF5868"/>
    <w:rsid w:val="00C0326C"/>
    <w:rsid w:val="00C27EDC"/>
    <w:rsid w:val="00C44F4C"/>
    <w:rsid w:val="00C5788B"/>
    <w:rsid w:val="00C627C9"/>
    <w:rsid w:val="00C703B7"/>
    <w:rsid w:val="00C81EFE"/>
    <w:rsid w:val="00C827B7"/>
    <w:rsid w:val="00C8590B"/>
    <w:rsid w:val="00C8712F"/>
    <w:rsid w:val="00C920EA"/>
    <w:rsid w:val="00C93901"/>
    <w:rsid w:val="00C96D59"/>
    <w:rsid w:val="00CA259E"/>
    <w:rsid w:val="00CA751E"/>
    <w:rsid w:val="00CB264F"/>
    <w:rsid w:val="00CB6C72"/>
    <w:rsid w:val="00CC0EA7"/>
    <w:rsid w:val="00CC20C1"/>
    <w:rsid w:val="00CC6892"/>
    <w:rsid w:val="00CD7AF0"/>
    <w:rsid w:val="00CE50F3"/>
    <w:rsid w:val="00CE5C8E"/>
    <w:rsid w:val="00D036BA"/>
    <w:rsid w:val="00D06EFC"/>
    <w:rsid w:val="00D13E8F"/>
    <w:rsid w:val="00D2625C"/>
    <w:rsid w:val="00D268FE"/>
    <w:rsid w:val="00D462E6"/>
    <w:rsid w:val="00D61587"/>
    <w:rsid w:val="00D653F4"/>
    <w:rsid w:val="00D66C92"/>
    <w:rsid w:val="00D755E1"/>
    <w:rsid w:val="00D84B78"/>
    <w:rsid w:val="00D915E9"/>
    <w:rsid w:val="00D94333"/>
    <w:rsid w:val="00DB0FCB"/>
    <w:rsid w:val="00DB392D"/>
    <w:rsid w:val="00DB71FC"/>
    <w:rsid w:val="00DC25FD"/>
    <w:rsid w:val="00DC3081"/>
    <w:rsid w:val="00DD2DFE"/>
    <w:rsid w:val="00DD3FAF"/>
    <w:rsid w:val="00DE2A36"/>
    <w:rsid w:val="00DF4758"/>
    <w:rsid w:val="00E04108"/>
    <w:rsid w:val="00E10CB3"/>
    <w:rsid w:val="00E1161E"/>
    <w:rsid w:val="00E11A99"/>
    <w:rsid w:val="00E33C5E"/>
    <w:rsid w:val="00E55A4D"/>
    <w:rsid w:val="00E578FD"/>
    <w:rsid w:val="00E674FD"/>
    <w:rsid w:val="00E731A8"/>
    <w:rsid w:val="00E80B1C"/>
    <w:rsid w:val="00E92D3A"/>
    <w:rsid w:val="00EA2412"/>
    <w:rsid w:val="00EA52A9"/>
    <w:rsid w:val="00EA5308"/>
    <w:rsid w:val="00EB6277"/>
    <w:rsid w:val="00EC3935"/>
    <w:rsid w:val="00EC6FC5"/>
    <w:rsid w:val="00ED6890"/>
    <w:rsid w:val="00EF5066"/>
    <w:rsid w:val="00EF6B34"/>
    <w:rsid w:val="00F0765B"/>
    <w:rsid w:val="00F20DE4"/>
    <w:rsid w:val="00F23444"/>
    <w:rsid w:val="00F401A4"/>
    <w:rsid w:val="00F44B57"/>
    <w:rsid w:val="00F56871"/>
    <w:rsid w:val="00F716C6"/>
    <w:rsid w:val="00F93D3B"/>
    <w:rsid w:val="00F95C13"/>
    <w:rsid w:val="00FA2325"/>
    <w:rsid w:val="00FA726B"/>
    <w:rsid w:val="00FB103B"/>
    <w:rsid w:val="00FB5586"/>
    <w:rsid w:val="00FE1316"/>
    <w:rsid w:val="00FE5291"/>
    <w:rsid w:val="00FF41B4"/>
    <w:rsid w:val="00FF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4E1B3"/>
  <w15:docId w15:val="{5AFE31AC-1139-4E55-B9D8-1A1A2394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3B7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62E6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9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62E6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C703B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462E6"/>
    <w:rPr>
      <w:rFonts w:ascii="Arial" w:eastAsiaTheme="majorEastAsia" w:hAnsi="Arial" w:cstheme="majorBidi"/>
      <w:b/>
      <w:bCs/>
      <w:sz w:val="20"/>
      <w:szCs w:val="26"/>
    </w:rPr>
  </w:style>
  <w:style w:type="table" w:styleId="TableGrid">
    <w:name w:val="Table Grid"/>
    <w:basedOn w:val="TableNormal"/>
    <w:uiPriority w:val="59"/>
    <w:rsid w:val="00AF6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4AD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E2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2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4A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E24A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4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2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CF3"/>
  </w:style>
  <w:style w:type="paragraph" w:styleId="Footer">
    <w:name w:val="footer"/>
    <w:basedOn w:val="Normal"/>
    <w:link w:val="FooterChar"/>
    <w:uiPriority w:val="99"/>
    <w:unhideWhenUsed/>
    <w:rsid w:val="00AA2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CF3"/>
  </w:style>
  <w:style w:type="character" w:styleId="FollowedHyperlink">
    <w:name w:val="FollowedHyperlink"/>
    <w:basedOn w:val="DefaultParagraphFont"/>
    <w:uiPriority w:val="99"/>
    <w:semiHidden/>
    <w:unhideWhenUsed/>
    <w:rsid w:val="009B0658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3A2CAC"/>
  </w:style>
  <w:style w:type="character" w:customStyle="1" w:styleId="Heading3Char">
    <w:name w:val="Heading 3 Char"/>
    <w:basedOn w:val="DefaultParagraphFont"/>
    <w:link w:val="Heading3"/>
    <w:uiPriority w:val="9"/>
    <w:semiHidden/>
    <w:rsid w:val="003609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D915E9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A0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4224</Words>
  <Characters>24080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Metropolitan University</Company>
  <LinksUpToDate>false</LinksUpToDate>
  <CharactersWithSpaces>28248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hobbs04</dc:creator>
  <cp:keywords/>
  <dc:description/>
  <cp:lastModifiedBy>Green, Mark</cp:lastModifiedBy>
  <cp:revision>2</cp:revision>
  <cp:lastPrinted>2015-06-24T08:52:00Z</cp:lastPrinted>
  <dcterms:created xsi:type="dcterms:W3CDTF">2016-06-14T09:09:00Z</dcterms:created>
  <dcterms:modified xsi:type="dcterms:W3CDTF">2016-06-14T09:09:00Z</dcterms:modified>
</cp:coreProperties>
</file>