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23CB0" w14:textId="77777777" w:rsidR="00AE482D" w:rsidRDefault="00AE482D" w:rsidP="00AE482D">
      <w:pPr>
        <w:rPr>
          <w:b/>
          <w:sz w:val="28"/>
        </w:rPr>
      </w:pPr>
      <w:proofErr w:type="gramStart"/>
      <w:r>
        <w:rPr>
          <w:b/>
          <w:sz w:val="28"/>
        </w:rPr>
        <w:t>rediscovering</w:t>
      </w:r>
      <w:proofErr w:type="gramEnd"/>
      <w:r>
        <w:rPr>
          <w:b/>
          <w:sz w:val="28"/>
        </w:rPr>
        <w:t xml:space="preserve"> place for </w:t>
      </w:r>
      <w:r>
        <w:rPr>
          <w:b/>
          <w:i/>
          <w:sz w:val="28"/>
        </w:rPr>
        <w:t>s</w:t>
      </w:r>
      <w:r>
        <w:rPr>
          <w:b/>
          <w:sz w:val="28"/>
        </w:rPr>
        <w:t xml:space="preserve">ocial town planning: observations and suggestions </w:t>
      </w:r>
    </w:p>
    <w:p w14:paraId="656F1FD9" w14:textId="1985486A" w:rsidR="00AE482D" w:rsidRDefault="00AE482D" w:rsidP="00AE482D">
      <w:pPr>
        <w:rPr>
          <w:b/>
          <w:sz w:val="20"/>
        </w:rPr>
      </w:pPr>
      <w:r>
        <w:rPr>
          <w:b/>
          <w:sz w:val="20"/>
        </w:rPr>
        <w:t>Peter Fawcett</w:t>
      </w:r>
      <w:r w:rsidR="00C76F8D">
        <w:rPr>
          <w:b/>
          <w:sz w:val="20"/>
        </w:rPr>
        <w:t xml:space="preserve"> (PhD Researcher) </w:t>
      </w:r>
      <w:r>
        <w:rPr>
          <w:b/>
          <w:sz w:val="20"/>
        </w:rPr>
        <w:t>and Dr John Sturzaker</w:t>
      </w:r>
      <w:r w:rsidR="00284034">
        <w:rPr>
          <w:b/>
          <w:sz w:val="20"/>
        </w:rPr>
        <w:t xml:space="preserve"> (Senior Lecturer) </w:t>
      </w:r>
      <w:bookmarkStart w:id="0" w:name="_GoBack"/>
      <w:bookmarkEnd w:id="0"/>
      <w:r w:rsidR="00284034">
        <w:rPr>
          <w:b/>
          <w:sz w:val="20"/>
        </w:rPr>
        <w:t xml:space="preserve">  </w:t>
      </w:r>
      <w:r>
        <w:rPr>
          <w:b/>
          <w:sz w:val="20"/>
        </w:rPr>
        <w:br/>
        <w:t>Department of Geography and Planning, University of Liverpool</w:t>
      </w:r>
    </w:p>
    <w:p w14:paraId="7325C7F5" w14:textId="77777777" w:rsidR="00DC5459" w:rsidRDefault="00DC5459" w:rsidP="00AE482D">
      <w:pPr>
        <w:rPr>
          <w:b/>
          <w:sz w:val="26"/>
          <w:szCs w:val="26"/>
        </w:rPr>
      </w:pPr>
    </w:p>
    <w:p w14:paraId="0B74F313" w14:textId="77777777" w:rsidR="00AE482D" w:rsidRDefault="00AE482D" w:rsidP="00AE482D">
      <w:pPr>
        <w:rPr>
          <w:b/>
          <w:sz w:val="26"/>
          <w:szCs w:val="26"/>
        </w:rPr>
      </w:pPr>
      <w:r w:rsidRPr="00ED08BF">
        <w:rPr>
          <w:b/>
          <w:sz w:val="26"/>
          <w:szCs w:val="26"/>
        </w:rPr>
        <w:t xml:space="preserve">Introduction </w:t>
      </w:r>
    </w:p>
    <w:p w14:paraId="0A19AF26" w14:textId="7A3DF42F" w:rsidR="007F2351" w:rsidRDefault="00EF6006" w:rsidP="00A35AA2">
      <w:pPr>
        <w:spacing w:line="360" w:lineRule="auto"/>
        <w:jc w:val="both"/>
        <w:rPr>
          <w:szCs w:val="26"/>
        </w:rPr>
      </w:pPr>
      <w:r>
        <w:rPr>
          <w:szCs w:val="26"/>
        </w:rPr>
        <w:t xml:space="preserve">It is a regrettable fact that planning today has an image problem.  </w:t>
      </w:r>
      <w:r w:rsidR="00A35AA2">
        <w:rPr>
          <w:szCs w:val="26"/>
        </w:rPr>
        <w:t xml:space="preserve">In little over a century, planning has transitioned from being viewed as a grand </w:t>
      </w:r>
      <w:r w:rsidR="001A0933">
        <w:rPr>
          <w:szCs w:val="26"/>
        </w:rPr>
        <w:t xml:space="preserve">(almost </w:t>
      </w:r>
      <w:r w:rsidR="00812993">
        <w:rPr>
          <w:szCs w:val="26"/>
        </w:rPr>
        <w:t>evangelical</w:t>
      </w:r>
      <w:r w:rsidR="001A0933">
        <w:rPr>
          <w:szCs w:val="26"/>
        </w:rPr>
        <w:t>)</w:t>
      </w:r>
      <w:r w:rsidR="00812993">
        <w:rPr>
          <w:szCs w:val="26"/>
        </w:rPr>
        <w:t xml:space="preserve"> </w:t>
      </w:r>
      <w:r w:rsidR="00A35AA2">
        <w:rPr>
          <w:szCs w:val="26"/>
        </w:rPr>
        <w:t xml:space="preserve">movement - with direct bearing on </w:t>
      </w:r>
      <w:r>
        <w:rPr>
          <w:szCs w:val="26"/>
        </w:rPr>
        <w:t xml:space="preserve">the </w:t>
      </w:r>
      <w:r>
        <w:rPr>
          <w:i/>
          <w:szCs w:val="26"/>
        </w:rPr>
        <w:t>‘…life and happiness of great masses of people’</w:t>
      </w:r>
      <w:r w:rsidR="00E3660A">
        <w:rPr>
          <w:rStyle w:val="EndnoteReference"/>
          <w:i/>
          <w:szCs w:val="26"/>
        </w:rPr>
        <w:endnoteReference w:id="1"/>
      </w:r>
      <w:r w:rsidR="00A35AA2">
        <w:rPr>
          <w:szCs w:val="26"/>
        </w:rPr>
        <w:t xml:space="preserve"> </w:t>
      </w:r>
      <w:r w:rsidR="009817AE">
        <w:rPr>
          <w:szCs w:val="26"/>
        </w:rPr>
        <w:t>- to</w:t>
      </w:r>
      <w:r w:rsidR="00A35AA2">
        <w:rPr>
          <w:szCs w:val="26"/>
        </w:rPr>
        <w:t xml:space="preserve"> </w:t>
      </w:r>
      <w:r w:rsidR="001B036E">
        <w:rPr>
          <w:szCs w:val="26"/>
        </w:rPr>
        <w:t>a regulatory</w:t>
      </w:r>
      <w:r w:rsidR="00A24D74">
        <w:rPr>
          <w:szCs w:val="26"/>
        </w:rPr>
        <w:t xml:space="preserve"> component of land-use control. </w:t>
      </w:r>
      <w:r>
        <w:rPr>
          <w:szCs w:val="26"/>
        </w:rPr>
        <w:t>But there is hope</w:t>
      </w:r>
      <w:r w:rsidR="000460CB">
        <w:rPr>
          <w:szCs w:val="26"/>
        </w:rPr>
        <w:t xml:space="preserve"> for planning. </w:t>
      </w:r>
      <w:r w:rsidR="0009561A">
        <w:rPr>
          <w:szCs w:val="26"/>
        </w:rPr>
        <w:t>A number of c</w:t>
      </w:r>
      <w:r w:rsidR="00C73661">
        <w:rPr>
          <w:szCs w:val="26"/>
        </w:rPr>
        <w:t xml:space="preserve">ampaigns and initiatives are now seeking to reconnect </w:t>
      </w:r>
      <w:r w:rsidR="0009561A">
        <w:rPr>
          <w:szCs w:val="26"/>
        </w:rPr>
        <w:t xml:space="preserve">planning to its social origins, with a case in point being the </w:t>
      </w:r>
      <w:r w:rsidR="00C73661">
        <w:rPr>
          <w:i/>
          <w:szCs w:val="26"/>
        </w:rPr>
        <w:t xml:space="preserve">#Planning4People </w:t>
      </w:r>
      <w:r w:rsidR="00C73661">
        <w:rPr>
          <w:szCs w:val="26"/>
        </w:rPr>
        <w:t xml:space="preserve">project. </w:t>
      </w:r>
      <w:r w:rsidR="00404865">
        <w:rPr>
          <w:szCs w:val="26"/>
        </w:rPr>
        <w:t>A</w:t>
      </w:r>
      <w:r w:rsidR="00EC14AE">
        <w:rPr>
          <w:szCs w:val="26"/>
        </w:rPr>
        <w:t xml:space="preserve"> </w:t>
      </w:r>
      <w:r w:rsidR="00C73661">
        <w:rPr>
          <w:szCs w:val="26"/>
        </w:rPr>
        <w:t>joint initiative by the TCPA and Webb Memorial</w:t>
      </w:r>
      <w:r w:rsidR="00EC14AE">
        <w:rPr>
          <w:szCs w:val="26"/>
        </w:rPr>
        <w:t xml:space="preserve"> Fund</w:t>
      </w:r>
      <w:r w:rsidR="00404865">
        <w:rPr>
          <w:szCs w:val="26"/>
        </w:rPr>
        <w:t>, the planning for people</w:t>
      </w:r>
      <w:r w:rsidR="00EC14AE">
        <w:rPr>
          <w:szCs w:val="26"/>
        </w:rPr>
        <w:t xml:space="preserve"> </w:t>
      </w:r>
      <w:r w:rsidR="00C73661">
        <w:rPr>
          <w:szCs w:val="26"/>
        </w:rPr>
        <w:t xml:space="preserve">project </w:t>
      </w:r>
      <w:r w:rsidR="007F2351">
        <w:rPr>
          <w:szCs w:val="26"/>
        </w:rPr>
        <w:t>seeks to reposition people and social justice back into the heart of town planning.</w:t>
      </w:r>
    </w:p>
    <w:p w14:paraId="6252BB71" w14:textId="4AB171E7" w:rsidR="001D1917" w:rsidRDefault="00BF2925" w:rsidP="00296899">
      <w:pPr>
        <w:spacing w:line="360" w:lineRule="auto"/>
        <w:jc w:val="both"/>
      </w:pPr>
      <w:r>
        <w:t xml:space="preserve">Rediscovering social town planning will </w:t>
      </w:r>
      <w:r w:rsidR="004800A7">
        <w:t xml:space="preserve">not </w:t>
      </w:r>
      <w:r>
        <w:t xml:space="preserve">be </w:t>
      </w:r>
      <w:r w:rsidR="00E534E5">
        <w:t xml:space="preserve">a </w:t>
      </w:r>
      <w:r>
        <w:t>straightforward</w:t>
      </w:r>
      <w:r w:rsidR="00E534E5">
        <w:t xml:space="preserve"> task</w:t>
      </w:r>
      <w:r>
        <w:t xml:space="preserve">, however. </w:t>
      </w:r>
      <w:r w:rsidR="004B0A2C">
        <w:t xml:space="preserve">Many factors need to be taken into account, with arguably one of the most important being that of </w:t>
      </w:r>
      <w:r w:rsidR="004B0A2C">
        <w:rPr>
          <w:i/>
        </w:rPr>
        <w:t>place</w:t>
      </w:r>
      <w:r w:rsidR="004B0A2C">
        <w:t xml:space="preserve">. </w:t>
      </w:r>
      <w:r w:rsidR="00A26485">
        <w:t xml:space="preserve">If we are to build a better society for everyone, </w:t>
      </w:r>
      <w:r w:rsidR="004B0A2C">
        <w:t xml:space="preserve">then </w:t>
      </w:r>
      <w:r w:rsidR="00FB4666">
        <w:t xml:space="preserve">we must build better places </w:t>
      </w:r>
      <w:r w:rsidR="00465B69">
        <w:t>for people</w:t>
      </w:r>
      <w:r w:rsidR="00D079EC">
        <w:t xml:space="preserve"> to</w:t>
      </w:r>
      <w:r w:rsidR="004B0A2C">
        <w:t xml:space="preserve"> live, work and play.</w:t>
      </w:r>
      <w:r w:rsidR="00465B69">
        <w:t xml:space="preserve"> </w:t>
      </w:r>
      <w:r w:rsidR="00263228">
        <w:t>The crux of this</w:t>
      </w:r>
      <w:r w:rsidR="009F3C87">
        <w:t xml:space="preserve">, however, is that planning </w:t>
      </w:r>
      <w:r w:rsidR="004B0A2C">
        <w:t xml:space="preserve">appears to </w:t>
      </w:r>
      <w:r w:rsidR="009F3C87">
        <w:t>ha</w:t>
      </w:r>
      <w:r w:rsidR="004B0A2C">
        <w:t>ve</w:t>
      </w:r>
      <w:r w:rsidR="009F3C87">
        <w:t xml:space="preserve"> lost its ‘sense of place’. </w:t>
      </w:r>
      <w:r w:rsidR="00A32C92">
        <w:t xml:space="preserve"> </w:t>
      </w:r>
      <w:r w:rsidR="002F1E3E">
        <w:t>As we will go on to discuss, a</w:t>
      </w:r>
      <w:r w:rsidR="00A32C92">
        <w:t xml:space="preserve">ll too often, </w:t>
      </w:r>
      <w:r w:rsidR="00783532">
        <w:t xml:space="preserve">place (its richness and uniqueness) </w:t>
      </w:r>
      <w:r w:rsidR="004B0A2C">
        <w:t xml:space="preserve">is reduced </w:t>
      </w:r>
      <w:r w:rsidR="00783532">
        <w:t>to space (</w:t>
      </w:r>
      <w:r w:rsidR="00C60C71">
        <w:t xml:space="preserve">a </w:t>
      </w:r>
      <w:r w:rsidR="0009561A">
        <w:t xml:space="preserve">physical location) with little consideration of the long term consequences of this. </w:t>
      </w:r>
      <w:r w:rsidR="00F67888">
        <w:t xml:space="preserve">To that end, we wish to </w:t>
      </w:r>
      <w:r w:rsidR="0009561A">
        <w:t>take this</w:t>
      </w:r>
      <w:r w:rsidR="00F67888">
        <w:t xml:space="preserve"> opportunity to </w:t>
      </w:r>
      <w:r w:rsidR="00EB4402">
        <w:t xml:space="preserve">explore </w:t>
      </w:r>
      <w:r w:rsidR="0009561A">
        <w:t xml:space="preserve">the societal importance of place and </w:t>
      </w:r>
      <w:r w:rsidR="00EB4402">
        <w:t xml:space="preserve">offer some </w:t>
      </w:r>
      <w:r w:rsidR="00296899">
        <w:t>suggestions as to how we can beg</w:t>
      </w:r>
      <w:r w:rsidR="0009561A">
        <w:t>in to go about putting place</w:t>
      </w:r>
      <w:r w:rsidR="00296899">
        <w:t xml:space="preserve"> back into the </w:t>
      </w:r>
      <w:r w:rsidR="00B9265C">
        <w:t xml:space="preserve">planning equation. </w:t>
      </w:r>
    </w:p>
    <w:p w14:paraId="1AEDCF92" w14:textId="77777777" w:rsidR="00296899" w:rsidRDefault="00296899" w:rsidP="00296899">
      <w:pPr>
        <w:spacing w:line="360" w:lineRule="auto"/>
        <w:jc w:val="both"/>
      </w:pPr>
    </w:p>
    <w:p w14:paraId="3040CEA2" w14:textId="77777777" w:rsidR="00A85B97" w:rsidRPr="00ED08BF" w:rsidRDefault="00A85B97" w:rsidP="00A85B97">
      <w:pPr>
        <w:rPr>
          <w:b/>
          <w:sz w:val="26"/>
          <w:szCs w:val="26"/>
        </w:rPr>
      </w:pPr>
      <w:r w:rsidRPr="00ED08BF">
        <w:rPr>
          <w:b/>
          <w:sz w:val="26"/>
          <w:szCs w:val="26"/>
        </w:rPr>
        <w:t xml:space="preserve">Place, more than </w:t>
      </w:r>
      <w:r w:rsidR="0048117C" w:rsidRPr="00ED08BF">
        <w:rPr>
          <w:b/>
          <w:sz w:val="26"/>
          <w:szCs w:val="26"/>
        </w:rPr>
        <w:t xml:space="preserve">a location </w:t>
      </w:r>
    </w:p>
    <w:p w14:paraId="7901DC66" w14:textId="75C632AC" w:rsidR="00002765" w:rsidRDefault="00325FD9" w:rsidP="00325FD9">
      <w:pPr>
        <w:spacing w:line="360" w:lineRule="auto"/>
        <w:jc w:val="both"/>
      </w:pPr>
      <w:r>
        <w:t xml:space="preserve">Place </w:t>
      </w:r>
      <w:r w:rsidR="004B0A2C">
        <w:t xml:space="preserve">is </w:t>
      </w:r>
      <w:r>
        <w:t xml:space="preserve">an </w:t>
      </w:r>
      <w:r>
        <w:rPr>
          <w:i/>
        </w:rPr>
        <w:t>‘inescapable dimension of human life and experience’</w:t>
      </w:r>
      <w:r w:rsidR="00E3660A">
        <w:rPr>
          <w:rStyle w:val="EndnoteReference"/>
          <w:i/>
        </w:rPr>
        <w:endnoteReference w:id="2"/>
      </w:r>
      <w:r>
        <w:t xml:space="preserve">. Yet, despite this – or, </w:t>
      </w:r>
      <w:r w:rsidR="009116C0">
        <w:t>perhaps</w:t>
      </w:r>
      <w:r w:rsidR="004B0A2C">
        <w:t>, because of it – it</w:t>
      </w:r>
      <w:r>
        <w:t xml:space="preserve"> belies simple definition. </w:t>
      </w:r>
      <w:r w:rsidR="000F24DD">
        <w:t>Like the concepts of Health</w:t>
      </w:r>
      <w:r w:rsidR="002F1E3E">
        <w:t>,</w:t>
      </w:r>
      <w:r w:rsidR="000F24DD">
        <w:t xml:space="preserve"> Quality of Life and Sustainability, it is too elusive and far too relative to be defined</w:t>
      </w:r>
      <w:r w:rsidR="008B7EDB">
        <w:t xml:space="preserve"> in an exclusive sense</w:t>
      </w:r>
      <w:r w:rsidR="000F24DD">
        <w:t xml:space="preserve">. </w:t>
      </w:r>
      <w:r w:rsidR="00301A69">
        <w:t xml:space="preserve"> To answer the question of what is place, we must </w:t>
      </w:r>
      <w:r w:rsidR="004B0A2C">
        <w:t xml:space="preserve">then </w:t>
      </w:r>
      <w:r w:rsidR="00EF1105">
        <w:t>first start by examining it</w:t>
      </w:r>
      <w:r w:rsidR="001A67D6">
        <w:t xml:space="preserve">s composition and construction. </w:t>
      </w:r>
      <w:r w:rsidR="00157026">
        <w:t xml:space="preserve">To begin, we can start by saying that a place must be located in some setting </w:t>
      </w:r>
      <w:r w:rsidR="001A67D6">
        <w:t xml:space="preserve">– be it physical or virtual. </w:t>
      </w:r>
      <w:r w:rsidR="00157026">
        <w:t xml:space="preserve">This setting, in effect, serves as a container – or </w:t>
      </w:r>
      <w:r w:rsidR="00157026">
        <w:rPr>
          <w:i/>
        </w:rPr>
        <w:t xml:space="preserve">space </w:t>
      </w:r>
      <w:r w:rsidR="004F72CE">
        <w:t xml:space="preserve">– within which the fabric (features and characteristics) of a place are positioned and housed. </w:t>
      </w:r>
    </w:p>
    <w:p w14:paraId="3E6E0471" w14:textId="4F92F6E8" w:rsidR="007D1959" w:rsidRDefault="00002765" w:rsidP="00325FD9">
      <w:pPr>
        <w:spacing w:line="360" w:lineRule="auto"/>
        <w:jc w:val="both"/>
      </w:pPr>
      <w:r>
        <w:t xml:space="preserve">Although </w:t>
      </w:r>
      <w:r w:rsidR="00265081">
        <w:rPr>
          <w:i/>
        </w:rPr>
        <w:t>space</w:t>
      </w:r>
      <w:r w:rsidR="00631A1A">
        <w:rPr>
          <w:i/>
        </w:rPr>
        <w:t>s</w:t>
      </w:r>
      <w:r w:rsidR="00265081">
        <w:rPr>
          <w:i/>
        </w:rPr>
        <w:t xml:space="preserve"> </w:t>
      </w:r>
      <w:r w:rsidR="00631A1A">
        <w:t>are</w:t>
      </w:r>
      <w:r w:rsidR="00265081">
        <w:t xml:space="preserve"> an important feature of towns and cities, </w:t>
      </w:r>
      <w:r w:rsidR="009116C0">
        <w:t>they gain</w:t>
      </w:r>
      <w:r w:rsidR="008C0069">
        <w:t xml:space="preserve"> </w:t>
      </w:r>
      <w:r w:rsidR="00E613BB">
        <w:t xml:space="preserve">social </w:t>
      </w:r>
      <w:r w:rsidR="00FE4957">
        <w:t xml:space="preserve">significance </w:t>
      </w:r>
      <w:r w:rsidR="000C2620">
        <w:t xml:space="preserve">through </w:t>
      </w:r>
      <w:r w:rsidR="00FE4957">
        <w:t>the activities and practice</w:t>
      </w:r>
      <w:r w:rsidR="00631A1A">
        <w:t>s</w:t>
      </w:r>
      <w:r w:rsidR="00FE4957">
        <w:t xml:space="preserve"> people perform within </w:t>
      </w:r>
      <w:r w:rsidR="00631A1A">
        <w:t>them</w:t>
      </w:r>
      <w:r w:rsidR="00FE4957">
        <w:t xml:space="preserve">. </w:t>
      </w:r>
      <w:r w:rsidR="00690967">
        <w:t xml:space="preserve"> </w:t>
      </w:r>
      <w:r w:rsidR="004B6CDB">
        <w:t xml:space="preserve">This ‘humanisation of space’, in which </w:t>
      </w:r>
      <w:r w:rsidR="0001589E">
        <w:t xml:space="preserve">spaces are inscribed with meaning, effectively </w:t>
      </w:r>
      <w:r w:rsidR="00BD46B5">
        <w:t>captures</w:t>
      </w:r>
      <w:r w:rsidR="0001589E">
        <w:t xml:space="preserve"> the </w:t>
      </w:r>
      <w:r w:rsidR="005B5FC3">
        <w:t xml:space="preserve">essence of place construction. </w:t>
      </w:r>
      <w:r w:rsidR="00157026">
        <w:t xml:space="preserve"> Through </w:t>
      </w:r>
      <w:r w:rsidR="00157026">
        <w:lastRenderedPageBreak/>
        <w:t>utilisation of the spaces</w:t>
      </w:r>
      <w:r w:rsidR="00737487">
        <w:t xml:space="preserve"> within</w:t>
      </w:r>
      <w:r w:rsidR="00157026">
        <w:t xml:space="preserve"> our</w:t>
      </w:r>
      <w:r w:rsidR="00737487">
        <w:t xml:space="preserve"> towns and cities, people transform a procession of general characteristics into </w:t>
      </w:r>
      <w:r w:rsidR="00866617">
        <w:t>meaningful</w:t>
      </w:r>
      <w:r w:rsidR="00737487">
        <w:t xml:space="preserve"> </w:t>
      </w:r>
      <w:r w:rsidR="00157026">
        <w:t xml:space="preserve">arenas </w:t>
      </w:r>
      <w:r w:rsidR="00737487">
        <w:t xml:space="preserve">of human experience. </w:t>
      </w:r>
      <w:r w:rsidR="00F062DF">
        <w:t xml:space="preserve">However, this is by no means a one-way process. </w:t>
      </w:r>
      <w:r w:rsidR="00D84ABD">
        <w:t xml:space="preserve">While people might inscribe meaning into the material landscape of local areas, the activities and practices through which </w:t>
      </w:r>
      <w:r w:rsidR="002F1E3E">
        <w:t xml:space="preserve">they </w:t>
      </w:r>
      <w:r w:rsidR="00D84ABD">
        <w:t>do</w:t>
      </w:r>
      <w:r w:rsidR="00157026">
        <w:t xml:space="preserve"> so</w:t>
      </w:r>
      <w:r w:rsidR="00D84ABD">
        <w:t xml:space="preserve"> conform to a level of appropriateness afforded by </w:t>
      </w:r>
      <w:r w:rsidR="00631A1A">
        <w:t>the</w:t>
      </w:r>
      <w:r w:rsidR="00D84ABD">
        <w:t xml:space="preserve"> landscape</w:t>
      </w:r>
      <w:r w:rsidR="00157026">
        <w:t xml:space="preserve"> itself</w:t>
      </w:r>
      <w:r w:rsidR="00D84ABD">
        <w:t xml:space="preserve">. </w:t>
      </w:r>
      <w:r w:rsidR="006943AC">
        <w:t>The design and features of a would-be place – neighbourhoods, retail centres, houses, socio-economic opportunities, and so on</w:t>
      </w:r>
      <w:r w:rsidR="00631A1A">
        <w:t xml:space="preserve"> </w:t>
      </w:r>
      <w:r w:rsidR="006943AC">
        <w:t>–</w:t>
      </w:r>
      <w:r w:rsidR="009C2574">
        <w:t xml:space="preserve"> provide the</w:t>
      </w:r>
      <w:r w:rsidR="006943AC">
        <w:t xml:space="preserve"> collective foundation upon which </w:t>
      </w:r>
      <w:r w:rsidR="009C2574">
        <w:t xml:space="preserve">people’s norms and values are based. </w:t>
      </w:r>
    </w:p>
    <w:p w14:paraId="1DAD3985" w14:textId="100F8BBB" w:rsidR="007D1959" w:rsidRPr="00CB5C60" w:rsidRDefault="00B13A94" w:rsidP="00DC7B58">
      <w:pPr>
        <w:spacing w:line="360" w:lineRule="auto"/>
        <w:jc w:val="both"/>
      </w:pPr>
      <w:r>
        <w:t xml:space="preserve">For planning, the starting point for policy makers and practitioners must thus be that places are much more than simply physical locations. Rather, they are settings </w:t>
      </w:r>
      <w:r w:rsidR="00631A1A">
        <w:t>of</w:t>
      </w:r>
      <w:r>
        <w:t xml:space="preserve"> </w:t>
      </w:r>
      <w:r w:rsidR="00D479EB">
        <w:t>significant</w:t>
      </w:r>
      <w:r>
        <w:t xml:space="preserve"> attached meaning</w:t>
      </w:r>
      <w:r w:rsidR="004D0E92">
        <w:t xml:space="preserve">. </w:t>
      </w:r>
      <w:r w:rsidR="00CB5C60">
        <w:t xml:space="preserve">Moreover, their human dimension gives them a distinct temporal and spatial sensitivity. </w:t>
      </w:r>
      <w:r w:rsidR="00CA72D0">
        <w:t xml:space="preserve">Given this, </w:t>
      </w:r>
      <w:r w:rsidR="00946DEA">
        <w:t xml:space="preserve">it is easy to see how common sense uses of the term </w:t>
      </w:r>
      <w:r w:rsidR="00946DEA" w:rsidRPr="00295A33">
        <w:rPr>
          <w:i/>
        </w:rPr>
        <w:t>place</w:t>
      </w:r>
      <w:r w:rsidR="00946DEA">
        <w:t xml:space="preserve"> might </w:t>
      </w:r>
      <w:r w:rsidR="000E24B4">
        <w:t xml:space="preserve">fail to capture its true complexity. </w:t>
      </w:r>
    </w:p>
    <w:p w14:paraId="19846E53" w14:textId="24A6D00C" w:rsidR="00A21DDB" w:rsidRPr="00ED08BF" w:rsidRDefault="00625915" w:rsidP="00F16A5E">
      <w:pPr>
        <w:spacing w:line="360" w:lineRule="auto"/>
        <w:jc w:val="both"/>
        <w:rPr>
          <w:b/>
          <w:sz w:val="26"/>
          <w:szCs w:val="26"/>
        </w:rPr>
      </w:pPr>
      <w:r>
        <w:rPr>
          <w:b/>
          <w:sz w:val="26"/>
          <w:szCs w:val="26"/>
        </w:rPr>
        <w:t>P</w:t>
      </w:r>
      <w:r w:rsidR="004D04F4" w:rsidRPr="00ED08BF">
        <w:rPr>
          <w:b/>
          <w:sz w:val="26"/>
          <w:szCs w:val="26"/>
        </w:rPr>
        <w:t xml:space="preserve">lace </w:t>
      </w:r>
      <w:r w:rsidR="004D04F4" w:rsidRPr="00ED08BF">
        <w:rPr>
          <w:b/>
          <w:i/>
          <w:sz w:val="26"/>
          <w:szCs w:val="26"/>
        </w:rPr>
        <w:t xml:space="preserve">in </w:t>
      </w:r>
      <w:r w:rsidR="004D04F4" w:rsidRPr="00ED08BF">
        <w:rPr>
          <w:b/>
          <w:sz w:val="26"/>
          <w:szCs w:val="26"/>
        </w:rPr>
        <w:t xml:space="preserve">society </w:t>
      </w:r>
    </w:p>
    <w:p w14:paraId="088912D0" w14:textId="7D39F78A" w:rsidR="004D04F4" w:rsidRDefault="008D17E8" w:rsidP="00841D70">
      <w:pPr>
        <w:spacing w:line="360" w:lineRule="auto"/>
        <w:jc w:val="both"/>
      </w:pPr>
      <w:r>
        <w:t>Isolating the mechanisms a</w:t>
      </w:r>
      <w:r w:rsidR="006C2A4F">
        <w:t>nd pathways through which place</w:t>
      </w:r>
      <w:r w:rsidR="00631A1A">
        <w:t>s</w:t>
      </w:r>
      <w:r>
        <w:t xml:space="preserve"> influence</w:t>
      </w:r>
      <w:r w:rsidR="004C6615">
        <w:t xml:space="preserve"> people is a difficult task.</w:t>
      </w:r>
      <w:r w:rsidR="006C2A4F">
        <w:t xml:space="preserve"> This </w:t>
      </w:r>
      <w:r w:rsidR="002F1E3E">
        <w:t xml:space="preserve">is </w:t>
      </w:r>
      <w:r w:rsidR="006C2A4F">
        <w:t xml:space="preserve">made </w:t>
      </w:r>
      <w:r w:rsidR="004C6615">
        <w:t xml:space="preserve">only </w:t>
      </w:r>
      <w:r w:rsidR="006C2A4F">
        <w:t xml:space="preserve">more complicated by the </w:t>
      </w:r>
      <w:r w:rsidR="006C2A4F" w:rsidRPr="00997945">
        <w:rPr>
          <w:i/>
        </w:rPr>
        <w:t>multidimensionality</w:t>
      </w:r>
      <w:r w:rsidR="006C2A4F">
        <w:t xml:space="preserve"> of place itself </w:t>
      </w:r>
      <w:r w:rsidR="00FA4023">
        <w:t>–</w:t>
      </w:r>
      <w:r w:rsidR="006C2A4F">
        <w:t xml:space="preserve"> </w:t>
      </w:r>
      <w:r w:rsidR="00FA4023">
        <w:t xml:space="preserve">it is temporal, spatial, social and physical. </w:t>
      </w:r>
      <w:r w:rsidR="004C6615">
        <w:t xml:space="preserve">Given that place affords </w:t>
      </w:r>
      <w:r w:rsidR="0046555F">
        <w:t xml:space="preserve">people </w:t>
      </w:r>
      <w:r w:rsidR="00330612">
        <w:t>a certain</w:t>
      </w:r>
      <w:r w:rsidR="0046555F">
        <w:t xml:space="preserve"> ability to act in </w:t>
      </w:r>
      <w:r w:rsidR="00330612">
        <w:t>particular ways, we can say that plac</w:t>
      </w:r>
      <w:r w:rsidR="004C6615">
        <w:t xml:space="preserve">e must </w:t>
      </w:r>
      <w:r w:rsidR="00330612">
        <w:t xml:space="preserve">have a consequential societal impact. </w:t>
      </w:r>
      <w:r w:rsidR="004C6615">
        <w:t>This ‘place impact</w:t>
      </w:r>
      <w:r w:rsidR="00065194">
        <w:t xml:space="preserve">’, </w:t>
      </w:r>
      <w:r w:rsidR="00EC40DA">
        <w:t>moreover</w:t>
      </w:r>
      <w:r w:rsidR="004C6615">
        <w:t xml:space="preserve">, </w:t>
      </w:r>
      <w:r w:rsidR="002F1E3E">
        <w:t>clearly</w:t>
      </w:r>
      <w:r w:rsidR="00065194">
        <w:t xml:space="preserve"> differ</w:t>
      </w:r>
      <w:r w:rsidR="002F1E3E">
        <w:t>s</w:t>
      </w:r>
      <w:r w:rsidR="00065194">
        <w:t xml:space="preserve"> in form an</w:t>
      </w:r>
      <w:r w:rsidR="00CF353F">
        <w:t>d magnitude from place to place (</w:t>
      </w:r>
      <w:r w:rsidR="00065194">
        <w:t>and from person to person</w:t>
      </w:r>
      <w:r w:rsidR="00CF353F">
        <w:t>)</w:t>
      </w:r>
      <w:r w:rsidR="00065194">
        <w:t xml:space="preserve">. </w:t>
      </w:r>
      <w:r w:rsidR="00DB45A3">
        <w:t xml:space="preserve"> The sticking point with this argument, however, </w:t>
      </w:r>
      <w:r w:rsidR="00CD639F">
        <w:t xml:space="preserve">is not in the demonstration of </w:t>
      </w:r>
      <w:r w:rsidR="00CD639F">
        <w:rPr>
          <w:i/>
        </w:rPr>
        <w:t xml:space="preserve">if </w:t>
      </w:r>
      <w:r w:rsidR="00CD639F">
        <w:t xml:space="preserve">but in </w:t>
      </w:r>
      <w:r w:rsidR="00CD639F">
        <w:rPr>
          <w:i/>
        </w:rPr>
        <w:t xml:space="preserve">how </w:t>
      </w:r>
      <w:r w:rsidR="00CD639F">
        <w:t xml:space="preserve">places matter to society </w:t>
      </w:r>
      <w:r w:rsidR="007B5C32">
        <w:t>–</w:t>
      </w:r>
      <w:r w:rsidR="00CD639F">
        <w:t xml:space="preserve"> </w:t>
      </w:r>
      <w:r w:rsidR="007B5C32">
        <w:t>the notion of ‘e</w:t>
      </w:r>
      <w:r w:rsidR="00841D70">
        <w:t>nvironmental determinism</w:t>
      </w:r>
      <w:r w:rsidR="007B5C32">
        <w:t>’ cannot</w:t>
      </w:r>
      <w:r w:rsidR="00841D70">
        <w:t xml:space="preserve"> be relied on fully to answer </w:t>
      </w:r>
      <w:r w:rsidR="00037D45">
        <w:t xml:space="preserve">exactly </w:t>
      </w:r>
      <w:r w:rsidR="00B705BA">
        <w:t>how and why people act and behave in the way they do.</w:t>
      </w:r>
      <w:r w:rsidR="00037D45">
        <w:t xml:space="preserve"> </w:t>
      </w:r>
      <w:r w:rsidR="00841D70">
        <w:t xml:space="preserve"> </w:t>
      </w:r>
    </w:p>
    <w:p w14:paraId="0DA372EF" w14:textId="6CA64B70" w:rsidR="000D529E" w:rsidRDefault="00943F14" w:rsidP="00F9072E">
      <w:pPr>
        <w:spacing w:line="360" w:lineRule="auto"/>
        <w:jc w:val="both"/>
      </w:pPr>
      <w:r>
        <w:t>If we put this issue to one side, the</w:t>
      </w:r>
      <w:r w:rsidR="00841D70">
        <w:t xml:space="preserve"> </w:t>
      </w:r>
      <w:r w:rsidR="00E05336">
        <w:t>important</w:t>
      </w:r>
      <w:r w:rsidR="00841D70">
        <w:t xml:space="preserve"> message for planning</w:t>
      </w:r>
      <w:r>
        <w:t xml:space="preserve"> here</w:t>
      </w:r>
      <w:r w:rsidR="00841D70">
        <w:t xml:space="preserve"> is that </w:t>
      </w:r>
      <w:r w:rsidR="00841D70">
        <w:rPr>
          <w:i/>
        </w:rPr>
        <w:t>‘place creates people and people create places’</w:t>
      </w:r>
      <w:r w:rsidR="000A032B">
        <w:rPr>
          <w:rStyle w:val="EndnoteReference"/>
          <w:i/>
        </w:rPr>
        <w:endnoteReference w:id="3"/>
      </w:r>
      <w:r w:rsidR="00841D70">
        <w:t>.</w:t>
      </w:r>
      <w:r w:rsidR="000D529E">
        <w:t xml:space="preserve"> </w:t>
      </w:r>
      <w:r w:rsidR="00997945">
        <w:t xml:space="preserve"> Again, the difficulty with this is that the mechanics </w:t>
      </w:r>
      <w:r w:rsidR="004E5CBE">
        <w:t>of</w:t>
      </w:r>
      <w:r w:rsidR="00310F51">
        <w:t xml:space="preserve"> this process</w:t>
      </w:r>
      <w:r w:rsidR="00997945">
        <w:t xml:space="preserve"> remain largely hidden from view</w:t>
      </w:r>
      <w:r w:rsidR="00A927C1">
        <w:t xml:space="preserve"> due to the complex</w:t>
      </w:r>
      <w:r w:rsidR="00205979">
        <w:t xml:space="preserve">ity of the </w:t>
      </w:r>
      <w:r w:rsidR="000B3B8F">
        <w:t>factors at play</w:t>
      </w:r>
      <w:r w:rsidR="00997945">
        <w:t>. In seeking to illuminate this seemingly black</w:t>
      </w:r>
      <w:r w:rsidR="003C1209">
        <w:t>-</w:t>
      </w:r>
      <w:r w:rsidR="00997945">
        <w:t>box</w:t>
      </w:r>
      <w:r w:rsidR="003C1209">
        <w:t xml:space="preserve"> </w:t>
      </w:r>
      <w:r w:rsidR="00D85857">
        <w:t>situation</w:t>
      </w:r>
      <w:r w:rsidR="00997945">
        <w:t>, Macintyre and colleagues</w:t>
      </w:r>
      <w:r w:rsidR="00A241F1">
        <w:rPr>
          <w:rStyle w:val="EndnoteReference"/>
        </w:rPr>
        <w:endnoteReference w:id="4"/>
      </w:r>
      <w:r w:rsidR="00997945">
        <w:t xml:space="preserve"> </w:t>
      </w:r>
      <w:r w:rsidR="00DA6F36">
        <w:t>i</w:t>
      </w:r>
      <w:r w:rsidR="001B5A21">
        <w:t>dentify</w:t>
      </w:r>
      <w:r w:rsidR="00997945">
        <w:t xml:space="preserve"> five</w:t>
      </w:r>
      <w:r w:rsidR="00CA13A8">
        <w:t xml:space="preserve"> </w:t>
      </w:r>
      <w:r w:rsidR="00CB6DB7">
        <w:t xml:space="preserve">key </w:t>
      </w:r>
      <w:r w:rsidR="00A241F1">
        <w:t>features</w:t>
      </w:r>
      <w:r w:rsidR="00CB6DB7">
        <w:t xml:space="preserve"> of place and their relationships to health</w:t>
      </w:r>
      <w:r w:rsidR="00A241F1">
        <w:t>:</w:t>
      </w:r>
    </w:p>
    <w:p w14:paraId="03057391" w14:textId="77777777" w:rsidR="0095017F" w:rsidRDefault="0095017F" w:rsidP="0095017F">
      <w:pPr>
        <w:pStyle w:val="ListParagraph"/>
        <w:numPr>
          <w:ilvl w:val="0"/>
          <w:numId w:val="1"/>
        </w:numPr>
        <w:spacing w:line="360" w:lineRule="auto"/>
        <w:jc w:val="both"/>
      </w:pPr>
      <w:r>
        <w:t>Physical features – environmental factors shared by all people, such as air, water, climate, etc.;</w:t>
      </w:r>
    </w:p>
    <w:p w14:paraId="032F2293" w14:textId="77777777" w:rsidR="009962CC" w:rsidRDefault="0095017F" w:rsidP="0095017F">
      <w:pPr>
        <w:pStyle w:val="ListParagraph"/>
        <w:numPr>
          <w:ilvl w:val="0"/>
          <w:numId w:val="1"/>
        </w:numPr>
        <w:spacing w:line="360" w:lineRule="auto"/>
        <w:jc w:val="both"/>
      </w:pPr>
      <w:r>
        <w:t>Environmental quality – both at home and work, including the provision of adequate housing conditions, secure and non-hazardous employment, and safe areas for children to play;</w:t>
      </w:r>
    </w:p>
    <w:p w14:paraId="424E0AEA" w14:textId="77777777" w:rsidR="0095017F" w:rsidRDefault="0095017F" w:rsidP="0095017F">
      <w:pPr>
        <w:pStyle w:val="ListParagraph"/>
        <w:numPr>
          <w:ilvl w:val="0"/>
          <w:numId w:val="1"/>
        </w:numPr>
        <w:spacing w:line="360" w:lineRule="auto"/>
        <w:jc w:val="both"/>
      </w:pPr>
      <w:r>
        <w:t>Neighbourhood socio-cultural characteristics – such as political, economic, ethnicity, religious history, level of community integration, crime, and community norms and values</w:t>
      </w:r>
      <w:r w:rsidR="00F90CF2">
        <w:t>;</w:t>
      </w:r>
    </w:p>
    <w:p w14:paraId="4705959C" w14:textId="77777777" w:rsidR="00F90CF2" w:rsidRDefault="00F90CF2" w:rsidP="0095017F">
      <w:pPr>
        <w:pStyle w:val="ListParagraph"/>
        <w:numPr>
          <w:ilvl w:val="0"/>
          <w:numId w:val="1"/>
        </w:numPr>
        <w:spacing w:line="360" w:lineRule="auto"/>
        <w:jc w:val="both"/>
      </w:pPr>
      <w:r>
        <w:lastRenderedPageBreak/>
        <w:t xml:space="preserve">Provision of services – both public and private which support day-to-day activity, including education, transport, policing, health and welfare; </w:t>
      </w:r>
    </w:p>
    <w:p w14:paraId="3C49555E" w14:textId="77777777" w:rsidR="00F90CF2" w:rsidRDefault="00F90CF2" w:rsidP="0095017F">
      <w:pPr>
        <w:pStyle w:val="ListParagraph"/>
        <w:numPr>
          <w:ilvl w:val="0"/>
          <w:numId w:val="1"/>
        </w:numPr>
        <w:spacing w:line="360" w:lineRule="auto"/>
        <w:jc w:val="both"/>
      </w:pPr>
      <w:r>
        <w:t xml:space="preserve">Reputation – how a community, service and amenity planners (and providers), and banks and investors perceive an area directly influences the infrastructure provision, development and self-efficacy of an area and its community. </w:t>
      </w:r>
    </w:p>
    <w:p w14:paraId="2B0CE654" w14:textId="77777777" w:rsidR="002A0467" w:rsidRDefault="002A0467" w:rsidP="000904C2">
      <w:pPr>
        <w:spacing w:line="360" w:lineRule="auto"/>
        <w:jc w:val="both"/>
      </w:pPr>
    </w:p>
    <w:p w14:paraId="7714FF51" w14:textId="3BCFF0EA" w:rsidR="008E3398" w:rsidRDefault="00782649" w:rsidP="00B705BA">
      <w:pPr>
        <w:spacing w:line="360" w:lineRule="auto"/>
        <w:jc w:val="both"/>
      </w:pPr>
      <w:r>
        <w:t>The relativistic nature of the place-people relationship is a factor which is still to be fully understood in planning policy and practice. That people and place simultaneously interact and shape one another is a point that has been highlighted before, for example in</w:t>
      </w:r>
      <w:r w:rsidR="00941684">
        <w:t xml:space="preserve"> Hugh Barton and </w:t>
      </w:r>
      <w:r w:rsidR="00A4298D">
        <w:t>Marcus Grant’s ‘health map’</w:t>
      </w:r>
      <w:r w:rsidR="00FE79B3">
        <w:rPr>
          <w:rStyle w:val="EndnoteReference"/>
        </w:rPr>
        <w:endnoteReference w:id="5"/>
      </w:r>
      <w:r w:rsidR="00A4298D">
        <w:t xml:space="preserve"> </w:t>
      </w:r>
      <w:r w:rsidR="0004292C">
        <w:t xml:space="preserve">. </w:t>
      </w:r>
      <w:r w:rsidR="00B705BA">
        <w:t xml:space="preserve">A final point to note here is that </w:t>
      </w:r>
      <w:r w:rsidR="00F157F6">
        <w:t>not</w:t>
      </w:r>
      <w:r w:rsidR="00B705BA">
        <w:t xml:space="preserve"> only do we </w:t>
      </w:r>
      <w:r w:rsidR="006604FC">
        <w:t xml:space="preserve">not </w:t>
      </w:r>
      <w:r w:rsidR="00332A40">
        <w:t xml:space="preserve">fully </w:t>
      </w:r>
      <w:r w:rsidR="00B705BA">
        <w:t xml:space="preserve">understand </w:t>
      </w:r>
      <w:r w:rsidR="00860F00">
        <w:t>the</w:t>
      </w:r>
      <w:r w:rsidR="00B705BA">
        <w:t xml:space="preserve"> symbiotic link </w:t>
      </w:r>
      <w:r w:rsidR="00537DAB">
        <w:t xml:space="preserve">which exists </w:t>
      </w:r>
      <w:r w:rsidR="00B705BA">
        <w:t xml:space="preserve">between </w:t>
      </w:r>
      <w:r w:rsidR="00860F00">
        <w:t>people</w:t>
      </w:r>
      <w:r w:rsidR="00B705BA">
        <w:t xml:space="preserve"> and p</w:t>
      </w:r>
      <w:r w:rsidR="00860F00">
        <w:t>lace</w:t>
      </w:r>
      <w:r w:rsidR="00B705BA">
        <w:t>, b</w:t>
      </w:r>
      <w:r w:rsidR="00F157F6">
        <w:t xml:space="preserve">ut </w:t>
      </w:r>
      <w:r w:rsidR="008B4F00">
        <w:t xml:space="preserve">that the development of </w:t>
      </w:r>
      <w:r w:rsidR="004D07A8">
        <w:t xml:space="preserve">much </w:t>
      </w:r>
      <w:r w:rsidR="00537DAB">
        <w:t xml:space="preserve">of </w:t>
      </w:r>
      <w:r w:rsidR="004D07A8">
        <w:t>this relationship</w:t>
      </w:r>
      <w:r w:rsidR="008B4F00">
        <w:t xml:space="preserve"> is </w:t>
      </w:r>
      <w:r w:rsidR="00F157F6">
        <w:t>unwritten; links between particular activities and places form in distinct ways</w:t>
      </w:r>
      <w:r w:rsidR="007D6F30">
        <w:t xml:space="preserve"> </w:t>
      </w:r>
      <w:r w:rsidR="00F157F6">
        <w:t>– beer and pub,</w:t>
      </w:r>
      <w:r w:rsidR="008B4F00">
        <w:t xml:space="preserve"> </w:t>
      </w:r>
      <w:r w:rsidR="000F4FDB">
        <w:t>or popcorn</w:t>
      </w:r>
      <w:r w:rsidR="00F157F6">
        <w:t xml:space="preserve"> and cinema. </w:t>
      </w:r>
      <w:r w:rsidR="00564394">
        <w:t>As such, it is critical that planning appreciate</w:t>
      </w:r>
      <w:r w:rsidR="000F4FDB">
        <w:t>s</w:t>
      </w:r>
      <w:r w:rsidR="00564394">
        <w:t xml:space="preserve"> that the places we build today will mould the norms and values of not just the current but future generations. </w:t>
      </w:r>
    </w:p>
    <w:p w14:paraId="572C32B2" w14:textId="77777777" w:rsidR="000904C2" w:rsidRDefault="000904C2" w:rsidP="00753133">
      <w:pPr>
        <w:spacing w:line="360" w:lineRule="auto"/>
        <w:jc w:val="both"/>
        <w:rPr>
          <w:b/>
          <w:sz w:val="26"/>
          <w:szCs w:val="26"/>
        </w:rPr>
      </w:pPr>
    </w:p>
    <w:p w14:paraId="55A1AC88" w14:textId="378BF71E" w:rsidR="00746953" w:rsidRPr="00F2683D" w:rsidRDefault="00625915" w:rsidP="00753133">
      <w:pPr>
        <w:spacing w:line="360" w:lineRule="auto"/>
        <w:jc w:val="both"/>
        <w:rPr>
          <w:b/>
          <w:sz w:val="26"/>
          <w:szCs w:val="26"/>
        </w:rPr>
      </w:pPr>
      <w:r>
        <w:rPr>
          <w:b/>
          <w:sz w:val="26"/>
          <w:szCs w:val="26"/>
        </w:rPr>
        <w:t>S</w:t>
      </w:r>
      <w:r w:rsidR="009049DC" w:rsidRPr="00F2683D">
        <w:rPr>
          <w:b/>
          <w:sz w:val="26"/>
          <w:szCs w:val="26"/>
        </w:rPr>
        <w:t xml:space="preserve">o, what for social town planning? </w:t>
      </w:r>
    </w:p>
    <w:p w14:paraId="0DB635F8" w14:textId="3F7043A6" w:rsidR="005F2A87" w:rsidRDefault="001742E2" w:rsidP="005F2A87">
      <w:pPr>
        <w:spacing w:line="360" w:lineRule="auto"/>
        <w:jc w:val="both"/>
      </w:pPr>
      <w:r>
        <w:t xml:space="preserve">The importance of </w:t>
      </w:r>
      <w:r w:rsidR="00282214">
        <w:t xml:space="preserve">place for planning has been explored by a number of authors in previous editions of this journal. </w:t>
      </w:r>
      <w:r w:rsidR="00060D88">
        <w:t xml:space="preserve">Time and again, the need to hold place in mind when undertaking any form of planning exercise has been underlined. In the special issue on </w:t>
      </w:r>
      <w:r w:rsidR="00060D88">
        <w:rPr>
          <w:i/>
        </w:rPr>
        <w:t xml:space="preserve">Recreating Social Town Planning </w:t>
      </w:r>
      <w:r w:rsidR="00060D88">
        <w:t xml:space="preserve">(November, 2015), Neil </w:t>
      </w:r>
      <w:proofErr w:type="spellStart"/>
      <w:r w:rsidR="00060D88">
        <w:t>McInroy</w:t>
      </w:r>
      <w:proofErr w:type="spellEnd"/>
      <w:r w:rsidR="00060D88">
        <w:t xml:space="preserve"> eloquently explained that ‘place-blind’</w:t>
      </w:r>
      <w:r w:rsidR="00390BD5">
        <w:t xml:space="preserve"> </w:t>
      </w:r>
      <w:r w:rsidR="00060D88">
        <w:t xml:space="preserve">economic </w:t>
      </w:r>
      <w:r w:rsidR="00390BD5">
        <w:t>strategies – especially th</w:t>
      </w:r>
      <w:r w:rsidR="00DA6F36">
        <w:t>ose</w:t>
      </w:r>
      <w:r w:rsidR="00390BD5">
        <w:t xml:space="preserve"> founded on ‘new spatial economics’ – cannot deliver the fairer and more equitable society we seek. </w:t>
      </w:r>
      <w:r w:rsidR="00BF6573">
        <w:t xml:space="preserve"> Building on this, and other articles, </w:t>
      </w:r>
      <w:r w:rsidR="005F2A87">
        <w:t>we present three observations (and suggestions) which we consider need to</w:t>
      </w:r>
      <w:r w:rsidR="006604FC">
        <w:t xml:space="preserve"> be</w:t>
      </w:r>
      <w:r w:rsidR="005F2A87">
        <w:t xml:space="preserve"> factor</w:t>
      </w:r>
      <w:r w:rsidR="006604FC">
        <w:t>ed</w:t>
      </w:r>
      <w:r w:rsidR="005F2A87">
        <w:t xml:space="preserve"> into planning if true social town planning is to be realised. </w:t>
      </w:r>
    </w:p>
    <w:p w14:paraId="35FF9E12" w14:textId="77777777" w:rsidR="005F2A87" w:rsidRDefault="005F2A87" w:rsidP="005F2A87">
      <w:pPr>
        <w:spacing w:line="360" w:lineRule="auto"/>
        <w:jc w:val="both"/>
      </w:pPr>
    </w:p>
    <w:p w14:paraId="04DD7592" w14:textId="77777777" w:rsidR="00290C6B" w:rsidRDefault="00290C6B">
      <w:pPr>
        <w:rPr>
          <w:b/>
          <w:sz w:val="24"/>
        </w:rPr>
      </w:pPr>
      <w:r>
        <w:rPr>
          <w:b/>
          <w:sz w:val="24"/>
        </w:rPr>
        <w:br w:type="page"/>
      </w:r>
    </w:p>
    <w:p w14:paraId="51C272F4" w14:textId="3EBA8BDA" w:rsidR="00CD4669" w:rsidRPr="00F2683D" w:rsidRDefault="00625915" w:rsidP="005F2A87">
      <w:pPr>
        <w:spacing w:line="360" w:lineRule="auto"/>
        <w:jc w:val="both"/>
        <w:rPr>
          <w:b/>
          <w:sz w:val="24"/>
        </w:rPr>
      </w:pPr>
      <w:r>
        <w:rPr>
          <w:b/>
          <w:sz w:val="24"/>
        </w:rPr>
        <w:lastRenderedPageBreak/>
        <w:t>P</w:t>
      </w:r>
      <w:r w:rsidR="00996093" w:rsidRPr="00F2683D">
        <w:rPr>
          <w:b/>
          <w:sz w:val="24"/>
        </w:rPr>
        <w:t xml:space="preserve">lace, not space </w:t>
      </w:r>
    </w:p>
    <w:p w14:paraId="063F2EDF" w14:textId="4A76CE69" w:rsidR="00B131DC" w:rsidRPr="00B131DC" w:rsidRDefault="003A7F09" w:rsidP="002067CF">
      <w:pPr>
        <w:spacing w:line="360" w:lineRule="auto"/>
        <w:jc w:val="both"/>
      </w:pPr>
      <w:r>
        <w:t>To put it plainly, much of extant</w:t>
      </w:r>
      <w:r w:rsidR="00765AEE">
        <w:t xml:space="preserve"> planning</w:t>
      </w:r>
      <w:r>
        <w:t xml:space="preserve"> policy and practice demonstrates a clear misunderstanding </w:t>
      </w:r>
      <w:r w:rsidR="006312BC">
        <w:t>of the places in which people live</w:t>
      </w:r>
      <w:r w:rsidR="00524F67">
        <w:t xml:space="preserve"> their lives</w:t>
      </w:r>
      <w:r w:rsidR="006312BC">
        <w:t xml:space="preserve">. While some might argue </w:t>
      </w:r>
      <w:r w:rsidR="003A0CBA">
        <w:t>against</w:t>
      </w:r>
      <w:r w:rsidR="006312BC">
        <w:t xml:space="preserve"> such a cla</w:t>
      </w:r>
      <w:r w:rsidR="001060AF">
        <w:t>im, our own studies have found a</w:t>
      </w:r>
      <w:r w:rsidR="006312BC">
        <w:t xml:space="preserve"> number </w:t>
      </w:r>
      <w:r w:rsidR="00D8057B">
        <w:t xml:space="preserve">of </w:t>
      </w:r>
      <w:r w:rsidR="006312BC">
        <w:t>p</w:t>
      </w:r>
      <w:r w:rsidR="00A70AF7">
        <w:t xml:space="preserve">olicies and </w:t>
      </w:r>
      <w:r w:rsidR="006312BC">
        <w:t>practice</w:t>
      </w:r>
      <w:r w:rsidR="005F2A87">
        <w:t xml:space="preserve">s which </w:t>
      </w:r>
      <w:r w:rsidR="00636E14">
        <w:t>have</w:t>
      </w:r>
      <w:r w:rsidR="00A70AF7">
        <w:t xml:space="preserve"> </w:t>
      </w:r>
      <w:r w:rsidR="00485F0E">
        <w:t xml:space="preserve">failed to </w:t>
      </w:r>
      <w:r w:rsidR="005F2A87">
        <w:t xml:space="preserve">appropriately </w:t>
      </w:r>
      <w:r w:rsidR="00B131DC">
        <w:t>value place.</w:t>
      </w:r>
      <w:r w:rsidR="005F2A87">
        <w:t xml:space="preserve"> Rather than viewing place </w:t>
      </w:r>
      <w:r w:rsidR="005F2A87">
        <w:rPr>
          <w:i/>
        </w:rPr>
        <w:t xml:space="preserve">within </w:t>
      </w:r>
      <w:r w:rsidR="005F2A87">
        <w:t xml:space="preserve">context, it is often the case that place is viewed </w:t>
      </w:r>
      <w:r w:rsidR="005F2A87">
        <w:rPr>
          <w:i/>
        </w:rPr>
        <w:t xml:space="preserve">as </w:t>
      </w:r>
      <w:r w:rsidR="005F2A87">
        <w:t xml:space="preserve">context. An example of this in practice </w:t>
      </w:r>
      <w:r w:rsidR="006A2FAA">
        <w:t>can</w:t>
      </w:r>
      <w:r w:rsidR="005F2A87">
        <w:t xml:space="preserve"> be</w:t>
      </w:r>
      <w:r w:rsidR="006A2FAA">
        <w:t xml:space="preserve"> seen</w:t>
      </w:r>
      <w:r w:rsidR="005F2A87">
        <w:t xml:space="preserve"> in the adoption of the physical boundaries of a development proposal as the place, as opposed to much broader setting in which it lies. In doing so, the result is that the richness and meaning, and relationships between</w:t>
      </w:r>
      <w:r w:rsidR="00625915">
        <w:t xml:space="preserve"> and</w:t>
      </w:r>
      <w:r w:rsidR="005F2A87">
        <w:t xml:space="preserve"> within places, is omitted from the planning process. Moreover, place</w:t>
      </w:r>
      <w:r w:rsidR="006604FC">
        <w:t>s</w:t>
      </w:r>
      <w:r w:rsidR="005F2A87">
        <w:t xml:space="preserve"> and the communities they serve are often viewed as </w:t>
      </w:r>
      <w:r w:rsidR="006B06BB">
        <w:t>separate</w:t>
      </w:r>
      <w:r w:rsidR="005F2A87">
        <w:t xml:space="preserve"> from one another.</w:t>
      </w:r>
      <w:r w:rsidR="00947DFC">
        <w:t xml:space="preserve"> </w:t>
      </w:r>
    </w:p>
    <w:p w14:paraId="711AF53E" w14:textId="79EC89F2" w:rsidR="008626B0" w:rsidRDefault="005F2A87" w:rsidP="008626B0">
      <w:pPr>
        <w:spacing w:line="360" w:lineRule="auto"/>
        <w:jc w:val="both"/>
      </w:pPr>
      <w:r>
        <w:t>As of way of illustration, we can take here the recent redevelopment of</w:t>
      </w:r>
      <w:r w:rsidR="006B06BB">
        <w:t xml:space="preserve"> a</w:t>
      </w:r>
      <w:r>
        <w:t xml:space="preserve"> district centre in a medium sized town in England. Challenged by issues such as above average unemployment and a weakening economic base, the local authority </w:t>
      </w:r>
      <w:r w:rsidR="00382495">
        <w:t xml:space="preserve">took the decision to revitalise the area’s retail centres (as one way to tackle these issues). </w:t>
      </w:r>
      <w:r w:rsidR="006E06E2">
        <w:t>Forming part of this, the no longer fit-for-purpose</w:t>
      </w:r>
      <w:r w:rsidR="008337D9">
        <w:t xml:space="preserve"> district centre was completely redeveloped. Our issue here lies not in the decision to redevelop the centre, but in the approach to and understanding which underpinned this task.</w:t>
      </w:r>
      <w:r w:rsidR="006C53E7">
        <w:t xml:space="preserve"> </w:t>
      </w:r>
      <w:r w:rsidR="007C4A04">
        <w:t xml:space="preserve"> Examination of policy, coupled with results from interview</w:t>
      </w:r>
      <w:r w:rsidR="006604FC">
        <w:t>s</w:t>
      </w:r>
      <w:r w:rsidR="007C4A04">
        <w:t>, point</w:t>
      </w:r>
      <w:r w:rsidR="002C68EA">
        <w:t>s</w:t>
      </w:r>
      <w:r w:rsidR="007C4A04">
        <w:t xml:space="preserve"> to the local authority viewing the centre not as a place but as an o</w:t>
      </w:r>
      <w:r w:rsidR="002C68EA">
        <w:t>pportunistic space</w:t>
      </w:r>
      <w:r w:rsidR="007C4A04">
        <w:t>. A space whose purpose was to attract and, as sh</w:t>
      </w:r>
      <w:r w:rsidR="00295A33">
        <w:t xml:space="preserve">ow in the design, to serve the </w:t>
      </w:r>
      <w:r w:rsidR="002C68EA">
        <w:t>anc</w:t>
      </w:r>
      <w:r w:rsidR="00295A33">
        <w:t xml:space="preserve">hor stores and major </w:t>
      </w:r>
      <w:r w:rsidR="007C4A04">
        <w:t>commercial operations</w:t>
      </w:r>
      <w:r w:rsidR="002C68EA">
        <w:t>.</w:t>
      </w:r>
    </w:p>
    <w:p w14:paraId="15C94A1D" w14:textId="5B062272" w:rsidR="00AE78FA" w:rsidRDefault="00F555C9" w:rsidP="00FC2664">
      <w:pPr>
        <w:spacing w:line="360" w:lineRule="auto"/>
        <w:jc w:val="both"/>
      </w:pPr>
      <w:r>
        <w:t xml:space="preserve">In one specific case, such was the desire to attract </w:t>
      </w:r>
      <w:r w:rsidR="00101CE9">
        <w:t>profitable operations</w:t>
      </w:r>
      <w:r>
        <w:t xml:space="preserve"> that community consultation read less like a democratic process and more like </w:t>
      </w:r>
      <w:r w:rsidR="008626B0">
        <w:t xml:space="preserve">an </w:t>
      </w:r>
      <w:r>
        <w:t>education</w:t>
      </w:r>
      <w:r w:rsidR="008626B0">
        <w:t>al endeavour</w:t>
      </w:r>
      <w:r>
        <w:t xml:space="preserve"> in</w:t>
      </w:r>
      <w:r w:rsidR="008626B0">
        <w:t xml:space="preserve"> which people we</w:t>
      </w:r>
      <w:r w:rsidR="006674B7">
        <w:t>re</w:t>
      </w:r>
      <w:r w:rsidR="008626B0">
        <w:t xml:space="preserve"> </w:t>
      </w:r>
      <w:r w:rsidR="006604FC">
        <w:t xml:space="preserve">to be </w:t>
      </w:r>
      <w:r w:rsidR="008626B0">
        <w:t>taught</w:t>
      </w:r>
      <w:r>
        <w:t xml:space="preserve"> why</w:t>
      </w:r>
      <w:r w:rsidR="008626B0">
        <w:t xml:space="preserve"> they</w:t>
      </w:r>
      <w:r w:rsidR="00FA7C04">
        <w:t xml:space="preserve"> </w:t>
      </w:r>
      <w:r w:rsidR="006604FC">
        <w:t xml:space="preserve">should </w:t>
      </w:r>
      <w:r w:rsidR="00FA7C04">
        <w:t>want the</w:t>
      </w:r>
      <w:r>
        <w:t xml:space="preserve"> </w:t>
      </w:r>
      <w:r w:rsidR="008626B0">
        <w:t>development.</w:t>
      </w:r>
      <w:r w:rsidR="00672F71">
        <w:t xml:space="preserve"> </w:t>
      </w:r>
      <w:r w:rsidR="006F51A1">
        <w:t xml:space="preserve"> </w:t>
      </w:r>
      <w:r w:rsidR="00D8057B">
        <w:t>T</w:t>
      </w:r>
      <w:r w:rsidR="006F51A1">
        <w:t xml:space="preserve">he development in question has brought much needed employment to the local area, but </w:t>
      </w:r>
      <w:r w:rsidR="00D8057B">
        <w:t>the jobs provided are primarily low-paid, low-skills and insecure – what some have called “</w:t>
      </w:r>
      <w:proofErr w:type="spellStart"/>
      <w:r w:rsidR="00D8057B">
        <w:t>McJobs</w:t>
      </w:r>
      <w:proofErr w:type="spellEnd"/>
      <w:r w:rsidR="00D8057B">
        <w:t xml:space="preserve">”. </w:t>
      </w:r>
      <w:r w:rsidR="00ED40EF">
        <w:t>It may be the case that such</w:t>
      </w:r>
      <w:r w:rsidR="008371F8">
        <w:t xml:space="preserve"> jobs can actually exacerbate existing social (and economic) insecurities</w:t>
      </w:r>
      <w:r w:rsidR="00411DBD">
        <w:rPr>
          <w:rStyle w:val="EndnoteReference"/>
        </w:rPr>
        <w:endnoteReference w:id="6"/>
      </w:r>
      <w:r w:rsidR="00466B5D">
        <w:t xml:space="preserve">. In addition, the consideration of the actual impact the said operator (and wider centre) would have on </w:t>
      </w:r>
      <w:r w:rsidR="00D8057B">
        <w:t>other</w:t>
      </w:r>
      <w:r w:rsidR="00466B5D">
        <w:t xml:space="preserve"> aspects of the community, in particular health and well-being, was diminished by a lack of understanding</w:t>
      </w:r>
      <w:r w:rsidR="00D8057B">
        <w:t>, or wilful ignorance,</w:t>
      </w:r>
      <w:r w:rsidR="00466B5D">
        <w:t xml:space="preserve"> of place.  </w:t>
      </w:r>
      <w:r w:rsidR="00D45B8A">
        <w:t>For example, t</w:t>
      </w:r>
      <w:r w:rsidR="00466B5D">
        <w:t>he construction of a third well-known fast-food restaurant was, in part, claimed not to have</w:t>
      </w:r>
      <w:r w:rsidR="00AE7329">
        <w:t xml:space="preserve"> any potential</w:t>
      </w:r>
      <w:r w:rsidR="00466B5D">
        <w:t xml:space="preserve"> additional adverse </w:t>
      </w:r>
      <w:r w:rsidR="009B612E">
        <w:t xml:space="preserve">health impacts because </w:t>
      </w:r>
      <w:r w:rsidR="00D45B8A">
        <w:t>t</w:t>
      </w:r>
      <w:r w:rsidR="009B612E">
        <w:t>he main centre development alr</w:t>
      </w:r>
      <w:r w:rsidR="005E4C65">
        <w:t xml:space="preserve">eady had two such existing examples – the </w:t>
      </w:r>
      <w:r w:rsidR="00181ABA">
        <w:t>idea that a third development would incre</w:t>
      </w:r>
      <w:r w:rsidR="00CE37DC">
        <w:t>ase overall fast-food</w:t>
      </w:r>
      <w:r w:rsidR="00D43832">
        <w:t xml:space="preserve"> access and,</w:t>
      </w:r>
      <w:r w:rsidR="00CE37DC">
        <w:t xml:space="preserve"> not least</w:t>
      </w:r>
      <w:r w:rsidR="00D43832">
        <w:t>,</w:t>
      </w:r>
      <w:r w:rsidR="00CE37DC">
        <w:t xml:space="preserve"> </w:t>
      </w:r>
      <w:r w:rsidR="00181ABA">
        <w:t xml:space="preserve">consumption, appears to have been largely </w:t>
      </w:r>
      <w:r w:rsidR="00147CB3">
        <w:t xml:space="preserve">absent </w:t>
      </w:r>
      <w:r w:rsidR="00181ABA">
        <w:t xml:space="preserve">from consideration. </w:t>
      </w:r>
    </w:p>
    <w:p w14:paraId="24ECAA11" w14:textId="4940542F" w:rsidR="00FD1F83" w:rsidRDefault="004B228B" w:rsidP="00FC2664">
      <w:pPr>
        <w:spacing w:line="360" w:lineRule="auto"/>
        <w:jc w:val="both"/>
      </w:pPr>
      <w:r>
        <w:lastRenderedPageBreak/>
        <w:t>In all, t</w:t>
      </w:r>
      <w:r w:rsidR="00BA3913">
        <w:t xml:space="preserve">here is a need for planning to resist the impulse to treat place as space, and </w:t>
      </w:r>
      <w:r w:rsidR="006604FC">
        <w:t xml:space="preserve">consequently </w:t>
      </w:r>
      <w:r w:rsidR="00BA3913">
        <w:t>to adopt a ‘placeless’ approach due to the difficulties the alternative holds. In short, p</w:t>
      </w:r>
      <w:r w:rsidR="00266A41">
        <w:t xml:space="preserve">lace must not be seen as a passive receptor for development, but rather an integrative component of the development process. </w:t>
      </w:r>
    </w:p>
    <w:p w14:paraId="67024ACD" w14:textId="77777777" w:rsidR="00990230" w:rsidRDefault="00990230" w:rsidP="00990230">
      <w:pPr>
        <w:spacing w:line="360" w:lineRule="auto"/>
        <w:jc w:val="both"/>
      </w:pPr>
    </w:p>
    <w:p w14:paraId="41AAA657" w14:textId="6713057A" w:rsidR="00ED0B62" w:rsidRPr="00990230" w:rsidRDefault="00625915" w:rsidP="00990230">
      <w:pPr>
        <w:spacing w:line="360" w:lineRule="auto"/>
        <w:jc w:val="both"/>
        <w:rPr>
          <w:b/>
          <w:sz w:val="24"/>
        </w:rPr>
      </w:pPr>
      <w:r>
        <w:rPr>
          <w:b/>
          <w:sz w:val="24"/>
        </w:rPr>
        <w:t>T</w:t>
      </w:r>
      <w:r w:rsidR="00B2735B" w:rsidRPr="00990230">
        <w:rPr>
          <w:b/>
          <w:sz w:val="24"/>
        </w:rPr>
        <w:t>he planner</w:t>
      </w:r>
      <w:r w:rsidR="007666C7" w:rsidRPr="00990230">
        <w:rPr>
          <w:b/>
          <w:sz w:val="24"/>
        </w:rPr>
        <w:t xml:space="preserve"> -</w:t>
      </w:r>
      <w:r w:rsidR="00ED0B62" w:rsidRPr="00990230">
        <w:rPr>
          <w:b/>
          <w:sz w:val="24"/>
        </w:rPr>
        <w:t xml:space="preserve"> provisioner not maker </w:t>
      </w:r>
    </w:p>
    <w:p w14:paraId="14835C41" w14:textId="5F0B4ED8" w:rsidR="008C417D" w:rsidRDefault="003F6CD3" w:rsidP="001A723C">
      <w:pPr>
        <w:spacing w:line="360" w:lineRule="auto"/>
        <w:jc w:val="both"/>
      </w:pPr>
      <w:r>
        <w:t xml:space="preserve">In the </w:t>
      </w:r>
      <w:r w:rsidR="00DE175E">
        <w:t xml:space="preserve">activity </w:t>
      </w:r>
      <w:r>
        <w:t xml:space="preserve">of place </w:t>
      </w:r>
      <w:r w:rsidR="00DE175E">
        <w:t>making</w:t>
      </w:r>
      <w:r>
        <w:t>, it is the community and not the planner who</w:t>
      </w:r>
      <w:r w:rsidR="00E65D57">
        <w:t xml:space="preserve"> holds the role of </w:t>
      </w:r>
      <w:r>
        <w:t xml:space="preserve">maker. </w:t>
      </w:r>
      <w:r w:rsidR="001C3E44">
        <w:t xml:space="preserve">Despite the traditional perception of </w:t>
      </w:r>
      <w:r w:rsidR="000C2769">
        <w:t xml:space="preserve">planning </w:t>
      </w:r>
      <w:r w:rsidR="001C3E44">
        <w:t xml:space="preserve">as a place making discipline, </w:t>
      </w:r>
      <w:r w:rsidR="009F4F1F">
        <w:t>it is</w:t>
      </w:r>
      <w:r w:rsidR="004D1DBC">
        <w:t xml:space="preserve"> ultimately</w:t>
      </w:r>
      <w:r w:rsidR="009F4F1F">
        <w:t xml:space="preserve"> the community who transforms the product</w:t>
      </w:r>
      <w:r w:rsidR="00D143F0">
        <w:t>s</w:t>
      </w:r>
      <w:r w:rsidR="00B07110">
        <w:t xml:space="preserve"> of planning into </w:t>
      </w:r>
      <w:r w:rsidR="009F4F1F">
        <w:t xml:space="preserve">places. </w:t>
      </w:r>
      <w:r w:rsidR="00582597">
        <w:t xml:space="preserve"> </w:t>
      </w:r>
      <w:r w:rsidR="00B07110">
        <w:t>As such</w:t>
      </w:r>
      <w:r w:rsidR="00FD194B">
        <w:t>, planners</w:t>
      </w:r>
      <w:r w:rsidR="007E24BF">
        <w:t xml:space="preserve"> need to be recast as ‘place provisioners’</w:t>
      </w:r>
      <w:r w:rsidR="006604FC">
        <w:t>,</w:t>
      </w:r>
      <w:r w:rsidR="007E24BF">
        <w:t xml:space="preserve"> </w:t>
      </w:r>
      <w:r w:rsidR="006604FC">
        <w:t>t</w:t>
      </w:r>
      <w:r w:rsidR="00FD194B">
        <w:t xml:space="preserve">heir role being that of a coordinator of the type of development necessary for communities to make successful places. </w:t>
      </w:r>
      <w:r w:rsidR="001A723C">
        <w:t>In no way does this belittle the task of the planner, if anything it highlights just how complex planning really is and is more reflective of what they truly do.</w:t>
      </w:r>
      <w:r w:rsidR="00543A93">
        <w:t xml:space="preserve"> </w:t>
      </w:r>
      <w:r w:rsidR="00EE3A8F">
        <w:t xml:space="preserve"> </w:t>
      </w:r>
    </w:p>
    <w:p w14:paraId="36D88D64" w14:textId="156C0246" w:rsidR="00F102B8" w:rsidRDefault="001A723C" w:rsidP="00FA7239">
      <w:pPr>
        <w:spacing w:line="360" w:lineRule="auto"/>
        <w:jc w:val="both"/>
      </w:pPr>
      <w:r>
        <w:t xml:space="preserve">If we accept this argument, then it follows that communities must also take a more active role in planning. Rather than consultation, there is a need for community </w:t>
      </w:r>
      <w:r w:rsidRPr="00877E0A">
        <w:rPr>
          <w:i/>
        </w:rPr>
        <w:t>engagement</w:t>
      </w:r>
      <w:r w:rsidR="00A10622">
        <w:rPr>
          <w:rStyle w:val="EndnoteReference"/>
          <w:i/>
        </w:rPr>
        <w:endnoteReference w:id="7"/>
      </w:r>
      <w:r>
        <w:t xml:space="preserve">. For this to be successful, however, the audience for planning must also be engaged themselves. </w:t>
      </w:r>
      <w:r w:rsidR="0071599A">
        <w:t>That is to say, people must want to be involved in how their (and wider) areas are planned and developed. Two element</w:t>
      </w:r>
      <w:r w:rsidR="00877E0A">
        <w:t>s</w:t>
      </w:r>
      <w:r w:rsidR="0071599A">
        <w:t xml:space="preserve"> are thus </w:t>
      </w:r>
      <w:r w:rsidR="007A2B7A">
        <w:t xml:space="preserve">perhaps </w:t>
      </w:r>
      <w:r w:rsidR="0071599A">
        <w:t>needed: 1) education</w:t>
      </w:r>
      <w:r w:rsidR="007A2B7A">
        <w:t xml:space="preserve"> and information</w:t>
      </w:r>
      <w:r w:rsidR="0071599A">
        <w:t xml:space="preserve">, </w:t>
      </w:r>
      <w:r w:rsidR="007A2B7A">
        <w:t>including to young people,</w:t>
      </w:r>
      <w:r w:rsidR="0071599A">
        <w:t xml:space="preserve"> in order to educate future generations about the importance of planning</w:t>
      </w:r>
      <w:r w:rsidR="007A2B7A">
        <w:t xml:space="preserve"> and place</w:t>
      </w:r>
      <w:r w:rsidR="0071599A">
        <w:t xml:space="preserve">; and 2) planning </w:t>
      </w:r>
      <w:r w:rsidR="007A2B7A">
        <w:t xml:space="preserve">should </w:t>
      </w:r>
      <w:r w:rsidR="0071599A">
        <w:t>stop treating people</w:t>
      </w:r>
      <w:r w:rsidR="007A2B7A">
        <w:t>,</w:t>
      </w:r>
      <w:r w:rsidR="0071599A">
        <w:t xml:space="preserve"> planning and place as </w:t>
      </w:r>
      <w:r w:rsidR="00A10622">
        <w:t>separate</w:t>
      </w:r>
      <w:r w:rsidR="0071599A">
        <w:t xml:space="preserve"> from one another. In talking to several passionate local planning authority members, a key area of complaint was that the planning system still fails to fully account for the people it impacts.  Rather than being part of the process, it was express</w:t>
      </w:r>
      <w:r w:rsidR="00F4026D">
        <w:t>ed</w:t>
      </w:r>
      <w:r w:rsidR="0071599A">
        <w:t xml:space="preserve"> that people are positioned outside of it – as ‘winners and losers’. To be social, town planning must revise this arrangement in such a way that community (within the wider </w:t>
      </w:r>
      <w:r w:rsidR="00FA7239">
        <w:t xml:space="preserve">concept of place) are central to its principles and practices. </w:t>
      </w:r>
    </w:p>
    <w:p w14:paraId="50616462" w14:textId="78DDEECE" w:rsidR="00C04CA7" w:rsidRDefault="00FA7239" w:rsidP="00C04CA7">
      <w:pPr>
        <w:spacing w:line="360" w:lineRule="auto"/>
        <w:jc w:val="both"/>
      </w:pPr>
      <w:r>
        <w:t>Engagement with communities must be at the correct scale and quality to be successful. More importantly, however, it must be in line with the participative and organisational capacity of the community itself.  Each place is unique, and many incumbent populations perceive planning as a purely p</w:t>
      </w:r>
      <w:r w:rsidR="00FD05FC">
        <w:t xml:space="preserve">hysical and not social exercise </w:t>
      </w:r>
      <w:r w:rsidR="00081416">
        <w:t>–</w:t>
      </w:r>
      <w:r w:rsidR="00FD05FC">
        <w:t xml:space="preserve"> </w:t>
      </w:r>
      <w:r w:rsidR="00081416">
        <w:t>they can often feel a level of despondency towards getting involved, and might simply lack the resources (time, money, etc.) to participate.</w:t>
      </w:r>
      <w:r>
        <w:t xml:space="preserve"> Moreover, each place (including its populace) faces its own problems. Places thus require tailor-</w:t>
      </w:r>
      <w:r w:rsidR="00B9029F">
        <w:t>made solutions to address</w:t>
      </w:r>
      <w:r>
        <w:t xml:space="preserve"> their problems, including</w:t>
      </w:r>
      <w:r w:rsidR="00B9029F">
        <w:t xml:space="preserve"> in engaging</w:t>
      </w:r>
      <w:r>
        <w:t xml:space="preserve"> people in the planning process, </w:t>
      </w:r>
      <w:r w:rsidR="00C04CA7">
        <w:t xml:space="preserve">while top-level </w:t>
      </w:r>
      <w:r w:rsidR="00C04CA7">
        <w:lastRenderedPageBreak/>
        <w:t xml:space="preserve">planning policy can provide a framework it must </w:t>
      </w:r>
      <w:r w:rsidR="007A2B7A">
        <w:t xml:space="preserve">not </w:t>
      </w:r>
      <w:r w:rsidR="00C04CA7">
        <w:t xml:space="preserve">negatively prescribe how local communities develop their areas. </w:t>
      </w:r>
    </w:p>
    <w:p w14:paraId="74185B06" w14:textId="6CB5E05F" w:rsidR="00C04CA7" w:rsidRDefault="00C04CA7">
      <w:pPr>
        <w:rPr>
          <w:b/>
          <w:sz w:val="24"/>
          <w:szCs w:val="24"/>
        </w:rPr>
      </w:pPr>
    </w:p>
    <w:p w14:paraId="2F11F379" w14:textId="4DCDFB5A" w:rsidR="00E75908" w:rsidRDefault="00625915" w:rsidP="00C04CA7">
      <w:pPr>
        <w:spacing w:line="360" w:lineRule="auto"/>
        <w:jc w:val="both"/>
        <w:rPr>
          <w:b/>
          <w:sz w:val="24"/>
          <w:szCs w:val="24"/>
        </w:rPr>
      </w:pPr>
      <w:r>
        <w:rPr>
          <w:b/>
          <w:sz w:val="24"/>
          <w:szCs w:val="24"/>
        </w:rPr>
        <w:t>P</w:t>
      </w:r>
      <w:r w:rsidR="00A02369" w:rsidRPr="001820B0">
        <w:rPr>
          <w:b/>
          <w:sz w:val="24"/>
          <w:szCs w:val="24"/>
        </w:rPr>
        <w:t xml:space="preserve">lace </w:t>
      </w:r>
      <w:r w:rsidR="00A02369" w:rsidRPr="001820B0">
        <w:rPr>
          <w:b/>
          <w:i/>
          <w:sz w:val="24"/>
          <w:szCs w:val="24"/>
        </w:rPr>
        <w:t xml:space="preserve">in </w:t>
      </w:r>
      <w:r w:rsidR="00A02369" w:rsidRPr="001820B0">
        <w:rPr>
          <w:b/>
          <w:sz w:val="24"/>
          <w:szCs w:val="24"/>
        </w:rPr>
        <w:t xml:space="preserve">planning education </w:t>
      </w:r>
      <w:r w:rsidR="00080CA3" w:rsidRPr="001820B0">
        <w:rPr>
          <w:b/>
          <w:sz w:val="24"/>
          <w:szCs w:val="24"/>
        </w:rPr>
        <w:t xml:space="preserve"> </w:t>
      </w:r>
    </w:p>
    <w:p w14:paraId="5EB6342F" w14:textId="7F5089DA" w:rsidR="001820B0" w:rsidRDefault="00AE53F5" w:rsidP="00AE53F5">
      <w:pPr>
        <w:spacing w:line="360" w:lineRule="auto"/>
        <w:jc w:val="both"/>
        <w:rPr>
          <w:szCs w:val="24"/>
        </w:rPr>
      </w:pPr>
      <w:r>
        <w:rPr>
          <w:szCs w:val="24"/>
        </w:rPr>
        <w:t xml:space="preserve">Throughout planning education, students are introduced to the idea of planning as an essential place-making discipline. </w:t>
      </w:r>
      <w:r w:rsidR="007A2B7A">
        <w:rPr>
          <w:szCs w:val="24"/>
        </w:rPr>
        <w:t xml:space="preserve">Since 2001 the RTPI’s </w:t>
      </w:r>
      <w:r w:rsidR="007A2B7A">
        <w:rPr>
          <w:i/>
          <w:szCs w:val="24"/>
        </w:rPr>
        <w:t xml:space="preserve">New </w:t>
      </w:r>
      <w:r w:rsidR="007A2B7A" w:rsidRPr="007A2B7A">
        <w:rPr>
          <w:i/>
          <w:szCs w:val="24"/>
        </w:rPr>
        <w:t>Vision</w:t>
      </w:r>
      <w:r w:rsidR="007A2B7A">
        <w:rPr>
          <w:szCs w:val="24"/>
        </w:rPr>
        <w:t xml:space="preserve"> has branded the Institute, and consequently town planners, as being about </w:t>
      </w:r>
      <w:r w:rsidR="007A2B7A" w:rsidRPr="007A2B7A">
        <w:rPr>
          <w:szCs w:val="24"/>
        </w:rPr>
        <w:t>‘making of place and mediation of space’</w:t>
      </w:r>
      <w:r w:rsidR="007A2B7A">
        <w:rPr>
          <w:szCs w:val="24"/>
        </w:rPr>
        <w:t>, and the Institute has required planning courses to deliver learning outcomes that include ‘</w:t>
      </w:r>
      <w:r w:rsidR="007A2B7A" w:rsidRPr="007A2B7A">
        <w:rPr>
          <w:szCs w:val="24"/>
        </w:rPr>
        <w:t>creating high quality places</w:t>
      </w:r>
      <w:r w:rsidR="007A2B7A">
        <w:rPr>
          <w:szCs w:val="24"/>
        </w:rPr>
        <w:t xml:space="preserve">’. This aim is supported by </w:t>
      </w:r>
      <w:r>
        <w:rPr>
          <w:szCs w:val="24"/>
        </w:rPr>
        <w:t>much academic and popular</w:t>
      </w:r>
      <w:r w:rsidR="00ED40EF">
        <w:rPr>
          <w:szCs w:val="24"/>
        </w:rPr>
        <w:t xml:space="preserve"> literature</w:t>
      </w:r>
      <w:r>
        <w:rPr>
          <w:szCs w:val="24"/>
        </w:rPr>
        <w:t xml:space="preserve">. </w:t>
      </w:r>
      <w:r w:rsidR="005B66F0">
        <w:rPr>
          <w:szCs w:val="24"/>
        </w:rPr>
        <w:t xml:space="preserve">However, if we are to understand how a place is significant and how it might be altered to improve people’s lives, we must first </w:t>
      </w:r>
      <w:r w:rsidR="00A21694">
        <w:rPr>
          <w:szCs w:val="24"/>
        </w:rPr>
        <w:t xml:space="preserve">comprehend what it is and </w:t>
      </w:r>
      <w:r w:rsidR="009B34D4">
        <w:rPr>
          <w:szCs w:val="24"/>
        </w:rPr>
        <w:t xml:space="preserve">how it directs the </w:t>
      </w:r>
      <w:r w:rsidR="00A21694">
        <w:rPr>
          <w:szCs w:val="24"/>
        </w:rPr>
        <w:t xml:space="preserve">human </w:t>
      </w:r>
      <w:r w:rsidR="00E2290C">
        <w:rPr>
          <w:szCs w:val="24"/>
        </w:rPr>
        <w:t>experience</w:t>
      </w:r>
      <w:r w:rsidR="00A21694">
        <w:rPr>
          <w:szCs w:val="24"/>
        </w:rPr>
        <w:t>.</w:t>
      </w:r>
      <w:r w:rsidR="007A2B7A">
        <w:rPr>
          <w:szCs w:val="24"/>
        </w:rPr>
        <w:t xml:space="preserve"> Arguably, planning education is not good enough at doing this</w:t>
      </w:r>
      <w:r w:rsidR="00E74F52">
        <w:rPr>
          <w:szCs w:val="24"/>
        </w:rPr>
        <w:t>, perhaps in part because it is insufficiently well integrated with other professions such as architecture or public health</w:t>
      </w:r>
      <w:r w:rsidR="007A2B7A">
        <w:rPr>
          <w:szCs w:val="24"/>
        </w:rPr>
        <w:t xml:space="preserve">. Initiatives such as the </w:t>
      </w:r>
      <w:r w:rsidR="007A2B7A">
        <w:rPr>
          <w:i/>
          <w:szCs w:val="24"/>
        </w:rPr>
        <w:t xml:space="preserve">Built Environment Professional Education project (BEPE) </w:t>
      </w:r>
      <w:r w:rsidR="007A2B7A">
        <w:rPr>
          <w:szCs w:val="24"/>
        </w:rPr>
        <w:t>or the Farrell Review seek to integrate the built environment professions in new ways</w:t>
      </w:r>
      <w:r w:rsidR="00E74F52">
        <w:rPr>
          <w:szCs w:val="24"/>
        </w:rPr>
        <w:t xml:space="preserve">, but do they go far enough? Perhaps the TCPA’s </w:t>
      </w:r>
      <w:r w:rsidR="00E74F52">
        <w:rPr>
          <w:i/>
          <w:szCs w:val="24"/>
        </w:rPr>
        <w:t xml:space="preserve">Planning4People </w:t>
      </w:r>
      <w:r w:rsidR="00E74F52">
        <w:rPr>
          <w:szCs w:val="24"/>
        </w:rPr>
        <w:t xml:space="preserve">project can be more effective at promoting place-making. But, as we noted in our introduction, that can only be possible if we understand what </w:t>
      </w:r>
      <w:r w:rsidR="00E74F52">
        <w:rPr>
          <w:i/>
          <w:szCs w:val="24"/>
        </w:rPr>
        <w:t>place</w:t>
      </w:r>
      <w:r w:rsidR="00E74F52">
        <w:rPr>
          <w:szCs w:val="24"/>
        </w:rPr>
        <w:t xml:space="preserve"> is and how important it is.</w:t>
      </w:r>
      <w:r w:rsidR="005B66F0">
        <w:rPr>
          <w:szCs w:val="24"/>
        </w:rPr>
        <w:t xml:space="preserve"> </w:t>
      </w:r>
    </w:p>
    <w:p w14:paraId="0EFCD701" w14:textId="51E46E48" w:rsidR="00110FD8" w:rsidRDefault="00110FD8" w:rsidP="00AE53F5">
      <w:pPr>
        <w:spacing w:line="360" w:lineRule="auto"/>
        <w:jc w:val="both"/>
        <w:rPr>
          <w:b/>
          <w:sz w:val="26"/>
          <w:szCs w:val="26"/>
        </w:rPr>
      </w:pPr>
      <w:r>
        <w:rPr>
          <w:b/>
          <w:sz w:val="26"/>
          <w:szCs w:val="26"/>
        </w:rPr>
        <w:t>…</w:t>
      </w:r>
      <w:r w:rsidR="000C13D8">
        <w:rPr>
          <w:b/>
          <w:sz w:val="26"/>
          <w:szCs w:val="26"/>
        </w:rPr>
        <w:t>.</w:t>
      </w:r>
      <w:r w:rsidR="00E17A91">
        <w:rPr>
          <w:b/>
          <w:sz w:val="26"/>
          <w:szCs w:val="26"/>
        </w:rPr>
        <w:t>c</w:t>
      </w:r>
      <w:r w:rsidR="000C13D8">
        <w:rPr>
          <w:b/>
          <w:sz w:val="26"/>
          <w:szCs w:val="26"/>
        </w:rPr>
        <w:t xml:space="preserve">oncluding remarks </w:t>
      </w:r>
    </w:p>
    <w:p w14:paraId="14D0F25F" w14:textId="46016753" w:rsidR="00110FD8" w:rsidRPr="00780B6D" w:rsidRDefault="006479A0" w:rsidP="00AE53F5">
      <w:pPr>
        <w:spacing w:line="360" w:lineRule="auto"/>
        <w:jc w:val="both"/>
      </w:pPr>
      <w:r>
        <w:t>Place is more than just a physical location, it is a meeting place for community interaction, a director of human activity and practice, and shaper of people’s norms and values.</w:t>
      </w:r>
      <w:r w:rsidR="00BA5BDA">
        <w:t xml:space="preserve"> No doubt, many people reading this article will have their own well-informed understandings of what a place is (and is not). Yet, despite this, it is still important that we develop a common dialogue for place within planning. A dialogue which at least puts everyone on the same page, so to speak, in regards to at least some dynamics of the place debate. </w:t>
      </w:r>
      <w:r w:rsidR="00FA3B20">
        <w:t xml:space="preserve">We hope this article can at least stand as a starting point for rediscovering place for social town planning. </w:t>
      </w:r>
      <w:r w:rsidR="00D265BA">
        <w:t>Finally, the policy ramifications of place (not only for planni</w:t>
      </w:r>
      <w:r w:rsidR="00764556">
        <w:t>ng, but more broadly) are huge. Why? Because</w:t>
      </w:r>
      <w:r w:rsidR="00764556">
        <w:rPr>
          <w:i/>
        </w:rPr>
        <w:t xml:space="preserve"> ‘no</w:t>
      </w:r>
      <w:r w:rsidR="00301AAB">
        <w:rPr>
          <w:i/>
        </w:rPr>
        <w:t xml:space="preserve"> person is an island </w:t>
      </w:r>
      <w:r w:rsidR="00A10622">
        <w:rPr>
          <w:i/>
        </w:rPr>
        <w:t xml:space="preserve">[and] </w:t>
      </w:r>
      <w:r w:rsidR="00301AAB">
        <w:rPr>
          <w:i/>
        </w:rPr>
        <w:t>it is through places that their lives are lived and places are peoples, histories, classes and capitals, and…health’</w:t>
      </w:r>
      <w:r w:rsidR="00764556">
        <w:t xml:space="preserve"> </w:t>
      </w:r>
      <w:r w:rsidR="00764556">
        <w:rPr>
          <w:rStyle w:val="EndnoteReference"/>
        </w:rPr>
        <w:endnoteReference w:id="8"/>
      </w:r>
    </w:p>
    <w:p w14:paraId="2EEED20C" w14:textId="77777777" w:rsidR="00D806CA" w:rsidRDefault="00D806CA"/>
    <w:p w14:paraId="22286CB3" w14:textId="77777777" w:rsidR="00A10622" w:rsidRDefault="00A10622"/>
    <w:p w14:paraId="03DECC40" w14:textId="77777777" w:rsidR="00A10622" w:rsidRDefault="00A10622"/>
    <w:p w14:paraId="154E66BB" w14:textId="77777777" w:rsidR="00A10622" w:rsidRDefault="00A10622"/>
    <w:p w14:paraId="4EF5EACB" w14:textId="77777777" w:rsidR="00121B6F" w:rsidRDefault="00121B6F"/>
    <w:sectPr w:rsidR="00121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949B9" w14:textId="77777777" w:rsidR="00533F66" w:rsidRDefault="00533F66" w:rsidP="00E3660A">
      <w:pPr>
        <w:spacing w:after="0" w:line="240" w:lineRule="auto"/>
      </w:pPr>
      <w:r>
        <w:separator/>
      </w:r>
    </w:p>
  </w:endnote>
  <w:endnote w:type="continuationSeparator" w:id="0">
    <w:p w14:paraId="4BF8278C" w14:textId="77777777" w:rsidR="00533F66" w:rsidRDefault="00533F66" w:rsidP="00E3660A">
      <w:pPr>
        <w:spacing w:after="0" w:line="240" w:lineRule="auto"/>
      </w:pPr>
      <w:r>
        <w:continuationSeparator/>
      </w:r>
    </w:p>
  </w:endnote>
  <w:endnote w:id="1">
    <w:p w14:paraId="4B8BDEB4" w14:textId="7C5C735D" w:rsidR="00E3660A" w:rsidRDefault="00E3660A" w:rsidP="00A238A4">
      <w:pPr>
        <w:widowControl w:val="0"/>
        <w:autoSpaceDE w:val="0"/>
        <w:autoSpaceDN w:val="0"/>
        <w:adjustRightInd w:val="0"/>
        <w:spacing w:after="0" w:line="240" w:lineRule="auto"/>
        <w:ind w:left="480" w:hanging="480"/>
      </w:pPr>
      <w:r>
        <w:rPr>
          <w:rStyle w:val="EndnoteReference"/>
        </w:rPr>
        <w:endnoteRef/>
      </w:r>
      <w:r>
        <w:t xml:space="preserve"> </w:t>
      </w:r>
      <w:r w:rsidR="00160ADC" w:rsidRPr="00B9029F">
        <w:rPr>
          <w:rFonts w:ascii="Calibri" w:hAnsi="Calibri" w:cs="Times New Roman"/>
          <w:noProof/>
          <w:sz w:val="20"/>
          <w:szCs w:val="24"/>
        </w:rPr>
        <w:t>Bentley, E., &amp; Taylorwith, S.</w:t>
      </w:r>
      <w:r w:rsidR="00370815">
        <w:rPr>
          <w:rFonts w:ascii="Calibri" w:hAnsi="Calibri" w:cs="Times New Roman"/>
          <w:noProof/>
          <w:sz w:val="20"/>
          <w:szCs w:val="24"/>
        </w:rPr>
        <w:t>(1909)</w:t>
      </w:r>
      <w:r w:rsidR="00160ADC" w:rsidRPr="00B9029F">
        <w:rPr>
          <w:rFonts w:ascii="Calibri" w:hAnsi="Calibri" w:cs="Times New Roman"/>
          <w:noProof/>
          <w:sz w:val="20"/>
          <w:szCs w:val="24"/>
        </w:rPr>
        <w:t xml:space="preserve"> . Housing, Town Planning, Etc., Act, 1909: A Practical Guide in the Preperation of Town Planning Schemes (1909). London.</w:t>
      </w:r>
    </w:p>
  </w:endnote>
  <w:endnote w:id="2">
    <w:p w14:paraId="41234F67" w14:textId="67703FA5" w:rsidR="00E3660A" w:rsidRDefault="00E3660A" w:rsidP="00A238A4">
      <w:pPr>
        <w:widowControl w:val="0"/>
        <w:autoSpaceDE w:val="0"/>
        <w:autoSpaceDN w:val="0"/>
        <w:adjustRightInd w:val="0"/>
        <w:spacing w:after="0" w:line="240" w:lineRule="auto"/>
        <w:ind w:left="480" w:hanging="480"/>
      </w:pPr>
      <w:r>
        <w:rPr>
          <w:rStyle w:val="EndnoteReference"/>
        </w:rPr>
        <w:endnoteRef/>
      </w:r>
      <w:r>
        <w:t xml:space="preserve"> </w:t>
      </w:r>
      <w:r w:rsidR="00A238A4" w:rsidRPr="00B9029F">
        <w:rPr>
          <w:rFonts w:ascii="Calibri" w:hAnsi="Calibri" w:cs="Times New Roman"/>
          <w:noProof/>
          <w:sz w:val="20"/>
          <w:szCs w:val="24"/>
        </w:rPr>
        <w:t xml:space="preserve">Relph, E. (1976). </w:t>
      </w:r>
      <w:r w:rsidR="00A238A4" w:rsidRPr="00B9029F">
        <w:rPr>
          <w:rFonts w:ascii="Calibri" w:hAnsi="Calibri" w:cs="Times New Roman"/>
          <w:i/>
          <w:iCs/>
          <w:noProof/>
          <w:sz w:val="20"/>
          <w:szCs w:val="24"/>
        </w:rPr>
        <w:t>Place and Placelessness</w:t>
      </w:r>
      <w:r w:rsidR="00A238A4" w:rsidRPr="00B9029F">
        <w:rPr>
          <w:rFonts w:ascii="Calibri" w:hAnsi="Calibri" w:cs="Times New Roman"/>
          <w:noProof/>
          <w:sz w:val="20"/>
          <w:szCs w:val="24"/>
        </w:rPr>
        <w:t>. London: Pion Ltd.</w:t>
      </w:r>
    </w:p>
  </w:endnote>
  <w:endnote w:id="3">
    <w:p w14:paraId="14C9AB40" w14:textId="5846865D" w:rsidR="000A032B" w:rsidRDefault="000A032B" w:rsidP="00A238A4">
      <w:pPr>
        <w:widowControl w:val="0"/>
        <w:autoSpaceDE w:val="0"/>
        <w:autoSpaceDN w:val="0"/>
        <w:adjustRightInd w:val="0"/>
        <w:spacing w:after="0" w:line="240" w:lineRule="auto"/>
        <w:ind w:left="480" w:hanging="480"/>
      </w:pPr>
      <w:r>
        <w:rPr>
          <w:rStyle w:val="EndnoteReference"/>
        </w:rPr>
        <w:endnoteRef/>
      </w:r>
      <w:r>
        <w:t xml:space="preserve"> </w:t>
      </w:r>
      <w:r w:rsidR="00A238A4" w:rsidRPr="00B9029F">
        <w:rPr>
          <w:rFonts w:ascii="Calibri" w:hAnsi="Calibri" w:cs="Times New Roman"/>
          <w:noProof/>
          <w:sz w:val="20"/>
          <w:szCs w:val="24"/>
        </w:rPr>
        <w:t xml:space="preserve">Macintyre, S., &amp; Ellaway, A. (2003). Neighbourhoods and Health: An Overview. In I. Kawachi &amp; L. F. Berkman (Eds.), </w:t>
      </w:r>
      <w:r w:rsidR="00A238A4" w:rsidRPr="00B9029F">
        <w:rPr>
          <w:rFonts w:ascii="Calibri" w:hAnsi="Calibri" w:cs="Times New Roman"/>
          <w:i/>
          <w:iCs/>
          <w:noProof/>
          <w:sz w:val="20"/>
          <w:szCs w:val="24"/>
        </w:rPr>
        <w:t>Neighbourhoods and Health</w:t>
      </w:r>
      <w:r w:rsidR="00A238A4" w:rsidRPr="00B9029F">
        <w:rPr>
          <w:rFonts w:ascii="Calibri" w:hAnsi="Calibri" w:cs="Times New Roman"/>
          <w:noProof/>
          <w:sz w:val="20"/>
          <w:szCs w:val="24"/>
        </w:rPr>
        <w:t xml:space="preserve"> (pp. 20–42). New York: Oxford University Press.</w:t>
      </w:r>
    </w:p>
  </w:endnote>
  <w:endnote w:id="4">
    <w:p w14:paraId="1FFDDCE0" w14:textId="249D8D6E" w:rsidR="00A241F1" w:rsidRDefault="00A241F1">
      <w:pPr>
        <w:pStyle w:val="EndnoteText"/>
      </w:pPr>
      <w:r>
        <w:rPr>
          <w:rStyle w:val="EndnoteReference"/>
        </w:rPr>
        <w:endnoteRef/>
      </w:r>
      <w:r>
        <w:t xml:space="preserve"> </w:t>
      </w:r>
      <w:r w:rsidR="00A238A4" w:rsidRPr="00B9029F">
        <w:rPr>
          <w:rFonts w:ascii="Calibri" w:hAnsi="Calibri" w:cs="Times New Roman"/>
          <w:noProof/>
          <w:szCs w:val="24"/>
        </w:rPr>
        <w:t xml:space="preserve">Macintyre, S., Ellaway, A., &amp; Cummins, S. (2002). Place effects on health: how can we conceptualise, operationalise and measure them? </w:t>
      </w:r>
      <w:r w:rsidR="00A238A4" w:rsidRPr="00B9029F">
        <w:rPr>
          <w:rFonts w:ascii="Calibri" w:hAnsi="Calibri" w:cs="Times New Roman"/>
          <w:i/>
          <w:iCs/>
          <w:noProof/>
          <w:szCs w:val="24"/>
        </w:rPr>
        <w:t>Social Science &amp; Medicine</w:t>
      </w:r>
      <w:r w:rsidR="00A238A4" w:rsidRPr="00B9029F">
        <w:rPr>
          <w:rFonts w:ascii="Calibri" w:hAnsi="Calibri" w:cs="Times New Roman"/>
          <w:noProof/>
          <w:szCs w:val="24"/>
        </w:rPr>
        <w:t xml:space="preserve">, </w:t>
      </w:r>
      <w:r w:rsidR="00A238A4" w:rsidRPr="00B9029F">
        <w:rPr>
          <w:rFonts w:ascii="Calibri" w:hAnsi="Calibri" w:cs="Times New Roman"/>
          <w:i/>
          <w:iCs/>
          <w:noProof/>
          <w:szCs w:val="24"/>
        </w:rPr>
        <w:t>55</w:t>
      </w:r>
      <w:r w:rsidR="00A238A4" w:rsidRPr="00B9029F">
        <w:rPr>
          <w:rFonts w:ascii="Calibri" w:hAnsi="Calibri" w:cs="Times New Roman"/>
          <w:noProof/>
          <w:szCs w:val="24"/>
        </w:rPr>
        <w:t>, 125–139</w:t>
      </w:r>
      <w:r w:rsidR="00A238A4">
        <w:rPr>
          <w:rFonts w:ascii="Calibri" w:hAnsi="Calibri" w:cs="Times New Roman"/>
          <w:noProof/>
          <w:szCs w:val="24"/>
        </w:rPr>
        <w:t>.</w:t>
      </w:r>
    </w:p>
  </w:endnote>
  <w:endnote w:id="5">
    <w:p w14:paraId="116188EB" w14:textId="4B47812A" w:rsidR="00FE79B3" w:rsidRDefault="00FE79B3" w:rsidP="00A238A4">
      <w:pPr>
        <w:widowControl w:val="0"/>
        <w:autoSpaceDE w:val="0"/>
        <w:autoSpaceDN w:val="0"/>
        <w:adjustRightInd w:val="0"/>
        <w:spacing w:after="0" w:line="240" w:lineRule="auto"/>
        <w:ind w:left="480" w:hanging="480"/>
      </w:pPr>
      <w:r>
        <w:rPr>
          <w:rStyle w:val="EndnoteReference"/>
        </w:rPr>
        <w:endnoteRef/>
      </w:r>
      <w:r>
        <w:t xml:space="preserve"> </w:t>
      </w:r>
      <w:r w:rsidR="00671C37" w:rsidRPr="00B9029F">
        <w:rPr>
          <w:rFonts w:ascii="Calibri" w:hAnsi="Calibri" w:cs="Times New Roman"/>
          <w:noProof/>
          <w:sz w:val="20"/>
          <w:szCs w:val="24"/>
        </w:rPr>
        <w:t xml:space="preserve">Barton, H., &amp; Grant, M. (2006). A health map for the local human habitat. </w:t>
      </w:r>
      <w:r w:rsidR="00671C37" w:rsidRPr="00B9029F">
        <w:rPr>
          <w:rFonts w:ascii="Calibri" w:hAnsi="Calibri" w:cs="Times New Roman"/>
          <w:i/>
          <w:iCs/>
          <w:noProof/>
          <w:sz w:val="20"/>
          <w:szCs w:val="24"/>
        </w:rPr>
        <w:t>Perspectives in Public Health</w:t>
      </w:r>
      <w:r w:rsidR="00671C37" w:rsidRPr="00B9029F">
        <w:rPr>
          <w:rFonts w:ascii="Calibri" w:hAnsi="Calibri" w:cs="Times New Roman"/>
          <w:noProof/>
          <w:sz w:val="20"/>
          <w:szCs w:val="24"/>
        </w:rPr>
        <w:t xml:space="preserve">, </w:t>
      </w:r>
      <w:r w:rsidR="00671C37" w:rsidRPr="00B9029F">
        <w:rPr>
          <w:rFonts w:ascii="Calibri" w:hAnsi="Calibri" w:cs="Times New Roman"/>
          <w:i/>
          <w:iCs/>
          <w:noProof/>
          <w:sz w:val="20"/>
          <w:szCs w:val="24"/>
        </w:rPr>
        <w:t>126</w:t>
      </w:r>
      <w:r w:rsidR="00671C37" w:rsidRPr="00B9029F">
        <w:rPr>
          <w:rFonts w:ascii="Calibri" w:hAnsi="Calibri" w:cs="Times New Roman"/>
          <w:noProof/>
          <w:sz w:val="20"/>
          <w:szCs w:val="24"/>
        </w:rPr>
        <w:t>(6), 252–253.</w:t>
      </w:r>
    </w:p>
  </w:endnote>
  <w:endnote w:id="6">
    <w:p w14:paraId="5F344251" w14:textId="1132F7AF" w:rsidR="00411DBD" w:rsidRDefault="00411DBD" w:rsidP="00A238A4">
      <w:pPr>
        <w:widowControl w:val="0"/>
        <w:autoSpaceDE w:val="0"/>
        <w:autoSpaceDN w:val="0"/>
        <w:adjustRightInd w:val="0"/>
        <w:spacing w:after="0" w:line="240" w:lineRule="auto"/>
        <w:ind w:left="480" w:hanging="480"/>
      </w:pPr>
      <w:r>
        <w:rPr>
          <w:rStyle w:val="EndnoteReference"/>
        </w:rPr>
        <w:endnoteRef/>
      </w:r>
      <w:r>
        <w:t xml:space="preserve"> </w:t>
      </w:r>
      <w:r w:rsidR="00A238A4" w:rsidRPr="00B9029F">
        <w:rPr>
          <w:rFonts w:ascii="Calibri" w:hAnsi="Calibri" w:cs="Times New Roman"/>
          <w:noProof/>
          <w:sz w:val="20"/>
          <w:szCs w:val="24"/>
        </w:rPr>
        <w:t xml:space="preserve">Schmuecker, K. (2014). </w:t>
      </w:r>
      <w:r w:rsidR="00A238A4" w:rsidRPr="00B9029F">
        <w:rPr>
          <w:rFonts w:ascii="Calibri" w:hAnsi="Calibri" w:cs="Times New Roman"/>
          <w:i/>
          <w:iCs/>
          <w:noProof/>
          <w:sz w:val="20"/>
          <w:szCs w:val="24"/>
        </w:rPr>
        <w:t>Future of the UK Labour Market</w:t>
      </w:r>
      <w:r w:rsidR="00A238A4" w:rsidRPr="00B9029F">
        <w:rPr>
          <w:rFonts w:ascii="Calibri" w:hAnsi="Calibri" w:cs="Times New Roman"/>
          <w:noProof/>
          <w:sz w:val="20"/>
          <w:szCs w:val="24"/>
        </w:rPr>
        <w:t>. York.</w:t>
      </w:r>
    </w:p>
  </w:endnote>
  <w:endnote w:id="7">
    <w:p w14:paraId="284AE965" w14:textId="20D45CD7" w:rsidR="00A10622" w:rsidRPr="00671C37" w:rsidRDefault="00A10622" w:rsidP="00671C37">
      <w:pPr>
        <w:widowControl w:val="0"/>
        <w:autoSpaceDE w:val="0"/>
        <w:autoSpaceDN w:val="0"/>
        <w:adjustRightInd w:val="0"/>
        <w:spacing w:after="0" w:line="240" w:lineRule="auto"/>
        <w:ind w:left="480" w:hanging="480"/>
        <w:rPr>
          <w:rFonts w:ascii="Calibri" w:hAnsi="Calibri" w:cs="Times New Roman"/>
          <w:noProof/>
          <w:sz w:val="20"/>
          <w:szCs w:val="24"/>
        </w:rPr>
      </w:pPr>
      <w:r>
        <w:rPr>
          <w:rStyle w:val="EndnoteReference"/>
        </w:rPr>
        <w:endnoteRef/>
      </w:r>
      <w:r>
        <w:t xml:space="preserve"> </w:t>
      </w:r>
      <w:r w:rsidR="00F02CD4" w:rsidRPr="00B9029F">
        <w:rPr>
          <w:rFonts w:ascii="Calibri" w:hAnsi="Calibri" w:cs="Times New Roman"/>
          <w:noProof/>
          <w:sz w:val="20"/>
          <w:szCs w:val="24"/>
        </w:rPr>
        <w:t xml:space="preserve">Arnstein, S. R. (1969). A Ladder of Citizen Participation. </w:t>
      </w:r>
      <w:r w:rsidR="00F02CD4" w:rsidRPr="00B9029F">
        <w:rPr>
          <w:rFonts w:ascii="Calibri" w:hAnsi="Calibri" w:cs="Times New Roman"/>
          <w:i/>
          <w:iCs/>
          <w:noProof/>
          <w:sz w:val="20"/>
          <w:szCs w:val="24"/>
        </w:rPr>
        <w:t>Journal of the American Planning Assocation</w:t>
      </w:r>
      <w:r w:rsidR="00F02CD4" w:rsidRPr="00B9029F">
        <w:rPr>
          <w:rFonts w:ascii="Calibri" w:hAnsi="Calibri" w:cs="Times New Roman"/>
          <w:noProof/>
          <w:sz w:val="20"/>
          <w:szCs w:val="24"/>
        </w:rPr>
        <w:t xml:space="preserve">, </w:t>
      </w:r>
      <w:r w:rsidR="00F02CD4" w:rsidRPr="00B9029F">
        <w:rPr>
          <w:rFonts w:ascii="Calibri" w:hAnsi="Calibri" w:cs="Times New Roman"/>
          <w:i/>
          <w:iCs/>
          <w:noProof/>
          <w:sz w:val="20"/>
          <w:szCs w:val="24"/>
        </w:rPr>
        <w:t>35</w:t>
      </w:r>
      <w:r w:rsidR="00F02CD4" w:rsidRPr="00B9029F">
        <w:rPr>
          <w:rFonts w:ascii="Calibri" w:hAnsi="Calibri" w:cs="Times New Roman"/>
          <w:noProof/>
          <w:sz w:val="20"/>
          <w:szCs w:val="24"/>
        </w:rPr>
        <w:t>(4), 216–</w:t>
      </w:r>
      <w:r w:rsidR="00671C37">
        <w:rPr>
          <w:rFonts w:ascii="Calibri" w:hAnsi="Calibri" w:cs="Times New Roman"/>
          <w:noProof/>
          <w:sz w:val="20"/>
          <w:szCs w:val="24"/>
        </w:rPr>
        <w:t>224.</w:t>
      </w:r>
    </w:p>
  </w:endnote>
  <w:endnote w:id="8">
    <w:p w14:paraId="68E88705" w14:textId="77777777" w:rsidR="00A238A4" w:rsidRPr="00B9029F" w:rsidRDefault="00764556" w:rsidP="00A238A4">
      <w:pPr>
        <w:widowControl w:val="0"/>
        <w:autoSpaceDE w:val="0"/>
        <w:autoSpaceDN w:val="0"/>
        <w:adjustRightInd w:val="0"/>
        <w:spacing w:after="0" w:line="240" w:lineRule="auto"/>
        <w:ind w:left="480" w:hanging="480"/>
        <w:rPr>
          <w:rFonts w:ascii="Calibri" w:hAnsi="Calibri"/>
          <w:noProof/>
          <w:sz w:val="20"/>
        </w:rPr>
      </w:pPr>
      <w:r>
        <w:rPr>
          <w:rStyle w:val="EndnoteReference"/>
        </w:rPr>
        <w:endnoteRef/>
      </w:r>
      <w:r>
        <w:t xml:space="preserve"> </w:t>
      </w:r>
      <w:r w:rsidR="00A238A4" w:rsidRPr="00B9029F">
        <w:rPr>
          <w:rFonts w:ascii="Calibri" w:hAnsi="Calibri" w:cs="Times New Roman"/>
          <w:noProof/>
          <w:sz w:val="20"/>
          <w:szCs w:val="24"/>
        </w:rPr>
        <w:t xml:space="preserve">Tunstall, H. V. Z., Shaw, M., &amp; Dorling, D. (2004). Places and health. </w:t>
      </w:r>
      <w:r w:rsidR="00A238A4" w:rsidRPr="00B9029F">
        <w:rPr>
          <w:rFonts w:ascii="Calibri" w:hAnsi="Calibri" w:cs="Times New Roman"/>
          <w:i/>
          <w:iCs/>
          <w:noProof/>
          <w:sz w:val="20"/>
          <w:szCs w:val="24"/>
        </w:rPr>
        <w:t>Journal of Epidemiology and Community Health</w:t>
      </w:r>
      <w:r w:rsidR="00A238A4" w:rsidRPr="00B9029F">
        <w:rPr>
          <w:rFonts w:ascii="Calibri" w:hAnsi="Calibri" w:cs="Times New Roman"/>
          <w:noProof/>
          <w:sz w:val="20"/>
          <w:szCs w:val="24"/>
        </w:rPr>
        <w:t xml:space="preserve">, </w:t>
      </w:r>
      <w:r w:rsidR="00A238A4" w:rsidRPr="00B9029F">
        <w:rPr>
          <w:rFonts w:ascii="Calibri" w:hAnsi="Calibri" w:cs="Times New Roman"/>
          <w:i/>
          <w:iCs/>
          <w:noProof/>
          <w:sz w:val="20"/>
          <w:szCs w:val="24"/>
        </w:rPr>
        <w:t>58</w:t>
      </w:r>
      <w:r w:rsidR="00A238A4" w:rsidRPr="00B9029F">
        <w:rPr>
          <w:rFonts w:ascii="Calibri" w:hAnsi="Calibri" w:cs="Times New Roman"/>
          <w:noProof/>
          <w:sz w:val="20"/>
          <w:szCs w:val="24"/>
        </w:rPr>
        <w:t>(1), 6–10.</w:t>
      </w:r>
    </w:p>
    <w:p w14:paraId="751F4CB8" w14:textId="49B2BC24" w:rsidR="00B9029F" w:rsidRDefault="00B9029F">
      <w:pPr>
        <w:pStyle w:val="EndnoteText"/>
      </w:pPr>
    </w:p>
    <w:p w14:paraId="2AEE4BF2" w14:textId="01C2BF75" w:rsidR="00FA3F1B" w:rsidRDefault="00B9029F" w:rsidP="00FA3F1B">
      <w:pPr>
        <w:widowControl w:val="0"/>
        <w:autoSpaceDE w:val="0"/>
        <w:autoSpaceDN w:val="0"/>
        <w:adjustRightInd w:val="0"/>
        <w:spacing w:after="0" w:line="240" w:lineRule="auto"/>
        <w:rPr>
          <w:rFonts w:ascii="Calibri" w:hAnsi="Calibri" w:cs="Times New Roman"/>
          <w:noProof/>
          <w:sz w:val="20"/>
          <w:szCs w:val="24"/>
        </w:rPr>
      </w:pPr>
      <w:r>
        <w:fldChar w:fldCharType="begin" w:fldLock="1"/>
      </w:r>
      <w:r>
        <w:instrText xml:space="preserve">ADDIN Mendeley Bibliography CSL_BIBLIOGRAPHY </w:instrText>
      </w:r>
      <w:r>
        <w:fldChar w:fldCharType="separate"/>
      </w:r>
    </w:p>
    <w:p w14:paraId="2B6C9CFF" w14:textId="77777777" w:rsidR="00370815" w:rsidRDefault="00370815" w:rsidP="00FA3F1B">
      <w:pPr>
        <w:widowControl w:val="0"/>
        <w:autoSpaceDE w:val="0"/>
        <w:autoSpaceDN w:val="0"/>
        <w:adjustRightInd w:val="0"/>
        <w:spacing w:after="0" w:line="240" w:lineRule="auto"/>
        <w:rPr>
          <w:rFonts w:ascii="Calibri" w:hAnsi="Calibri" w:cs="Times New Roman"/>
          <w:noProof/>
          <w:sz w:val="20"/>
          <w:szCs w:val="24"/>
        </w:rPr>
      </w:pPr>
    </w:p>
    <w:p w14:paraId="2B0F1DB0" w14:textId="77777777" w:rsidR="00370815" w:rsidRDefault="00370815" w:rsidP="00FA3F1B">
      <w:pPr>
        <w:widowControl w:val="0"/>
        <w:autoSpaceDE w:val="0"/>
        <w:autoSpaceDN w:val="0"/>
        <w:adjustRightInd w:val="0"/>
        <w:spacing w:after="0" w:line="240" w:lineRule="auto"/>
        <w:rPr>
          <w:rFonts w:ascii="Calibri" w:hAnsi="Calibri" w:cs="Times New Roman"/>
          <w:noProof/>
          <w:sz w:val="20"/>
          <w:szCs w:val="24"/>
        </w:rPr>
      </w:pPr>
    </w:p>
    <w:p w14:paraId="7DF2B609" w14:textId="77777777" w:rsidR="00370815" w:rsidRPr="00FA3F1B" w:rsidRDefault="00370815" w:rsidP="00FA3F1B">
      <w:pPr>
        <w:widowControl w:val="0"/>
        <w:autoSpaceDE w:val="0"/>
        <w:autoSpaceDN w:val="0"/>
        <w:adjustRightInd w:val="0"/>
        <w:spacing w:after="0" w:line="240" w:lineRule="auto"/>
        <w:rPr>
          <w:rFonts w:ascii="Calibri" w:hAnsi="Calibri"/>
          <w:noProof/>
          <w:sz w:val="20"/>
        </w:rPr>
      </w:pPr>
    </w:p>
    <w:p w14:paraId="4CCF20A9" w14:textId="4B0A0F5C" w:rsidR="00B9029F" w:rsidRDefault="00B9029F" w:rsidP="00FA3F1B">
      <w:pPr>
        <w:widowControl w:val="0"/>
        <w:autoSpaceDE w:val="0"/>
        <w:autoSpaceDN w:val="0"/>
        <w:adjustRightInd w:val="0"/>
        <w:spacing w:after="0" w:line="240" w:lineRule="auto"/>
      </w:pP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36C9C" w14:textId="77777777" w:rsidR="00533F66" w:rsidRDefault="00533F66" w:rsidP="00E3660A">
      <w:pPr>
        <w:spacing w:after="0" w:line="240" w:lineRule="auto"/>
      </w:pPr>
      <w:r>
        <w:separator/>
      </w:r>
    </w:p>
  </w:footnote>
  <w:footnote w:type="continuationSeparator" w:id="0">
    <w:p w14:paraId="1474E36D" w14:textId="77777777" w:rsidR="00533F66" w:rsidRDefault="00533F66" w:rsidP="00E36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6641"/>
    <w:multiLevelType w:val="hybridMultilevel"/>
    <w:tmpl w:val="9C864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D76532"/>
    <w:multiLevelType w:val="hybridMultilevel"/>
    <w:tmpl w:val="EBCE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42209C"/>
    <w:multiLevelType w:val="hybridMultilevel"/>
    <w:tmpl w:val="FA345EAA"/>
    <w:lvl w:ilvl="0" w:tplc="6ED66F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03750E"/>
    <w:multiLevelType w:val="hybridMultilevel"/>
    <w:tmpl w:val="DC0EB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94"/>
    <w:rsid w:val="00002765"/>
    <w:rsid w:val="00005222"/>
    <w:rsid w:val="00006FF4"/>
    <w:rsid w:val="00013BFE"/>
    <w:rsid w:val="0001589E"/>
    <w:rsid w:val="000247EC"/>
    <w:rsid w:val="0002553E"/>
    <w:rsid w:val="000274C3"/>
    <w:rsid w:val="0003242E"/>
    <w:rsid w:val="0003774D"/>
    <w:rsid w:val="00037D45"/>
    <w:rsid w:val="0004292C"/>
    <w:rsid w:val="00043364"/>
    <w:rsid w:val="000460CB"/>
    <w:rsid w:val="0004610F"/>
    <w:rsid w:val="00046624"/>
    <w:rsid w:val="00047A67"/>
    <w:rsid w:val="00056A02"/>
    <w:rsid w:val="00060D88"/>
    <w:rsid w:val="000628B9"/>
    <w:rsid w:val="00065194"/>
    <w:rsid w:val="00080CA3"/>
    <w:rsid w:val="00081416"/>
    <w:rsid w:val="000904C2"/>
    <w:rsid w:val="0009561A"/>
    <w:rsid w:val="00096497"/>
    <w:rsid w:val="000A032B"/>
    <w:rsid w:val="000B3B8F"/>
    <w:rsid w:val="000B45DC"/>
    <w:rsid w:val="000B4D4C"/>
    <w:rsid w:val="000C0E0D"/>
    <w:rsid w:val="000C13D8"/>
    <w:rsid w:val="000C2620"/>
    <w:rsid w:val="000C2769"/>
    <w:rsid w:val="000C3128"/>
    <w:rsid w:val="000C5018"/>
    <w:rsid w:val="000C62B3"/>
    <w:rsid w:val="000C78EC"/>
    <w:rsid w:val="000D00D7"/>
    <w:rsid w:val="000D529E"/>
    <w:rsid w:val="000E24B4"/>
    <w:rsid w:val="000F24DD"/>
    <w:rsid w:val="000F3186"/>
    <w:rsid w:val="000F4FDB"/>
    <w:rsid w:val="00101CE9"/>
    <w:rsid w:val="00102DC5"/>
    <w:rsid w:val="00104334"/>
    <w:rsid w:val="001060AF"/>
    <w:rsid w:val="00107258"/>
    <w:rsid w:val="00110FD8"/>
    <w:rsid w:val="0011415F"/>
    <w:rsid w:val="001148BC"/>
    <w:rsid w:val="00121B6F"/>
    <w:rsid w:val="00126C28"/>
    <w:rsid w:val="00140572"/>
    <w:rsid w:val="00146F27"/>
    <w:rsid w:val="00147CB3"/>
    <w:rsid w:val="00150D92"/>
    <w:rsid w:val="00155B7C"/>
    <w:rsid w:val="0015638D"/>
    <w:rsid w:val="00157026"/>
    <w:rsid w:val="00160ADC"/>
    <w:rsid w:val="00165770"/>
    <w:rsid w:val="00170AAA"/>
    <w:rsid w:val="001742E2"/>
    <w:rsid w:val="00180466"/>
    <w:rsid w:val="00181ABA"/>
    <w:rsid w:val="001820B0"/>
    <w:rsid w:val="00186E7F"/>
    <w:rsid w:val="00186F59"/>
    <w:rsid w:val="00190E81"/>
    <w:rsid w:val="00191090"/>
    <w:rsid w:val="001918DE"/>
    <w:rsid w:val="00192D6A"/>
    <w:rsid w:val="001945A6"/>
    <w:rsid w:val="00196E9F"/>
    <w:rsid w:val="001A0933"/>
    <w:rsid w:val="001A3CF3"/>
    <w:rsid w:val="001A67D6"/>
    <w:rsid w:val="001A723C"/>
    <w:rsid w:val="001B036E"/>
    <w:rsid w:val="001B0F3C"/>
    <w:rsid w:val="001B1898"/>
    <w:rsid w:val="001B5A21"/>
    <w:rsid w:val="001C2B60"/>
    <w:rsid w:val="001C3E44"/>
    <w:rsid w:val="001C44F1"/>
    <w:rsid w:val="001D1562"/>
    <w:rsid w:val="001D1917"/>
    <w:rsid w:val="001D5D01"/>
    <w:rsid w:val="001E06E2"/>
    <w:rsid w:val="001E089E"/>
    <w:rsid w:val="001F2385"/>
    <w:rsid w:val="001F7C1D"/>
    <w:rsid w:val="002015F1"/>
    <w:rsid w:val="00205979"/>
    <w:rsid w:val="002067CF"/>
    <w:rsid w:val="00211202"/>
    <w:rsid w:val="0022366B"/>
    <w:rsid w:val="00224A1C"/>
    <w:rsid w:val="002250DD"/>
    <w:rsid w:val="0023053B"/>
    <w:rsid w:val="00233DB4"/>
    <w:rsid w:val="002447C3"/>
    <w:rsid w:val="00247304"/>
    <w:rsid w:val="002574CC"/>
    <w:rsid w:val="002624E9"/>
    <w:rsid w:val="00263228"/>
    <w:rsid w:val="00263A94"/>
    <w:rsid w:val="002649B8"/>
    <w:rsid w:val="00265081"/>
    <w:rsid w:val="002661D7"/>
    <w:rsid w:val="00266A41"/>
    <w:rsid w:val="00266C9F"/>
    <w:rsid w:val="0027727B"/>
    <w:rsid w:val="00282214"/>
    <w:rsid w:val="00284034"/>
    <w:rsid w:val="002840FB"/>
    <w:rsid w:val="00284A66"/>
    <w:rsid w:val="00290C6B"/>
    <w:rsid w:val="00295A33"/>
    <w:rsid w:val="00295A8D"/>
    <w:rsid w:val="00296899"/>
    <w:rsid w:val="00296C83"/>
    <w:rsid w:val="002A0467"/>
    <w:rsid w:val="002B3357"/>
    <w:rsid w:val="002B4C0D"/>
    <w:rsid w:val="002B6F62"/>
    <w:rsid w:val="002C3BA3"/>
    <w:rsid w:val="002C5BA0"/>
    <w:rsid w:val="002C68EA"/>
    <w:rsid w:val="002C7433"/>
    <w:rsid w:val="002C7516"/>
    <w:rsid w:val="002D2705"/>
    <w:rsid w:val="002D5377"/>
    <w:rsid w:val="002E5192"/>
    <w:rsid w:val="002E7B7D"/>
    <w:rsid w:val="002F1E3E"/>
    <w:rsid w:val="003010A8"/>
    <w:rsid w:val="00301A69"/>
    <w:rsid w:val="00301AAB"/>
    <w:rsid w:val="00310F51"/>
    <w:rsid w:val="003218D4"/>
    <w:rsid w:val="00324533"/>
    <w:rsid w:val="00325FD9"/>
    <w:rsid w:val="00327503"/>
    <w:rsid w:val="00330612"/>
    <w:rsid w:val="00332A40"/>
    <w:rsid w:val="00333CD7"/>
    <w:rsid w:val="00336E79"/>
    <w:rsid w:val="00345009"/>
    <w:rsid w:val="00345BDA"/>
    <w:rsid w:val="00350511"/>
    <w:rsid w:val="0035527C"/>
    <w:rsid w:val="00360428"/>
    <w:rsid w:val="003654DE"/>
    <w:rsid w:val="00366C8D"/>
    <w:rsid w:val="00370815"/>
    <w:rsid w:val="003759F1"/>
    <w:rsid w:val="00382495"/>
    <w:rsid w:val="00387547"/>
    <w:rsid w:val="00390BD5"/>
    <w:rsid w:val="00391713"/>
    <w:rsid w:val="003A0CBA"/>
    <w:rsid w:val="003A3846"/>
    <w:rsid w:val="003A5AED"/>
    <w:rsid w:val="003A7F09"/>
    <w:rsid w:val="003A7F2C"/>
    <w:rsid w:val="003B0370"/>
    <w:rsid w:val="003C1209"/>
    <w:rsid w:val="003D2035"/>
    <w:rsid w:val="003E2470"/>
    <w:rsid w:val="003E48AD"/>
    <w:rsid w:val="003E5B04"/>
    <w:rsid w:val="003E5B8D"/>
    <w:rsid w:val="003E5D4F"/>
    <w:rsid w:val="003E7010"/>
    <w:rsid w:val="003E7A54"/>
    <w:rsid w:val="003F308D"/>
    <w:rsid w:val="003F47FA"/>
    <w:rsid w:val="003F542D"/>
    <w:rsid w:val="003F6CD3"/>
    <w:rsid w:val="00404865"/>
    <w:rsid w:val="004066B3"/>
    <w:rsid w:val="00406C0C"/>
    <w:rsid w:val="00407A8A"/>
    <w:rsid w:val="00411DBD"/>
    <w:rsid w:val="00422972"/>
    <w:rsid w:val="00437B82"/>
    <w:rsid w:val="004403B2"/>
    <w:rsid w:val="00441910"/>
    <w:rsid w:val="00443C90"/>
    <w:rsid w:val="00454E4A"/>
    <w:rsid w:val="0046555F"/>
    <w:rsid w:val="00465B69"/>
    <w:rsid w:val="00466261"/>
    <w:rsid w:val="00466B5D"/>
    <w:rsid w:val="00467965"/>
    <w:rsid w:val="00473A0F"/>
    <w:rsid w:val="004800A7"/>
    <w:rsid w:val="00480A79"/>
    <w:rsid w:val="00480C5C"/>
    <w:rsid w:val="0048117C"/>
    <w:rsid w:val="00482EC2"/>
    <w:rsid w:val="00485F0E"/>
    <w:rsid w:val="0049149E"/>
    <w:rsid w:val="00492FE2"/>
    <w:rsid w:val="00497F73"/>
    <w:rsid w:val="004A44BC"/>
    <w:rsid w:val="004B0A2C"/>
    <w:rsid w:val="004B17FC"/>
    <w:rsid w:val="004B184A"/>
    <w:rsid w:val="004B228B"/>
    <w:rsid w:val="004B4B2E"/>
    <w:rsid w:val="004B6844"/>
    <w:rsid w:val="004B6CDB"/>
    <w:rsid w:val="004C01DE"/>
    <w:rsid w:val="004C2FE0"/>
    <w:rsid w:val="004C58FB"/>
    <w:rsid w:val="004C5AE2"/>
    <w:rsid w:val="004C6615"/>
    <w:rsid w:val="004C759B"/>
    <w:rsid w:val="004D04F4"/>
    <w:rsid w:val="004D07A8"/>
    <w:rsid w:val="004D0E92"/>
    <w:rsid w:val="004D1B5B"/>
    <w:rsid w:val="004D1DBC"/>
    <w:rsid w:val="004D22D3"/>
    <w:rsid w:val="004E5CBE"/>
    <w:rsid w:val="004E7D3C"/>
    <w:rsid w:val="004F29BB"/>
    <w:rsid w:val="004F2C8B"/>
    <w:rsid w:val="004F34E8"/>
    <w:rsid w:val="004F4CBA"/>
    <w:rsid w:val="004F72CE"/>
    <w:rsid w:val="0050185E"/>
    <w:rsid w:val="0050353C"/>
    <w:rsid w:val="005129DC"/>
    <w:rsid w:val="005243CC"/>
    <w:rsid w:val="00524F67"/>
    <w:rsid w:val="00526D90"/>
    <w:rsid w:val="005275D8"/>
    <w:rsid w:val="00527C93"/>
    <w:rsid w:val="00531C3B"/>
    <w:rsid w:val="00533F66"/>
    <w:rsid w:val="00537DAB"/>
    <w:rsid w:val="00540C91"/>
    <w:rsid w:val="00541A9F"/>
    <w:rsid w:val="0054272B"/>
    <w:rsid w:val="00542AB3"/>
    <w:rsid w:val="00543A93"/>
    <w:rsid w:val="005525A8"/>
    <w:rsid w:val="00553162"/>
    <w:rsid w:val="00557466"/>
    <w:rsid w:val="00561144"/>
    <w:rsid w:val="005611A1"/>
    <w:rsid w:val="00562DBD"/>
    <w:rsid w:val="00564394"/>
    <w:rsid w:val="00572D41"/>
    <w:rsid w:val="005733A8"/>
    <w:rsid w:val="005766B2"/>
    <w:rsid w:val="00576A8E"/>
    <w:rsid w:val="0058024E"/>
    <w:rsid w:val="00581923"/>
    <w:rsid w:val="00582597"/>
    <w:rsid w:val="00583984"/>
    <w:rsid w:val="005954E7"/>
    <w:rsid w:val="005A0019"/>
    <w:rsid w:val="005A2230"/>
    <w:rsid w:val="005A3088"/>
    <w:rsid w:val="005A567E"/>
    <w:rsid w:val="005A7C12"/>
    <w:rsid w:val="005B313E"/>
    <w:rsid w:val="005B5FC3"/>
    <w:rsid w:val="005B66F0"/>
    <w:rsid w:val="005C41DB"/>
    <w:rsid w:val="005C56EA"/>
    <w:rsid w:val="005D14B7"/>
    <w:rsid w:val="005D2C77"/>
    <w:rsid w:val="005D5B59"/>
    <w:rsid w:val="005E0239"/>
    <w:rsid w:val="005E2250"/>
    <w:rsid w:val="005E4C65"/>
    <w:rsid w:val="005E6F4B"/>
    <w:rsid w:val="005F2A87"/>
    <w:rsid w:val="005F4555"/>
    <w:rsid w:val="00613AAB"/>
    <w:rsid w:val="00615120"/>
    <w:rsid w:val="00625915"/>
    <w:rsid w:val="00625CCB"/>
    <w:rsid w:val="006312BC"/>
    <w:rsid w:val="00631A1A"/>
    <w:rsid w:val="00634430"/>
    <w:rsid w:val="006349AD"/>
    <w:rsid w:val="00635570"/>
    <w:rsid w:val="00636E14"/>
    <w:rsid w:val="00637292"/>
    <w:rsid w:val="006479A0"/>
    <w:rsid w:val="006549C5"/>
    <w:rsid w:val="0065790D"/>
    <w:rsid w:val="006604FC"/>
    <w:rsid w:val="0066296A"/>
    <w:rsid w:val="006633CD"/>
    <w:rsid w:val="006674B7"/>
    <w:rsid w:val="006700F8"/>
    <w:rsid w:val="006702A4"/>
    <w:rsid w:val="00670CB8"/>
    <w:rsid w:val="00671C37"/>
    <w:rsid w:val="00672F71"/>
    <w:rsid w:val="00675D7C"/>
    <w:rsid w:val="006855F3"/>
    <w:rsid w:val="00685897"/>
    <w:rsid w:val="0068603C"/>
    <w:rsid w:val="00690967"/>
    <w:rsid w:val="006943AC"/>
    <w:rsid w:val="006A0626"/>
    <w:rsid w:val="006A0F70"/>
    <w:rsid w:val="006A2FAA"/>
    <w:rsid w:val="006A5540"/>
    <w:rsid w:val="006A7077"/>
    <w:rsid w:val="006A76D7"/>
    <w:rsid w:val="006B06BB"/>
    <w:rsid w:val="006B478B"/>
    <w:rsid w:val="006B5B94"/>
    <w:rsid w:val="006B697F"/>
    <w:rsid w:val="006C2A4F"/>
    <w:rsid w:val="006C53E7"/>
    <w:rsid w:val="006C7AA4"/>
    <w:rsid w:val="006D2215"/>
    <w:rsid w:val="006D2849"/>
    <w:rsid w:val="006D307D"/>
    <w:rsid w:val="006D3557"/>
    <w:rsid w:val="006E041B"/>
    <w:rsid w:val="006E06E2"/>
    <w:rsid w:val="006F51A1"/>
    <w:rsid w:val="00703B55"/>
    <w:rsid w:val="007051D2"/>
    <w:rsid w:val="00710ABB"/>
    <w:rsid w:val="00712776"/>
    <w:rsid w:val="0071311A"/>
    <w:rsid w:val="0071599A"/>
    <w:rsid w:val="00724497"/>
    <w:rsid w:val="00725437"/>
    <w:rsid w:val="0073348F"/>
    <w:rsid w:val="007370BF"/>
    <w:rsid w:val="00737487"/>
    <w:rsid w:val="00746953"/>
    <w:rsid w:val="00753133"/>
    <w:rsid w:val="00753261"/>
    <w:rsid w:val="007533FD"/>
    <w:rsid w:val="00756DE7"/>
    <w:rsid w:val="00760688"/>
    <w:rsid w:val="00761839"/>
    <w:rsid w:val="00764556"/>
    <w:rsid w:val="00765AEE"/>
    <w:rsid w:val="007666C7"/>
    <w:rsid w:val="007700E5"/>
    <w:rsid w:val="007752A2"/>
    <w:rsid w:val="00777193"/>
    <w:rsid w:val="00780B6D"/>
    <w:rsid w:val="00782649"/>
    <w:rsid w:val="00783532"/>
    <w:rsid w:val="00786C06"/>
    <w:rsid w:val="00787112"/>
    <w:rsid w:val="00790B04"/>
    <w:rsid w:val="007A1DB0"/>
    <w:rsid w:val="007A2B7A"/>
    <w:rsid w:val="007A326B"/>
    <w:rsid w:val="007B0E5F"/>
    <w:rsid w:val="007B122A"/>
    <w:rsid w:val="007B5C32"/>
    <w:rsid w:val="007C0B9B"/>
    <w:rsid w:val="007C2A47"/>
    <w:rsid w:val="007C3FDF"/>
    <w:rsid w:val="007C4A04"/>
    <w:rsid w:val="007D1959"/>
    <w:rsid w:val="007D3761"/>
    <w:rsid w:val="007D40D2"/>
    <w:rsid w:val="007D5F76"/>
    <w:rsid w:val="007D65B1"/>
    <w:rsid w:val="007D6D80"/>
    <w:rsid w:val="007D6F30"/>
    <w:rsid w:val="007E24BF"/>
    <w:rsid w:val="007E2BEE"/>
    <w:rsid w:val="007E6134"/>
    <w:rsid w:val="007F2351"/>
    <w:rsid w:val="007F35B7"/>
    <w:rsid w:val="007F3A99"/>
    <w:rsid w:val="007F3FEC"/>
    <w:rsid w:val="008013A4"/>
    <w:rsid w:val="00807BC1"/>
    <w:rsid w:val="0081290A"/>
    <w:rsid w:val="00812993"/>
    <w:rsid w:val="00814586"/>
    <w:rsid w:val="00815427"/>
    <w:rsid w:val="00825E70"/>
    <w:rsid w:val="008274C5"/>
    <w:rsid w:val="008275AE"/>
    <w:rsid w:val="008334D2"/>
    <w:rsid w:val="008337D9"/>
    <w:rsid w:val="00834BC6"/>
    <w:rsid w:val="008365B4"/>
    <w:rsid w:val="008371F8"/>
    <w:rsid w:val="00841D70"/>
    <w:rsid w:val="00842CC5"/>
    <w:rsid w:val="008461CA"/>
    <w:rsid w:val="00860178"/>
    <w:rsid w:val="00860F00"/>
    <w:rsid w:val="008626B0"/>
    <w:rsid w:val="00866617"/>
    <w:rsid w:val="00874F12"/>
    <w:rsid w:val="00877E0A"/>
    <w:rsid w:val="008866B1"/>
    <w:rsid w:val="008954D6"/>
    <w:rsid w:val="00895D1C"/>
    <w:rsid w:val="008A0ECB"/>
    <w:rsid w:val="008A2B88"/>
    <w:rsid w:val="008A2FD8"/>
    <w:rsid w:val="008A618E"/>
    <w:rsid w:val="008A7A35"/>
    <w:rsid w:val="008B299C"/>
    <w:rsid w:val="008B4F00"/>
    <w:rsid w:val="008B5389"/>
    <w:rsid w:val="008B7EDB"/>
    <w:rsid w:val="008C0069"/>
    <w:rsid w:val="008C417D"/>
    <w:rsid w:val="008C7F39"/>
    <w:rsid w:val="008D17E8"/>
    <w:rsid w:val="008D71C3"/>
    <w:rsid w:val="008E0294"/>
    <w:rsid w:val="008E1110"/>
    <w:rsid w:val="008E3398"/>
    <w:rsid w:val="008E75B9"/>
    <w:rsid w:val="008F05CD"/>
    <w:rsid w:val="008F2525"/>
    <w:rsid w:val="008F2653"/>
    <w:rsid w:val="008F33BD"/>
    <w:rsid w:val="008F452C"/>
    <w:rsid w:val="008F6FCB"/>
    <w:rsid w:val="00904453"/>
    <w:rsid w:val="009049DC"/>
    <w:rsid w:val="009116C0"/>
    <w:rsid w:val="0091405E"/>
    <w:rsid w:val="00917C0C"/>
    <w:rsid w:val="009221C3"/>
    <w:rsid w:val="00923EC3"/>
    <w:rsid w:val="00930417"/>
    <w:rsid w:val="009309CF"/>
    <w:rsid w:val="009351CB"/>
    <w:rsid w:val="00941684"/>
    <w:rsid w:val="00943F14"/>
    <w:rsid w:val="00946DEA"/>
    <w:rsid w:val="00947DFC"/>
    <w:rsid w:val="0095017F"/>
    <w:rsid w:val="009540DA"/>
    <w:rsid w:val="0097161E"/>
    <w:rsid w:val="009731BA"/>
    <w:rsid w:val="00980375"/>
    <w:rsid w:val="00980B98"/>
    <w:rsid w:val="009817AE"/>
    <w:rsid w:val="00982FED"/>
    <w:rsid w:val="00983FAB"/>
    <w:rsid w:val="0098673D"/>
    <w:rsid w:val="00990230"/>
    <w:rsid w:val="009941E1"/>
    <w:rsid w:val="00996093"/>
    <w:rsid w:val="009962CC"/>
    <w:rsid w:val="00997945"/>
    <w:rsid w:val="009B0CE4"/>
    <w:rsid w:val="009B1220"/>
    <w:rsid w:val="009B34D4"/>
    <w:rsid w:val="009B612E"/>
    <w:rsid w:val="009C2574"/>
    <w:rsid w:val="009C3C5D"/>
    <w:rsid w:val="009D1A61"/>
    <w:rsid w:val="009D392D"/>
    <w:rsid w:val="009D6202"/>
    <w:rsid w:val="009E600B"/>
    <w:rsid w:val="009F3C87"/>
    <w:rsid w:val="009F4F1F"/>
    <w:rsid w:val="00A02369"/>
    <w:rsid w:val="00A064DF"/>
    <w:rsid w:val="00A10622"/>
    <w:rsid w:val="00A21694"/>
    <w:rsid w:val="00A21DDB"/>
    <w:rsid w:val="00A238A4"/>
    <w:rsid w:val="00A241F1"/>
    <w:rsid w:val="00A24D74"/>
    <w:rsid w:val="00A26485"/>
    <w:rsid w:val="00A2678B"/>
    <w:rsid w:val="00A301D3"/>
    <w:rsid w:val="00A32C92"/>
    <w:rsid w:val="00A35A13"/>
    <w:rsid w:val="00A35AA2"/>
    <w:rsid w:val="00A416F7"/>
    <w:rsid w:val="00A4298D"/>
    <w:rsid w:val="00A442B8"/>
    <w:rsid w:val="00A46BC5"/>
    <w:rsid w:val="00A54026"/>
    <w:rsid w:val="00A54294"/>
    <w:rsid w:val="00A57DBB"/>
    <w:rsid w:val="00A57F98"/>
    <w:rsid w:val="00A63B1A"/>
    <w:rsid w:val="00A65CC6"/>
    <w:rsid w:val="00A70AF7"/>
    <w:rsid w:val="00A71D53"/>
    <w:rsid w:val="00A74636"/>
    <w:rsid w:val="00A7766E"/>
    <w:rsid w:val="00A77F15"/>
    <w:rsid w:val="00A83D89"/>
    <w:rsid w:val="00A85B97"/>
    <w:rsid w:val="00A927C1"/>
    <w:rsid w:val="00A95237"/>
    <w:rsid w:val="00AA3362"/>
    <w:rsid w:val="00AB1BFC"/>
    <w:rsid w:val="00AB5850"/>
    <w:rsid w:val="00AC0392"/>
    <w:rsid w:val="00AC1C10"/>
    <w:rsid w:val="00AC2F55"/>
    <w:rsid w:val="00AE2842"/>
    <w:rsid w:val="00AE3463"/>
    <w:rsid w:val="00AE482D"/>
    <w:rsid w:val="00AE53F5"/>
    <w:rsid w:val="00AE7329"/>
    <w:rsid w:val="00AE78FA"/>
    <w:rsid w:val="00AE7AC8"/>
    <w:rsid w:val="00AF1DD0"/>
    <w:rsid w:val="00B015FD"/>
    <w:rsid w:val="00B016A5"/>
    <w:rsid w:val="00B07110"/>
    <w:rsid w:val="00B131DC"/>
    <w:rsid w:val="00B13A94"/>
    <w:rsid w:val="00B168DD"/>
    <w:rsid w:val="00B249C7"/>
    <w:rsid w:val="00B24A05"/>
    <w:rsid w:val="00B2735B"/>
    <w:rsid w:val="00B30B0A"/>
    <w:rsid w:val="00B31290"/>
    <w:rsid w:val="00B33C03"/>
    <w:rsid w:val="00B433AB"/>
    <w:rsid w:val="00B446E1"/>
    <w:rsid w:val="00B4494C"/>
    <w:rsid w:val="00B61FC8"/>
    <w:rsid w:val="00B62EBE"/>
    <w:rsid w:val="00B64ED4"/>
    <w:rsid w:val="00B705BA"/>
    <w:rsid w:val="00B707C7"/>
    <w:rsid w:val="00B746F1"/>
    <w:rsid w:val="00B77E73"/>
    <w:rsid w:val="00B82BC5"/>
    <w:rsid w:val="00B87C52"/>
    <w:rsid w:val="00B9029A"/>
    <w:rsid w:val="00B9029F"/>
    <w:rsid w:val="00B9265C"/>
    <w:rsid w:val="00B93A33"/>
    <w:rsid w:val="00B9409D"/>
    <w:rsid w:val="00B96449"/>
    <w:rsid w:val="00BA3913"/>
    <w:rsid w:val="00BA5BDA"/>
    <w:rsid w:val="00BB37BF"/>
    <w:rsid w:val="00BB4530"/>
    <w:rsid w:val="00BB73AE"/>
    <w:rsid w:val="00BC48AA"/>
    <w:rsid w:val="00BC5B52"/>
    <w:rsid w:val="00BC5D7B"/>
    <w:rsid w:val="00BD223A"/>
    <w:rsid w:val="00BD46B5"/>
    <w:rsid w:val="00BD7382"/>
    <w:rsid w:val="00BE0971"/>
    <w:rsid w:val="00BE0B5D"/>
    <w:rsid w:val="00BE231E"/>
    <w:rsid w:val="00BF0A48"/>
    <w:rsid w:val="00BF2925"/>
    <w:rsid w:val="00BF6573"/>
    <w:rsid w:val="00BF773B"/>
    <w:rsid w:val="00C034AC"/>
    <w:rsid w:val="00C04CA7"/>
    <w:rsid w:val="00C06BDC"/>
    <w:rsid w:val="00C06C3A"/>
    <w:rsid w:val="00C13266"/>
    <w:rsid w:val="00C17267"/>
    <w:rsid w:val="00C22149"/>
    <w:rsid w:val="00C245C1"/>
    <w:rsid w:val="00C24814"/>
    <w:rsid w:val="00C24A59"/>
    <w:rsid w:val="00C446C5"/>
    <w:rsid w:val="00C44C02"/>
    <w:rsid w:val="00C459C3"/>
    <w:rsid w:val="00C52442"/>
    <w:rsid w:val="00C52E92"/>
    <w:rsid w:val="00C60C71"/>
    <w:rsid w:val="00C73462"/>
    <w:rsid w:val="00C73661"/>
    <w:rsid w:val="00C75B4F"/>
    <w:rsid w:val="00C76F8D"/>
    <w:rsid w:val="00C83144"/>
    <w:rsid w:val="00CA13A8"/>
    <w:rsid w:val="00CA38E7"/>
    <w:rsid w:val="00CA453C"/>
    <w:rsid w:val="00CA5105"/>
    <w:rsid w:val="00CA54C0"/>
    <w:rsid w:val="00CA72D0"/>
    <w:rsid w:val="00CB0F89"/>
    <w:rsid w:val="00CB5C60"/>
    <w:rsid w:val="00CB6DB7"/>
    <w:rsid w:val="00CC3B65"/>
    <w:rsid w:val="00CC654F"/>
    <w:rsid w:val="00CD4669"/>
    <w:rsid w:val="00CD639F"/>
    <w:rsid w:val="00CE37DC"/>
    <w:rsid w:val="00CF180E"/>
    <w:rsid w:val="00CF353F"/>
    <w:rsid w:val="00CF4508"/>
    <w:rsid w:val="00D079EC"/>
    <w:rsid w:val="00D10B2E"/>
    <w:rsid w:val="00D12702"/>
    <w:rsid w:val="00D143F0"/>
    <w:rsid w:val="00D15AA0"/>
    <w:rsid w:val="00D23520"/>
    <w:rsid w:val="00D2444C"/>
    <w:rsid w:val="00D265BA"/>
    <w:rsid w:val="00D27591"/>
    <w:rsid w:val="00D31A4D"/>
    <w:rsid w:val="00D40360"/>
    <w:rsid w:val="00D41231"/>
    <w:rsid w:val="00D43039"/>
    <w:rsid w:val="00D43832"/>
    <w:rsid w:val="00D4484D"/>
    <w:rsid w:val="00D45B8A"/>
    <w:rsid w:val="00D46955"/>
    <w:rsid w:val="00D479EB"/>
    <w:rsid w:val="00D47A2E"/>
    <w:rsid w:val="00D51CC6"/>
    <w:rsid w:val="00D56643"/>
    <w:rsid w:val="00D56C95"/>
    <w:rsid w:val="00D56D1C"/>
    <w:rsid w:val="00D72076"/>
    <w:rsid w:val="00D74722"/>
    <w:rsid w:val="00D75C0F"/>
    <w:rsid w:val="00D7606A"/>
    <w:rsid w:val="00D80133"/>
    <w:rsid w:val="00D8057B"/>
    <w:rsid w:val="00D806CA"/>
    <w:rsid w:val="00D839D3"/>
    <w:rsid w:val="00D84ABD"/>
    <w:rsid w:val="00D85857"/>
    <w:rsid w:val="00D90AC9"/>
    <w:rsid w:val="00D93344"/>
    <w:rsid w:val="00D9417D"/>
    <w:rsid w:val="00D95774"/>
    <w:rsid w:val="00D97B33"/>
    <w:rsid w:val="00DA0539"/>
    <w:rsid w:val="00DA1C3B"/>
    <w:rsid w:val="00DA60C8"/>
    <w:rsid w:val="00DA6F36"/>
    <w:rsid w:val="00DB45A3"/>
    <w:rsid w:val="00DB79DF"/>
    <w:rsid w:val="00DC049F"/>
    <w:rsid w:val="00DC39CB"/>
    <w:rsid w:val="00DC5459"/>
    <w:rsid w:val="00DC6078"/>
    <w:rsid w:val="00DC7B58"/>
    <w:rsid w:val="00DD0D82"/>
    <w:rsid w:val="00DD0DB4"/>
    <w:rsid w:val="00DD775E"/>
    <w:rsid w:val="00DE175E"/>
    <w:rsid w:val="00DE6495"/>
    <w:rsid w:val="00DE675F"/>
    <w:rsid w:val="00DF1868"/>
    <w:rsid w:val="00DF20AD"/>
    <w:rsid w:val="00DF3248"/>
    <w:rsid w:val="00DF5AE7"/>
    <w:rsid w:val="00DF7BC6"/>
    <w:rsid w:val="00E01E0D"/>
    <w:rsid w:val="00E0212D"/>
    <w:rsid w:val="00E03C26"/>
    <w:rsid w:val="00E04622"/>
    <w:rsid w:val="00E05336"/>
    <w:rsid w:val="00E06EB1"/>
    <w:rsid w:val="00E130AE"/>
    <w:rsid w:val="00E14E9B"/>
    <w:rsid w:val="00E15E52"/>
    <w:rsid w:val="00E174A8"/>
    <w:rsid w:val="00E17A91"/>
    <w:rsid w:val="00E2290C"/>
    <w:rsid w:val="00E30240"/>
    <w:rsid w:val="00E311DF"/>
    <w:rsid w:val="00E3660A"/>
    <w:rsid w:val="00E36FB1"/>
    <w:rsid w:val="00E42919"/>
    <w:rsid w:val="00E44B58"/>
    <w:rsid w:val="00E518A0"/>
    <w:rsid w:val="00E534E5"/>
    <w:rsid w:val="00E613BB"/>
    <w:rsid w:val="00E65D57"/>
    <w:rsid w:val="00E70257"/>
    <w:rsid w:val="00E7412F"/>
    <w:rsid w:val="00E74F52"/>
    <w:rsid w:val="00E75041"/>
    <w:rsid w:val="00E75908"/>
    <w:rsid w:val="00E76E61"/>
    <w:rsid w:val="00E8026C"/>
    <w:rsid w:val="00E805B8"/>
    <w:rsid w:val="00E82DDD"/>
    <w:rsid w:val="00E85E83"/>
    <w:rsid w:val="00E86C01"/>
    <w:rsid w:val="00E907E8"/>
    <w:rsid w:val="00E94F7B"/>
    <w:rsid w:val="00E95C0C"/>
    <w:rsid w:val="00E96367"/>
    <w:rsid w:val="00EA3707"/>
    <w:rsid w:val="00EB0350"/>
    <w:rsid w:val="00EB3FCF"/>
    <w:rsid w:val="00EB4402"/>
    <w:rsid w:val="00EB4D20"/>
    <w:rsid w:val="00EC10B7"/>
    <w:rsid w:val="00EC14AE"/>
    <w:rsid w:val="00EC40DA"/>
    <w:rsid w:val="00ED031F"/>
    <w:rsid w:val="00ED08BF"/>
    <w:rsid w:val="00ED0A1E"/>
    <w:rsid w:val="00ED0B62"/>
    <w:rsid w:val="00ED40EF"/>
    <w:rsid w:val="00ED4CD1"/>
    <w:rsid w:val="00EE0D07"/>
    <w:rsid w:val="00EE3A8F"/>
    <w:rsid w:val="00EE6202"/>
    <w:rsid w:val="00EF1105"/>
    <w:rsid w:val="00EF53FF"/>
    <w:rsid w:val="00EF5A2F"/>
    <w:rsid w:val="00EF6006"/>
    <w:rsid w:val="00EF64B6"/>
    <w:rsid w:val="00F02CD4"/>
    <w:rsid w:val="00F0552A"/>
    <w:rsid w:val="00F056DF"/>
    <w:rsid w:val="00F062DF"/>
    <w:rsid w:val="00F06DE9"/>
    <w:rsid w:val="00F06E10"/>
    <w:rsid w:val="00F102B8"/>
    <w:rsid w:val="00F157F6"/>
    <w:rsid w:val="00F16A5E"/>
    <w:rsid w:val="00F248ED"/>
    <w:rsid w:val="00F2683D"/>
    <w:rsid w:val="00F26C6F"/>
    <w:rsid w:val="00F30650"/>
    <w:rsid w:val="00F34594"/>
    <w:rsid w:val="00F356A0"/>
    <w:rsid w:val="00F4026D"/>
    <w:rsid w:val="00F4724C"/>
    <w:rsid w:val="00F54DD7"/>
    <w:rsid w:val="00F555C9"/>
    <w:rsid w:val="00F61BE2"/>
    <w:rsid w:val="00F63B4A"/>
    <w:rsid w:val="00F63E52"/>
    <w:rsid w:val="00F66D72"/>
    <w:rsid w:val="00F67888"/>
    <w:rsid w:val="00F701D5"/>
    <w:rsid w:val="00F7124E"/>
    <w:rsid w:val="00F7246F"/>
    <w:rsid w:val="00F74239"/>
    <w:rsid w:val="00F8499D"/>
    <w:rsid w:val="00F8503F"/>
    <w:rsid w:val="00F9072E"/>
    <w:rsid w:val="00F90CF2"/>
    <w:rsid w:val="00F93144"/>
    <w:rsid w:val="00F94892"/>
    <w:rsid w:val="00F95948"/>
    <w:rsid w:val="00F97953"/>
    <w:rsid w:val="00FA2BAF"/>
    <w:rsid w:val="00FA2CBD"/>
    <w:rsid w:val="00FA3474"/>
    <w:rsid w:val="00FA3B20"/>
    <w:rsid w:val="00FA3F1B"/>
    <w:rsid w:val="00FA4023"/>
    <w:rsid w:val="00FA4E0B"/>
    <w:rsid w:val="00FA6348"/>
    <w:rsid w:val="00FA6A23"/>
    <w:rsid w:val="00FA7239"/>
    <w:rsid w:val="00FA7C04"/>
    <w:rsid w:val="00FB3BFC"/>
    <w:rsid w:val="00FB4666"/>
    <w:rsid w:val="00FB4F01"/>
    <w:rsid w:val="00FB5786"/>
    <w:rsid w:val="00FB6425"/>
    <w:rsid w:val="00FC2664"/>
    <w:rsid w:val="00FC3005"/>
    <w:rsid w:val="00FC6E5F"/>
    <w:rsid w:val="00FC70F0"/>
    <w:rsid w:val="00FD05FC"/>
    <w:rsid w:val="00FD194B"/>
    <w:rsid w:val="00FD1F83"/>
    <w:rsid w:val="00FD4A11"/>
    <w:rsid w:val="00FE47A3"/>
    <w:rsid w:val="00FE4957"/>
    <w:rsid w:val="00FE4ABC"/>
    <w:rsid w:val="00FE79B3"/>
    <w:rsid w:val="00FF025A"/>
    <w:rsid w:val="00FF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F"/>
    <w:pPr>
      <w:ind w:left="720"/>
      <w:contextualSpacing/>
    </w:pPr>
  </w:style>
  <w:style w:type="character" w:styleId="CommentReference">
    <w:name w:val="annotation reference"/>
    <w:basedOn w:val="DefaultParagraphFont"/>
    <w:uiPriority w:val="99"/>
    <w:semiHidden/>
    <w:unhideWhenUsed/>
    <w:rsid w:val="00B64ED4"/>
    <w:rPr>
      <w:sz w:val="16"/>
      <w:szCs w:val="16"/>
    </w:rPr>
  </w:style>
  <w:style w:type="paragraph" w:styleId="CommentText">
    <w:name w:val="annotation text"/>
    <w:basedOn w:val="Normal"/>
    <w:link w:val="CommentTextChar"/>
    <w:uiPriority w:val="99"/>
    <w:semiHidden/>
    <w:unhideWhenUsed/>
    <w:rsid w:val="00B64ED4"/>
    <w:pPr>
      <w:spacing w:line="240" w:lineRule="auto"/>
    </w:pPr>
    <w:rPr>
      <w:sz w:val="20"/>
      <w:szCs w:val="20"/>
    </w:rPr>
  </w:style>
  <w:style w:type="character" w:customStyle="1" w:styleId="CommentTextChar">
    <w:name w:val="Comment Text Char"/>
    <w:basedOn w:val="DefaultParagraphFont"/>
    <w:link w:val="CommentText"/>
    <w:uiPriority w:val="99"/>
    <w:semiHidden/>
    <w:rsid w:val="00B64ED4"/>
    <w:rPr>
      <w:sz w:val="20"/>
      <w:szCs w:val="20"/>
    </w:rPr>
  </w:style>
  <w:style w:type="paragraph" w:styleId="CommentSubject">
    <w:name w:val="annotation subject"/>
    <w:basedOn w:val="CommentText"/>
    <w:next w:val="CommentText"/>
    <w:link w:val="CommentSubjectChar"/>
    <w:uiPriority w:val="99"/>
    <w:semiHidden/>
    <w:unhideWhenUsed/>
    <w:rsid w:val="00B64ED4"/>
    <w:rPr>
      <w:b/>
      <w:bCs/>
    </w:rPr>
  </w:style>
  <w:style w:type="character" w:customStyle="1" w:styleId="CommentSubjectChar">
    <w:name w:val="Comment Subject Char"/>
    <w:basedOn w:val="CommentTextChar"/>
    <w:link w:val="CommentSubject"/>
    <w:uiPriority w:val="99"/>
    <w:semiHidden/>
    <w:rsid w:val="00B64ED4"/>
    <w:rPr>
      <w:b/>
      <w:bCs/>
      <w:sz w:val="20"/>
      <w:szCs w:val="20"/>
    </w:rPr>
  </w:style>
  <w:style w:type="paragraph" w:styleId="BalloonText">
    <w:name w:val="Balloon Text"/>
    <w:basedOn w:val="Normal"/>
    <w:link w:val="BalloonTextChar"/>
    <w:uiPriority w:val="99"/>
    <w:semiHidden/>
    <w:unhideWhenUsed/>
    <w:rsid w:val="00B6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D4"/>
    <w:rPr>
      <w:rFonts w:ascii="Segoe UI" w:hAnsi="Segoe UI" w:cs="Segoe UI"/>
      <w:sz w:val="18"/>
      <w:szCs w:val="18"/>
    </w:rPr>
  </w:style>
  <w:style w:type="paragraph" w:styleId="EndnoteText">
    <w:name w:val="endnote text"/>
    <w:basedOn w:val="Normal"/>
    <w:link w:val="EndnoteTextChar"/>
    <w:uiPriority w:val="99"/>
    <w:semiHidden/>
    <w:unhideWhenUsed/>
    <w:rsid w:val="00E366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660A"/>
    <w:rPr>
      <w:sz w:val="20"/>
      <w:szCs w:val="20"/>
    </w:rPr>
  </w:style>
  <w:style w:type="character" w:styleId="EndnoteReference">
    <w:name w:val="endnote reference"/>
    <w:basedOn w:val="DefaultParagraphFont"/>
    <w:uiPriority w:val="99"/>
    <w:semiHidden/>
    <w:unhideWhenUsed/>
    <w:rsid w:val="00E3660A"/>
    <w:rPr>
      <w:vertAlign w:val="superscript"/>
    </w:rPr>
  </w:style>
  <w:style w:type="paragraph" w:styleId="FootnoteText">
    <w:name w:val="footnote text"/>
    <w:basedOn w:val="Normal"/>
    <w:link w:val="FootnoteTextChar"/>
    <w:uiPriority w:val="99"/>
    <w:semiHidden/>
    <w:unhideWhenUsed/>
    <w:rsid w:val="006604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4FC"/>
    <w:rPr>
      <w:sz w:val="20"/>
      <w:szCs w:val="20"/>
    </w:rPr>
  </w:style>
  <w:style w:type="character" w:styleId="FootnoteReference">
    <w:name w:val="footnote reference"/>
    <w:basedOn w:val="DefaultParagraphFont"/>
    <w:uiPriority w:val="99"/>
    <w:semiHidden/>
    <w:unhideWhenUsed/>
    <w:rsid w:val="006604FC"/>
    <w:rPr>
      <w:vertAlign w:val="superscript"/>
    </w:rPr>
  </w:style>
  <w:style w:type="character" w:styleId="Hyperlink">
    <w:name w:val="Hyperlink"/>
    <w:basedOn w:val="DefaultParagraphFont"/>
    <w:uiPriority w:val="99"/>
    <w:unhideWhenUsed/>
    <w:rsid w:val="00A10622"/>
    <w:rPr>
      <w:color w:val="0563C1" w:themeColor="hyperlink"/>
      <w:u w:val="single"/>
    </w:rPr>
  </w:style>
  <w:style w:type="character" w:styleId="FollowedHyperlink">
    <w:name w:val="FollowedHyperlink"/>
    <w:basedOn w:val="DefaultParagraphFont"/>
    <w:uiPriority w:val="99"/>
    <w:semiHidden/>
    <w:unhideWhenUsed/>
    <w:rsid w:val="00A106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F"/>
    <w:pPr>
      <w:ind w:left="720"/>
      <w:contextualSpacing/>
    </w:pPr>
  </w:style>
  <w:style w:type="character" w:styleId="CommentReference">
    <w:name w:val="annotation reference"/>
    <w:basedOn w:val="DefaultParagraphFont"/>
    <w:uiPriority w:val="99"/>
    <w:semiHidden/>
    <w:unhideWhenUsed/>
    <w:rsid w:val="00B64ED4"/>
    <w:rPr>
      <w:sz w:val="16"/>
      <w:szCs w:val="16"/>
    </w:rPr>
  </w:style>
  <w:style w:type="paragraph" w:styleId="CommentText">
    <w:name w:val="annotation text"/>
    <w:basedOn w:val="Normal"/>
    <w:link w:val="CommentTextChar"/>
    <w:uiPriority w:val="99"/>
    <w:semiHidden/>
    <w:unhideWhenUsed/>
    <w:rsid w:val="00B64ED4"/>
    <w:pPr>
      <w:spacing w:line="240" w:lineRule="auto"/>
    </w:pPr>
    <w:rPr>
      <w:sz w:val="20"/>
      <w:szCs w:val="20"/>
    </w:rPr>
  </w:style>
  <w:style w:type="character" w:customStyle="1" w:styleId="CommentTextChar">
    <w:name w:val="Comment Text Char"/>
    <w:basedOn w:val="DefaultParagraphFont"/>
    <w:link w:val="CommentText"/>
    <w:uiPriority w:val="99"/>
    <w:semiHidden/>
    <w:rsid w:val="00B64ED4"/>
    <w:rPr>
      <w:sz w:val="20"/>
      <w:szCs w:val="20"/>
    </w:rPr>
  </w:style>
  <w:style w:type="paragraph" w:styleId="CommentSubject">
    <w:name w:val="annotation subject"/>
    <w:basedOn w:val="CommentText"/>
    <w:next w:val="CommentText"/>
    <w:link w:val="CommentSubjectChar"/>
    <w:uiPriority w:val="99"/>
    <w:semiHidden/>
    <w:unhideWhenUsed/>
    <w:rsid w:val="00B64ED4"/>
    <w:rPr>
      <w:b/>
      <w:bCs/>
    </w:rPr>
  </w:style>
  <w:style w:type="character" w:customStyle="1" w:styleId="CommentSubjectChar">
    <w:name w:val="Comment Subject Char"/>
    <w:basedOn w:val="CommentTextChar"/>
    <w:link w:val="CommentSubject"/>
    <w:uiPriority w:val="99"/>
    <w:semiHidden/>
    <w:rsid w:val="00B64ED4"/>
    <w:rPr>
      <w:b/>
      <w:bCs/>
      <w:sz w:val="20"/>
      <w:szCs w:val="20"/>
    </w:rPr>
  </w:style>
  <w:style w:type="paragraph" w:styleId="BalloonText">
    <w:name w:val="Balloon Text"/>
    <w:basedOn w:val="Normal"/>
    <w:link w:val="BalloonTextChar"/>
    <w:uiPriority w:val="99"/>
    <w:semiHidden/>
    <w:unhideWhenUsed/>
    <w:rsid w:val="00B6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D4"/>
    <w:rPr>
      <w:rFonts w:ascii="Segoe UI" w:hAnsi="Segoe UI" w:cs="Segoe UI"/>
      <w:sz w:val="18"/>
      <w:szCs w:val="18"/>
    </w:rPr>
  </w:style>
  <w:style w:type="paragraph" w:styleId="EndnoteText">
    <w:name w:val="endnote text"/>
    <w:basedOn w:val="Normal"/>
    <w:link w:val="EndnoteTextChar"/>
    <w:uiPriority w:val="99"/>
    <w:semiHidden/>
    <w:unhideWhenUsed/>
    <w:rsid w:val="00E366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660A"/>
    <w:rPr>
      <w:sz w:val="20"/>
      <w:szCs w:val="20"/>
    </w:rPr>
  </w:style>
  <w:style w:type="character" w:styleId="EndnoteReference">
    <w:name w:val="endnote reference"/>
    <w:basedOn w:val="DefaultParagraphFont"/>
    <w:uiPriority w:val="99"/>
    <w:semiHidden/>
    <w:unhideWhenUsed/>
    <w:rsid w:val="00E3660A"/>
    <w:rPr>
      <w:vertAlign w:val="superscript"/>
    </w:rPr>
  </w:style>
  <w:style w:type="paragraph" w:styleId="FootnoteText">
    <w:name w:val="footnote text"/>
    <w:basedOn w:val="Normal"/>
    <w:link w:val="FootnoteTextChar"/>
    <w:uiPriority w:val="99"/>
    <w:semiHidden/>
    <w:unhideWhenUsed/>
    <w:rsid w:val="006604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4FC"/>
    <w:rPr>
      <w:sz w:val="20"/>
      <w:szCs w:val="20"/>
    </w:rPr>
  </w:style>
  <w:style w:type="character" w:styleId="FootnoteReference">
    <w:name w:val="footnote reference"/>
    <w:basedOn w:val="DefaultParagraphFont"/>
    <w:uiPriority w:val="99"/>
    <w:semiHidden/>
    <w:unhideWhenUsed/>
    <w:rsid w:val="006604FC"/>
    <w:rPr>
      <w:vertAlign w:val="superscript"/>
    </w:rPr>
  </w:style>
  <w:style w:type="character" w:styleId="Hyperlink">
    <w:name w:val="Hyperlink"/>
    <w:basedOn w:val="DefaultParagraphFont"/>
    <w:uiPriority w:val="99"/>
    <w:unhideWhenUsed/>
    <w:rsid w:val="00A10622"/>
    <w:rPr>
      <w:color w:val="0563C1" w:themeColor="hyperlink"/>
      <w:u w:val="single"/>
    </w:rPr>
  </w:style>
  <w:style w:type="character" w:styleId="FollowedHyperlink">
    <w:name w:val="FollowedHyperlink"/>
    <w:basedOn w:val="DefaultParagraphFont"/>
    <w:uiPriority w:val="99"/>
    <w:semiHidden/>
    <w:unhideWhenUsed/>
    <w:rsid w:val="00A10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554E-3712-4EBA-BC81-C6B03955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Fawcett</dc:creator>
  <cp:lastModifiedBy>Fawcett, Peter [pfawcett]</cp:lastModifiedBy>
  <cp:revision>126</cp:revision>
  <cp:lastPrinted>2016-03-01T09:31:00Z</cp:lastPrinted>
  <dcterms:created xsi:type="dcterms:W3CDTF">2016-02-11T09:56:00Z</dcterms:created>
  <dcterms:modified xsi:type="dcterms:W3CDTF">2016-03-01T10:15:00Z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p.fawcett@liv.ac.uk@www.mendeley.com</vt:lpwstr>
  </property>
  <property fmtid="{D5CDD505-2E9C-101B-9397-08002B2CF9AE}" pid="4" name="Mendeley Citation Style_1">
    <vt:lpwstr>http://www.zotero.org/styles/harvard-oxford-brookes-university-faculty-of-health-and-life-sciences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http://www.zotero.org/styles/harvard-cardiff-university</vt:lpwstr>
  </property>
  <property fmtid="{D5CDD505-2E9C-101B-9397-08002B2CF9AE}" pid="14" name="Mendeley Recent Style Name 4_1">
    <vt:lpwstr>Harvard - Cardiff University</vt:lpwstr>
  </property>
  <property fmtid="{D5CDD505-2E9C-101B-9397-08002B2CF9AE}" pid="15" name="Mendeley Recent Style Id 5_1">
    <vt:lpwstr>http://www.zotero.org/styles/harvard-oxford-brookes-university</vt:lpwstr>
  </property>
  <property fmtid="{D5CDD505-2E9C-101B-9397-08002B2CF9AE}" pid="16" name="Mendeley Recent Style Name 5_1">
    <vt:lpwstr>Harvard - Oxford Brookes University</vt:lpwstr>
  </property>
  <property fmtid="{D5CDD505-2E9C-101B-9397-08002B2CF9AE}" pid="17" name="Mendeley Recent Style Id 6_1">
    <vt:lpwstr>http://www.zotero.org/styles/harvard-oxford-brookes-university-faculty-of-health-and-life-sciences</vt:lpwstr>
  </property>
  <property fmtid="{D5CDD505-2E9C-101B-9397-08002B2CF9AE}" pid="18" name="Mendeley Recent Style Name 6_1">
    <vt:lpwstr>Harvard - Oxford Brookes University - Faculty of Health and Life Sciences</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