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442" w:rsidRPr="00030442" w:rsidRDefault="00030442" w:rsidP="00030442">
      <w:pPr>
        <w:jc w:val="center"/>
        <w:rPr>
          <w:rFonts w:ascii="Times New Roman" w:hAnsi="Times New Roman" w:cs="Times New Roman"/>
          <w:b/>
          <w:bCs/>
          <w:color w:val="000000"/>
          <w:sz w:val="22"/>
          <w:szCs w:val="22"/>
          <w:lang w:val="en-US"/>
        </w:rPr>
      </w:pPr>
      <w:bookmarkStart w:id="0" w:name="_GoBack"/>
      <w:bookmarkEnd w:id="0"/>
      <w:r w:rsidRPr="00030442">
        <w:rPr>
          <w:rFonts w:ascii="Times New Roman" w:hAnsi="Times New Roman" w:cs="Times New Roman"/>
          <w:b/>
          <w:bCs/>
          <w:color w:val="000000"/>
          <w:sz w:val="22"/>
          <w:szCs w:val="22"/>
          <w:lang w:val="en-US"/>
        </w:rPr>
        <w:t>Is Liverpool (UK) ready to embrace green infrastructure and greenway practices? Rethinking the funding, management and spatial distribution of city’s greenspace network in an era of austerity.</w:t>
      </w:r>
    </w:p>
    <w:p w:rsidR="00030442" w:rsidRPr="00030442" w:rsidRDefault="00030442" w:rsidP="00030442">
      <w:pPr>
        <w:jc w:val="center"/>
        <w:rPr>
          <w:rFonts w:ascii="Times New Roman" w:hAnsi="Times New Roman" w:cs="Times New Roman"/>
          <w:b/>
          <w:bCs/>
          <w:color w:val="000000"/>
          <w:sz w:val="22"/>
          <w:szCs w:val="22"/>
          <w:lang w:val="en-US"/>
        </w:rPr>
      </w:pPr>
    </w:p>
    <w:p w:rsidR="00030442" w:rsidRPr="00030442" w:rsidRDefault="00030442" w:rsidP="00030442">
      <w:pPr>
        <w:jc w:val="center"/>
        <w:rPr>
          <w:rFonts w:ascii="Times New Roman" w:hAnsi="Times New Roman" w:cs="Times New Roman"/>
          <w:bCs/>
          <w:color w:val="000000"/>
          <w:sz w:val="22"/>
          <w:szCs w:val="22"/>
          <w:vertAlign w:val="superscript"/>
          <w:lang w:val="en-US"/>
        </w:rPr>
      </w:pPr>
      <w:r w:rsidRPr="00030442">
        <w:rPr>
          <w:rFonts w:ascii="Times New Roman" w:hAnsi="Times New Roman" w:cs="Times New Roman"/>
          <w:bCs/>
          <w:color w:val="000000"/>
          <w:sz w:val="22"/>
          <w:szCs w:val="22"/>
          <w:lang w:val="en-US"/>
        </w:rPr>
        <w:t>Ian C. Mell</w:t>
      </w:r>
      <w:r w:rsidRPr="00030442">
        <w:rPr>
          <w:rFonts w:ascii="Times New Roman" w:hAnsi="Times New Roman" w:cs="Times New Roman"/>
          <w:bCs/>
          <w:color w:val="000000"/>
          <w:sz w:val="22"/>
          <w:szCs w:val="22"/>
          <w:vertAlign w:val="superscript"/>
          <w:lang w:val="en-US"/>
        </w:rPr>
        <w:t>1</w:t>
      </w:r>
    </w:p>
    <w:p w:rsidR="00030442" w:rsidRPr="00030442" w:rsidRDefault="00030442" w:rsidP="00030442">
      <w:pPr>
        <w:jc w:val="center"/>
        <w:rPr>
          <w:rFonts w:ascii="Times New Roman" w:hAnsi="Times New Roman" w:cs="Times New Roman"/>
          <w:bCs/>
          <w:color w:val="000000"/>
          <w:sz w:val="22"/>
          <w:szCs w:val="22"/>
          <w:lang w:val="en-US"/>
        </w:rPr>
      </w:pPr>
      <w:r w:rsidRPr="00030442">
        <w:rPr>
          <w:rFonts w:ascii="Times New Roman" w:hAnsi="Times New Roman" w:cs="Times New Roman"/>
          <w:bCs/>
          <w:color w:val="000000"/>
          <w:sz w:val="22"/>
          <w:szCs w:val="22"/>
          <w:vertAlign w:val="superscript"/>
          <w:lang w:val="en-US"/>
        </w:rPr>
        <w:t xml:space="preserve">1 </w:t>
      </w:r>
      <w:r w:rsidRPr="00030442">
        <w:rPr>
          <w:rFonts w:ascii="Times New Roman" w:hAnsi="Times New Roman" w:cs="Times New Roman"/>
          <w:bCs/>
          <w:color w:val="000000"/>
          <w:sz w:val="22"/>
          <w:szCs w:val="22"/>
          <w:lang w:val="en-US"/>
        </w:rPr>
        <w:t>University of Liverpool, Department of Geography &amp; Planning</w:t>
      </w:r>
    </w:p>
    <w:p w:rsidR="00030442" w:rsidRPr="00030442" w:rsidRDefault="00030442" w:rsidP="00030442">
      <w:pPr>
        <w:jc w:val="center"/>
        <w:rPr>
          <w:rFonts w:ascii="Times New Roman" w:hAnsi="Times New Roman" w:cs="Times New Roman"/>
          <w:bCs/>
          <w:color w:val="000000"/>
          <w:sz w:val="22"/>
          <w:szCs w:val="22"/>
          <w:lang w:val="en-US"/>
        </w:rPr>
      </w:pPr>
    </w:p>
    <w:p w:rsidR="00030442" w:rsidRPr="00030442" w:rsidRDefault="00030442" w:rsidP="00030442">
      <w:pPr>
        <w:rPr>
          <w:rFonts w:ascii="Times New Roman" w:hAnsi="Times New Roman" w:cs="Times New Roman"/>
          <w:b/>
          <w:bCs/>
          <w:color w:val="000000"/>
          <w:sz w:val="22"/>
          <w:szCs w:val="22"/>
          <w:lang w:val="en-US"/>
        </w:rPr>
      </w:pPr>
      <w:r w:rsidRPr="00030442">
        <w:rPr>
          <w:rFonts w:ascii="Times New Roman" w:hAnsi="Times New Roman" w:cs="Times New Roman"/>
          <w:b/>
          <w:bCs/>
          <w:color w:val="000000"/>
          <w:sz w:val="22"/>
          <w:szCs w:val="22"/>
          <w:lang w:val="en-US"/>
        </w:rPr>
        <w:t xml:space="preserve">1. Introduction </w:t>
      </w:r>
    </w:p>
    <w:p w:rsidR="00030442" w:rsidRPr="00D9683F" w:rsidRDefault="00030442" w:rsidP="00030442">
      <w:pPr>
        <w:pStyle w:val="MediumGrid2"/>
        <w:rPr>
          <w:sz w:val="22"/>
          <w:szCs w:val="22"/>
        </w:rPr>
      </w:pPr>
      <w:r w:rsidRPr="00D9683F">
        <w:rPr>
          <w:sz w:val="22"/>
          <w:szCs w:val="22"/>
        </w:rPr>
        <w:t xml:space="preserve">Changes </w:t>
      </w:r>
      <w:r w:rsidR="009659DD">
        <w:rPr>
          <w:sz w:val="22"/>
          <w:szCs w:val="22"/>
        </w:rPr>
        <w:t xml:space="preserve">in UK </w:t>
      </w:r>
      <w:r w:rsidRPr="00D9683F">
        <w:rPr>
          <w:sz w:val="22"/>
          <w:szCs w:val="22"/>
        </w:rPr>
        <w:t xml:space="preserve">government since 2010 have placed economic pressures on the funding of urban greenspaces. These changes have led </w:t>
      </w:r>
      <w:r w:rsidR="001A2EEB">
        <w:rPr>
          <w:sz w:val="22"/>
          <w:szCs w:val="22"/>
        </w:rPr>
        <w:t>Local Planning Authorities (</w:t>
      </w:r>
      <w:r>
        <w:rPr>
          <w:sz w:val="22"/>
          <w:szCs w:val="22"/>
        </w:rPr>
        <w:t>LPAs</w:t>
      </w:r>
      <w:r w:rsidRPr="00D9683F">
        <w:rPr>
          <w:sz w:val="22"/>
          <w:szCs w:val="22"/>
        </w:rPr>
        <w:t xml:space="preserve"> in the UK) to make difficult choices over what services they are required, legally and morally, to provide. Potentially the biggest loser in this process has been the funding for green and open spaces. Although a number of the cities have felt the impacts of </w:t>
      </w:r>
      <w:r w:rsidR="001A2EEB">
        <w:rPr>
          <w:sz w:val="22"/>
          <w:szCs w:val="22"/>
        </w:rPr>
        <w:t xml:space="preserve">fiscal </w:t>
      </w:r>
      <w:r>
        <w:rPr>
          <w:sz w:val="22"/>
          <w:szCs w:val="22"/>
        </w:rPr>
        <w:t>austerity</w:t>
      </w:r>
      <w:r w:rsidRPr="00D9683F">
        <w:rPr>
          <w:sz w:val="22"/>
          <w:szCs w:val="22"/>
        </w:rPr>
        <w:t>, Liverpool has been one of the city’s hardest hit. As a consequence, Liverpool City Council (LCC) is being forced to make decisions over how</w:t>
      </w:r>
      <w:r>
        <w:rPr>
          <w:sz w:val="22"/>
          <w:szCs w:val="22"/>
        </w:rPr>
        <w:t xml:space="preserve"> it will </w:t>
      </w:r>
      <w:r w:rsidR="001A2EEB">
        <w:rPr>
          <w:sz w:val="22"/>
          <w:szCs w:val="22"/>
        </w:rPr>
        <w:t>maintain</w:t>
      </w:r>
      <w:r w:rsidRPr="00D9683F">
        <w:rPr>
          <w:sz w:val="22"/>
          <w:szCs w:val="22"/>
        </w:rPr>
        <w:t xml:space="preserve"> the city’s landscape post 2016/17.</w:t>
      </w:r>
      <w:r w:rsidR="001A2EEB">
        <w:rPr>
          <w:sz w:val="22"/>
          <w:szCs w:val="22"/>
        </w:rPr>
        <w:t xml:space="preserve"> </w:t>
      </w:r>
      <w:r w:rsidRPr="00D9683F">
        <w:rPr>
          <w:sz w:val="22"/>
          <w:szCs w:val="22"/>
        </w:rPr>
        <w:t xml:space="preserve">Partially this reflects the fragmented nature </w:t>
      </w:r>
      <w:r w:rsidRPr="001A2EEB">
        <w:rPr>
          <w:i/>
          <w:sz w:val="22"/>
          <w:szCs w:val="22"/>
        </w:rPr>
        <w:t>and</w:t>
      </w:r>
      <w:r>
        <w:rPr>
          <w:sz w:val="22"/>
          <w:szCs w:val="22"/>
        </w:rPr>
        <w:t xml:space="preserve"> </w:t>
      </w:r>
      <w:r w:rsidRPr="00D9683F">
        <w:rPr>
          <w:sz w:val="22"/>
          <w:szCs w:val="22"/>
        </w:rPr>
        <w:t xml:space="preserve">historical distribution of greenspaces in Liverpool but also the evolving development context of the city. </w:t>
      </w:r>
      <w:r>
        <w:rPr>
          <w:sz w:val="22"/>
          <w:szCs w:val="22"/>
        </w:rPr>
        <w:t xml:space="preserve">Moreover, </w:t>
      </w:r>
      <w:r w:rsidRPr="00D9683F">
        <w:rPr>
          <w:sz w:val="22"/>
          <w:szCs w:val="22"/>
        </w:rPr>
        <w:t xml:space="preserve">disparity </w:t>
      </w:r>
      <w:r w:rsidR="001A2EEB">
        <w:rPr>
          <w:sz w:val="22"/>
          <w:szCs w:val="22"/>
        </w:rPr>
        <w:t xml:space="preserve">in the </w:t>
      </w:r>
      <w:r w:rsidR="001A2EEB" w:rsidRPr="00D9683F">
        <w:rPr>
          <w:sz w:val="22"/>
          <w:szCs w:val="22"/>
        </w:rPr>
        <w:t>distribution of the quality and quantity of green and open space</w:t>
      </w:r>
      <w:r w:rsidR="001A2EEB">
        <w:rPr>
          <w:sz w:val="22"/>
          <w:szCs w:val="22"/>
        </w:rPr>
        <w:t xml:space="preserve"> is </w:t>
      </w:r>
      <w:r w:rsidRPr="00D9683F">
        <w:rPr>
          <w:sz w:val="22"/>
          <w:szCs w:val="22"/>
        </w:rPr>
        <w:t xml:space="preserve">evident with a clear north-south divide in the </w:t>
      </w:r>
      <w:r>
        <w:rPr>
          <w:sz w:val="22"/>
          <w:szCs w:val="22"/>
        </w:rPr>
        <w:fldChar w:fldCharType="begin" w:fldLock="1"/>
      </w:r>
      <w:r>
        <w:rPr>
          <w:sz w:val="22"/>
          <w:szCs w:val="22"/>
        </w:rPr>
        <w:instrText>ADDIN CSL_CITATION { "citationItems" : [ { "id" : "ITEM-1", "itemData" : { "DOI" : "10.1016/j.cities.2013.03.013", "ISSN" : "02642751", "abstract" : "This Profile focuses on patterns of growth, decline and renewal in Liverpool (UK) over the past 200years. In this period, the city has seen extremes of both prosperity and decline. It pioneered many of the elements of the modern industrial metropolis, only to deurbanise during a ruinous late 20th century decline, halving its population. The centre has now been successfully re-urbanised and the city population is growing, but spatial inequalities remain intense. As a focus for policy remedies from across the ideological spectrum, Liverpool offers an instructive archive of approaches of continued relevance and interest. Liverpool emerged as a modern global city, based around new systems of international trade and capital during the 18th and 19th centuries. Growth and wealth were manifested physically in grand architectural landscapes and the planned development of often pioneering modern urban infrastructure such as railways, parks, docklands and public housing. Liverpool was among the earliest places to face acute social challenges characteristic of the industrial city. Its universal importance is reflected in UNESCO World Heritage Site status for significant portions of its docklands and downtown area. The city\u2019s population peaked in the 1930s with much of the subsequent century witnessing an accelerating reversal of the city\u2019s fortunes, as a result of unfavourable economic restructuring, war damage and key planning decisions. Throughout the 20th century Liverpool has been an early test bed for urban policies, sometimes applied from opposing poles of the ideological spectrum. In the switch from planned growth to managing and reversing decline, there have been numerous efforts to \u2018regenerate\u2019 the city\u2019s economic, physical and social fabric, many have been successful, whilst others have been seen as deeply damaging, making Liverpool something of an \u2018urban laboratory\u2019 worthy of careful consideration and reflection. Informed by the historical trajectory outlined above, this Profile firstly discusses Liverpool\u2019s rise to prominence as a global trade centre in the 18th and 19th centuries. Secondly, challenges faced during the 20th century are considered. Finally, the recent history of redevelopment and regeneration is reviewed and followed by reflections on the present city and its future prospects.", "author" : [ { "dropping-particle" : "", "family" : "Sykes", "given" : "Olivier", "non-dropping-particle" : "", "parse-names" : false, "suffix" : "" }, { "dropping-particle" : "", "family" : "Brown", "given" : "Jonathan", "non-dropping-particle" : "", "parse-names" : false, "suffix" : "" }, { "dropping-particle" : "", "family" : "Cocks", "given" : "Matthew", "non-dropping-particle" : "", "parse-names" : false, "suffix" : "" }, { "dropping-particle" : "", "family" : "Shaw", "given" : "David", "non-dropping-particle" : "", "parse-names" : false, "suffix" : "" }, { "dropping-particle" : "", "family" : "Couch", "given" : "Chris", "non-dropping-particle" : "", "parse-names" : false, "suffix" : "" } ], "container-title" : "Cities", "id" : "ITEM-1", "issued" : { "date-parts" : [ [ "2013", "12" ] ] }, "page" : "299-318", "title" : "A City Profile of Liverpool", "type" : "article-journal", "volume" : "35" }, "uris" : [ "http://www.mendeley.com/documents/?uuid=f9cda6cd-cce4-4f2e-b9d0-30aa5d7367ae" ] } ], "mendeley" : { "formattedCitation" : "(Sykes, Brown, Cocks, Shaw, &amp; Couch, 2013)", "plainTextFormattedCitation" : "(Sykes, Brown, Cocks, Shaw, &amp; Couch, 2013)", "previouslyFormattedCitation" : "(Sykes, Brown, Cocks, Shaw, &amp; Couch, 2013)" }, "properties" : { "noteIndex" : 0 }, "schema" : "https://github.com/citation-style-language/schema/raw/master/csl-citation.json" }</w:instrText>
      </w:r>
      <w:r>
        <w:rPr>
          <w:sz w:val="22"/>
          <w:szCs w:val="22"/>
        </w:rPr>
        <w:fldChar w:fldCharType="separate"/>
      </w:r>
      <w:r w:rsidRPr="004A2A55">
        <w:rPr>
          <w:noProof/>
          <w:sz w:val="22"/>
          <w:szCs w:val="22"/>
        </w:rPr>
        <w:t>(Sykes, Brown, Cocks, Shaw, &amp; Couch, 2013)</w:t>
      </w:r>
      <w:r>
        <w:rPr>
          <w:sz w:val="22"/>
          <w:szCs w:val="22"/>
        </w:rPr>
        <w:fldChar w:fldCharType="end"/>
      </w:r>
      <w:r w:rsidRPr="00D9683F">
        <w:rPr>
          <w:sz w:val="22"/>
          <w:szCs w:val="22"/>
        </w:rPr>
        <w:t xml:space="preserve">. The growing </w:t>
      </w:r>
      <w:r w:rsidR="001A2EEB">
        <w:rPr>
          <w:sz w:val="22"/>
          <w:szCs w:val="22"/>
        </w:rPr>
        <w:t xml:space="preserve">rhetoric </w:t>
      </w:r>
      <w:r w:rsidRPr="00D9683F">
        <w:rPr>
          <w:sz w:val="22"/>
          <w:szCs w:val="22"/>
        </w:rPr>
        <w:t xml:space="preserve">presented by LCC relating to </w:t>
      </w:r>
      <w:r w:rsidR="001A2EEB">
        <w:rPr>
          <w:sz w:val="22"/>
          <w:szCs w:val="22"/>
        </w:rPr>
        <w:t>funding</w:t>
      </w:r>
      <w:r w:rsidRPr="00D9683F">
        <w:rPr>
          <w:sz w:val="22"/>
          <w:szCs w:val="22"/>
        </w:rPr>
        <w:t xml:space="preserve"> discretionary servic</w:t>
      </w:r>
      <w:r>
        <w:rPr>
          <w:sz w:val="22"/>
          <w:szCs w:val="22"/>
        </w:rPr>
        <w:t>e, including landscape planning</w:t>
      </w:r>
      <w:r w:rsidR="001A2EEB">
        <w:rPr>
          <w:sz w:val="22"/>
          <w:szCs w:val="22"/>
        </w:rPr>
        <w:t>,</w:t>
      </w:r>
      <w:r w:rsidRPr="00D9683F">
        <w:rPr>
          <w:sz w:val="22"/>
          <w:szCs w:val="22"/>
        </w:rPr>
        <w:t xml:space="preserve"> </w:t>
      </w:r>
      <w:r w:rsidR="001A2EEB">
        <w:rPr>
          <w:sz w:val="22"/>
          <w:szCs w:val="22"/>
        </w:rPr>
        <w:t xml:space="preserve">has thus been </w:t>
      </w:r>
      <w:r w:rsidRPr="00D9683F">
        <w:rPr>
          <w:sz w:val="22"/>
          <w:szCs w:val="22"/>
        </w:rPr>
        <w:t xml:space="preserve">considered </w:t>
      </w:r>
      <w:r>
        <w:rPr>
          <w:sz w:val="22"/>
          <w:szCs w:val="22"/>
        </w:rPr>
        <w:t xml:space="preserve">by as </w:t>
      </w:r>
      <w:r w:rsidR="001A2EEB">
        <w:rPr>
          <w:sz w:val="22"/>
          <w:szCs w:val="22"/>
        </w:rPr>
        <w:t xml:space="preserve">further evidence </w:t>
      </w:r>
      <w:r w:rsidRPr="00D9683F">
        <w:rPr>
          <w:sz w:val="22"/>
          <w:szCs w:val="22"/>
        </w:rPr>
        <w:t xml:space="preserve">of the city’s lack of foresight in </w:t>
      </w:r>
      <w:r w:rsidR="001A2EEB">
        <w:rPr>
          <w:sz w:val="22"/>
          <w:szCs w:val="22"/>
        </w:rPr>
        <w:t xml:space="preserve">how it manages </w:t>
      </w:r>
      <w:r w:rsidRPr="00D9683F">
        <w:rPr>
          <w:sz w:val="22"/>
          <w:szCs w:val="22"/>
        </w:rPr>
        <w:t xml:space="preserve">its environment. </w:t>
      </w:r>
    </w:p>
    <w:p w:rsidR="00030442" w:rsidRPr="00D9683F" w:rsidRDefault="00030442" w:rsidP="00030442">
      <w:pPr>
        <w:pStyle w:val="MediumGrid2"/>
        <w:rPr>
          <w:sz w:val="22"/>
          <w:szCs w:val="22"/>
        </w:rPr>
      </w:pPr>
      <w:r w:rsidRPr="00D9683F">
        <w:rPr>
          <w:sz w:val="22"/>
          <w:szCs w:val="22"/>
        </w:rPr>
        <w:t> </w:t>
      </w:r>
    </w:p>
    <w:p w:rsidR="00030442" w:rsidRPr="00D9683F" w:rsidRDefault="00030442" w:rsidP="00030442">
      <w:pPr>
        <w:pStyle w:val="MediumGrid2"/>
        <w:rPr>
          <w:sz w:val="22"/>
          <w:szCs w:val="22"/>
        </w:rPr>
      </w:pPr>
      <w:r w:rsidRPr="00D9683F">
        <w:rPr>
          <w:sz w:val="22"/>
          <w:szCs w:val="22"/>
        </w:rPr>
        <w:t>To address these issues a series of greenways</w:t>
      </w:r>
      <w:r w:rsidRPr="00711993">
        <w:rPr>
          <w:rStyle w:val="FootnoteReference"/>
        </w:rPr>
        <w:footnoteReference w:id="1"/>
      </w:r>
      <w:r w:rsidRPr="00D9683F">
        <w:rPr>
          <w:sz w:val="22"/>
          <w:szCs w:val="22"/>
        </w:rPr>
        <w:t>, labelled as ‘</w:t>
      </w:r>
      <w:r w:rsidRPr="00D9683F">
        <w:rPr>
          <w:i/>
          <w:sz w:val="22"/>
          <w:szCs w:val="22"/>
        </w:rPr>
        <w:t>green corridors</w:t>
      </w:r>
      <w:r w:rsidRPr="00D9683F">
        <w:rPr>
          <w:sz w:val="22"/>
          <w:szCs w:val="22"/>
        </w:rPr>
        <w:t>’</w:t>
      </w:r>
      <w:r>
        <w:rPr>
          <w:sz w:val="22"/>
          <w:szCs w:val="22"/>
        </w:rPr>
        <w:t xml:space="preserve"> throughout the paper</w:t>
      </w:r>
      <w:r w:rsidRPr="00D9683F">
        <w:rPr>
          <w:sz w:val="22"/>
          <w:szCs w:val="22"/>
        </w:rPr>
        <w:t xml:space="preserve">, are proposed as a financially viable and spatially diverse mechanism to improve the spatial distribution of </w:t>
      </w:r>
      <w:r>
        <w:rPr>
          <w:sz w:val="22"/>
          <w:szCs w:val="22"/>
        </w:rPr>
        <w:t xml:space="preserve">green infrastructure </w:t>
      </w:r>
      <w:r w:rsidR="001A2EEB">
        <w:rPr>
          <w:sz w:val="22"/>
          <w:szCs w:val="22"/>
        </w:rPr>
        <w:t xml:space="preserve">(GI) </w:t>
      </w:r>
      <w:r>
        <w:rPr>
          <w:sz w:val="22"/>
          <w:szCs w:val="22"/>
        </w:rPr>
        <w:t xml:space="preserve">across </w:t>
      </w:r>
      <w:r w:rsidR="001A2EEB">
        <w:rPr>
          <w:sz w:val="22"/>
          <w:szCs w:val="22"/>
        </w:rPr>
        <w:t>the city</w:t>
      </w:r>
      <w:r w:rsidRPr="00D9683F">
        <w:rPr>
          <w:sz w:val="22"/>
          <w:szCs w:val="22"/>
        </w:rPr>
        <w:t xml:space="preserve">. Using a city-wide analysis of existing green spaces the proposed green corridors aim to link Liverpool’s Victorian parks </w:t>
      </w:r>
      <w:r w:rsidR="001A2EEB">
        <w:rPr>
          <w:sz w:val="22"/>
          <w:szCs w:val="22"/>
        </w:rPr>
        <w:t xml:space="preserve">(hubs) </w:t>
      </w:r>
      <w:r w:rsidRPr="00D9683F">
        <w:rPr>
          <w:sz w:val="22"/>
          <w:szCs w:val="22"/>
        </w:rPr>
        <w:t xml:space="preserve">with linear green spaces </w:t>
      </w:r>
      <w:r w:rsidR="001A2EEB">
        <w:rPr>
          <w:sz w:val="22"/>
          <w:szCs w:val="22"/>
        </w:rPr>
        <w:t xml:space="preserve">(links) </w:t>
      </w:r>
      <w:r w:rsidRPr="00D9683F">
        <w:rPr>
          <w:sz w:val="22"/>
          <w:szCs w:val="22"/>
        </w:rPr>
        <w:t xml:space="preserve">to form a city-scale </w:t>
      </w:r>
      <w:r w:rsidRPr="00714FDD">
        <w:rPr>
          <w:i/>
          <w:sz w:val="22"/>
          <w:szCs w:val="22"/>
        </w:rPr>
        <w:t>green network</w:t>
      </w:r>
      <w:r w:rsidRPr="00D9683F">
        <w:rPr>
          <w:sz w:val="22"/>
          <w:szCs w:val="22"/>
        </w:rPr>
        <w:t xml:space="preserve">. However, despite local support for the protection of green and open spaces in the city, as observed in the Liverpool City Council Green &amp; Open Space Review </w:t>
      </w:r>
      <w:r>
        <w:rPr>
          <w:sz w:val="22"/>
          <w:szCs w:val="22"/>
        </w:rPr>
        <w:t>(LG&amp;OSR)</w:t>
      </w:r>
      <w:r w:rsidRPr="00D9683F">
        <w:rPr>
          <w:sz w:val="22"/>
          <w:szCs w:val="22"/>
        </w:rPr>
        <w:t xml:space="preserve">, there is a reticence in </w:t>
      </w:r>
      <w:r>
        <w:rPr>
          <w:sz w:val="22"/>
          <w:szCs w:val="22"/>
        </w:rPr>
        <w:t xml:space="preserve">some </w:t>
      </w:r>
      <w:r w:rsidRPr="00D9683F">
        <w:rPr>
          <w:sz w:val="22"/>
          <w:szCs w:val="22"/>
        </w:rPr>
        <w:t xml:space="preserve">political circles to support such a programme of investment. By assessing </w:t>
      </w:r>
      <w:r>
        <w:rPr>
          <w:sz w:val="22"/>
          <w:szCs w:val="22"/>
        </w:rPr>
        <w:t xml:space="preserve">existing </w:t>
      </w:r>
      <w:r w:rsidR="00607424">
        <w:rPr>
          <w:sz w:val="22"/>
          <w:szCs w:val="22"/>
        </w:rPr>
        <w:t xml:space="preserve">barriers to </w:t>
      </w:r>
      <w:r>
        <w:rPr>
          <w:sz w:val="22"/>
          <w:szCs w:val="22"/>
        </w:rPr>
        <w:t xml:space="preserve">funding </w:t>
      </w:r>
      <w:r w:rsidRPr="00D9683F">
        <w:rPr>
          <w:sz w:val="22"/>
          <w:szCs w:val="22"/>
        </w:rPr>
        <w:t xml:space="preserve">investment in Liverpool’s green corridors it is possible to identify broader institutional </w:t>
      </w:r>
      <w:r w:rsidRPr="00D9683F">
        <w:rPr>
          <w:sz w:val="22"/>
          <w:szCs w:val="22"/>
        </w:rPr>
        <w:lastRenderedPageBreak/>
        <w:t xml:space="preserve">problems with the </w:t>
      </w:r>
      <w:r>
        <w:rPr>
          <w:sz w:val="22"/>
          <w:szCs w:val="22"/>
        </w:rPr>
        <w:t>financing</w:t>
      </w:r>
      <w:r w:rsidRPr="00D9683F">
        <w:rPr>
          <w:sz w:val="22"/>
          <w:szCs w:val="22"/>
        </w:rPr>
        <w:t xml:space="preserve">, management and long-term </w:t>
      </w:r>
      <w:r>
        <w:rPr>
          <w:sz w:val="22"/>
          <w:szCs w:val="22"/>
        </w:rPr>
        <w:t xml:space="preserve">development </w:t>
      </w:r>
      <w:r w:rsidRPr="00D9683F">
        <w:rPr>
          <w:sz w:val="22"/>
          <w:szCs w:val="22"/>
        </w:rPr>
        <w:t xml:space="preserve">of green space planning. </w:t>
      </w:r>
      <w:r w:rsidR="00607424">
        <w:rPr>
          <w:sz w:val="22"/>
          <w:szCs w:val="22"/>
        </w:rPr>
        <w:t>Moreover</w:t>
      </w:r>
      <w:r>
        <w:rPr>
          <w:sz w:val="22"/>
          <w:szCs w:val="22"/>
        </w:rPr>
        <w:t>, w</w:t>
      </w:r>
      <w:r w:rsidRPr="00D9683F">
        <w:rPr>
          <w:sz w:val="22"/>
          <w:szCs w:val="22"/>
        </w:rPr>
        <w:t xml:space="preserve">ithin LCC there appears to be a lack of foresight </w:t>
      </w:r>
      <w:r w:rsidR="00607424">
        <w:rPr>
          <w:sz w:val="22"/>
          <w:szCs w:val="22"/>
        </w:rPr>
        <w:t xml:space="preserve">of </w:t>
      </w:r>
      <w:r w:rsidRPr="00D9683F">
        <w:rPr>
          <w:sz w:val="22"/>
          <w:szCs w:val="22"/>
        </w:rPr>
        <w:t xml:space="preserve">the </w:t>
      </w:r>
      <w:r w:rsidR="00607424">
        <w:rPr>
          <w:sz w:val="22"/>
          <w:szCs w:val="22"/>
        </w:rPr>
        <w:t xml:space="preserve">socio-economic </w:t>
      </w:r>
      <w:r w:rsidRPr="00D9683F">
        <w:rPr>
          <w:sz w:val="22"/>
          <w:szCs w:val="22"/>
        </w:rPr>
        <w:t xml:space="preserve">and ecological value </w:t>
      </w:r>
      <w:r w:rsidR="00607424">
        <w:rPr>
          <w:sz w:val="22"/>
          <w:szCs w:val="22"/>
        </w:rPr>
        <w:t xml:space="preserve">of </w:t>
      </w:r>
      <w:r w:rsidRPr="00D9683F">
        <w:rPr>
          <w:sz w:val="22"/>
          <w:szCs w:val="22"/>
        </w:rPr>
        <w:t xml:space="preserve">the city’s greenspaces, which is limiting discussions of how best to protect </w:t>
      </w:r>
      <w:r>
        <w:rPr>
          <w:sz w:val="22"/>
          <w:szCs w:val="22"/>
        </w:rPr>
        <w:t>its landscape</w:t>
      </w:r>
      <w:r w:rsidRPr="00D9683F">
        <w:rPr>
          <w:sz w:val="22"/>
          <w:szCs w:val="22"/>
        </w:rPr>
        <w:t xml:space="preserve">. Green corridors are </w:t>
      </w:r>
      <w:r w:rsidR="00607424">
        <w:rPr>
          <w:sz w:val="22"/>
          <w:szCs w:val="22"/>
        </w:rPr>
        <w:t xml:space="preserve">also </w:t>
      </w:r>
      <w:r w:rsidRPr="00D9683F">
        <w:rPr>
          <w:sz w:val="22"/>
          <w:szCs w:val="22"/>
        </w:rPr>
        <w:t xml:space="preserve">being proposed as a </w:t>
      </w:r>
      <w:r>
        <w:rPr>
          <w:sz w:val="22"/>
          <w:szCs w:val="22"/>
        </w:rPr>
        <w:t xml:space="preserve">form of investment </w:t>
      </w:r>
      <w:r w:rsidRPr="00D9683F">
        <w:rPr>
          <w:sz w:val="22"/>
          <w:szCs w:val="22"/>
        </w:rPr>
        <w:t xml:space="preserve">that </w:t>
      </w:r>
      <w:r>
        <w:rPr>
          <w:sz w:val="22"/>
          <w:szCs w:val="22"/>
        </w:rPr>
        <w:t xml:space="preserve">facilitates </w:t>
      </w:r>
      <w:r w:rsidRPr="00D9683F">
        <w:rPr>
          <w:sz w:val="22"/>
          <w:szCs w:val="22"/>
        </w:rPr>
        <w:t>greater spatial equity in terms of the provision of gr</w:t>
      </w:r>
      <w:r>
        <w:rPr>
          <w:sz w:val="22"/>
          <w:szCs w:val="22"/>
        </w:rPr>
        <w:t>een spaces</w:t>
      </w:r>
      <w:r w:rsidRPr="00D9683F">
        <w:rPr>
          <w:sz w:val="22"/>
          <w:szCs w:val="22"/>
        </w:rPr>
        <w:t xml:space="preserve"> to communities in </w:t>
      </w:r>
      <w:r>
        <w:rPr>
          <w:sz w:val="22"/>
          <w:szCs w:val="22"/>
        </w:rPr>
        <w:t>Liverpool</w:t>
      </w:r>
      <w:r w:rsidRPr="00D9683F">
        <w:rPr>
          <w:sz w:val="22"/>
          <w:szCs w:val="22"/>
        </w:rPr>
        <w:t>. How LCC</w:t>
      </w:r>
      <w:r>
        <w:rPr>
          <w:sz w:val="22"/>
          <w:szCs w:val="22"/>
        </w:rPr>
        <w:t>,</w:t>
      </w:r>
      <w:r w:rsidRPr="00D9683F">
        <w:rPr>
          <w:sz w:val="22"/>
          <w:szCs w:val="22"/>
        </w:rPr>
        <w:t xml:space="preserve"> and the city as a whole</w:t>
      </w:r>
      <w:r>
        <w:rPr>
          <w:sz w:val="22"/>
          <w:szCs w:val="22"/>
        </w:rPr>
        <w:t>,</w:t>
      </w:r>
      <w:r w:rsidRPr="00D9683F">
        <w:rPr>
          <w:sz w:val="22"/>
          <w:szCs w:val="22"/>
        </w:rPr>
        <w:t xml:space="preserve"> approach </w:t>
      </w:r>
      <w:r w:rsidR="00607424">
        <w:rPr>
          <w:sz w:val="22"/>
          <w:szCs w:val="22"/>
        </w:rPr>
        <w:t>the use of green corridors as a part</w:t>
      </w:r>
      <w:r w:rsidRPr="00D9683F">
        <w:rPr>
          <w:sz w:val="22"/>
          <w:szCs w:val="22"/>
        </w:rPr>
        <w:t xml:space="preserve"> of its </w:t>
      </w:r>
      <w:r w:rsidR="00607424">
        <w:rPr>
          <w:sz w:val="22"/>
          <w:szCs w:val="22"/>
        </w:rPr>
        <w:t xml:space="preserve">GI </w:t>
      </w:r>
      <w:r w:rsidRPr="00D9683F">
        <w:rPr>
          <w:sz w:val="22"/>
          <w:szCs w:val="22"/>
        </w:rPr>
        <w:t xml:space="preserve">network remains open to interpretation. </w:t>
      </w:r>
      <w:r>
        <w:rPr>
          <w:sz w:val="22"/>
          <w:szCs w:val="22"/>
        </w:rPr>
        <w:t xml:space="preserve">The </w:t>
      </w:r>
      <w:r w:rsidRPr="00D9683F">
        <w:rPr>
          <w:sz w:val="22"/>
          <w:szCs w:val="22"/>
        </w:rPr>
        <w:t>process of identifying possible locations for new green infrastructure corridors is</w:t>
      </w:r>
      <w:r>
        <w:rPr>
          <w:sz w:val="22"/>
          <w:szCs w:val="22"/>
        </w:rPr>
        <w:t xml:space="preserve"> </w:t>
      </w:r>
      <w:r w:rsidRPr="00D9683F">
        <w:rPr>
          <w:sz w:val="22"/>
          <w:szCs w:val="22"/>
        </w:rPr>
        <w:t xml:space="preserve">the first stage in </w:t>
      </w:r>
      <w:r w:rsidR="00607424">
        <w:rPr>
          <w:sz w:val="22"/>
          <w:szCs w:val="22"/>
        </w:rPr>
        <w:t>generating political/</w:t>
      </w:r>
      <w:r w:rsidRPr="00D9683F">
        <w:rPr>
          <w:sz w:val="22"/>
          <w:szCs w:val="22"/>
        </w:rPr>
        <w:t xml:space="preserve">public support for investment. </w:t>
      </w:r>
    </w:p>
    <w:p w:rsidR="00030442" w:rsidRPr="00030442" w:rsidRDefault="00030442" w:rsidP="00030442">
      <w:pPr>
        <w:rPr>
          <w:rFonts w:ascii="Times New Roman" w:hAnsi="Times New Roman" w:cs="Times New Roman"/>
          <w:bCs/>
          <w:color w:val="000000"/>
          <w:sz w:val="22"/>
          <w:szCs w:val="22"/>
          <w:lang w:val="en-US"/>
        </w:rPr>
      </w:pPr>
    </w:p>
    <w:p w:rsidR="00030442" w:rsidRPr="00030442" w:rsidRDefault="00030442" w:rsidP="00030442">
      <w:pPr>
        <w:rPr>
          <w:rFonts w:ascii="Times New Roman" w:hAnsi="Times New Roman" w:cs="Times New Roman"/>
          <w:b/>
          <w:bCs/>
          <w:color w:val="000000"/>
          <w:sz w:val="22"/>
          <w:szCs w:val="22"/>
          <w:lang w:val="en-US"/>
        </w:rPr>
      </w:pPr>
      <w:r w:rsidRPr="00030442">
        <w:rPr>
          <w:rFonts w:ascii="Times New Roman" w:hAnsi="Times New Roman" w:cs="Times New Roman"/>
          <w:b/>
          <w:bCs/>
          <w:color w:val="000000"/>
          <w:sz w:val="22"/>
          <w:szCs w:val="22"/>
          <w:lang w:val="en-US"/>
        </w:rPr>
        <w:t>2. Background/Literature Review</w:t>
      </w:r>
    </w:p>
    <w:p w:rsidR="00030442" w:rsidRDefault="00030442" w:rsidP="00030442">
      <w:pPr>
        <w:rPr>
          <w:rFonts w:ascii="Times New Roman" w:hAnsi="Times New Roman" w:cs="Times New Roman"/>
          <w:bCs/>
          <w:color w:val="000000"/>
          <w:sz w:val="22"/>
          <w:szCs w:val="22"/>
          <w:lang w:val="en-US"/>
        </w:rPr>
      </w:pPr>
      <w:r w:rsidRPr="00030442">
        <w:rPr>
          <w:rFonts w:ascii="Times New Roman" w:hAnsi="Times New Roman" w:cs="Times New Roman"/>
          <w:bCs/>
          <w:color w:val="000000"/>
          <w:sz w:val="22"/>
          <w:szCs w:val="22"/>
          <w:lang w:val="en-US"/>
        </w:rPr>
        <w:t xml:space="preserve">The post-2010 austerity measures instigated by the UK government have led to significant cuts in LPA funding. Within Liverpool the local government has witnessed a 58% cut in central government funding since 2010/2011 </w:t>
      </w:r>
      <w:r w:rsidRPr="00030442">
        <w:rPr>
          <w:rFonts w:ascii="Times New Roman" w:hAnsi="Times New Roman" w:cs="Times New Roman"/>
          <w:bCs/>
          <w:color w:val="000000"/>
          <w:sz w:val="22"/>
          <w:szCs w:val="22"/>
          <w:lang w:val="en-US"/>
        </w:rPr>
        <w:fldChar w:fldCharType="begin" w:fldLock="1"/>
      </w:r>
      <w:r w:rsidRPr="00030442">
        <w:rPr>
          <w:rFonts w:ascii="Times New Roman" w:hAnsi="Times New Roman" w:cs="Times New Roman"/>
          <w:bCs/>
          <w:color w:val="000000"/>
          <w:sz w:val="22"/>
          <w:szCs w:val="22"/>
          <w:lang w:val="en-US"/>
        </w:rPr>
        <w:instrText>ADDIN CSL_CITATION { "citationItems" : [ { "id" : "ITEM-1", "itemData" : { "author" : [ { "dropping-particle" : "", "family" : "Liverpool City Council", "given" : "", "non-dropping-particle" : "", "parse-names" : false, "suffix" : "" } ], "id" : "ITEM-1", "issued" : { "date-parts" : [ [ "2015" ] ] }, "publisher-place" : "Liverpool, UK", "title" : "Strategic Green and Open Space Review Board Interim Report", "type" : "report" }, "uris" : [ "http://www.mendeley.com/documents/?uuid=2a53e60b-5e7a-45a6-818b-f4020cd83e37" ] } ], "mendeley" : { "formattedCitation" : "(Liverpool City Council, 2015)", "plainTextFormattedCitation" : "(Liverpool City Council, 2015)", "previouslyFormattedCitation" : "(Liverpool City Council, 2015)" }, "properties" : { "noteIndex" : 0 }, "schema" : "https://github.com/citation-style-language/schema/raw/master/csl-citation.json" }</w:instrText>
      </w:r>
      <w:r w:rsidRPr="00030442">
        <w:rPr>
          <w:rFonts w:ascii="Times New Roman" w:hAnsi="Times New Roman" w:cs="Times New Roman"/>
          <w:bCs/>
          <w:color w:val="000000"/>
          <w:sz w:val="22"/>
          <w:szCs w:val="22"/>
          <w:lang w:val="en-US"/>
        </w:rPr>
        <w:fldChar w:fldCharType="separate"/>
      </w:r>
      <w:r w:rsidRPr="00030442">
        <w:rPr>
          <w:rFonts w:ascii="Times New Roman" w:hAnsi="Times New Roman" w:cs="Times New Roman"/>
          <w:bCs/>
          <w:noProof/>
          <w:color w:val="000000"/>
          <w:sz w:val="22"/>
          <w:szCs w:val="22"/>
          <w:lang w:val="en-US"/>
        </w:rPr>
        <w:t>(Liverpool City Council, 2015)</w:t>
      </w:r>
      <w:r w:rsidRPr="00030442">
        <w:rPr>
          <w:rFonts w:ascii="Times New Roman" w:hAnsi="Times New Roman" w:cs="Times New Roman"/>
          <w:bCs/>
          <w:color w:val="000000"/>
          <w:sz w:val="22"/>
          <w:szCs w:val="22"/>
          <w:lang w:val="en-US"/>
        </w:rPr>
        <w:fldChar w:fldCharType="end"/>
      </w:r>
      <w:r w:rsidRPr="00030442">
        <w:rPr>
          <w:rFonts w:ascii="Times New Roman" w:hAnsi="Times New Roman" w:cs="Times New Roman"/>
          <w:bCs/>
          <w:color w:val="000000"/>
          <w:sz w:val="22"/>
          <w:szCs w:val="22"/>
          <w:lang w:val="en-US"/>
        </w:rPr>
        <w:t>. Whilst other cities in the UK have seen similar cuts</w:t>
      </w:r>
      <w:r w:rsidR="00607424">
        <w:rPr>
          <w:rFonts w:ascii="Times New Roman" w:hAnsi="Times New Roman" w:cs="Times New Roman"/>
          <w:bCs/>
          <w:color w:val="000000"/>
          <w:sz w:val="22"/>
          <w:szCs w:val="22"/>
          <w:lang w:val="en-US"/>
        </w:rPr>
        <w:t xml:space="preserve"> </w:t>
      </w:r>
      <w:r w:rsidRPr="00030442">
        <w:rPr>
          <w:rFonts w:ascii="Times New Roman" w:hAnsi="Times New Roman" w:cs="Times New Roman"/>
          <w:bCs/>
          <w:color w:val="000000"/>
          <w:sz w:val="22"/>
          <w:szCs w:val="22"/>
          <w:lang w:val="en-US"/>
        </w:rPr>
        <w:t>Liverpool appears to have felt the most significant cutbacks. These cuts have forced local government leaders to take stock of the services they fund</w:t>
      </w:r>
      <w:r w:rsidR="00607424">
        <w:rPr>
          <w:rFonts w:ascii="Times New Roman" w:hAnsi="Times New Roman" w:cs="Times New Roman"/>
          <w:bCs/>
          <w:color w:val="000000"/>
          <w:sz w:val="22"/>
          <w:szCs w:val="22"/>
          <w:lang w:val="en-US"/>
        </w:rPr>
        <w:t>,</w:t>
      </w:r>
      <w:r w:rsidRPr="00030442">
        <w:rPr>
          <w:rFonts w:ascii="Times New Roman" w:hAnsi="Times New Roman" w:cs="Times New Roman"/>
          <w:bCs/>
          <w:color w:val="000000"/>
          <w:sz w:val="22"/>
          <w:szCs w:val="22"/>
          <w:lang w:val="en-US"/>
        </w:rPr>
        <w:t xml:space="preserve"> asking which services are a legal requirement (statutory services in the UK), and which can be cut back (discretionary services). Green space provision </w:t>
      </w:r>
      <w:r w:rsidR="00607424">
        <w:rPr>
          <w:rFonts w:ascii="Times New Roman" w:hAnsi="Times New Roman" w:cs="Times New Roman"/>
          <w:bCs/>
          <w:i/>
          <w:color w:val="000000"/>
          <w:sz w:val="22"/>
          <w:szCs w:val="22"/>
          <w:lang w:val="en-US"/>
        </w:rPr>
        <w:t xml:space="preserve">is </w:t>
      </w:r>
      <w:r w:rsidR="00607424" w:rsidRPr="00607424">
        <w:rPr>
          <w:rFonts w:ascii="Times New Roman" w:hAnsi="Times New Roman" w:cs="Times New Roman"/>
          <w:bCs/>
          <w:color w:val="000000"/>
          <w:sz w:val="22"/>
          <w:szCs w:val="22"/>
          <w:lang w:val="en-US"/>
        </w:rPr>
        <w:t>a</w:t>
      </w:r>
      <w:r w:rsidR="00607424">
        <w:rPr>
          <w:rFonts w:ascii="Times New Roman" w:hAnsi="Times New Roman" w:cs="Times New Roman"/>
          <w:bCs/>
          <w:i/>
          <w:color w:val="000000"/>
          <w:sz w:val="22"/>
          <w:szCs w:val="22"/>
          <w:lang w:val="en-US"/>
        </w:rPr>
        <w:t xml:space="preserve"> </w:t>
      </w:r>
      <w:r w:rsidR="00607424">
        <w:rPr>
          <w:rFonts w:ascii="Times New Roman" w:hAnsi="Times New Roman" w:cs="Times New Roman"/>
          <w:bCs/>
          <w:color w:val="000000"/>
          <w:sz w:val="22"/>
          <w:szCs w:val="22"/>
          <w:lang w:val="en-US"/>
        </w:rPr>
        <w:t>discretionary service</w:t>
      </w:r>
      <w:r w:rsidRPr="00030442">
        <w:rPr>
          <w:rFonts w:ascii="Times New Roman" w:hAnsi="Times New Roman" w:cs="Times New Roman"/>
          <w:bCs/>
          <w:color w:val="000000"/>
          <w:sz w:val="22"/>
          <w:szCs w:val="22"/>
          <w:lang w:val="en-US"/>
        </w:rPr>
        <w:t xml:space="preserve"> in the UK, meaning that LPAs</w:t>
      </w:r>
      <w:r w:rsidR="00607424">
        <w:rPr>
          <w:rFonts w:ascii="Times New Roman" w:hAnsi="Times New Roman" w:cs="Times New Roman"/>
          <w:bCs/>
          <w:color w:val="000000"/>
          <w:sz w:val="22"/>
          <w:szCs w:val="22"/>
          <w:lang w:val="en-US"/>
        </w:rPr>
        <w:t xml:space="preserve"> </w:t>
      </w:r>
      <w:r w:rsidRPr="00030442">
        <w:rPr>
          <w:rFonts w:ascii="Times New Roman" w:hAnsi="Times New Roman" w:cs="Times New Roman"/>
          <w:bCs/>
          <w:color w:val="000000"/>
          <w:sz w:val="22"/>
          <w:szCs w:val="22"/>
          <w:lang w:val="en-US"/>
        </w:rPr>
        <w:t xml:space="preserve">have no legal requirement to </w:t>
      </w:r>
      <w:r w:rsidR="00607424">
        <w:rPr>
          <w:rFonts w:ascii="Times New Roman" w:hAnsi="Times New Roman" w:cs="Times New Roman"/>
          <w:bCs/>
          <w:color w:val="000000"/>
          <w:sz w:val="22"/>
          <w:szCs w:val="22"/>
          <w:lang w:val="en-US"/>
        </w:rPr>
        <w:t>fund/manage them</w:t>
      </w:r>
      <w:r w:rsidRPr="00030442">
        <w:rPr>
          <w:rFonts w:ascii="Times New Roman" w:hAnsi="Times New Roman" w:cs="Times New Roman"/>
          <w:bCs/>
          <w:color w:val="000000"/>
          <w:sz w:val="22"/>
          <w:szCs w:val="22"/>
          <w:lang w:val="en-US"/>
        </w:rPr>
        <w:t>. As a consequence across the UK green infrastructure is often perceived as being an easier service to withdraw compared to other social/community services such as adult/child social care. LCC</w:t>
      </w:r>
      <w:r w:rsidR="00607424">
        <w:rPr>
          <w:rFonts w:ascii="Times New Roman" w:hAnsi="Times New Roman" w:cs="Times New Roman"/>
          <w:bCs/>
          <w:color w:val="000000"/>
          <w:sz w:val="22"/>
          <w:szCs w:val="22"/>
          <w:lang w:val="en-US"/>
        </w:rPr>
        <w:t xml:space="preserve"> </w:t>
      </w:r>
      <w:r w:rsidRPr="00030442">
        <w:rPr>
          <w:rFonts w:ascii="Times New Roman" w:hAnsi="Times New Roman" w:cs="Times New Roman"/>
          <w:bCs/>
          <w:color w:val="000000"/>
          <w:sz w:val="22"/>
          <w:szCs w:val="22"/>
          <w:lang w:val="en-US"/>
        </w:rPr>
        <w:t>are thus being asked to rethink their budgets to move away from a reliance on central government funding to more adaptive form</w:t>
      </w:r>
      <w:r w:rsidR="00607424">
        <w:rPr>
          <w:rFonts w:ascii="Times New Roman" w:hAnsi="Times New Roman" w:cs="Times New Roman"/>
          <w:bCs/>
          <w:color w:val="000000"/>
          <w:sz w:val="22"/>
          <w:szCs w:val="22"/>
          <w:lang w:val="en-US"/>
        </w:rPr>
        <w:t>s</w:t>
      </w:r>
      <w:r w:rsidRPr="00030442">
        <w:rPr>
          <w:rFonts w:ascii="Times New Roman" w:hAnsi="Times New Roman" w:cs="Times New Roman"/>
          <w:bCs/>
          <w:color w:val="000000"/>
          <w:sz w:val="22"/>
          <w:szCs w:val="22"/>
          <w:lang w:val="en-US"/>
        </w:rPr>
        <w:t xml:space="preserve"> of financing. However, </w:t>
      </w:r>
      <w:r w:rsidR="00607424">
        <w:rPr>
          <w:rFonts w:ascii="Times New Roman" w:hAnsi="Times New Roman" w:cs="Times New Roman"/>
          <w:bCs/>
          <w:color w:val="000000"/>
          <w:sz w:val="22"/>
          <w:szCs w:val="22"/>
          <w:lang w:val="en-US"/>
        </w:rPr>
        <w:t xml:space="preserve">this situation </w:t>
      </w:r>
      <w:r w:rsidRPr="00030442">
        <w:rPr>
          <w:rFonts w:ascii="Times New Roman" w:hAnsi="Times New Roman" w:cs="Times New Roman"/>
          <w:bCs/>
          <w:color w:val="000000"/>
          <w:sz w:val="22"/>
          <w:szCs w:val="22"/>
          <w:lang w:val="en-US"/>
        </w:rPr>
        <w:t xml:space="preserve">provides opportunities to think innovatively about how public, private and community sources can be used to generate funding for capital expenditure and revenue spending </w:t>
      </w:r>
      <w:r w:rsidRPr="00030442">
        <w:rPr>
          <w:rFonts w:ascii="Times New Roman" w:hAnsi="Times New Roman" w:cs="Times New Roman"/>
          <w:bCs/>
          <w:color w:val="000000"/>
          <w:sz w:val="22"/>
          <w:szCs w:val="22"/>
          <w:lang w:val="en-US"/>
        </w:rPr>
        <w:fldChar w:fldCharType="begin" w:fldLock="1"/>
      </w:r>
      <w:r w:rsidRPr="00030442">
        <w:rPr>
          <w:rFonts w:ascii="Times New Roman" w:hAnsi="Times New Roman" w:cs="Times New Roman"/>
          <w:bCs/>
          <w:color w:val="000000"/>
          <w:sz w:val="22"/>
          <w:szCs w:val="22"/>
          <w:lang w:val="en-US"/>
        </w:rPr>
        <w:instrText>ADDIN CSL_CITATION { "citationItems" : [ { "id" : "ITEM-1", "itemData" : { "author" : [ { "dropping-particle" : "", "family" : "Mell", "given" : "I.C.", "non-dropping-particle" : "", "parse-names" : false, "suffix" : "" } ], "container-title" : "Biotope City Journal", "id" : "ITEM-1", "issued" : { "date-parts" : [ [ "2016" ] ] }, "title" : "Financing Green Infrastructure in times of austerity: The case of Liverpool, UK", "type" : "article-journal" }, "uris" : [ "http://www.mendeley.com/documents/?uuid=47f7b659-73b9-4052-98a9-7003b25f9c5f" ] } ], "mendeley" : { "formattedCitation" : "(Mell, 2016a)", "plainTextFormattedCitation" : "(Mell, 2016a)", "previouslyFormattedCitation" : "(Mell, 2016a)" }, "properties" : { "noteIndex" : 0 }, "schema" : "https://github.com/citation-style-language/schema/raw/master/csl-citation.json" }</w:instrText>
      </w:r>
      <w:r w:rsidRPr="00030442">
        <w:rPr>
          <w:rFonts w:ascii="Times New Roman" w:hAnsi="Times New Roman" w:cs="Times New Roman"/>
          <w:bCs/>
          <w:color w:val="000000"/>
          <w:sz w:val="22"/>
          <w:szCs w:val="22"/>
          <w:lang w:val="en-US"/>
        </w:rPr>
        <w:fldChar w:fldCharType="separate"/>
      </w:r>
      <w:r w:rsidR="00A7178B">
        <w:rPr>
          <w:rFonts w:ascii="Times New Roman" w:hAnsi="Times New Roman" w:cs="Times New Roman"/>
          <w:bCs/>
          <w:noProof/>
          <w:color w:val="000000"/>
          <w:sz w:val="22"/>
          <w:szCs w:val="22"/>
          <w:lang w:val="en-US"/>
        </w:rPr>
        <w:t>(Mell, 2016</w:t>
      </w:r>
      <w:r w:rsidRPr="00030442">
        <w:rPr>
          <w:rFonts w:ascii="Times New Roman" w:hAnsi="Times New Roman" w:cs="Times New Roman"/>
          <w:bCs/>
          <w:noProof/>
          <w:color w:val="000000"/>
          <w:sz w:val="22"/>
          <w:szCs w:val="22"/>
          <w:lang w:val="en-US"/>
        </w:rPr>
        <w:t>)</w:t>
      </w:r>
      <w:r w:rsidRPr="00030442">
        <w:rPr>
          <w:rFonts w:ascii="Times New Roman" w:hAnsi="Times New Roman" w:cs="Times New Roman"/>
          <w:bCs/>
          <w:color w:val="000000"/>
          <w:sz w:val="22"/>
          <w:szCs w:val="22"/>
          <w:lang w:val="en-US"/>
        </w:rPr>
        <w:fldChar w:fldCharType="end"/>
      </w:r>
      <w:r w:rsidRPr="00030442">
        <w:rPr>
          <w:rFonts w:ascii="Times New Roman" w:hAnsi="Times New Roman" w:cs="Times New Roman"/>
          <w:bCs/>
          <w:color w:val="000000"/>
          <w:sz w:val="22"/>
          <w:szCs w:val="22"/>
          <w:lang w:val="en-US"/>
        </w:rPr>
        <w:t xml:space="preserve">. </w:t>
      </w:r>
    </w:p>
    <w:p w:rsidR="00607424" w:rsidRPr="00030442" w:rsidRDefault="00607424" w:rsidP="00030442">
      <w:pPr>
        <w:rPr>
          <w:rFonts w:ascii="Times New Roman" w:hAnsi="Times New Roman" w:cs="Times New Roman"/>
          <w:bCs/>
          <w:color w:val="000000"/>
          <w:sz w:val="22"/>
          <w:szCs w:val="22"/>
          <w:lang w:val="en-US"/>
        </w:rPr>
      </w:pPr>
    </w:p>
    <w:p w:rsidR="00030442" w:rsidRPr="00030442" w:rsidRDefault="00030442" w:rsidP="00030442">
      <w:pPr>
        <w:rPr>
          <w:rFonts w:ascii="Times New Roman" w:hAnsi="Times New Roman" w:cs="Times New Roman"/>
          <w:b/>
          <w:bCs/>
          <w:color w:val="000000"/>
          <w:sz w:val="22"/>
          <w:szCs w:val="22"/>
          <w:lang w:val="en-US"/>
        </w:rPr>
      </w:pPr>
      <w:r w:rsidRPr="00030442">
        <w:rPr>
          <w:rFonts w:ascii="Times New Roman" w:hAnsi="Times New Roman" w:cs="Times New Roman"/>
          <w:b/>
          <w:bCs/>
          <w:color w:val="000000"/>
          <w:sz w:val="22"/>
          <w:szCs w:val="22"/>
          <w:lang w:val="en-US"/>
        </w:rPr>
        <w:t>2.1. Alternative forms of funding</w:t>
      </w:r>
    </w:p>
    <w:p w:rsidR="00030442" w:rsidRDefault="00030442" w:rsidP="00030442">
      <w:pPr>
        <w:rPr>
          <w:rFonts w:ascii="Times New Roman" w:hAnsi="Times New Roman" w:cs="Times New Roman"/>
          <w:bCs/>
          <w:color w:val="000000"/>
          <w:sz w:val="22"/>
          <w:szCs w:val="22"/>
          <w:lang w:val="en-US"/>
        </w:rPr>
      </w:pPr>
      <w:r w:rsidRPr="00030442">
        <w:rPr>
          <w:rFonts w:ascii="Times New Roman" w:hAnsi="Times New Roman" w:cs="Times New Roman"/>
          <w:bCs/>
          <w:color w:val="000000"/>
          <w:sz w:val="22"/>
          <w:szCs w:val="22"/>
          <w:lang w:val="en-US"/>
        </w:rPr>
        <w:t xml:space="preserve">As part of the LG&amp;OSR an extensive review of green space funding mechanisms were investigated. </w:t>
      </w:r>
      <w:r w:rsidR="00607424">
        <w:rPr>
          <w:rFonts w:ascii="Times New Roman" w:hAnsi="Times New Roman" w:cs="Times New Roman"/>
          <w:bCs/>
          <w:color w:val="000000"/>
          <w:sz w:val="22"/>
          <w:szCs w:val="22"/>
          <w:lang w:val="en-US"/>
        </w:rPr>
        <w:t xml:space="preserve">These included existing </w:t>
      </w:r>
      <w:r w:rsidR="00607424" w:rsidRPr="00607424">
        <w:rPr>
          <w:rFonts w:ascii="Times New Roman" w:hAnsi="Times New Roman" w:cs="Times New Roman"/>
          <w:bCs/>
          <w:i/>
          <w:color w:val="000000"/>
          <w:sz w:val="22"/>
          <w:szCs w:val="22"/>
          <w:lang w:val="en-US"/>
        </w:rPr>
        <w:t>central/</w:t>
      </w:r>
      <w:r w:rsidRPr="00607424">
        <w:rPr>
          <w:rFonts w:ascii="Times New Roman" w:hAnsi="Times New Roman" w:cs="Times New Roman"/>
          <w:bCs/>
          <w:i/>
          <w:color w:val="000000"/>
          <w:sz w:val="22"/>
          <w:szCs w:val="22"/>
          <w:lang w:val="en-US"/>
        </w:rPr>
        <w:t>local government</w:t>
      </w:r>
      <w:r w:rsidRPr="00030442">
        <w:rPr>
          <w:rFonts w:ascii="Times New Roman" w:hAnsi="Times New Roman" w:cs="Times New Roman"/>
          <w:bCs/>
          <w:color w:val="000000"/>
          <w:sz w:val="22"/>
          <w:szCs w:val="22"/>
          <w:lang w:val="en-US"/>
        </w:rPr>
        <w:t xml:space="preserve"> options, i.e. Section 106 agreements, </w:t>
      </w:r>
      <w:r w:rsidRPr="00607424">
        <w:rPr>
          <w:rFonts w:ascii="Times New Roman" w:hAnsi="Times New Roman" w:cs="Times New Roman"/>
          <w:bCs/>
          <w:i/>
          <w:color w:val="000000"/>
          <w:sz w:val="22"/>
          <w:szCs w:val="22"/>
          <w:lang w:val="en-US"/>
        </w:rPr>
        <w:t>community led opportunities</w:t>
      </w:r>
      <w:r w:rsidRPr="00030442">
        <w:rPr>
          <w:rFonts w:ascii="Times New Roman" w:hAnsi="Times New Roman" w:cs="Times New Roman"/>
          <w:bCs/>
          <w:color w:val="000000"/>
          <w:sz w:val="22"/>
          <w:szCs w:val="22"/>
          <w:lang w:val="en-US"/>
        </w:rPr>
        <w:t xml:space="preserve">, i.e. community asset transfers, as well as, </w:t>
      </w:r>
      <w:r w:rsidRPr="00607424">
        <w:rPr>
          <w:rFonts w:ascii="Times New Roman" w:hAnsi="Times New Roman" w:cs="Times New Roman"/>
          <w:bCs/>
          <w:i/>
          <w:color w:val="000000"/>
          <w:sz w:val="22"/>
          <w:szCs w:val="22"/>
          <w:lang w:val="en-US"/>
        </w:rPr>
        <w:t>private/developer</w:t>
      </w:r>
      <w:r w:rsidRPr="00030442">
        <w:rPr>
          <w:rFonts w:ascii="Times New Roman" w:hAnsi="Times New Roman" w:cs="Times New Roman"/>
          <w:bCs/>
          <w:color w:val="000000"/>
          <w:sz w:val="22"/>
          <w:szCs w:val="22"/>
          <w:lang w:val="en-US"/>
        </w:rPr>
        <w:t xml:space="preserve"> led proposals</w:t>
      </w:r>
      <w:r w:rsidR="00607424">
        <w:rPr>
          <w:rFonts w:ascii="Times New Roman" w:hAnsi="Times New Roman" w:cs="Times New Roman"/>
          <w:bCs/>
          <w:color w:val="000000"/>
          <w:sz w:val="22"/>
          <w:szCs w:val="22"/>
          <w:lang w:val="en-US"/>
        </w:rPr>
        <w:t>, i.e.</w:t>
      </w:r>
      <w:r w:rsidRPr="00030442">
        <w:rPr>
          <w:rFonts w:ascii="Times New Roman" w:hAnsi="Times New Roman" w:cs="Times New Roman"/>
          <w:bCs/>
          <w:color w:val="000000"/>
          <w:sz w:val="22"/>
          <w:szCs w:val="22"/>
          <w:lang w:val="en-US"/>
        </w:rPr>
        <w:t xml:space="preserve"> corporate sponsorship </w:t>
      </w:r>
      <w:r w:rsidRPr="00030442">
        <w:rPr>
          <w:rFonts w:ascii="Times New Roman" w:hAnsi="Times New Roman" w:cs="Times New Roman"/>
          <w:bCs/>
          <w:color w:val="000000"/>
          <w:sz w:val="22"/>
          <w:szCs w:val="22"/>
          <w:lang w:val="en-US"/>
        </w:rPr>
        <w:fldChar w:fldCharType="begin" w:fldLock="1"/>
      </w:r>
      <w:r w:rsidRPr="00030442">
        <w:rPr>
          <w:rFonts w:ascii="Times New Roman" w:hAnsi="Times New Roman" w:cs="Times New Roman"/>
          <w:bCs/>
          <w:color w:val="000000"/>
          <w:sz w:val="22"/>
          <w:szCs w:val="22"/>
          <w:lang w:val="en-US"/>
        </w:rPr>
        <w:instrText>ADDIN CSL_CITATION { "citationItems" : [ { "id" : "ITEM-1", "itemData" : { "author" : [ { "dropping-particle" : "", "family" : "Liverpool City Council", "given" : "", "non-dropping-particle" : "", "parse-names" : false, "suffix" : "" } ], "id" : "ITEM-1", "issued" : { "date-parts" : [ [ "2015" ] ] }, "publisher-place" : "Liverpool, UK", "title" : "Strategic Green and Open Space Review Board Interim Report", "type" : "report" }, "uris" : [ "http://www.mendeley.com/documents/?uuid=2a53e60b-5e7a-45a6-818b-f4020cd83e37" ] } ], "mendeley" : { "formattedCitation" : "(Liverpool City Council, 2015)", "plainTextFormattedCitation" : "(Liverpool City Council, 2015)", "previouslyFormattedCitation" : "(Liverpool City Council, 2015)" }, "properties" : { "noteIndex" : 0 }, "schema" : "https://github.com/citation-style-language/schema/raw/master/csl-citation.json" }</w:instrText>
      </w:r>
      <w:r w:rsidRPr="00030442">
        <w:rPr>
          <w:rFonts w:ascii="Times New Roman" w:hAnsi="Times New Roman" w:cs="Times New Roman"/>
          <w:bCs/>
          <w:color w:val="000000"/>
          <w:sz w:val="22"/>
          <w:szCs w:val="22"/>
          <w:lang w:val="en-US"/>
        </w:rPr>
        <w:fldChar w:fldCharType="separate"/>
      </w:r>
      <w:r w:rsidRPr="00030442">
        <w:rPr>
          <w:rFonts w:ascii="Times New Roman" w:hAnsi="Times New Roman" w:cs="Times New Roman"/>
          <w:bCs/>
          <w:noProof/>
          <w:color w:val="000000"/>
          <w:sz w:val="22"/>
          <w:szCs w:val="22"/>
          <w:lang w:val="en-US"/>
        </w:rPr>
        <w:t>(Liverpool City Council, 2015)</w:t>
      </w:r>
      <w:r w:rsidRPr="00030442">
        <w:rPr>
          <w:rFonts w:ascii="Times New Roman" w:hAnsi="Times New Roman" w:cs="Times New Roman"/>
          <w:bCs/>
          <w:color w:val="000000"/>
          <w:sz w:val="22"/>
          <w:szCs w:val="22"/>
          <w:lang w:val="en-US"/>
        </w:rPr>
        <w:fldChar w:fldCharType="end"/>
      </w:r>
      <w:r w:rsidRPr="00030442">
        <w:rPr>
          <w:rFonts w:ascii="Times New Roman" w:hAnsi="Times New Roman" w:cs="Times New Roman"/>
          <w:bCs/>
          <w:color w:val="000000"/>
          <w:sz w:val="22"/>
          <w:szCs w:val="22"/>
          <w:lang w:val="en-US"/>
        </w:rPr>
        <w:t xml:space="preserve">. Each of the options examined how the existing </w:t>
      </w:r>
      <w:r w:rsidR="00607424">
        <w:rPr>
          <w:rFonts w:ascii="Times New Roman" w:hAnsi="Times New Roman" w:cs="Times New Roman"/>
          <w:bCs/>
          <w:color w:val="000000"/>
          <w:sz w:val="22"/>
          <w:szCs w:val="22"/>
          <w:lang w:val="en-US"/>
        </w:rPr>
        <w:t xml:space="preserve">GI </w:t>
      </w:r>
      <w:r w:rsidRPr="00030442">
        <w:rPr>
          <w:rFonts w:ascii="Times New Roman" w:hAnsi="Times New Roman" w:cs="Times New Roman"/>
          <w:bCs/>
          <w:color w:val="000000"/>
          <w:sz w:val="22"/>
          <w:szCs w:val="22"/>
          <w:lang w:val="en-US"/>
        </w:rPr>
        <w:t xml:space="preserve">resource base could </w:t>
      </w:r>
      <w:r w:rsidR="00D40A76">
        <w:rPr>
          <w:rFonts w:ascii="Times New Roman" w:hAnsi="Times New Roman" w:cs="Times New Roman"/>
          <w:bCs/>
          <w:color w:val="000000"/>
          <w:sz w:val="22"/>
          <w:szCs w:val="22"/>
          <w:lang w:val="en-US"/>
        </w:rPr>
        <w:t xml:space="preserve">be </w:t>
      </w:r>
      <w:r w:rsidR="00607424">
        <w:rPr>
          <w:rFonts w:ascii="Times New Roman" w:hAnsi="Times New Roman" w:cs="Times New Roman"/>
          <w:bCs/>
          <w:color w:val="000000"/>
          <w:sz w:val="22"/>
          <w:szCs w:val="22"/>
          <w:lang w:val="en-US"/>
        </w:rPr>
        <w:t>utilized to attract additional funding</w:t>
      </w:r>
      <w:r w:rsidRPr="00030442">
        <w:rPr>
          <w:rFonts w:ascii="Times New Roman" w:hAnsi="Times New Roman" w:cs="Times New Roman"/>
          <w:bCs/>
          <w:color w:val="000000"/>
          <w:sz w:val="22"/>
          <w:szCs w:val="22"/>
          <w:lang w:val="en-US"/>
        </w:rPr>
        <w:t xml:space="preserve">. However, there are complex questions to be asked when attempting to raise funds from each of these options. Moreover, there are restrictions placed on LPAs in terms of their ability to set local taxes or to raise revenue funding from developer contributions </w:t>
      </w:r>
      <w:r w:rsidRPr="00030442">
        <w:rPr>
          <w:rFonts w:ascii="Times New Roman" w:hAnsi="Times New Roman" w:cs="Times New Roman"/>
          <w:bCs/>
          <w:color w:val="000000"/>
          <w:sz w:val="22"/>
          <w:szCs w:val="22"/>
          <w:lang w:val="en-US"/>
        </w:rPr>
        <w:fldChar w:fldCharType="begin" w:fldLock="1"/>
      </w:r>
      <w:r w:rsidRPr="00030442">
        <w:rPr>
          <w:rFonts w:ascii="Times New Roman" w:hAnsi="Times New Roman" w:cs="Times New Roman"/>
          <w:bCs/>
          <w:color w:val="000000"/>
          <w:sz w:val="22"/>
          <w:szCs w:val="22"/>
          <w:lang w:val="en-US"/>
        </w:rPr>
        <w:instrText>ADDIN CSL_CITATION { "citationItems" : [ { "id" : "ITEM-1", "itemData" : { "author" : [ { "dropping-particle" : "", "family" : "Cullingworth", "given" : "Barry", "non-dropping-particle" : "", "parse-names" : false, "suffix" : "" }, { "dropping-particle" : "", "family" : "Nadin", "given" : "Vincent", "non-dropping-particle" : "", "parse-names" : false, "suffix" : "" }, { "dropping-particle" : "", "family" : "Hart", "given" : "Trevor", "non-dropping-particle" : "", "parse-names" : false, "suffix" : "" }, { "dropping-particle" : "", "family" : "Davoudi", "given" : "S", "non-dropping-particle" : "", "parse-names" : false, "suffix" : "" }, { "dropping-particle" : "", "family" : "Pendlebury", "given" : "J", "non-dropping-particle" : "", "parse-names" : false, "suffix" : "" }, { "dropping-particle" : "", "family" : "Vigar", "given" : "G.", "non-dropping-particle" : "", "parse-names" : false, "suffix" : "" }, { "dropping-particle" : "", "family" : "Webb", "given" : "D", "non-dropping-particle" : "", "parse-names" : false, "suffix" : "" }, { "dropping-particle" : "", "family" : "Townshend", "given" : "T.", "non-dropping-particle" : "", "parse-names" : false, "suffix" : "" } ], "edition" : "15th", "id" : "ITEM-1", "issued" : { "date-parts" : [ [ "2015" ] ] }, "publisher" : "Routledge", "publisher-place" : "Abingdon", "title" : "Town and Country Planning in the UK", "type" : "book" }, "uris" : [ "http://www.mendeley.com/documents/?uuid=b00c1837-c41f-462f-9d6b-3873121d0b9d" ] } ], "mendeley" : { "formattedCitation" : "(Cullingworth et al., 2015)", "plainTextFormattedCitation" : "(Cullingworth et al., 2015)", "previouslyFormattedCitation" : "(Cullingworth et al., 2015)" }, "properties" : { "noteIndex" : 0 }, "schema" : "https://github.com/citation-style-language/schema/raw/master/csl-citation.json" }</w:instrText>
      </w:r>
      <w:r w:rsidRPr="00030442">
        <w:rPr>
          <w:rFonts w:ascii="Times New Roman" w:hAnsi="Times New Roman" w:cs="Times New Roman"/>
          <w:bCs/>
          <w:color w:val="000000"/>
          <w:sz w:val="22"/>
          <w:szCs w:val="22"/>
          <w:lang w:val="en-US"/>
        </w:rPr>
        <w:fldChar w:fldCharType="separate"/>
      </w:r>
      <w:r w:rsidRPr="00030442">
        <w:rPr>
          <w:rFonts w:ascii="Times New Roman" w:hAnsi="Times New Roman" w:cs="Times New Roman"/>
          <w:bCs/>
          <w:noProof/>
          <w:color w:val="000000"/>
          <w:sz w:val="22"/>
          <w:szCs w:val="22"/>
          <w:lang w:val="en-US"/>
        </w:rPr>
        <w:t>(Cullingworth et al., 2015)</w:t>
      </w:r>
      <w:r w:rsidRPr="00030442">
        <w:rPr>
          <w:rFonts w:ascii="Times New Roman" w:hAnsi="Times New Roman" w:cs="Times New Roman"/>
          <w:bCs/>
          <w:color w:val="000000"/>
          <w:sz w:val="22"/>
          <w:szCs w:val="22"/>
          <w:lang w:val="en-US"/>
        </w:rPr>
        <w:fldChar w:fldCharType="end"/>
      </w:r>
      <w:r w:rsidR="00DC761A">
        <w:rPr>
          <w:rFonts w:ascii="Times New Roman" w:hAnsi="Times New Roman" w:cs="Times New Roman"/>
          <w:bCs/>
          <w:color w:val="000000"/>
          <w:sz w:val="22"/>
          <w:szCs w:val="22"/>
          <w:lang w:val="en-US"/>
        </w:rPr>
        <w:t>. Capital/</w:t>
      </w:r>
      <w:r w:rsidRPr="00030442">
        <w:rPr>
          <w:rFonts w:ascii="Times New Roman" w:hAnsi="Times New Roman" w:cs="Times New Roman"/>
          <w:bCs/>
          <w:color w:val="000000"/>
          <w:sz w:val="22"/>
          <w:szCs w:val="22"/>
          <w:lang w:val="en-US"/>
        </w:rPr>
        <w:t xml:space="preserve">revenue opportunities are also constrained by the political will of </w:t>
      </w:r>
      <w:r w:rsidRPr="00030442">
        <w:rPr>
          <w:rFonts w:ascii="Times New Roman" w:hAnsi="Times New Roman" w:cs="Times New Roman"/>
          <w:bCs/>
          <w:color w:val="000000"/>
          <w:sz w:val="22"/>
          <w:szCs w:val="22"/>
          <w:lang w:val="en-US"/>
        </w:rPr>
        <w:lastRenderedPageBreak/>
        <w:t xml:space="preserve">elected officials who may not want to raise costs in fear of losing political power. Similarly, developers have used </w:t>
      </w:r>
      <w:r w:rsidR="00DC761A">
        <w:rPr>
          <w:rFonts w:ascii="Times New Roman" w:hAnsi="Times New Roman" w:cs="Times New Roman"/>
          <w:bCs/>
          <w:color w:val="000000"/>
          <w:sz w:val="22"/>
          <w:szCs w:val="22"/>
          <w:lang w:val="en-US"/>
        </w:rPr>
        <w:t>‘</w:t>
      </w:r>
      <w:r w:rsidRPr="00030442">
        <w:rPr>
          <w:rFonts w:ascii="Times New Roman" w:hAnsi="Times New Roman" w:cs="Times New Roman"/>
          <w:bCs/>
          <w:color w:val="000000"/>
          <w:sz w:val="22"/>
          <w:szCs w:val="22"/>
          <w:lang w:val="en-US"/>
        </w:rPr>
        <w:t>financial viability</w:t>
      </w:r>
      <w:r w:rsidR="00DC761A">
        <w:rPr>
          <w:rFonts w:ascii="Times New Roman" w:hAnsi="Times New Roman" w:cs="Times New Roman"/>
          <w:bCs/>
          <w:color w:val="000000"/>
          <w:sz w:val="22"/>
          <w:szCs w:val="22"/>
          <w:lang w:val="en-US"/>
        </w:rPr>
        <w:t>’</w:t>
      </w:r>
      <w:r w:rsidRPr="00030442">
        <w:rPr>
          <w:rFonts w:ascii="Times New Roman" w:hAnsi="Times New Roman" w:cs="Times New Roman"/>
          <w:bCs/>
          <w:color w:val="000000"/>
          <w:sz w:val="22"/>
          <w:szCs w:val="22"/>
          <w:lang w:val="en-US"/>
        </w:rPr>
        <w:t xml:space="preserve"> as a key argument for limiting contributions to service provision. Alternative funding options were debated </w:t>
      </w:r>
      <w:r w:rsidR="00DC761A">
        <w:rPr>
          <w:rFonts w:ascii="Times New Roman" w:hAnsi="Times New Roman" w:cs="Times New Roman"/>
          <w:bCs/>
          <w:color w:val="000000"/>
          <w:sz w:val="22"/>
          <w:szCs w:val="22"/>
          <w:lang w:val="en-US"/>
        </w:rPr>
        <w:t xml:space="preserve">in the LG&amp;OSRB </w:t>
      </w:r>
      <w:r w:rsidRPr="00030442">
        <w:rPr>
          <w:rFonts w:ascii="Times New Roman" w:hAnsi="Times New Roman" w:cs="Times New Roman"/>
          <w:bCs/>
          <w:color w:val="000000"/>
          <w:sz w:val="22"/>
          <w:szCs w:val="22"/>
          <w:lang w:val="en-US"/>
        </w:rPr>
        <w:t xml:space="preserve">to illustrate whether they were viable/realistic for Liverpool, whether precedent for their use had been established elsewhere, and how they could be used within the institutional mechanisms of funding within Liverpool </w:t>
      </w:r>
      <w:r w:rsidRPr="00030442">
        <w:rPr>
          <w:rFonts w:ascii="Times New Roman" w:hAnsi="Times New Roman" w:cs="Times New Roman"/>
          <w:bCs/>
          <w:color w:val="000000"/>
          <w:sz w:val="22"/>
          <w:szCs w:val="22"/>
          <w:lang w:val="en-US"/>
        </w:rPr>
        <w:fldChar w:fldCharType="begin" w:fldLock="1"/>
      </w:r>
      <w:r w:rsidRPr="00030442">
        <w:rPr>
          <w:rFonts w:ascii="Times New Roman" w:hAnsi="Times New Roman" w:cs="Times New Roman"/>
          <w:bCs/>
          <w:color w:val="000000"/>
          <w:sz w:val="22"/>
          <w:szCs w:val="22"/>
          <w:lang w:val="en-US"/>
        </w:rPr>
        <w:instrText>ADDIN CSL_CITATION { "citationItems" : [ { "id" : "ITEM-1", "itemData" : { "author" : [ { "dropping-particle" : "", "family" : "Mell", "given" : "I.C.", "non-dropping-particle" : "", "parse-names" : false, "suffix" : "" } ], "container-title" : "Biotope City Journal", "id" : "ITEM-1", "issued" : { "date-parts" : [ [ "2016" ] ] }, "title" : "Financing Green Infrastructure in times of austerity: The case of Liverpool, UK", "type" : "article-journal" }, "uris" : [ "http://www.mendeley.com/documents/?uuid=47f7b659-73b9-4052-98a9-7003b25f9c5f" ] } ], "mendeley" : { "formattedCitation" : "(Mell, 2016a)", "plainTextFormattedCitation" : "(Mell, 2016a)", "previouslyFormattedCitation" : "(Mell, 2016a)" }, "properties" : { "noteIndex" : 0 }, "schema" : "https://github.com/citation-style-language/schema/raw/master/csl-citation.json" }</w:instrText>
      </w:r>
      <w:r w:rsidRPr="00030442">
        <w:rPr>
          <w:rFonts w:ascii="Times New Roman" w:hAnsi="Times New Roman" w:cs="Times New Roman"/>
          <w:bCs/>
          <w:color w:val="000000"/>
          <w:sz w:val="22"/>
          <w:szCs w:val="22"/>
          <w:lang w:val="en-US"/>
        </w:rPr>
        <w:fldChar w:fldCharType="separate"/>
      </w:r>
      <w:r w:rsidRPr="00030442">
        <w:rPr>
          <w:rFonts w:ascii="Times New Roman" w:hAnsi="Times New Roman" w:cs="Times New Roman"/>
          <w:bCs/>
          <w:noProof/>
          <w:color w:val="000000"/>
          <w:sz w:val="22"/>
          <w:szCs w:val="22"/>
          <w:lang w:val="en-US"/>
        </w:rPr>
        <w:t>(</w:t>
      </w:r>
      <w:r w:rsidR="00DC761A">
        <w:rPr>
          <w:rFonts w:ascii="Times New Roman" w:hAnsi="Times New Roman" w:cs="Times New Roman"/>
          <w:bCs/>
          <w:noProof/>
          <w:color w:val="000000"/>
          <w:sz w:val="22"/>
          <w:szCs w:val="22"/>
          <w:lang w:val="en-US"/>
        </w:rPr>
        <w:t xml:space="preserve">see Table 1; </w:t>
      </w:r>
      <w:r w:rsidR="00A7178B">
        <w:rPr>
          <w:rFonts w:ascii="Times New Roman" w:hAnsi="Times New Roman" w:cs="Times New Roman"/>
          <w:bCs/>
          <w:noProof/>
          <w:color w:val="000000"/>
          <w:sz w:val="22"/>
          <w:szCs w:val="22"/>
          <w:lang w:val="en-US"/>
        </w:rPr>
        <w:t>Mell, 2016</w:t>
      </w:r>
      <w:r w:rsidRPr="00030442">
        <w:rPr>
          <w:rFonts w:ascii="Times New Roman" w:hAnsi="Times New Roman" w:cs="Times New Roman"/>
          <w:bCs/>
          <w:noProof/>
          <w:color w:val="000000"/>
          <w:sz w:val="22"/>
          <w:szCs w:val="22"/>
          <w:lang w:val="en-US"/>
        </w:rPr>
        <w:t>)</w:t>
      </w:r>
      <w:r w:rsidRPr="00030442">
        <w:rPr>
          <w:rFonts w:ascii="Times New Roman" w:hAnsi="Times New Roman" w:cs="Times New Roman"/>
          <w:bCs/>
          <w:color w:val="000000"/>
          <w:sz w:val="22"/>
          <w:szCs w:val="22"/>
          <w:lang w:val="en-US"/>
        </w:rPr>
        <w:fldChar w:fldCharType="end"/>
      </w:r>
      <w:r w:rsidRPr="00030442">
        <w:rPr>
          <w:rFonts w:ascii="Times New Roman" w:hAnsi="Times New Roman" w:cs="Times New Roman"/>
          <w:bCs/>
          <w:color w:val="000000"/>
          <w:sz w:val="22"/>
          <w:szCs w:val="22"/>
          <w:lang w:val="en-US"/>
        </w:rPr>
        <w:t xml:space="preserve">. </w:t>
      </w:r>
    </w:p>
    <w:p w:rsidR="00043F90" w:rsidRPr="00030442" w:rsidRDefault="00043F90" w:rsidP="00030442">
      <w:pPr>
        <w:rPr>
          <w:rFonts w:ascii="Times New Roman" w:hAnsi="Times New Roman" w:cs="Times New Roman"/>
          <w:bCs/>
          <w:color w:val="000000"/>
          <w:sz w:val="22"/>
          <w:szCs w:val="22"/>
          <w:lang w:val="en-US"/>
        </w:rPr>
      </w:pPr>
    </w:p>
    <w:p w:rsidR="00030442" w:rsidRPr="00030442" w:rsidRDefault="00030442" w:rsidP="00030442">
      <w:pPr>
        <w:jc w:val="center"/>
        <w:rPr>
          <w:rFonts w:ascii="Times New Roman" w:hAnsi="Times New Roman" w:cs="Times New Roman"/>
          <w:b/>
          <w:bCs/>
          <w:color w:val="000000"/>
          <w:sz w:val="22"/>
          <w:szCs w:val="22"/>
          <w:lang w:val="en-US"/>
        </w:rPr>
      </w:pPr>
      <w:r w:rsidRPr="00030442">
        <w:rPr>
          <w:rFonts w:ascii="Times New Roman" w:hAnsi="Times New Roman" w:cs="Times New Roman"/>
          <w:b/>
          <w:bCs/>
          <w:color w:val="000000"/>
          <w:sz w:val="22"/>
          <w:szCs w:val="22"/>
          <w:lang w:val="en-US"/>
        </w:rPr>
        <w:t xml:space="preserve">Table 1. Funding </w:t>
      </w:r>
      <w:r w:rsidR="00A7178B">
        <w:rPr>
          <w:rFonts w:ascii="Times New Roman" w:hAnsi="Times New Roman" w:cs="Times New Roman"/>
          <w:b/>
          <w:bCs/>
          <w:color w:val="000000"/>
          <w:sz w:val="22"/>
          <w:szCs w:val="22"/>
          <w:lang w:val="en-US"/>
        </w:rPr>
        <w:t xml:space="preserve">GI </w:t>
      </w:r>
      <w:r w:rsidRPr="00030442">
        <w:rPr>
          <w:rFonts w:ascii="Times New Roman" w:hAnsi="Times New Roman" w:cs="Times New Roman"/>
          <w:b/>
          <w:bCs/>
          <w:color w:val="000000"/>
          <w:sz w:val="22"/>
          <w:szCs w:val="22"/>
          <w:lang w:val="en-US"/>
        </w:rPr>
        <w:t>investment in Liverpool</w:t>
      </w:r>
    </w:p>
    <w:p w:rsidR="00030442" w:rsidRPr="00030442" w:rsidRDefault="00030442" w:rsidP="00030442">
      <w:pPr>
        <w:rPr>
          <w:rFonts w:ascii="Times New Roman" w:hAnsi="Times New Roman" w:cs="Times New Roman"/>
          <w:bCs/>
          <w:color w:val="000000"/>
          <w:sz w:val="22"/>
          <w:szCs w:val="22"/>
          <w:lang w:val="en-US"/>
        </w:rPr>
      </w:pPr>
    </w:p>
    <w:tbl>
      <w:tblPr>
        <w:tblW w:w="6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2762"/>
        <w:gridCol w:w="2762"/>
      </w:tblGrid>
      <w:tr w:rsidR="00030442" w:rsidRPr="006F66DC" w:rsidTr="006F66DC">
        <w:tc>
          <w:tcPr>
            <w:tcW w:w="1469" w:type="dxa"/>
            <w:shd w:val="clear" w:color="auto" w:fill="auto"/>
          </w:tcPr>
          <w:p w:rsidR="00030442" w:rsidRPr="006F66DC" w:rsidRDefault="00030442" w:rsidP="006F66DC">
            <w:pPr>
              <w:pStyle w:val="MediumGrid2"/>
              <w:rPr>
                <w:b/>
                <w:sz w:val="16"/>
                <w:szCs w:val="16"/>
              </w:rPr>
            </w:pPr>
            <w:r w:rsidRPr="006F66DC">
              <w:rPr>
                <w:b/>
                <w:sz w:val="16"/>
                <w:szCs w:val="16"/>
              </w:rPr>
              <w:t xml:space="preserve">Financing </w:t>
            </w:r>
          </w:p>
        </w:tc>
        <w:tc>
          <w:tcPr>
            <w:tcW w:w="2762" w:type="dxa"/>
            <w:shd w:val="clear" w:color="auto" w:fill="auto"/>
          </w:tcPr>
          <w:p w:rsidR="00030442" w:rsidRPr="006F66DC" w:rsidRDefault="00030442" w:rsidP="006F66DC">
            <w:pPr>
              <w:pStyle w:val="MediumGrid2"/>
              <w:jc w:val="center"/>
              <w:rPr>
                <w:b/>
                <w:sz w:val="16"/>
                <w:szCs w:val="16"/>
              </w:rPr>
            </w:pPr>
            <w:r w:rsidRPr="006F66DC">
              <w:rPr>
                <w:b/>
                <w:sz w:val="16"/>
                <w:szCs w:val="16"/>
              </w:rPr>
              <w:t>Benefits</w:t>
            </w:r>
          </w:p>
        </w:tc>
        <w:tc>
          <w:tcPr>
            <w:tcW w:w="2762" w:type="dxa"/>
            <w:shd w:val="clear" w:color="auto" w:fill="auto"/>
          </w:tcPr>
          <w:p w:rsidR="00030442" w:rsidRPr="006F66DC" w:rsidRDefault="00030442" w:rsidP="006F66DC">
            <w:pPr>
              <w:pStyle w:val="MediumGrid2"/>
              <w:jc w:val="center"/>
              <w:rPr>
                <w:b/>
                <w:sz w:val="16"/>
                <w:szCs w:val="16"/>
              </w:rPr>
            </w:pPr>
            <w:r w:rsidRPr="006F66DC">
              <w:rPr>
                <w:b/>
                <w:sz w:val="16"/>
                <w:szCs w:val="16"/>
              </w:rPr>
              <w:t>Negatives</w:t>
            </w:r>
          </w:p>
        </w:tc>
      </w:tr>
      <w:tr w:rsidR="00030442" w:rsidRPr="006F66DC" w:rsidTr="006F66DC">
        <w:tc>
          <w:tcPr>
            <w:tcW w:w="1469" w:type="dxa"/>
            <w:shd w:val="clear" w:color="auto" w:fill="auto"/>
          </w:tcPr>
          <w:p w:rsidR="00030442" w:rsidRPr="006F66DC" w:rsidRDefault="00030442" w:rsidP="006F66DC">
            <w:pPr>
              <w:pStyle w:val="MediumGrid2"/>
              <w:rPr>
                <w:i/>
                <w:sz w:val="16"/>
                <w:szCs w:val="16"/>
              </w:rPr>
            </w:pPr>
            <w:r w:rsidRPr="006F66DC">
              <w:rPr>
                <w:i/>
                <w:sz w:val="16"/>
                <w:szCs w:val="16"/>
              </w:rPr>
              <w:t>S106</w:t>
            </w:r>
          </w:p>
        </w:tc>
        <w:tc>
          <w:tcPr>
            <w:tcW w:w="2762" w:type="dxa"/>
            <w:shd w:val="clear" w:color="auto" w:fill="auto"/>
          </w:tcPr>
          <w:p w:rsidR="00030442" w:rsidRPr="006F66DC" w:rsidRDefault="00030442" w:rsidP="006F66DC">
            <w:pPr>
              <w:pStyle w:val="MediumGrid2"/>
              <w:rPr>
                <w:sz w:val="16"/>
                <w:szCs w:val="16"/>
              </w:rPr>
            </w:pPr>
            <w:r w:rsidRPr="006F66DC">
              <w:rPr>
                <w:sz w:val="16"/>
                <w:szCs w:val="16"/>
              </w:rPr>
              <w:t xml:space="preserve">Existing process used by LPA to secure funding for specific investment related to obtaining development consent. Covers a range of investment options including built and green infrastructure. </w:t>
            </w:r>
          </w:p>
        </w:tc>
        <w:tc>
          <w:tcPr>
            <w:tcW w:w="2762" w:type="dxa"/>
            <w:shd w:val="clear" w:color="auto" w:fill="auto"/>
          </w:tcPr>
          <w:p w:rsidR="00030442" w:rsidRPr="006F66DC" w:rsidRDefault="00030442" w:rsidP="006F66DC">
            <w:pPr>
              <w:pStyle w:val="MediumGrid2"/>
              <w:rPr>
                <w:sz w:val="16"/>
                <w:szCs w:val="16"/>
              </w:rPr>
            </w:pPr>
            <w:r w:rsidRPr="006F66DC">
              <w:rPr>
                <w:sz w:val="16"/>
                <w:szCs w:val="16"/>
              </w:rPr>
              <w:t xml:space="preserve">Process of negotiation can be partial depending on the scale of the investment proposed, the client/developer, and the authority of the LPA to obtain the most appropriate level of funding for services.  </w:t>
            </w:r>
          </w:p>
        </w:tc>
      </w:tr>
      <w:tr w:rsidR="00030442" w:rsidRPr="006F66DC" w:rsidTr="006F66DC">
        <w:tc>
          <w:tcPr>
            <w:tcW w:w="1469" w:type="dxa"/>
            <w:shd w:val="clear" w:color="auto" w:fill="auto"/>
          </w:tcPr>
          <w:p w:rsidR="00030442" w:rsidRPr="006F66DC" w:rsidRDefault="00030442" w:rsidP="006F66DC">
            <w:pPr>
              <w:pStyle w:val="MediumGrid2"/>
              <w:rPr>
                <w:i/>
                <w:sz w:val="16"/>
                <w:szCs w:val="16"/>
              </w:rPr>
            </w:pPr>
            <w:r w:rsidRPr="006F66DC">
              <w:rPr>
                <w:i/>
                <w:sz w:val="16"/>
                <w:szCs w:val="16"/>
              </w:rPr>
              <w:t xml:space="preserve">Sale </w:t>
            </w:r>
          </w:p>
        </w:tc>
        <w:tc>
          <w:tcPr>
            <w:tcW w:w="2762" w:type="dxa"/>
            <w:shd w:val="clear" w:color="auto" w:fill="auto"/>
          </w:tcPr>
          <w:p w:rsidR="00030442" w:rsidRPr="006F66DC" w:rsidRDefault="00030442" w:rsidP="006F66DC">
            <w:pPr>
              <w:pStyle w:val="MediumGrid2"/>
              <w:rPr>
                <w:sz w:val="16"/>
                <w:szCs w:val="16"/>
              </w:rPr>
            </w:pPr>
            <w:r w:rsidRPr="006F66DC">
              <w:rPr>
                <w:sz w:val="16"/>
                <w:szCs w:val="16"/>
              </w:rPr>
              <w:t xml:space="preserve">Immediate financial gains from sales that can be used to fund capital and revenue services. </w:t>
            </w:r>
          </w:p>
        </w:tc>
        <w:tc>
          <w:tcPr>
            <w:tcW w:w="2762" w:type="dxa"/>
            <w:shd w:val="clear" w:color="auto" w:fill="auto"/>
          </w:tcPr>
          <w:p w:rsidR="00030442" w:rsidRPr="006F66DC" w:rsidRDefault="00030442" w:rsidP="006F66DC">
            <w:pPr>
              <w:pStyle w:val="MediumGrid2"/>
              <w:rPr>
                <w:sz w:val="16"/>
                <w:szCs w:val="16"/>
              </w:rPr>
            </w:pPr>
            <w:r w:rsidRPr="006F66DC">
              <w:rPr>
                <w:sz w:val="16"/>
                <w:szCs w:val="16"/>
              </w:rPr>
              <w:t xml:space="preserve">Short-term solution to funding as land holdings and the sale of assets can only draw on a finite level of resources. </w:t>
            </w:r>
          </w:p>
        </w:tc>
      </w:tr>
      <w:tr w:rsidR="00030442" w:rsidRPr="006F66DC" w:rsidTr="006F66DC">
        <w:tc>
          <w:tcPr>
            <w:tcW w:w="1469" w:type="dxa"/>
            <w:shd w:val="clear" w:color="auto" w:fill="auto"/>
          </w:tcPr>
          <w:p w:rsidR="00030442" w:rsidRPr="006F66DC" w:rsidRDefault="00030442" w:rsidP="006F66DC">
            <w:pPr>
              <w:pStyle w:val="MediumGrid2"/>
              <w:rPr>
                <w:i/>
                <w:sz w:val="16"/>
                <w:szCs w:val="16"/>
              </w:rPr>
            </w:pPr>
            <w:r w:rsidRPr="006F66DC">
              <w:rPr>
                <w:i/>
                <w:sz w:val="16"/>
                <w:szCs w:val="16"/>
              </w:rPr>
              <w:t xml:space="preserve">Local taxation </w:t>
            </w:r>
          </w:p>
        </w:tc>
        <w:tc>
          <w:tcPr>
            <w:tcW w:w="2762" w:type="dxa"/>
            <w:shd w:val="clear" w:color="auto" w:fill="auto"/>
          </w:tcPr>
          <w:p w:rsidR="00030442" w:rsidRPr="006F66DC" w:rsidRDefault="00030442" w:rsidP="006F66DC">
            <w:pPr>
              <w:pStyle w:val="MediumGrid2"/>
              <w:rPr>
                <w:sz w:val="16"/>
                <w:szCs w:val="16"/>
              </w:rPr>
            </w:pPr>
            <w:r w:rsidRPr="006F66DC">
              <w:rPr>
                <w:sz w:val="16"/>
                <w:szCs w:val="16"/>
              </w:rPr>
              <w:t xml:space="preserve">Spatially inclusive approach to generate income from Council Tax and/or business rates. Can be used for identified infrastructure provision/services. </w:t>
            </w:r>
          </w:p>
        </w:tc>
        <w:tc>
          <w:tcPr>
            <w:tcW w:w="2762" w:type="dxa"/>
            <w:shd w:val="clear" w:color="auto" w:fill="auto"/>
          </w:tcPr>
          <w:p w:rsidR="00030442" w:rsidRPr="006F66DC" w:rsidRDefault="00030442" w:rsidP="006F66DC">
            <w:pPr>
              <w:pStyle w:val="MediumGrid2"/>
              <w:rPr>
                <w:sz w:val="16"/>
                <w:szCs w:val="16"/>
              </w:rPr>
            </w:pPr>
            <w:r w:rsidRPr="006F66DC">
              <w:rPr>
                <w:sz w:val="16"/>
                <w:szCs w:val="16"/>
              </w:rPr>
              <w:t>Unpopular with local people and the business community and can be difficult to approve in LPAs due to government restrictions. Also difficult to allocate specific taxes to identified service provision.</w:t>
            </w:r>
          </w:p>
        </w:tc>
      </w:tr>
      <w:tr w:rsidR="00030442" w:rsidRPr="006F66DC" w:rsidTr="006F66DC">
        <w:tc>
          <w:tcPr>
            <w:tcW w:w="1469" w:type="dxa"/>
            <w:shd w:val="clear" w:color="auto" w:fill="auto"/>
          </w:tcPr>
          <w:p w:rsidR="00030442" w:rsidRPr="006F66DC" w:rsidRDefault="00030442" w:rsidP="006F66DC">
            <w:pPr>
              <w:pStyle w:val="MediumGrid2"/>
              <w:rPr>
                <w:i/>
                <w:sz w:val="16"/>
                <w:szCs w:val="16"/>
              </w:rPr>
            </w:pPr>
            <w:r w:rsidRPr="006F66DC">
              <w:rPr>
                <w:i/>
                <w:sz w:val="16"/>
                <w:szCs w:val="16"/>
              </w:rPr>
              <w:t xml:space="preserve">Community Asset Transfer </w:t>
            </w:r>
          </w:p>
        </w:tc>
        <w:tc>
          <w:tcPr>
            <w:tcW w:w="2762" w:type="dxa"/>
            <w:shd w:val="clear" w:color="auto" w:fill="auto"/>
          </w:tcPr>
          <w:p w:rsidR="00030442" w:rsidRPr="006F66DC" w:rsidRDefault="00030442" w:rsidP="006F66DC">
            <w:pPr>
              <w:pStyle w:val="MediumGrid2"/>
              <w:rPr>
                <w:sz w:val="16"/>
                <w:szCs w:val="16"/>
              </w:rPr>
            </w:pPr>
            <w:r w:rsidRPr="006F66DC">
              <w:rPr>
                <w:sz w:val="16"/>
                <w:szCs w:val="16"/>
              </w:rPr>
              <w:t>Provides communities with opportunities to take ownership of green spaces and decreases the financial and legal responsibilities to LPAs.</w:t>
            </w:r>
          </w:p>
        </w:tc>
        <w:tc>
          <w:tcPr>
            <w:tcW w:w="2762" w:type="dxa"/>
            <w:shd w:val="clear" w:color="auto" w:fill="auto"/>
          </w:tcPr>
          <w:p w:rsidR="00030442" w:rsidRPr="006F66DC" w:rsidRDefault="00030442" w:rsidP="006F66DC">
            <w:pPr>
              <w:pStyle w:val="MediumGrid2"/>
              <w:rPr>
                <w:sz w:val="16"/>
                <w:szCs w:val="16"/>
              </w:rPr>
            </w:pPr>
            <w:r w:rsidRPr="006F66DC">
              <w:rPr>
                <w:sz w:val="16"/>
                <w:szCs w:val="16"/>
              </w:rPr>
              <w:t xml:space="preserve">Communities are often unaware of the financial, legal and managerial responsibilities of ownership. Enthusiasm for ownership can diminish over time if the composition of a group changes. </w:t>
            </w:r>
          </w:p>
        </w:tc>
      </w:tr>
      <w:tr w:rsidR="00030442" w:rsidRPr="006F66DC" w:rsidTr="006F66DC">
        <w:tc>
          <w:tcPr>
            <w:tcW w:w="1469" w:type="dxa"/>
            <w:shd w:val="clear" w:color="auto" w:fill="auto"/>
          </w:tcPr>
          <w:p w:rsidR="00030442" w:rsidRPr="006F66DC" w:rsidRDefault="00030442" w:rsidP="006F66DC">
            <w:pPr>
              <w:pStyle w:val="MediumGrid2"/>
              <w:rPr>
                <w:sz w:val="16"/>
                <w:szCs w:val="16"/>
              </w:rPr>
            </w:pPr>
            <w:r w:rsidRPr="006F66DC">
              <w:rPr>
                <w:sz w:val="16"/>
                <w:szCs w:val="16"/>
              </w:rPr>
              <w:t xml:space="preserve">Sponsorship </w:t>
            </w:r>
          </w:p>
        </w:tc>
        <w:tc>
          <w:tcPr>
            <w:tcW w:w="2762" w:type="dxa"/>
            <w:shd w:val="clear" w:color="auto" w:fill="auto"/>
          </w:tcPr>
          <w:p w:rsidR="00030442" w:rsidRPr="006F66DC" w:rsidRDefault="00030442" w:rsidP="006F66DC">
            <w:pPr>
              <w:pStyle w:val="MediumGrid2"/>
              <w:rPr>
                <w:sz w:val="16"/>
                <w:szCs w:val="16"/>
              </w:rPr>
            </w:pPr>
            <w:r w:rsidRPr="006F66DC">
              <w:rPr>
                <w:sz w:val="16"/>
                <w:szCs w:val="16"/>
              </w:rPr>
              <w:t xml:space="preserve">Potentially significant funding from corporate sponsors with links to location. Positive publicity for sponsors with local communities, the LPA and other businesses.  </w:t>
            </w:r>
          </w:p>
        </w:tc>
        <w:tc>
          <w:tcPr>
            <w:tcW w:w="2762" w:type="dxa"/>
            <w:shd w:val="clear" w:color="auto" w:fill="auto"/>
          </w:tcPr>
          <w:p w:rsidR="00030442" w:rsidRPr="006F66DC" w:rsidRDefault="00030442" w:rsidP="006F66DC">
            <w:pPr>
              <w:pStyle w:val="MediumGrid2"/>
              <w:rPr>
                <w:sz w:val="16"/>
                <w:szCs w:val="16"/>
              </w:rPr>
            </w:pPr>
            <w:r w:rsidRPr="006F66DC">
              <w:rPr>
                <w:sz w:val="16"/>
                <w:szCs w:val="16"/>
              </w:rPr>
              <w:t>Lack of desire to provide funding and questions over the amount of funding that might be provided. Potential conflict of interests being sponsors and future development in the city.</w:t>
            </w:r>
          </w:p>
        </w:tc>
      </w:tr>
      <w:tr w:rsidR="00030442" w:rsidRPr="006F66DC" w:rsidTr="006F66DC">
        <w:tc>
          <w:tcPr>
            <w:tcW w:w="1469" w:type="dxa"/>
            <w:shd w:val="clear" w:color="auto" w:fill="auto"/>
          </w:tcPr>
          <w:p w:rsidR="00030442" w:rsidRPr="006F66DC" w:rsidRDefault="00030442" w:rsidP="006F66DC">
            <w:pPr>
              <w:pStyle w:val="MediumGrid2"/>
              <w:rPr>
                <w:sz w:val="16"/>
                <w:szCs w:val="16"/>
              </w:rPr>
            </w:pPr>
            <w:r w:rsidRPr="006F66DC">
              <w:rPr>
                <w:sz w:val="16"/>
                <w:szCs w:val="16"/>
              </w:rPr>
              <w:t xml:space="preserve">Sale and endowment </w:t>
            </w:r>
          </w:p>
        </w:tc>
        <w:tc>
          <w:tcPr>
            <w:tcW w:w="2762" w:type="dxa"/>
            <w:shd w:val="clear" w:color="auto" w:fill="auto"/>
          </w:tcPr>
          <w:p w:rsidR="00030442" w:rsidRPr="006F66DC" w:rsidRDefault="00030442" w:rsidP="006F66DC">
            <w:pPr>
              <w:pStyle w:val="MediumGrid2"/>
              <w:rPr>
                <w:sz w:val="16"/>
                <w:szCs w:val="16"/>
              </w:rPr>
            </w:pPr>
            <w:r w:rsidRPr="006F66DC">
              <w:rPr>
                <w:sz w:val="16"/>
                <w:szCs w:val="16"/>
              </w:rPr>
              <w:t xml:space="preserve">Gain of assets that can be used for development. Improvements in long-term financial viability through ownership of high quality development sites. </w:t>
            </w:r>
          </w:p>
        </w:tc>
        <w:tc>
          <w:tcPr>
            <w:tcW w:w="2762" w:type="dxa"/>
            <w:shd w:val="clear" w:color="auto" w:fill="auto"/>
          </w:tcPr>
          <w:p w:rsidR="00030442" w:rsidRPr="006F66DC" w:rsidRDefault="00030442" w:rsidP="006F66DC">
            <w:pPr>
              <w:pStyle w:val="MediumGrid2"/>
              <w:rPr>
                <w:sz w:val="16"/>
                <w:szCs w:val="16"/>
              </w:rPr>
            </w:pPr>
            <w:r w:rsidRPr="006F66DC">
              <w:rPr>
                <w:sz w:val="16"/>
                <w:szCs w:val="16"/>
              </w:rPr>
              <w:t xml:space="preserve">Initial costs of appropriation and the negative perceptions of the public to the sale of land to private businesses. </w:t>
            </w:r>
          </w:p>
        </w:tc>
      </w:tr>
    </w:tbl>
    <w:p w:rsidR="00A7178B" w:rsidRDefault="00A7178B" w:rsidP="00030442">
      <w:pPr>
        <w:rPr>
          <w:rFonts w:ascii="Times New Roman" w:hAnsi="Times New Roman" w:cs="Times New Roman"/>
          <w:b/>
          <w:bCs/>
          <w:color w:val="000000"/>
          <w:sz w:val="22"/>
          <w:szCs w:val="22"/>
          <w:lang w:val="en-US"/>
        </w:rPr>
      </w:pPr>
    </w:p>
    <w:p w:rsidR="00030442" w:rsidRPr="00030442" w:rsidRDefault="00030442" w:rsidP="00030442">
      <w:pPr>
        <w:rPr>
          <w:rFonts w:ascii="Times New Roman" w:hAnsi="Times New Roman" w:cs="Times New Roman"/>
          <w:b/>
          <w:bCs/>
          <w:color w:val="000000"/>
          <w:sz w:val="22"/>
          <w:szCs w:val="22"/>
          <w:lang w:val="en-US"/>
        </w:rPr>
      </w:pPr>
      <w:r w:rsidRPr="00030442">
        <w:rPr>
          <w:rFonts w:ascii="Times New Roman" w:hAnsi="Times New Roman" w:cs="Times New Roman"/>
          <w:b/>
          <w:bCs/>
          <w:color w:val="000000"/>
          <w:sz w:val="22"/>
          <w:szCs w:val="22"/>
          <w:lang w:val="en-US"/>
        </w:rPr>
        <w:t xml:space="preserve">2.2. Alternative spatial form for Green Infrastructure </w:t>
      </w:r>
    </w:p>
    <w:p w:rsidR="00030442" w:rsidRDefault="00030442" w:rsidP="00030442">
      <w:pPr>
        <w:rPr>
          <w:rFonts w:ascii="Times New Roman" w:hAnsi="Times New Roman" w:cs="Times New Roman"/>
          <w:bCs/>
          <w:color w:val="000000"/>
          <w:sz w:val="22"/>
          <w:szCs w:val="22"/>
          <w:lang w:val="en-US"/>
        </w:rPr>
      </w:pPr>
      <w:r w:rsidRPr="00030442">
        <w:rPr>
          <w:rFonts w:ascii="Times New Roman" w:hAnsi="Times New Roman" w:cs="Times New Roman"/>
          <w:bCs/>
          <w:color w:val="000000"/>
          <w:sz w:val="22"/>
          <w:szCs w:val="22"/>
          <w:lang w:val="en-US"/>
        </w:rPr>
        <w:t xml:space="preserve">The basic premise held in the </w:t>
      </w:r>
      <w:r w:rsidR="00DC761A">
        <w:rPr>
          <w:rFonts w:ascii="Times New Roman" w:hAnsi="Times New Roman" w:cs="Times New Roman"/>
          <w:bCs/>
          <w:color w:val="000000"/>
          <w:sz w:val="22"/>
          <w:szCs w:val="22"/>
          <w:lang w:val="en-US"/>
        </w:rPr>
        <w:t xml:space="preserve">GI </w:t>
      </w:r>
      <w:r w:rsidRPr="00030442">
        <w:rPr>
          <w:rFonts w:ascii="Times New Roman" w:hAnsi="Times New Roman" w:cs="Times New Roman"/>
          <w:bCs/>
          <w:color w:val="000000"/>
          <w:sz w:val="22"/>
          <w:szCs w:val="22"/>
          <w:lang w:val="en-US"/>
        </w:rPr>
        <w:t>literature, and in Liverpool, is that not all green spaces are of equal quality or quantity</w:t>
      </w:r>
      <w:r w:rsidR="00DC761A">
        <w:rPr>
          <w:rFonts w:ascii="Times New Roman" w:hAnsi="Times New Roman" w:cs="Times New Roman"/>
          <w:bCs/>
          <w:color w:val="000000"/>
          <w:sz w:val="22"/>
          <w:szCs w:val="22"/>
          <w:lang w:val="en-US"/>
        </w:rPr>
        <w:t>, however,</w:t>
      </w:r>
      <w:r w:rsidRPr="00030442">
        <w:rPr>
          <w:rFonts w:ascii="Times New Roman" w:hAnsi="Times New Roman" w:cs="Times New Roman"/>
          <w:bCs/>
          <w:color w:val="000000"/>
          <w:sz w:val="22"/>
          <w:szCs w:val="22"/>
          <w:lang w:val="en-US"/>
        </w:rPr>
        <w:t xml:space="preserve"> that the cumulative value of green space can provide significant socio-economic and ecological benefits to a city </w:t>
      </w:r>
      <w:r w:rsidRPr="00030442">
        <w:rPr>
          <w:rFonts w:ascii="Times New Roman" w:hAnsi="Times New Roman" w:cs="Times New Roman"/>
          <w:bCs/>
          <w:color w:val="000000"/>
          <w:sz w:val="22"/>
          <w:szCs w:val="22"/>
          <w:lang w:val="en-US"/>
        </w:rPr>
        <w:fldChar w:fldCharType="begin" w:fldLock="1"/>
      </w:r>
      <w:r w:rsidR="001A2EEB">
        <w:rPr>
          <w:rFonts w:ascii="Times New Roman" w:hAnsi="Times New Roman" w:cs="Times New Roman"/>
          <w:bCs/>
          <w:color w:val="000000"/>
          <w:sz w:val="22"/>
          <w:szCs w:val="22"/>
          <w:lang w:val="en-US"/>
        </w:rPr>
        <w:instrText>ADDIN CSL_CITATION { "citationItems" : [ { "id" : "ITEM-1", "itemData" : { "author" : [ { "dropping-particle" : "", "family" : "Mell", "given" : "I.C.", "non-dropping-particle" : "", "parse-names" : false, "suffix" : "" } ], "id" : "ITEM-1", "issue" : "June", "issued" : { "date-parts" : [ [ "2010" ] ] }, "publisher" : "University of Newcastle", "title" : "Green infrastructure: concepts , perceptions and its use in spatial planning", "type" : "thesis" }, "uris" : [ "http://www.mendeley.com/documents/?uuid=f17d8a41-8644-4b68-9c9d-fbbd2dc27a86" ] } ], "mendeley" : { "formattedCitation" : "(Mell, 2010)", "manualFormatting" : "(Mell, 2016b)", "plainTextFormattedCitation" : "(Mell, 2010)", "previouslyFormattedCitation" : "(Mell, 2010)" }, "properties" : { "noteIndex" : 0 }, "schema" : "https://github.com/citation-style-language/schema/raw/master/csl-citation.json" }</w:instrText>
      </w:r>
      <w:r w:rsidRPr="00030442">
        <w:rPr>
          <w:rFonts w:ascii="Times New Roman" w:hAnsi="Times New Roman" w:cs="Times New Roman"/>
          <w:bCs/>
          <w:color w:val="000000"/>
          <w:sz w:val="22"/>
          <w:szCs w:val="22"/>
          <w:lang w:val="en-US"/>
        </w:rPr>
        <w:fldChar w:fldCharType="separate"/>
      </w:r>
      <w:r w:rsidR="00A7178B">
        <w:rPr>
          <w:rFonts w:ascii="Times New Roman" w:hAnsi="Times New Roman" w:cs="Times New Roman"/>
          <w:bCs/>
          <w:noProof/>
          <w:color w:val="000000"/>
          <w:sz w:val="22"/>
          <w:szCs w:val="22"/>
          <w:lang w:val="en-US"/>
        </w:rPr>
        <w:t>(Mell, 2016</w:t>
      </w:r>
      <w:r w:rsidRPr="00030442">
        <w:rPr>
          <w:rFonts w:ascii="Times New Roman" w:hAnsi="Times New Roman" w:cs="Times New Roman"/>
          <w:bCs/>
          <w:noProof/>
          <w:color w:val="000000"/>
          <w:sz w:val="22"/>
          <w:szCs w:val="22"/>
          <w:lang w:val="en-US"/>
        </w:rPr>
        <w:t>)</w:t>
      </w:r>
      <w:r w:rsidRPr="00030442">
        <w:rPr>
          <w:rFonts w:ascii="Times New Roman" w:hAnsi="Times New Roman" w:cs="Times New Roman"/>
          <w:bCs/>
          <w:color w:val="000000"/>
          <w:sz w:val="22"/>
          <w:szCs w:val="22"/>
          <w:lang w:val="en-US"/>
        </w:rPr>
        <w:fldChar w:fldCharType="end"/>
      </w:r>
      <w:r w:rsidRPr="00030442">
        <w:rPr>
          <w:rFonts w:ascii="Times New Roman" w:hAnsi="Times New Roman" w:cs="Times New Roman"/>
          <w:bCs/>
          <w:color w:val="000000"/>
          <w:sz w:val="22"/>
          <w:szCs w:val="22"/>
          <w:lang w:val="en-US"/>
        </w:rPr>
        <w:t xml:space="preserve">. To investigate how the alternative forms of funding noted above could be applied in practice the LG&amp;OSR proposed a series of investments in green corridors </w:t>
      </w:r>
      <w:r w:rsidR="00DC761A">
        <w:rPr>
          <w:rFonts w:ascii="Times New Roman" w:hAnsi="Times New Roman" w:cs="Times New Roman"/>
          <w:bCs/>
          <w:color w:val="000000"/>
          <w:sz w:val="22"/>
          <w:szCs w:val="22"/>
          <w:lang w:val="en-US"/>
        </w:rPr>
        <w:t xml:space="preserve">have been developed </w:t>
      </w:r>
      <w:r w:rsidRPr="00030442">
        <w:rPr>
          <w:rFonts w:ascii="Times New Roman" w:hAnsi="Times New Roman" w:cs="Times New Roman"/>
          <w:bCs/>
          <w:color w:val="000000"/>
          <w:sz w:val="22"/>
          <w:szCs w:val="22"/>
          <w:lang w:val="en-US"/>
        </w:rPr>
        <w:t xml:space="preserve">to test whether </w:t>
      </w:r>
      <w:r w:rsidRPr="00030442">
        <w:rPr>
          <w:rFonts w:ascii="Times New Roman" w:hAnsi="Times New Roman" w:cs="Times New Roman"/>
          <w:bCs/>
          <w:color w:val="000000"/>
          <w:sz w:val="22"/>
          <w:szCs w:val="22"/>
          <w:lang w:val="en-US"/>
        </w:rPr>
        <w:lastRenderedPageBreak/>
        <w:t xml:space="preserve">financing for strategic projects would gain </w:t>
      </w:r>
      <w:r w:rsidR="00DC761A">
        <w:rPr>
          <w:rFonts w:ascii="Times New Roman" w:hAnsi="Times New Roman" w:cs="Times New Roman"/>
          <w:bCs/>
          <w:color w:val="000000"/>
          <w:sz w:val="22"/>
          <w:szCs w:val="22"/>
          <w:lang w:val="en-US"/>
        </w:rPr>
        <w:t xml:space="preserve">more </w:t>
      </w:r>
      <w:r w:rsidRPr="00030442">
        <w:rPr>
          <w:rFonts w:ascii="Times New Roman" w:hAnsi="Times New Roman" w:cs="Times New Roman"/>
          <w:bCs/>
          <w:color w:val="000000"/>
          <w:sz w:val="22"/>
          <w:szCs w:val="22"/>
          <w:lang w:val="en-US"/>
        </w:rPr>
        <w:t xml:space="preserve">support </w:t>
      </w:r>
      <w:r w:rsidR="00DC761A">
        <w:rPr>
          <w:rFonts w:ascii="Times New Roman" w:hAnsi="Times New Roman" w:cs="Times New Roman"/>
          <w:bCs/>
          <w:color w:val="000000"/>
          <w:sz w:val="22"/>
          <w:szCs w:val="22"/>
          <w:lang w:val="en-US"/>
        </w:rPr>
        <w:t xml:space="preserve">than normative development. </w:t>
      </w:r>
      <w:r w:rsidRPr="00030442">
        <w:rPr>
          <w:rFonts w:ascii="Times New Roman" w:hAnsi="Times New Roman" w:cs="Times New Roman"/>
          <w:bCs/>
          <w:color w:val="000000"/>
          <w:sz w:val="22"/>
          <w:szCs w:val="22"/>
          <w:lang w:val="en-US"/>
        </w:rPr>
        <w:t xml:space="preserve">At present the financing of </w:t>
      </w:r>
      <w:r w:rsidR="00DC761A">
        <w:rPr>
          <w:rFonts w:ascii="Times New Roman" w:hAnsi="Times New Roman" w:cs="Times New Roman"/>
          <w:bCs/>
          <w:color w:val="000000"/>
          <w:sz w:val="22"/>
          <w:szCs w:val="22"/>
          <w:lang w:val="en-US"/>
        </w:rPr>
        <w:t xml:space="preserve">GI </w:t>
      </w:r>
      <w:r w:rsidRPr="00030442">
        <w:rPr>
          <w:rFonts w:ascii="Times New Roman" w:hAnsi="Times New Roman" w:cs="Times New Roman"/>
          <w:bCs/>
          <w:color w:val="000000"/>
          <w:sz w:val="22"/>
          <w:szCs w:val="22"/>
          <w:lang w:val="en-US"/>
        </w:rPr>
        <w:t xml:space="preserve">comes from a range of sources, for example Section 106 agreements, commuted sums, from community asset transfers or private sponsorship </w:t>
      </w:r>
      <w:r w:rsidRPr="00030442">
        <w:rPr>
          <w:rFonts w:ascii="Times New Roman" w:hAnsi="Times New Roman" w:cs="Times New Roman"/>
          <w:bCs/>
          <w:color w:val="000000"/>
          <w:sz w:val="22"/>
          <w:szCs w:val="22"/>
          <w:lang w:val="en-US"/>
        </w:rPr>
        <w:fldChar w:fldCharType="begin" w:fldLock="1"/>
      </w:r>
      <w:r w:rsidRPr="00030442">
        <w:rPr>
          <w:rFonts w:ascii="Times New Roman" w:hAnsi="Times New Roman" w:cs="Times New Roman"/>
          <w:bCs/>
          <w:color w:val="000000"/>
          <w:sz w:val="22"/>
          <w:szCs w:val="22"/>
          <w:lang w:val="en-US"/>
        </w:rPr>
        <w:instrText>ADDIN CSL_CITATION { "citationItems" : [ { "id" : "ITEM-1", "itemData" : { "author" : [ { "dropping-particle" : "", "family" : "Department of Communties and Local Government", "given" : "", "non-dropping-particle" : "", "parse-names" : false, "suffix" : "" } ], "id" : "ITEM-1", "issued" : { "date-parts" : [ [ "2012" ] ] }, "publisher-place" : "London, UK", "title" : "Potential funding for community green spaces", "type" : "report" }, "uris" : [ "http://www.mendeley.com/documents/?uuid=7f3c57c5-46bc-4d35-96d0-d12ff3ed23e3" ] }, { "id" : "ITEM-2", "itemData" : { "ISSN" : "0269-7459", "abstract" : "Abstract Urban green space, although an important aspect of urban life in England since the 19th century, experienced declining quality throughout the late 20th century. The election of the New Labour Government in 1997 saw the development of a new urban policy discourse, which recognized the important contribution of green space to quality of life. This paper examines New Labour's policy measures on urban green space and focuses on the Urban White Paper of 2000, new funding opportunities, planning guidance, changing urban green space governance and the introduction of national and local performance targets. Additionally, it identifies four broad policy discourses surrounding urban green space that reflect different but overlapping understandings of the value and function of urban green space relating to quantity, quality, nature/biodiversity and social/community. The paper concludes that there is a need for further research to examine the implications of changes in the national policy agenda and associated policy discourses for the planning, management and governance of urban green space at the local level. This will also enable a more in-depth analysis and understanding of the four policy discourses identified and provide a platform from which to assess future changes in green space policy and management. Abstract Urban green space, although an important aspect of urban life in England since the 19th century, experienced declining quality throughout the late 20th century. The election of the New Labour Government in 1997 saw the development of a new urban policy discourse, which recognized the important contribution of green space to quality of life. This paper examines New Labour's policy measures on urban green space and focuses on the Urban White Paper of 2000, new funding opportunities, planning guidance, changing urban green space governance and the introduction of national and local performance targets. Additionally, it identifies four broad policy discourses surrounding urban green space that reflect different but overlapping understandings of the value and function of urban green space relating to quantity, quality, nature/biodiversity and social/community. The paper concludes that there is a need for further research to examine the implications of changes in the national policy agenda and associated policy discourses for the planning, management and governance of urban green space at the local level. This will also enable a more in-depth anal\u2026", "author" : [ { "dropping-particle" : "", "family" : "Wilson", "given" : "Olivia", "non-dropping-particle" : "", "parse-names" : false, "suffix" : "" }, { "dropping-particle" : "", "family" : "Hughes", "given" : "Olwen", "non-dropping-particle" : "", "parse-names" : false, "suffix" : "" } ], "container-title" : "Planning Practice and Research", "id" : "ITEM-2", "issue" : "2", "issued" : { "date-parts" : [ [ "2011", "4" ] ] }, "page" : "207-228", "publisher" : "Routledge", "title" : "Urban Green Space Policy and Discourse in England under New Labour from 1997 to 2010", "type" : "article-journal", "volume" : "26" }, "uris" : [ "http://www.mendeley.com/documents/?uuid=a3e85e10-0607-49ad-9e08-38f3f67a5797" ] } ], "mendeley" : { "formattedCitation" : "(Department of Communties and Local Government, 2012; Wilson &amp; Hughes, 2011)", "plainTextFormattedCitation" : "(Department of Communties and Local Government, 2012; Wilson &amp; Hughes, 2011)", "previouslyFormattedCitation" : "(Department of Communties and Local Government, 2012; Wilson &amp; Hughes, 2011)" }, "properties" : { "noteIndex" : 0 }, "schema" : "https://github.com/citation-style-language/schema/raw/master/csl-citation.json" }</w:instrText>
      </w:r>
      <w:r w:rsidRPr="00030442">
        <w:rPr>
          <w:rFonts w:ascii="Times New Roman" w:hAnsi="Times New Roman" w:cs="Times New Roman"/>
          <w:bCs/>
          <w:color w:val="000000"/>
          <w:sz w:val="22"/>
          <w:szCs w:val="22"/>
          <w:lang w:val="en-US"/>
        </w:rPr>
        <w:fldChar w:fldCharType="separate"/>
      </w:r>
      <w:r w:rsidRPr="00030442">
        <w:rPr>
          <w:rFonts w:ascii="Times New Roman" w:hAnsi="Times New Roman" w:cs="Times New Roman"/>
          <w:bCs/>
          <w:noProof/>
          <w:color w:val="000000"/>
          <w:sz w:val="22"/>
          <w:szCs w:val="22"/>
          <w:lang w:val="en-US"/>
        </w:rPr>
        <w:t>(Department of Communties and Local Government, 2012)</w:t>
      </w:r>
      <w:r w:rsidRPr="00030442">
        <w:rPr>
          <w:rFonts w:ascii="Times New Roman" w:hAnsi="Times New Roman" w:cs="Times New Roman"/>
          <w:bCs/>
          <w:color w:val="000000"/>
          <w:sz w:val="22"/>
          <w:szCs w:val="22"/>
          <w:lang w:val="en-US"/>
        </w:rPr>
        <w:fldChar w:fldCharType="end"/>
      </w:r>
      <w:r w:rsidRPr="00030442">
        <w:rPr>
          <w:rFonts w:ascii="Times New Roman" w:hAnsi="Times New Roman" w:cs="Times New Roman"/>
          <w:bCs/>
          <w:color w:val="000000"/>
          <w:sz w:val="22"/>
          <w:szCs w:val="22"/>
          <w:lang w:val="en-US"/>
        </w:rPr>
        <w:t>. However, funding is received piecemeal f</w:t>
      </w:r>
      <w:r w:rsidR="00DC761A">
        <w:rPr>
          <w:rFonts w:ascii="Times New Roman" w:hAnsi="Times New Roman" w:cs="Times New Roman"/>
          <w:bCs/>
          <w:color w:val="000000"/>
          <w:sz w:val="22"/>
          <w:szCs w:val="22"/>
          <w:lang w:val="en-US"/>
        </w:rPr>
        <w:t xml:space="preserve">rom individual </w:t>
      </w:r>
      <w:r w:rsidRPr="00030442">
        <w:rPr>
          <w:rFonts w:ascii="Times New Roman" w:hAnsi="Times New Roman" w:cs="Times New Roman"/>
          <w:bCs/>
          <w:color w:val="000000"/>
          <w:sz w:val="22"/>
          <w:szCs w:val="22"/>
          <w:lang w:val="en-US"/>
        </w:rPr>
        <w:t xml:space="preserve">development sites. The creation of the green corridors network </w:t>
      </w:r>
      <w:r w:rsidR="00DC761A">
        <w:rPr>
          <w:rFonts w:ascii="Times New Roman" w:hAnsi="Times New Roman" w:cs="Times New Roman"/>
          <w:bCs/>
          <w:color w:val="000000"/>
          <w:sz w:val="22"/>
          <w:szCs w:val="22"/>
          <w:lang w:val="en-US"/>
        </w:rPr>
        <w:t xml:space="preserve">aims </w:t>
      </w:r>
      <w:r w:rsidRPr="00030442">
        <w:rPr>
          <w:rFonts w:ascii="Times New Roman" w:hAnsi="Times New Roman" w:cs="Times New Roman"/>
          <w:bCs/>
          <w:color w:val="000000"/>
          <w:sz w:val="22"/>
          <w:szCs w:val="22"/>
          <w:lang w:val="en-US"/>
        </w:rPr>
        <w:t xml:space="preserve">to shift the emphasis away from </w:t>
      </w:r>
      <w:r w:rsidR="00DC761A">
        <w:rPr>
          <w:rFonts w:ascii="Times New Roman" w:hAnsi="Times New Roman" w:cs="Times New Roman"/>
          <w:bCs/>
          <w:color w:val="000000"/>
          <w:sz w:val="22"/>
          <w:szCs w:val="22"/>
          <w:lang w:val="en-US"/>
        </w:rPr>
        <w:t xml:space="preserve">single </w:t>
      </w:r>
      <w:r w:rsidRPr="00030442">
        <w:rPr>
          <w:rFonts w:ascii="Times New Roman" w:hAnsi="Times New Roman" w:cs="Times New Roman"/>
          <w:bCs/>
          <w:color w:val="000000"/>
          <w:sz w:val="22"/>
          <w:szCs w:val="22"/>
          <w:lang w:val="en-US"/>
        </w:rPr>
        <w:t>sites to a more strategic approach to</w:t>
      </w:r>
      <w:r w:rsidR="00DC761A">
        <w:rPr>
          <w:rFonts w:ascii="Times New Roman" w:hAnsi="Times New Roman" w:cs="Times New Roman"/>
          <w:bCs/>
          <w:color w:val="000000"/>
          <w:sz w:val="22"/>
          <w:szCs w:val="22"/>
          <w:lang w:val="en-US"/>
        </w:rPr>
        <w:t xml:space="preserve"> funding.</w:t>
      </w:r>
      <w:r w:rsidRPr="00030442">
        <w:rPr>
          <w:rFonts w:ascii="Times New Roman" w:hAnsi="Times New Roman" w:cs="Times New Roman"/>
          <w:bCs/>
          <w:color w:val="000000"/>
          <w:sz w:val="22"/>
          <w:szCs w:val="22"/>
          <w:lang w:val="en-US"/>
        </w:rPr>
        <w:t xml:space="preserve"> It was proposed that the strategic nature of the corridors could attract funds from a wider range of investments, similar to Community Infrastructure Levy (CIL) payment</w:t>
      </w:r>
      <w:r w:rsidR="00DC761A">
        <w:rPr>
          <w:rFonts w:ascii="Times New Roman" w:hAnsi="Times New Roman" w:cs="Times New Roman"/>
          <w:bCs/>
          <w:color w:val="000000"/>
          <w:sz w:val="22"/>
          <w:szCs w:val="22"/>
          <w:lang w:val="en-US"/>
        </w:rPr>
        <w:t>s</w:t>
      </w:r>
      <w:r w:rsidRPr="00030442">
        <w:rPr>
          <w:rFonts w:ascii="Times New Roman" w:hAnsi="Times New Roman" w:cs="Times New Roman"/>
          <w:bCs/>
          <w:color w:val="000000"/>
          <w:sz w:val="22"/>
          <w:szCs w:val="22"/>
          <w:lang w:val="en-US"/>
        </w:rPr>
        <w:t xml:space="preserve"> </w:t>
      </w:r>
      <w:r w:rsidRPr="00030442">
        <w:rPr>
          <w:rFonts w:ascii="Times New Roman" w:hAnsi="Times New Roman" w:cs="Times New Roman"/>
          <w:bCs/>
          <w:color w:val="000000"/>
          <w:sz w:val="22"/>
          <w:szCs w:val="22"/>
          <w:lang w:val="en-US"/>
        </w:rPr>
        <w:fldChar w:fldCharType="begin" w:fldLock="1"/>
      </w:r>
      <w:r w:rsidRPr="00030442">
        <w:rPr>
          <w:rFonts w:ascii="Times New Roman" w:hAnsi="Times New Roman" w:cs="Times New Roman"/>
          <w:bCs/>
          <w:color w:val="000000"/>
          <w:sz w:val="22"/>
          <w:szCs w:val="22"/>
          <w:lang w:val="en-US"/>
        </w:rPr>
        <w:instrText>ADDIN CSL_CITATION { "citationItems" : [ { "id" : "ITEM-1", "itemData" : { "author" : [ { "dropping-particle" : "", "family" : "Cullingworth", "given" : "Barry", "non-dropping-particle" : "", "parse-names" : false, "suffix" : "" }, { "dropping-particle" : "", "family" : "Nadin", "given" : "Vincent", "non-dropping-particle" : "", "parse-names" : false, "suffix" : "" }, { "dropping-particle" : "", "family" : "Hart", "given" : "Trevor", "non-dropping-particle" : "", "parse-names" : false, "suffix" : "" }, { "dropping-particle" : "", "family" : "Davoudi", "given" : "S", "non-dropping-particle" : "", "parse-names" : false, "suffix" : "" }, { "dropping-particle" : "", "family" : "Pendlebury", "given" : "J", "non-dropping-particle" : "", "parse-names" : false, "suffix" : "" }, { "dropping-particle" : "", "family" : "Vigar", "given" : "G.", "non-dropping-particle" : "", "parse-names" : false, "suffix" : "" }, { "dropping-particle" : "", "family" : "Webb", "given" : "D", "non-dropping-particle" : "", "parse-names" : false, "suffix" : "" }, { "dropping-particle" : "", "family" : "Townshend", "given" : "T.", "non-dropping-particle" : "", "parse-names" : false, "suffix" : "" } ], "edition" : "15th", "id" : "ITEM-1", "issued" : { "date-parts" : [ [ "2015" ] ] }, "publisher" : "Routledge", "publisher-place" : "Abingdon", "title" : "Town and Country Planning in the UK", "type" : "book" }, "uris" : [ "http://www.mendeley.com/documents/?uuid=b00c1837-c41f-462f-9d6b-3873121d0b9d" ] }, { "id" : "ITEM-2", "itemData" : { "author" : [ { "dropping-particle" : "", "family" : "Mell", "given" : "I.C.", "non-dropping-particle" : "", "parse-names" : false, "suffix" : "" } ], "container-title" : "Town and Country Planning", "id" : "ITEM-2", "issue" : "4", "issued" : { "date-parts" : [ [ "2012" ] ] }, "page" : "194-197", "title" : "Will CIL help to fund green infrastructure?", "type" : "article-journal", "volume" : "81" }, "uris" : [ "http://www.mendeley.com/documents/?uuid=67a38036-e14c-40db-b5fa-c9db6fa30629" ] } ], "mendeley" : { "formattedCitation" : "(Cullingworth et al., 2015; Mell, 2012)", "plainTextFormattedCitation" : "(Cullingworth et al., 2015; Mell, 2012)", "previouslyFormattedCitation" : "(Cullingworth et al., 2015; Mell, 2012)" }, "properties" : { "noteIndex" : 0 }, "schema" : "https://github.com/citation-style-language/schema/raw/master/csl-citation.json" }</w:instrText>
      </w:r>
      <w:r w:rsidRPr="00030442">
        <w:rPr>
          <w:rFonts w:ascii="Times New Roman" w:hAnsi="Times New Roman" w:cs="Times New Roman"/>
          <w:bCs/>
          <w:color w:val="000000"/>
          <w:sz w:val="22"/>
          <w:szCs w:val="22"/>
          <w:lang w:val="en-US"/>
        </w:rPr>
        <w:fldChar w:fldCharType="separate"/>
      </w:r>
      <w:r w:rsidRPr="00030442">
        <w:rPr>
          <w:rFonts w:ascii="Times New Roman" w:hAnsi="Times New Roman" w:cs="Times New Roman"/>
          <w:bCs/>
          <w:noProof/>
          <w:color w:val="000000"/>
          <w:sz w:val="22"/>
          <w:szCs w:val="22"/>
          <w:lang w:val="en-US"/>
        </w:rPr>
        <w:t>(Mell, 2012)</w:t>
      </w:r>
      <w:r w:rsidRPr="00030442">
        <w:rPr>
          <w:rFonts w:ascii="Times New Roman" w:hAnsi="Times New Roman" w:cs="Times New Roman"/>
          <w:bCs/>
          <w:color w:val="000000"/>
          <w:sz w:val="22"/>
          <w:szCs w:val="22"/>
          <w:lang w:val="en-US"/>
        </w:rPr>
        <w:fldChar w:fldCharType="end"/>
      </w:r>
      <w:r w:rsidRPr="00030442">
        <w:rPr>
          <w:rFonts w:ascii="Times New Roman" w:hAnsi="Times New Roman" w:cs="Times New Roman"/>
          <w:bCs/>
          <w:color w:val="000000"/>
          <w:sz w:val="22"/>
          <w:szCs w:val="22"/>
          <w:lang w:val="en-US"/>
        </w:rPr>
        <w:t xml:space="preserve">. </w:t>
      </w:r>
      <w:r w:rsidR="00DC761A">
        <w:rPr>
          <w:rFonts w:ascii="Times New Roman" w:hAnsi="Times New Roman" w:cs="Times New Roman"/>
          <w:bCs/>
          <w:color w:val="000000"/>
          <w:sz w:val="22"/>
          <w:szCs w:val="22"/>
          <w:lang w:val="en-US"/>
        </w:rPr>
        <w:t>R</w:t>
      </w:r>
      <w:r w:rsidRPr="00030442">
        <w:rPr>
          <w:rFonts w:ascii="Times New Roman" w:hAnsi="Times New Roman" w:cs="Times New Roman"/>
          <w:bCs/>
          <w:color w:val="000000"/>
          <w:sz w:val="22"/>
          <w:szCs w:val="22"/>
          <w:lang w:val="en-US"/>
        </w:rPr>
        <w:t xml:space="preserve">egional-scale investments, such as Liverpool Waters, could </w:t>
      </w:r>
      <w:r w:rsidR="00DC761A">
        <w:rPr>
          <w:rFonts w:ascii="Times New Roman" w:hAnsi="Times New Roman" w:cs="Times New Roman"/>
          <w:bCs/>
          <w:color w:val="000000"/>
          <w:sz w:val="22"/>
          <w:szCs w:val="22"/>
          <w:lang w:val="en-US"/>
        </w:rPr>
        <w:t xml:space="preserve">also </w:t>
      </w:r>
      <w:r w:rsidRPr="00030442">
        <w:rPr>
          <w:rFonts w:ascii="Times New Roman" w:hAnsi="Times New Roman" w:cs="Times New Roman"/>
          <w:bCs/>
          <w:color w:val="000000"/>
          <w:sz w:val="22"/>
          <w:szCs w:val="22"/>
          <w:lang w:val="en-US"/>
        </w:rPr>
        <w:t xml:space="preserve">aid this process, as larger project would deliver higher funding contributions compared to smaller sites. </w:t>
      </w:r>
    </w:p>
    <w:p w:rsidR="00DC761A" w:rsidRPr="00030442" w:rsidRDefault="00DC761A" w:rsidP="00030442">
      <w:pPr>
        <w:rPr>
          <w:rFonts w:ascii="Times New Roman" w:hAnsi="Times New Roman" w:cs="Times New Roman"/>
          <w:bCs/>
          <w:color w:val="000000"/>
          <w:sz w:val="22"/>
          <w:szCs w:val="22"/>
          <w:lang w:val="en-US"/>
        </w:rPr>
      </w:pPr>
    </w:p>
    <w:p w:rsidR="00030442" w:rsidRPr="00030442" w:rsidRDefault="00030442" w:rsidP="00030442">
      <w:pPr>
        <w:rPr>
          <w:rFonts w:ascii="Times New Roman" w:hAnsi="Times New Roman" w:cs="Times New Roman"/>
          <w:bCs/>
          <w:color w:val="000000"/>
          <w:sz w:val="22"/>
          <w:szCs w:val="22"/>
          <w:lang w:val="en-US"/>
        </w:rPr>
      </w:pPr>
      <w:r w:rsidRPr="00030442">
        <w:rPr>
          <w:rFonts w:ascii="Times New Roman" w:hAnsi="Times New Roman" w:cs="Times New Roman"/>
          <w:bCs/>
          <w:color w:val="000000"/>
          <w:sz w:val="22"/>
          <w:szCs w:val="22"/>
          <w:lang w:val="en-US"/>
        </w:rPr>
        <w:t xml:space="preserve">Based on an evaluation of </w:t>
      </w:r>
      <w:r w:rsidRPr="00030442">
        <w:rPr>
          <w:rFonts w:ascii="Times New Roman" w:hAnsi="Times New Roman" w:cs="Times New Roman"/>
          <w:bCs/>
          <w:i/>
          <w:color w:val="000000"/>
          <w:sz w:val="22"/>
          <w:szCs w:val="22"/>
          <w:lang w:val="en-US"/>
        </w:rPr>
        <w:t>where</w:t>
      </w:r>
      <w:r w:rsidRPr="00030442">
        <w:rPr>
          <w:rFonts w:ascii="Times New Roman" w:hAnsi="Times New Roman" w:cs="Times New Roman"/>
          <w:bCs/>
          <w:color w:val="000000"/>
          <w:sz w:val="22"/>
          <w:szCs w:val="22"/>
          <w:lang w:val="en-US"/>
        </w:rPr>
        <w:t xml:space="preserve"> existing corridors exist, </w:t>
      </w:r>
      <w:r w:rsidRPr="00030442">
        <w:rPr>
          <w:rFonts w:ascii="Times New Roman" w:hAnsi="Times New Roman" w:cs="Times New Roman"/>
          <w:bCs/>
          <w:i/>
          <w:color w:val="000000"/>
          <w:sz w:val="22"/>
          <w:szCs w:val="22"/>
          <w:lang w:val="en-US"/>
        </w:rPr>
        <w:t>what</w:t>
      </w:r>
      <w:r w:rsidRPr="00030442">
        <w:rPr>
          <w:rFonts w:ascii="Times New Roman" w:hAnsi="Times New Roman" w:cs="Times New Roman"/>
          <w:bCs/>
          <w:color w:val="000000"/>
          <w:sz w:val="22"/>
          <w:szCs w:val="22"/>
          <w:lang w:val="en-US"/>
        </w:rPr>
        <w:t xml:space="preserve"> gaps could be identified, and </w:t>
      </w:r>
      <w:r w:rsidRPr="00030442">
        <w:rPr>
          <w:rFonts w:ascii="Times New Roman" w:hAnsi="Times New Roman" w:cs="Times New Roman"/>
          <w:bCs/>
          <w:i/>
          <w:color w:val="000000"/>
          <w:sz w:val="22"/>
          <w:szCs w:val="22"/>
          <w:lang w:val="en-US"/>
        </w:rPr>
        <w:t>how</w:t>
      </w:r>
      <w:r w:rsidRPr="00030442">
        <w:rPr>
          <w:rFonts w:ascii="Times New Roman" w:hAnsi="Times New Roman" w:cs="Times New Roman"/>
          <w:bCs/>
          <w:color w:val="000000"/>
          <w:sz w:val="22"/>
          <w:szCs w:val="22"/>
          <w:lang w:val="en-US"/>
        </w:rPr>
        <w:t xml:space="preserve"> the current resource base could be visualized as a city-wide green network, the LG&amp;OSR created a strategic network of green corridors for the city. The route of each corridor was designed to make </w:t>
      </w:r>
      <w:r w:rsidR="00DC761A">
        <w:rPr>
          <w:rFonts w:ascii="Times New Roman" w:hAnsi="Times New Roman" w:cs="Times New Roman"/>
          <w:bCs/>
          <w:color w:val="000000"/>
          <w:sz w:val="22"/>
          <w:szCs w:val="22"/>
          <w:lang w:val="en-US"/>
        </w:rPr>
        <w:t xml:space="preserve">best </w:t>
      </w:r>
      <w:r w:rsidRPr="00030442">
        <w:rPr>
          <w:rFonts w:ascii="Times New Roman" w:hAnsi="Times New Roman" w:cs="Times New Roman"/>
          <w:bCs/>
          <w:color w:val="000000"/>
          <w:sz w:val="22"/>
          <w:szCs w:val="22"/>
          <w:lang w:val="en-US"/>
        </w:rPr>
        <w:t xml:space="preserve">use of the existing of green spaces, Public Rights of Way (PRoW), and sustainable transport corridors. They were also developed to utilize </w:t>
      </w:r>
      <w:r w:rsidRPr="00030442">
        <w:rPr>
          <w:rFonts w:ascii="Times New Roman" w:hAnsi="Times New Roman" w:cs="Times New Roman"/>
          <w:bCs/>
          <w:i/>
          <w:color w:val="000000"/>
          <w:sz w:val="22"/>
          <w:szCs w:val="22"/>
          <w:lang w:val="en-US"/>
        </w:rPr>
        <w:t>incidental</w:t>
      </w:r>
      <w:r w:rsidRPr="00030442">
        <w:rPr>
          <w:rFonts w:ascii="Times New Roman" w:hAnsi="Times New Roman" w:cs="Times New Roman"/>
          <w:bCs/>
          <w:color w:val="000000"/>
          <w:sz w:val="22"/>
          <w:szCs w:val="22"/>
          <w:lang w:val="en-US"/>
        </w:rPr>
        <w:t xml:space="preserve"> space and </w:t>
      </w:r>
      <w:r w:rsidRPr="00030442">
        <w:rPr>
          <w:rFonts w:ascii="Times New Roman" w:hAnsi="Times New Roman" w:cs="Times New Roman"/>
          <w:bCs/>
          <w:i/>
          <w:color w:val="000000"/>
          <w:sz w:val="22"/>
          <w:szCs w:val="22"/>
          <w:lang w:val="en-US"/>
        </w:rPr>
        <w:t>brownfield</w:t>
      </w:r>
      <w:r w:rsidRPr="00030442">
        <w:rPr>
          <w:rFonts w:ascii="Times New Roman" w:hAnsi="Times New Roman" w:cs="Times New Roman"/>
          <w:bCs/>
          <w:color w:val="000000"/>
          <w:sz w:val="22"/>
          <w:szCs w:val="22"/>
          <w:lang w:val="en-US"/>
        </w:rPr>
        <w:t xml:space="preserve"> sites, as a way of </w:t>
      </w:r>
      <w:r w:rsidR="00706487">
        <w:rPr>
          <w:rFonts w:ascii="Times New Roman" w:hAnsi="Times New Roman" w:cs="Times New Roman"/>
          <w:bCs/>
          <w:color w:val="000000"/>
          <w:sz w:val="22"/>
          <w:szCs w:val="22"/>
          <w:lang w:val="en-US"/>
        </w:rPr>
        <w:t xml:space="preserve">re-establishing value to </w:t>
      </w:r>
      <w:r w:rsidRPr="00030442">
        <w:rPr>
          <w:rFonts w:ascii="Times New Roman" w:hAnsi="Times New Roman" w:cs="Times New Roman"/>
          <w:bCs/>
          <w:color w:val="000000"/>
          <w:sz w:val="22"/>
          <w:szCs w:val="22"/>
          <w:lang w:val="en-US"/>
        </w:rPr>
        <w:t xml:space="preserve">undervalued spaces. The proposal sought to use such spaces as they have been considered marginal in development conversations within Liverpool. Their use was seen as a mechanism </w:t>
      </w:r>
      <w:r w:rsidR="00706487">
        <w:rPr>
          <w:rFonts w:ascii="Times New Roman" w:hAnsi="Times New Roman" w:cs="Times New Roman"/>
          <w:bCs/>
          <w:color w:val="000000"/>
          <w:sz w:val="22"/>
          <w:szCs w:val="22"/>
          <w:lang w:val="en-US"/>
        </w:rPr>
        <w:t xml:space="preserve">which </w:t>
      </w:r>
      <w:r w:rsidRPr="00030442">
        <w:rPr>
          <w:rFonts w:ascii="Times New Roman" w:hAnsi="Times New Roman" w:cs="Times New Roman"/>
          <w:bCs/>
          <w:color w:val="000000"/>
          <w:sz w:val="22"/>
          <w:szCs w:val="22"/>
          <w:lang w:val="en-US"/>
        </w:rPr>
        <w:t>highlight</w:t>
      </w:r>
      <w:r w:rsidR="00706487">
        <w:rPr>
          <w:rFonts w:ascii="Times New Roman" w:hAnsi="Times New Roman" w:cs="Times New Roman"/>
          <w:bCs/>
          <w:color w:val="000000"/>
          <w:sz w:val="22"/>
          <w:szCs w:val="22"/>
          <w:lang w:val="en-US"/>
        </w:rPr>
        <w:t>s</w:t>
      </w:r>
      <w:r w:rsidRPr="00030442">
        <w:rPr>
          <w:rFonts w:ascii="Times New Roman" w:hAnsi="Times New Roman" w:cs="Times New Roman"/>
          <w:bCs/>
          <w:color w:val="000000"/>
          <w:sz w:val="22"/>
          <w:szCs w:val="22"/>
          <w:lang w:val="en-US"/>
        </w:rPr>
        <w:t xml:space="preserve"> to developers that brownfield sites could be seen as viable development sites </w:t>
      </w:r>
      <w:r w:rsidR="00706487">
        <w:rPr>
          <w:rFonts w:ascii="Times New Roman" w:hAnsi="Times New Roman" w:cs="Times New Roman"/>
          <w:bCs/>
          <w:color w:val="000000"/>
          <w:sz w:val="22"/>
          <w:szCs w:val="22"/>
          <w:lang w:val="en-US"/>
        </w:rPr>
        <w:t xml:space="preserve">when they are </w:t>
      </w:r>
      <w:r w:rsidRPr="00030442">
        <w:rPr>
          <w:rFonts w:ascii="Times New Roman" w:hAnsi="Times New Roman" w:cs="Times New Roman"/>
          <w:bCs/>
          <w:color w:val="000000"/>
          <w:sz w:val="22"/>
          <w:szCs w:val="22"/>
          <w:lang w:val="en-US"/>
        </w:rPr>
        <w:t>linked to the city-wide network</w:t>
      </w:r>
      <w:r w:rsidR="00706487">
        <w:rPr>
          <w:rFonts w:ascii="Times New Roman" w:hAnsi="Times New Roman" w:cs="Times New Roman"/>
          <w:bCs/>
          <w:color w:val="000000"/>
          <w:sz w:val="22"/>
          <w:szCs w:val="22"/>
          <w:lang w:val="en-US"/>
        </w:rPr>
        <w:t>.</w:t>
      </w:r>
      <w:r w:rsidRPr="00030442">
        <w:rPr>
          <w:rFonts w:ascii="Times New Roman" w:hAnsi="Times New Roman" w:cs="Times New Roman"/>
          <w:bCs/>
          <w:color w:val="000000"/>
          <w:sz w:val="22"/>
          <w:szCs w:val="22"/>
          <w:lang w:val="en-US"/>
        </w:rPr>
        <w:t xml:space="preserve"> One of the key aims of this process was to ensure that the existing green spaces in Liverpool could be linked together to allow greater movement of socio-ecological resources within and across the city. Currently Liverpool has a </w:t>
      </w:r>
      <w:r w:rsidR="00887AEE">
        <w:rPr>
          <w:rFonts w:ascii="Times New Roman" w:hAnsi="Times New Roman" w:cs="Times New Roman"/>
          <w:bCs/>
          <w:color w:val="000000"/>
          <w:sz w:val="22"/>
          <w:szCs w:val="22"/>
          <w:lang w:val="en-US"/>
        </w:rPr>
        <w:t xml:space="preserve">poor </w:t>
      </w:r>
      <w:r w:rsidRPr="00030442">
        <w:rPr>
          <w:rFonts w:ascii="Times New Roman" w:hAnsi="Times New Roman" w:cs="Times New Roman"/>
          <w:bCs/>
          <w:color w:val="000000"/>
          <w:sz w:val="22"/>
          <w:szCs w:val="22"/>
          <w:lang w:val="en-US"/>
        </w:rPr>
        <w:t>network of cycle lanes, one-way st</w:t>
      </w:r>
      <w:r w:rsidR="00887AEE">
        <w:rPr>
          <w:rFonts w:ascii="Times New Roman" w:hAnsi="Times New Roman" w:cs="Times New Roman"/>
          <w:bCs/>
          <w:color w:val="000000"/>
          <w:sz w:val="22"/>
          <w:szCs w:val="22"/>
          <w:lang w:val="en-US"/>
        </w:rPr>
        <w:t xml:space="preserve">reets and pedestrianized routes. The </w:t>
      </w:r>
      <w:r w:rsidRPr="00030442">
        <w:rPr>
          <w:rFonts w:ascii="Times New Roman" w:hAnsi="Times New Roman" w:cs="Times New Roman"/>
          <w:bCs/>
          <w:color w:val="000000"/>
          <w:sz w:val="22"/>
          <w:szCs w:val="22"/>
          <w:lang w:val="en-US"/>
        </w:rPr>
        <w:t xml:space="preserve">green corridors were </w:t>
      </w:r>
      <w:r w:rsidR="00887AEE">
        <w:rPr>
          <w:rFonts w:ascii="Times New Roman" w:hAnsi="Times New Roman" w:cs="Times New Roman"/>
          <w:bCs/>
          <w:color w:val="000000"/>
          <w:sz w:val="22"/>
          <w:szCs w:val="22"/>
          <w:lang w:val="en-US"/>
        </w:rPr>
        <w:t xml:space="preserve">thus </w:t>
      </w:r>
      <w:r w:rsidRPr="00030442">
        <w:rPr>
          <w:rFonts w:ascii="Times New Roman" w:hAnsi="Times New Roman" w:cs="Times New Roman"/>
          <w:bCs/>
          <w:color w:val="000000"/>
          <w:sz w:val="22"/>
          <w:szCs w:val="22"/>
          <w:lang w:val="en-US"/>
        </w:rPr>
        <w:t xml:space="preserve">reported as being a potential investment opportunity </w:t>
      </w:r>
      <w:r w:rsidR="00887AEE">
        <w:rPr>
          <w:rFonts w:ascii="Times New Roman" w:hAnsi="Times New Roman" w:cs="Times New Roman"/>
          <w:bCs/>
          <w:color w:val="000000"/>
          <w:sz w:val="22"/>
          <w:szCs w:val="22"/>
          <w:lang w:val="en-US"/>
        </w:rPr>
        <w:t xml:space="preserve">that could </w:t>
      </w:r>
      <w:r w:rsidRPr="00030442">
        <w:rPr>
          <w:rFonts w:ascii="Times New Roman" w:hAnsi="Times New Roman" w:cs="Times New Roman"/>
          <w:bCs/>
          <w:color w:val="000000"/>
          <w:sz w:val="22"/>
          <w:szCs w:val="22"/>
          <w:lang w:val="en-US"/>
        </w:rPr>
        <w:t xml:space="preserve">promote </w:t>
      </w:r>
      <w:r w:rsidR="00887AEE">
        <w:rPr>
          <w:rFonts w:ascii="Times New Roman" w:hAnsi="Times New Roman" w:cs="Times New Roman"/>
          <w:bCs/>
          <w:color w:val="000000"/>
          <w:sz w:val="22"/>
          <w:szCs w:val="22"/>
          <w:lang w:val="en-US"/>
        </w:rPr>
        <w:t xml:space="preserve">more </w:t>
      </w:r>
      <w:r w:rsidRPr="00030442">
        <w:rPr>
          <w:rFonts w:ascii="Times New Roman" w:hAnsi="Times New Roman" w:cs="Times New Roman"/>
          <w:bCs/>
          <w:color w:val="000000"/>
          <w:sz w:val="22"/>
          <w:szCs w:val="22"/>
          <w:lang w:val="en-US"/>
        </w:rPr>
        <w:t xml:space="preserve">sustainable forms of transport. They also </w:t>
      </w:r>
      <w:r w:rsidR="00887AEE">
        <w:rPr>
          <w:rFonts w:ascii="Times New Roman" w:hAnsi="Times New Roman" w:cs="Times New Roman"/>
          <w:bCs/>
          <w:color w:val="000000"/>
          <w:sz w:val="22"/>
          <w:szCs w:val="22"/>
          <w:lang w:val="en-US"/>
        </w:rPr>
        <w:t>offer</w:t>
      </w:r>
      <w:r w:rsidRPr="00030442">
        <w:rPr>
          <w:rFonts w:ascii="Times New Roman" w:hAnsi="Times New Roman" w:cs="Times New Roman"/>
          <w:bCs/>
          <w:color w:val="000000"/>
          <w:sz w:val="22"/>
          <w:szCs w:val="22"/>
          <w:lang w:val="en-US"/>
        </w:rPr>
        <w:t xml:space="preserve"> cost-effective solutions of </w:t>
      </w:r>
      <w:r w:rsidR="00887AEE">
        <w:rPr>
          <w:rFonts w:ascii="Times New Roman" w:hAnsi="Times New Roman" w:cs="Times New Roman"/>
          <w:bCs/>
          <w:color w:val="000000"/>
          <w:sz w:val="22"/>
          <w:szCs w:val="22"/>
          <w:lang w:val="en-US"/>
        </w:rPr>
        <w:t xml:space="preserve">mobility </w:t>
      </w:r>
      <w:r w:rsidRPr="00030442">
        <w:rPr>
          <w:rFonts w:ascii="Times New Roman" w:hAnsi="Times New Roman" w:cs="Times New Roman"/>
          <w:bCs/>
          <w:color w:val="000000"/>
          <w:sz w:val="22"/>
          <w:szCs w:val="22"/>
          <w:lang w:val="en-US"/>
        </w:rPr>
        <w:t xml:space="preserve">pinch-points which </w:t>
      </w:r>
      <w:r w:rsidR="00887AEE">
        <w:rPr>
          <w:rFonts w:ascii="Times New Roman" w:hAnsi="Times New Roman" w:cs="Times New Roman"/>
          <w:bCs/>
          <w:color w:val="000000"/>
          <w:sz w:val="22"/>
          <w:szCs w:val="22"/>
          <w:lang w:val="en-US"/>
        </w:rPr>
        <w:t xml:space="preserve">currently </w:t>
      </w:r>
      <w:r w:rsidRPr="00030442">
        <w:rPr>
          <w:rFonts w:ascii="Times New Roman" w:hAnsi="Times New Roman" w:cs="Times New Roman"/>
          <w:bCs/>
          <w:color w:val="000000"/>
          <w:sz w:val="22"/>
          <w:szCs w:val="22"/>
          <w:lang w:val="en-US"/>
        </w:rPr>
        <w:t xml:space="preserve">limit safe non-motorized access to the city center </w:t>
      </w:r>
      <w:r w:rsidRPr="00030442">
        <w:rPr>
          <w:rFonts w:ascii="Times New Roman" w:hAnsi="Times New Roman" w:cs="Times New Roman"/>
          <w:bCs/>
          <w:color w:val="000000"/>
          <w:sz w:val="22"/>
          <w:szCs w:val="22"/>
          <w:lang w:val="en-US"/>
        </w:rPr>
        <w:fldChar w:fldCharType="begin" w:fldLock="1"/>
      </w:r>
      <w:r w:rsidRPr="00030442">
        <w:rPr>
          <w:rFonts w:ascii="Times New Roman" w:hAnsi="Times New Roman" w:cs="Times New Roman"/>
          <w:bCs/>
          <w:color w:val="000000"/>
          <w:sz w:val="22"/>
          <w:szCs w:val="22"/>
          <w:lang w:val="en-US"/>
        </w:rPr>
        <w:instrText>ADDIN CSL_CITATION { "citationItems" : [ { "id" : "ITEM-1", "itemData" : { "author" : [ { "dropping-particle" : "", "family" : "Liverpool City Council", "given" : "", "non-dropping-particle" : "", "parse-names" : false, "suffix" : "" } ], "id" : "ITEM-1", "issued" : { "date-parts" : [ [ "2015" ] ] }, "publisher-place" : "Liverpool, UK", "title" : "Strategic Green and Open Space Review Board Interim Report", "type" : "report" }, "uris" : [ "http://www.mendeley.com/documents/?uuid=2a53e60b-5e7a-45a6-818b-f4020cd83e37" ] } ], "mendeley" : { "formattedCitation" : "(Liverpool City Council, 2015)", "plainTextFormattedCitation" : "(Liverpool City Council, 2015)", "previouslyFormattedCitation" : "(Liverpool City Council, 2015)" }, "properties" : { "noteIndex" : 0 }, "schema" : "https://github.com/citation-style-language/schema/raw/master/csl-citation.json" }</w:instrText>
      </w:r>
      <w:r w:rsidRPr="00030442">
        <w:rPr>
          <w:rFonts w:ascii="Times New Roman" w:hAnsi="Times New Roman" w:cs="Times New Roman"/>
          <w:bCs/>
          <w:color w:val="000000"/>
          <w:sz w:val="22"/>
          <w:szCs w:val="22"/>
          <w:lang w:val="en-US"/>
        </w:rPr>
        <w:fldChar w:fldCharType="separate"/>
      </w:r>
      <w:r w:rsidRPr="00030442">
        <w:rPr>
          <w:rFonts w:ascii="Times New Roman" w:hAnsi="Times New Roman" w:cs="Times New Roman"/>
          <w:bCs/>
          <w:noProof/>
          <w:color w:val="000000"/>
          <w:sz w:val="22"/>
          <w:szCs w:val="22"/>
          <w:lang w:val="en-US"/>
        </w:rPr>
        <w:t>(Liverpool City Council, 2015)</w:t>
      </w:r>
      <w:r w:rsidRPr="00030442">
        <w:rPr>
          <w:rFonts w:ascii="Times New Roman" w:hAnsi="Times New Roman" w:cs="Times New Roman"/>
          <w:bCs/>
          <w:color w:val="000000"/>
          <w:sz w:val="22"/>
          <w:szCs w:val="22"/>
          <w:lang w:val="en-US"/>
        </w:rPr>
        <w:fldChar w:fldCharType="end"/>
      </w:r>
      <w:r w:rsidRPr="00030442">
        <w:rPr>
          <w:rFonts w:ascii="Times New Roman" w:hAnsi="Times New Roman" w:cs="Times New Roman"/>
          <w:bCs/>
          <w:color w:val="000000"/>
          <w:sz w:val="22"/>
          <w:szCs w:val="22"/>
          <w:lang w:val="en-US"/>
        </w:rPr>
        <w:t xml:space="preserve">. An additional benefit of the proposed green corridors is that it addresses perceived spatial inequality within Liverpool. Many commentators have illustrated a north-south split which divide the city along socio-economic lines </w:t>
      </w:r>
      <w:r w:rsidRPr="00030442">
        <w:rPr>
          <w:rFonts w:ascii="Times New Roman" w:hAnsi="Times New Roman" w:cs="Times New Roman"/>
          <w:bCs/>
          <w:color w:val="000000"/>
          <w:sz w:val="22"/>
          <w:szCs w:val="22"/>
          <w:lang w:val="en-US"/>
        </w:rPr>
        <w:fldChar w:fldCharType="begin" w:fldLock="1"/>
      </w:r>
      <w:r w:rsidRPr="00030442">
        <w:rPr>
          <w:rFonts w:ascii="Times New Roman" w:hAnsi="Times New Roman" w:cs="Times New Roman"/>
          <w:bCs/>
          <w:color w:val="000000"/>
          <w:sz w:val="22"/>
          <w:szCs w:val="22"/>
          <w:lang w:val="en-US"/>
        </w:rPr>
        <w:instrText>ADDIN CSL_CITATION { "citationItems" : [ { "id" : "ITEM-1", "itemData" : { "DOI" : "10.1016/j.cities.2013.03.013", "ISSN" : "02642751", "abstract" : "This Profile focuses on patterns of growth, decline and renewal in Liverpool (UK) over the past 200years. In this period, the city has seen extremes of both prosperity and decline. It pioneered many of the elements of the modern industrial metropolis, only to deurbanise during a ruinous late 20th century decline, halving its population. The centre has now been successfully re-urbanised and the city population is growing, but spatial inequalities remain intense. As a focus for policy remedies from across the ideological spectrum, Liverpool offers an instructive archive of approaches of continued relevance and interest. Liverpool emerged as a modern global city, based around new systems of international trade and capital during the 18th and 19th centuries. Growth and wealth were manifested physically in grand architectural landscapes and the planned development of often pioneering modern urban infrastructure such as railways, parks, docklands and public housing. Liverpool was among the earliest places to face acute social challenges characteristic of the industrial city. Its universal importance is reflected in UNESCO World Heritage Site status for significant portions of its docklands and downtown area. The city\u2019s population peaked in the 1930s with much of the subsequent century witnessing an accelerating reversal of the city\u2019s fortunes, as a result of unfavourable economic restructuring, war damage and key planning decisions. Throughout the 20th century Liverpool has been an early test bed for urban policies, sometimes applied from opposing poles of the ideological spectrum. In the switch from planned growth to managing and reversing decline, there have been numerous efforts to \u2018regenerate\u2019 the city\u2019s economic, physical and social fabric, many have been successful, whilst others have been seen as deeply damaging, making Liverpool something of an \u2018urban laboratory\u2019 worthy of careful consideration and reflection. Informed by the historical trajectory outlined above, this Profile firstly discusses Liverpool\u2019s rise to prominence as a global trade centre in the 18th and 19th centuries. Secondly, challenges faced during the 20th century are considered. Finally, the recent history of redevelopment and regeneration is reviewed and followed by reflections on the present city and its future prospects.", "author" : [ { "dropping-particle" : "", "family" : "Sykes", "given" : "Olivier", "non-dropping-particle" : "", "parse-names" : false, "suffix" : "" }, { "dropping-particle" : "", "family" : "Brown", "given" : "Jonathan", "non-dropping-particle" : "", "parse-names" : false, "suffix" : "" }, { "dropping-particle" : "", "family" : "Cocks", "given" : "Matthew", "non-dropping-particle" : "", "parse-names" : false, "suffix" : "" }, { "dropping-particle" : "", "family" : "Shaw", "given" : "David", "non-dropping-particle" : "", "parse-names" : false, "suffix" : "" }, { "dropping-particle" : "", "family" : "Couch", "given" : "Chris", "non-dropping-particle" : "", "parse-names" : false, "suffix" : "" } ], "container-title" : "Cities", "id" : "ITEM-1", "issued" : { "date-parts" : [ [ "2013", "12" ] ] }, "page" : "299-318", "title" : "A City Profile of Liverpool", "type" : "article-journal", "volume" : "35" }, "uris" : [ "http://www.mendeley.com/documents/?uuid=f9cda6cd-cce4-4f2e-b9d0-30aa5d7367ae" ] } ], "mendeley" : { "formattedCitation" : "(Sykes et al., 2013)", "plainTextFormattedCitation" : "(Sykes et al., 2013)", "previouslyFormattedCitation" : "(Sykes et al., 2013)" }, "properties" : { "noteIndex" : 0 }, "schema" : "https://github.com/citation-style-language/schema/raw/master/csl-citation.json" }</w:instrText>
      </w:r>
      <w:r w:rsidRPr="00030442">
        <w:rPr>
          <w:rFonts w:ascii="Times New Roman" w:hAnsi="Times New Roman" w:cs="Times New Roman"/>
          <w:bCs/>
          <w:color w:val="000000"/>
          <w:sz w:val="22"/>
          <w:szCs w:val="22"/>
          <w:lang w:val="en-US"/>
        </w:rPr>
        <w:fldChar w:fldCharType="separate"/>
      </w:r>
      <w:r w:rsidRPr="00030442">
        <w:rPr>
          <w:rFonts w:ascii="Times New Roman" w:hAnsi="Times New Roman" w:cs="Times New Roman"/>
          <w:bCs/>
          <w:noProof/>
          <w:color w:val="000000"/>
          <w:sz w:val="22"/>
          <w:szCs w:val="22"/>
          <w:lang w:val="en-US"/>
        </w:rPr>
        <w:t>(Sykes et al., 2013)</w:t>
      </w:r>
      <w:r w:rsidRPr="00030442">
        <w:rPr>
          <w:rFonts w:ascii="Times New Roman" w:hAnsi="Times New Roman" w:cs="Times New Roman"/>
          <w:bCs/>
          <w:color w:val="000000"/>
          <w:sz w:val="22"/>
          <w:szCs w:val="22"/>
          <w:lang w:val="en-US"/>
        </w:rPr>
        <w:fldChar w:fldCharType="end"/>
      </w:r>
      <w:r w:rsidRPr="00030442">
        <w:rPr>
          <w:rFonts w:ascii="Times New Roman" w:hAnsi="Times New Roman" w:cs="Times New Roman"/>
          <w:bCs/>
          <w:color w:val="000000"/>
          <w:sz w:val="22"/>
          <w:szCs w:val="22"/>
          <w:lang w:val="en-US"/>
        </w:rPr>
        <w:t xml:space="preserve">. Although </w:t>
      </w:r>
      <w:r w:rsidR="00887AEE">
        <w:rPr>
          <w:rFonts w:ascii="Times New Roman" w:hAnsi="Times New Roman" w:cs="Times New Roman"/>
          <w:bCs/>
          <w:color w:val="000000"/>
          <w:sz w:val="22"/>
          <w:szCs w:val="22"/>
          <w:lang w:val="en-US"/>
        </w:rPr>
        <w:t xml:space="preserve">this assumption </w:t>
      </w:r>
      <w:r w:rsidRPr="00030442">
        <w:rPr>
          <w:rFonts w:ascii="Times New Roman" w:hAnsi="Times New Roman" w:cs="Times New Roman"/>
          <w:bCs/>
          <w:color w:val="000000"/>
          <w:sz w:val="22"/>
          <w:szCs w:val="22"/>
          <w:lang w:val="en-US"/>
        </w:rPr>
        <w:t xml:space="preserve">could be contested </w:t>
      </w:r>
      <w:r w:rsidRPr="00030442">
        <w:rPr>
          <w:rFonts w:ascii="Times New Roman" w:hAnsi="Times New Roman" w:cs="Times New Roman"/>
          <w:bCs/>
          <w:color w:val="000000"/>
          <w:sz w:val="22"/>
          <w:szCs w:val="22"/>
          <w:lang w:val="en-US"/>
        </w:rPr>
        <w:fldChar w:fldCharType="begin" w:fldLock="1"/>
      </w:r>
      <w:r w:rsidRPr="00030442">
        <w:rPr>
          <w:rFonts w:ascii="Times New Roman" w:hAnsi="Times New Roman" w:cs="Times New Roman"/>
          <w:bCs/>
          <w:color w:val="000000"/>
          <w:sz w:val="22"/>
          <w:szCs w:val="22"/>
          <w:lang w:val="en-US"/>
        </w:rPr>
        <w:instrText>ADDIN CSL_CITATION { "citationItems" : [ { "id" : "ITEM-1", "itemData" : { "author" : [ { "dropping-particle" : "", "family" : "Liverpool City Council", "given" : "", "non-dropping-particle" : "", "parse-names" : false, "suffix" : "" } ], "id" : "ITEM-1", "issued" : { "date-parts" : [ [ "2015" ] ] }, "publisher-place" : "Liverpool, UK", "title" : "Strategic Green and Open Space Review Board Interim Report", "type" : "report" }, "uris" : [ "http://www.mendeley.com/documents/?uuid=2a53e60b-5e7a-45a6-818b-f4020cd83e37" ] } ], "mendeley" : { "formattedCitation" : "(Liverpool City Council, 2015)", "manualFormatting" : "(cf. Liverpool City Council, 2015)", "plainTextFormattedCitation" : "(Liverpool City Council, 2015)", "previouslyFormattedCitation" : "(Liverpool City Council, 2015)" }, "properties" : { "noteIndex" : 0 }, "schema" : "https://github.com/citation-style-language/schema/raw/master/csl-citation.json" }</w:instrText>
      </w:r>
      <w:r w:rsidRPr="00030442">
        <w:rPr>
          <w:rFonts w:ascii="Times New Roman" w:hAnsi="Times New Roman" w:cs="Times New Roman"/>
          <w:bCs/>
          <w:color w:val="000000"/>
          <w:sz w:val="22"/>
          <w:szCs w:val="22"/>
          <w:lang w:val="en-US"/>
        </w:rPr>
        <w:fldChar w:fldCharType="separate"/>
      </w:r>
      <w:r w:rsidRPr="00030442">
        <w:rPr>
          <w:rFonts w:ascii="Times New Roman" w:hAnsi="Times New Roman" w:cs="Times New Roman"/>
          <w:bCs/>
          <w:noProof/>
          <w:color w:val="000000"/>
          <w:sz w:val="22"/>
          <w:szCs w:val="22"/>
          <w:lang w:val="en-US"/>
        </w:rPr>
        <w:t>(cf. Liverpool City Council, 2015)</w:t>
      </w:r>
      <w:r w:rsidRPr="00030442">
        <w:rPr>
          <w:rFonts w:ascii="Times New Roman" w:hAnsi="Times New Roman" w:cs="Times New Roman"/>
          <w:bCs/>
          <w:color w:val="000000"/>
          <w:sz w:val="22"/>
          <w:szCs w:val="22"/>
          <w:lang w:val="en-US"/>
        </w:rPr>
        <w:fldChar w:fldCharType="end"/>
      </w:r>
      <w:r w:rsidRPr="00030442">
        <w:rPr>
          <w:rFonts w:ascii="Times New Roman" w:hAnsi="Times New Roman" w:cs="Times New Roman"/>
          <w:bCs/>
          <w:color w:val="000000"/>
          <w:sz w:val="22"/>
          <w:szCs w:val="22"/>
          <w:lang w:val="en-US"/>
        </w:rPr>
        <w:t xml:space="preserve">, one of the </w:t>
      </w:r>
      <w:r w:rsidR="00887AEE">
        <w:rPr>
          <w:rFonts w:ascii="Times New Roman" w:hAnsi="Times New Roman" w:cs="Times New Roman"/>
          <w:bCs/>
          <w:color w:val="000000"/>
          <w:sz w:val="22"/>
          <w:szCs w:val="22"/>
          <w:lang w:val="en-US"/>
        </w:rPr>
        <w:t xml:space="preserve">main </w:t>
      </w:r>
      <w:r w:rsidRPr="00030442">
        <w:rPr>
          <w:rFonts w:ascii="Times New Roman" w:hAnsi="Times New Roman" w:cs="Times New Roman"/>
          <w:bCs/>
          <w:color w:val="000000"/>
          <w:sz w:val="22"/>
          <w:szCs w:val="22"/>
          <w:lang w:val="en-US"/>
        </w:rPr>
        <w:t>aims of the green corridor</w:t>
      </w:r>
      <w:r w:rsidR="00887AEE">
        <w:rPr>
          <w:rFonts w:ascii="Times New Roman" w:hAnsi="Times New Roman" w:cs="Times New Roman"/>
          <w:bCs/>
          <w:color w:val="000000"/>
          <w:sz w:val="22"/>
          <w:szCs w:val="22"/>
          <w:lang w:val="en-US"/>
        </w:rPr>
        <w:t>s</w:t>
      </w:r>
      <w:r w:rsidRPr="00030442">
        <w:rPr>
          <w:rFonts w:ascii="Times New Roman" w:hAnsi="Times New Roman" w:cs="Times New Roman"/>
          <w:bCs/>
          <w:color w:val="000000"/>
          <w:sz w:val="22"/>
          <w:szCs w:val="22"/>
          <w:lang w:val="en-US"/>
        </w:rPr>
        <w:t xml:space="preserve"> is to link green spaces with linear routes </w:t>
      </w:r>
      <w:r w:rsidR="00887AEE">
        <w:rPr>
          <w:rFonts w:ascii="Times New Roman" w:hAnsi="Times New Roman" w:cs="Times New Roman"/>
          <w:bCs/>
          <w:color w:val="000000"/>
          <w:sz w:val="22"/>
          <w:szCs w:val="22"/>
          <w:lang w:val="en-US"/>
        </w:rPr>
        <w:t xml:space="preserve">in all wards </w:t>
      </w:r>
      <w:r w:rsidRPr="00030442">
        <w:rPr>
          <w:rFonts w:ascii="Times New Roman" w:hAnsi="Times New Roman" w:cs="Times New Roman"/>
          <w:bCs/>
          <w:color w:val="000000"/>
          <w:sz w:val="22"/>
          <w:szCs w:val="22"/>
          <w:lang w:val="en-US"/>
        </w:rPr>
        <w:t xml:space="preserve">to provide greater access to </w:t>
      </w:r>
      <w:r w:rsidR="00887AEE">
        <w:rPr>
          <w:rFonts w:ascii="Times New Roman" w:hAnsi="Times New Roman" w:cs="Times New Roman"/>
          <w:bCs/>
          <w:color w:val="000000"/>
          <w:sz w:val="22"/>
          <w:szCs w:val="22"/>
          <w:lang w:val="en-US"/>
        </w:rPr>
        <w:t xml:space="preserve">the </w:t>
      </w:r>
      <w:r w:rsidRPr="00030442">
        <w:rPr>
          <w:rFonts w:ascii="Times New Roman" w:hAnsi="Times New Roman" w:cs="Times New Roman"/>
          <w:bCs/>
          <w:color w:val="000000"/>
          <w:sz w:val="22"/>
          <w:szCs w:val="22"/>
          <w:lang w:val="en-US"/>
        </w:rPr>
        <w:t>landscape</w:t>
      </w:r>
      <w:r w:rsidR="00887AEE">
        <w:rPr>
          <w:rFonts w:ascii="Times New Roman" w:hAnsi="Times New Roman" w:cs="Times New Roman"/>
          <w:bCs/>
          <w:color w:val="000000"/>
          <w:sz w:val="22"/>
          <w:szCs w:val="22"/>
          <w:lang w:val="en-US"/>
        </w:rPr>
        <w:t xml:space="preserve"> close to their homes</w:t>
      </w:r>
      <w:r w:rsidRPr="00030442">
        <w:rPr>
          <w:rStyle w:val="FootnoteReference"/>
          <w:rFonts w:ascii="Times New Roman" w:hAnsi="Times New Roman" w:cs="Times New Roman"/>
          <w:bCs/>
          <w:color w:val="000000"/>
          <w:sz w:val="22"/>
          <w:szCs w:val="22"/>
          <w:lang w:val="en-US"/>
        </w:rPr>
        <w:footnoteReference w:id="2"/>
      </w:r>
      <w:r w:rsidRPr="00030442">
        <w:rPr>
          <w:rFonts w:ascii="Times New Roman" w:hAnsi="Times New Roman" w:cs="Times New Roman"/>
          <w:bCs/>
          <w:color w:val="000000"/>
          <w:sz w:val="22"/>
          <w:szCs w:val="22"/>
          <w:lang w:val="en-US"/>
        </w:rPr>
        <w:t xml:space="preserve">. </w:t>
      </w:r>
    </w:p>
    <w:p w:rsidR="00030442" w:rsidRPr="00030442" w:rsidRDefault="00030442" w:rsidP="00030442">
      <w:pPr>
        <w:rPr>
          <w:rFonts w:ascii="Times New Roman" w:hAnsi="Times New Roman" w:cs="Times New Roman"/>
          <w:b/>
          <w:bCs/>
          <w:color w:val="000000"/>
          <w:sz w:val="22"/>
          <w:szCs w:val="22"/>
          <w:lang w:val="en-US"/>
        </w:rPr>
      </w:pPr>
      <w:r w:rsidRPr="00030442">
        <w:rPr>
          <w:rFonts w:ascii="Times New Roman" w:hAnsi="Times New Roman" w:cs="Times New Roman"/>
          <w:b/>
          <w:bCs/>
          <w:color w:val="000000"/>
          <w:sz w:val="22"/>
          <w:szCs w:val="22"/>
          <w:lang w:val="en-US"/>
        </w:rPr>
        <w:lastRenderedPageBreak/>
        <w:t>3. Goals and Objectives</w:t>
      </w:r>
    </w:p>
    <w:p w:rsidR="00030442" w:rsidRPr="00030442" w:rsidRDefault="00784544" w:rsidP="00030442">
      <w:pPr>
        <w:rPr>
          <w:rFonts w:ascii="Times New Roman" w:hAnsi="Times New Roman" w:cs="Times New Roman"/>
          <w:bCs/>
          <w:color w:val="000000"/>
          <w:sz w:val="22"/>
          <w:szCs w:val="22"/>
          <w:lang w:val="en-US"/>
        </w:rPr>
      </w:pPr>
      <w:r>
        <w:rPr>
          <w:rFonts w:ascii="Times New Roman" w:hAnsi="Times New Roman" w:cs="Times New Roman"/>
          <w:bCs/>
          <w:color w:val="000000"/>
          <w:sz w:val="22"/>
          <w:szCs w:val="22"/>
          <w:lang w:val="en-US"/>
        </w:rPr>
        <w:t>The aim of this paper</w:t>
      </w:r>
      <w:r w:rsidR="00030442" w:rsidRPr="00030442">
        <w:rPr>
          <w:rFonts w:ascii="Times New Roman" w:hAnsi="Times New Roman" w:cs="Times New Roman"/>
          <w:bCs/>
          <w:color w:val="000000"/>
          <w:sz w:val="22"/>
          <w:szCs w:val="22"/>
          <w:lang w:val="en-US"/>
        </w:rPr>
        <w:t xml:space="preserve"> and the </w:t>
      </w:r>
      <w:r>
        <w:rPr>
          <w:rFonts w:ascii="Times New Roman" w:hAnsi="Times New Roman" w:cs="Times New Roman"/>
          <w:bCs/>
          <w:color w:val="000000"/>
          <w:sz w:val="22"/>
          <w:szCs w:val="22"/>
          <w:lang w:val="en-US"/>
        </w:rPr>
        <w:t>investment in green corridors in Liverpool</w:t>
      </w:r>
      <w:r w:rsidR="00030442" w:rsidRPr="00030442">
        <w:rPr>
          <w:rFonts w:ascii="Times New Roman" w:hAnsi="Times New Roman" w:cs="Times New Roman"/>
          <w:bCs/>
          <w:color w:val="000000"/>
          <w:sz w:val="22"/>
          <w:szCs w:val="22"/>
          <w:lang w:val="en-US"/>
        </w:rPr>
        <w:t xml:space="preserve"> is to explore the viability of investing in a series of city-wide greenways to improve the connectivity, accessibility and the functionality of the </w:t>
      </w:r>
      <w:r>
        <w:rPr>
          <w:rFonts w:ascii="Times New Roman" w:hAnsi="Times New Roman" w:cs="Times New Roman"/>
          <w:bCs/>
          <w:color w:val="000000"/>
          <w:sz w:val="22"/>
          <w:szCs w:val="22"/>
          <w:lang w:val="en-US"/>
        </w:rPr>
        <w:t>city’s infrastructure</w:t>
      </w:r>
      <w:r w:rsidR="00030442" w:rsidRPr="00030442">
        <w:rPr>
          <w:rFonts w:ascii="Times New Roman" w:hAnsi="Times New Roman" w:cs="Times New Roman"/>
          <w:bCs/>
          <w:color w:val="000000"/>
          <w:sz w:val="22"/>
          <w:szCs w:val="22"/>
          <w:lang w:val="en-US"/>
        </w:rPr>
        <w:t xml:space="preserve">. </w:t>
      </w:r>
      <w:r>
        <w:rPr>
          <w:rFonts w:ascii="Times New Roman" w:hAnsi="Times New Roman" w:cs="Times New Roman"/>
          <w:bCs/>
          <w:color w:val="000000"/>
          <w:sz w:val="22"/>
          <w:szCs w:val="22"/>
          <w:lang w:val="en-US"/>
        </w:rPr>
        <w:t>This reflects</w:t>
      </w:r>
      <w:r w:rsidR="00030442" w:rsidRPr="00030442">
        <w:rPr>
          <w:rFonts w:ascii="Times New Roman" w:hAnsi="Times New Roman" w:cs="Times New Roman"/>
          <w:bCs/>
          <w:color w:val="000000"/>
          <w:sz w:val="22"/>
          <w:szCs w:val="22"/>
          <w:lang w:val="en-US"/>
        </w:rPr>
        <w:t xml:space="preserve"> on the </w:t>
      </w:r>
      <w:r>
        <w:rPr>
          <w:rFonts w:ascii="Times New Roman" w:hAnsi="Times New Roman" w:cs="Times New Roman"/>
          <w:bCs/>
          <w:color w:val="000000"/>
          <w:sz w:val="22"/>
          <w:szCs w:val="22"/>
          <w:lang w:val="en-US"/>
        </w:rPr>
        <w:t>ongoing discussions of greenway</w:t>
      </w:r>
      <w:r w:rsidR="00030442" w:rsidRPr="00030442">
        <w:rPr>
          <w:rFonts w:ascii="Times New Roman" w:hAnsi="Times New Roman" w:cs="Times New Roman"/>
          <w:bCs/>
          <w:color w:val="000000"/>
          <w:sz w:val="22"/>
          <w:szCs w:val="22"/>
          <w:lang w:val="en-US"/>
        </w:rPr>
        <w:t xml:space="preserve"> development </w:t>
      </w:r>
      <w:r>
        <w:rPr>
          <w:rFonts w:ascii="Times New Roman" w:hAnsi="Times New Roman" w:cs="Times New Roman"/>
          <w:bCs/>
          <w:color w:val="000000"/>
          <w:sz w:val="22"/>
          <w:szCs w:val="22"/>
          <w:lang w:val="en-US"/>
        </w:rPr>
        <w:t xml:space="preserve">and the </w:t>
      </w:r>
      <w:r w:rsidR="00030442" w:rsidRPr="00030442">
        <w:rPr>
          <w:rFonts w:ascii="Times New Roman" w:hAnsi="Times New Roman" w:cs="Times New Roman"/>
          <w:bCs/>
          <w:color w:val="000000"/>
          <w:sz w:val="22"/>
          <w:szCs w:val="22"/>
          <w:lang w:val="en-US"/>
        </w:rPr>
        <w:t xml:space="preserve">possibilities </w:t>
      </w:r>
      <w:r>
        <w:rPr>
          <w:rFonts w:ascii="Times New Roman" w:hAnsi="Times New Roman" w:cs="Times New Roman"/>
          <w:bCs/>
          <w:color w:val="000000"/>
          <w:sz w:val="22"/>
          <w:szCs w:val="22"/>
          <w:lang w:val="en-US"/>
        </w:rPr>
        <w:t xml:space="preserve">afforded by their </w:t>
      </w:r>
      <w:r w:rsidR="00030442" w:rsidRPr="00030442">
        <w:rPr>
          <w:rFonts w:ascii="Times New Roman" w:hAnsi="Times New Roman" w:cs="Times New Roman"/>
          <w:bCs/>
          <w:color w:val="000000"/>
          <w:sz w:val="22"/>
          <w:szCs w:val="22"/>
          <w:lang w:val="en-US"/>
        </w:rPr>
        <w:t xml:space="preserve">investment, as well as, the political/institutional and socio-economic barriers which limit </w:t>
      </w:r>
      <w:r>
        <w:rPr>
          <w:rFonts w:ascii="Times New Roman" w:hAnsi="Times New Roman" w:cs="Times New Roman"/>
          <w:bCs/>
          <w:color w:val="000000"/>
          <w:sz w:val="22"/>
          <w:szCs w:val="22"/>
          <w:lang w:val="en-US"/>
        </w:rPr>
        <w:t xml:space="preserve">their </w:t>
      </w:r>
      <w:r w:rsidR="00030442" w:rsidRPr="00030442">
        <w:rPr>
          <w:rFonts w:ascii="Times New Roman" w:hAnsi="Times New Roman" w:cs="Times New Roman"/>
          <w:bCs/>
          <w:color w:val="000000"/>
          <w:sz w:val="22"/>
          <w:szCs w:val="22"/>
          <w:lang w:val="en-US"/>
        </w:rPr>
        <w:t xml:space="preserve">delivery. </w:t>
      </w:r>
    </w:p>
    <w:p w:rsidR="00030442" w:rsidRPr="00030442" w:rsidRDefault="00030442" w:rsidP="00030442">
      <w:pPr>
        <w:rPr>
          <w:rFonts w:ascii="Times New Roman" w:hAnsi="Times New Roman" w:cs="Times New Roman"/>
          <w:bCs/>
          <w:color w:val="000000"/>
          <w:sz w:val="22"/>
          <w:szCs w:val="22"/>
          <w:lang w:val="en-US"/>
        </w:rPr>
      </w:pPr>
    </w:p>
    <w:p w:rsidR="00030442" w:rsidRPr="00030442" w:rsidRDefault="00030442" w:rsidP="00030442">
      <w:pPr>
        <w:rPr>
          <w:rFonts w:ascii="Times New Roman" w:hAnsi="Times New Roman" w:cs="Times New Roman"/>
          <w:b/>
          <w:bCs/>
          <w:color w:val="000000"/>
          <w:sz w:val="22"/>
          <w:szCs w:val="22"/>
          <w:lang w:val="en-US"/>
        </w:rPr>
      </w:pPr>
      <w:r w:rsidRPr="00030442">
        <w:rPr>
          <w:rFonts w:ascii="Times New Roman" w:hAnsi="Times New Roman" w:cs="Times New Roman"/>
          <w:b/>
          <w:bCs/>
          <w:color w:val="000000"/>
          <w:sz w:val="22"/>
          <w:szCs w:val="22"/>
          <w:lang w:val="en-US"/>
        </w:rPr>
        <w:t xml:space="preserve">4. Method(s) </w:t>
      </w:r>
    </w:p>
    <w:p w:rsidR="00030442" w:rsidRDefault="00030442" w:rsidP="00030442">
      <w:pPr>
        <w:rPr>
          <w:rFonts w:ascii="Times New Roman" w:hAnsi="Times New Roman" w:cs="Times New Roman"/>
          <w:bCs/>
          <w:color w:val="000000"/>
          <w:sz w:val="22"/>
          <w:szCs w:val="22"/>
          <w:lang w:val="en-US"/>
        </w:rPr>
      </w:pPr>
      <w:r w:rsidRPr="00030442">
        <w:rPr>
          <w:rFonts w:ascii="Times New Roman" w:hAnsi="Times New Roman" w:cs="Times New Roman"/>
          <w:bCs/>
          <w:color w:val="000000"/>
          <w:sz w:val="22"/>
          <w:szCs w:val="22"/>
          <w:lang w:val="en-US"/>
        </w:rPr>
        <w:t xml:space="preserve">An assessment of whether green corridors are a viable investment option is currently being discussed through the </w:t>
      </w:r>
      <w:r w:rsidR="00AA236A">
        <w:rPr>
          <w:rFonts w:ascii="Times New Roman" w:hAnsi="Times New Roman" w:cs="Times New Roman"/>
          <w:bCs/>
          <w:color w:val="000000"/>
          <w:sz w:val="22"/>
          <w:szCs w:val="22"/>
          <w:lang w:val="en-US"/>
        </w:rPr>
        <w:t>LG&amp;OSR</w:t>
      </w:r>
      <w:r w:rsidRPr="00030442">
        <w:rPr>
          <w:rFonts w:ascii="Times New Roman" w:hAnsi="Times New Roman" w:cs="Times New Roman"/>
          <w:bCs/>
          <w:color w:val="000000"/>
          <w:sz w:val="22"/>
          <w:szCs w:val="22"/>
          <w:lang w:val="en-US"/>
        </w:rPr>
        <w:t xml:space="preserve"> process. The LG&amp;OSR interim report </w:t>
      </w:r>
      <w:r w:rsidR="00304E12">
        <w:rPr>
          <w:rFonts w:ascii="Times New Roman" w:hAnsi="Times New Roman" w:cs="Times New Roman"/>
          <w:bCs/>
          <w:color w:val="000000"/>
          <w:sz w:val="22"/>
          <w:szCs w:val="22"/>
          <w:lang w:val="en-US"/>
        </w:rPr>
        <w:t xml:space="preserve">proposed </w:t>
      </w:r>
      <w:r w:rsidRPr="00030442">
        <w:rPr>
          <w:rFonts w:ascii="Times New Roman" w:hAnsi="Times New Roman" w:cs="Times New Roman"/>
          <w:bCs/>
          <w:color w:val="000000"/>
          <w:sz w:val="22"/>
          <w:szCs w:val="22"/>
          <w:lang w:val="en-US"/>
        </w:rPr>
        <w:t xml:space="preserve">a series of corridors that could be developed to improve access and connectivity to green space. The corridors </w:t>
      </w:r>
      <w:r w:rsidR="00304E12">
        <w:rPr>
          <w:rFonts w:ascii="Times New Roman" w:hAnsi="Times New Roman" w:cs="Times New Roman"/>
          <w:bCs/>
          <w:color w:val="000000"/>
          <w:sz w:val="22"/>
          <w:szCs w:val="22"/>
          <w:lang w:val="en-US"/>
        </w:rPr>
        <w:t xml:space="preserve">were </w:t>
      </w:r>
      <w:r w:rsidRPr="00030442">
        <w:rPr>
          <w:rFonts w:ascii="Times New Roman" w:hAnsi="Times New Roman" w:cs="Times New Roman"/>
          <w:bCs/>
          <w:color w:val="000000"/>
          <w:sz w:val="22"/>
          <w:szCs w:val="22"/>
          <w:lang w:val="en-US"/>
        </w:rPr>
        <w:t xml:space="preserve">identified using </w:t>
      </w:r>
      <w:r w:rsidR="00304E12">
        <w:rPr>
          <w:rFonts w:ascii="Times New Roman" w:hAnsi="Times New Roman" w:cs="Times New Roman"/>
          <w:bCs/>
          <w:color w:val="000000"/>
          <w:sz w:val="22"/>
          <w:szCs w:val="22"/>
          <w:lang w:val="en-US"/>
        </w:rPr>
        <w:t>GIS</w:t>
      </w:r>
      <w:r w:rsidRPr="00030442">
        <w:rPr>
          <w:rFonts w:ascii="Times New Roman" w:hAnsi="Times New Roman" w:cs="Times New Roman"/>
          <w:bCs/>
          <w:color w:val="000000"/>
          <w:sz w:val="22"/>
          <w:szCs w:val="22"/>
          <w:lang w:val="en-US"/>
        </w:rPr>
        <w:t xml:space="preserve"> datasets including linear corridors (i.e. PRoW, cycle routes, and long-distance footpaths) to </w:t>
      </w:r>
      <w:r w:rsidR="00304E12">
        <w:rPr>
          <w:rFonts w:ascii="Times New Roman" w:hAnsi="Times New Roman" w:cs="Times New Roman"/>
          <w:bCs/>
          <w:color w:val="000000"/>
          <w:sz w:val="22"/>
          <w:szCs w:val="22"/>
          <w:lang w:val="en-US"/>
        </w:rPr>
        <w:t xml:space="preserve">map </w:t>
      </w:r>
      <w:r w:rsidRPr="00030442">
        <w:rPr>
          <w:rFonts w:ascii="Times New Roman" w:hAnsi="Times New Roman" w:cs="Times New Roman"/>
          <w:bCs/>
          <w:color w:val="000000"/>
          <w:sz w:val="22"/>
          <w:szCs w:val="22"/>
          <w:lang w:val="en-US"/>
        </w:rPr>
        <w:t xml:space="preserve">existing resources, as well as deficits in the wider network. Further evidence was integrated from a city-wide site </w:t>
      </w:r>
      <w:r w:rsidR="00304E12">
        <w:rPr>
          <w:rFonts w:ascii="Times New Roman" w:hAnsi="Times New Roman" w:cs="Times New Roman"/>
          <w:bCs/>
          <w:color w:val="000000"/>
          <w:sz w:val="22"/>
          <w:szCs w:val="22"/>
          <w:lang w:val="en-US"/>
        </w:rPr>
        <w:t xml:space="preserve">green space </w:t>
      </w:r>
      <w:r w:rsidRPr="00030442">
        <w:rPr>
          <w:rFonts w:ascii="Times New Roman" w:hAnsi="Times New Roman" w:cs="Times New Roman"/>
          <w:bCs/>
          <w:color w:val="000000"/>
          <w:sz w:val="22"/>
          <w:szCs w:val="22"/>
          <w:lang w:val="en-US"/>
        </w:rPr>
        <w:t xml:space="preserve">analysis </w:t>
      </w:r>
      <w:r w:rsidR="00304E12">
        <w:rPr>
          <w:rFonts w:ascii="Times New Roman" w:hAnsi="Times New Roman" w:cs="Times New Roman"/>
          <w:bCs/>
          <w:color w:val="000000"/>
          <w:sz w:val="22"/>
          <w:szCs w:val="22"/>
          <w:lang w:val="en-US"/>
        </w:rPr>
        <w:t xml:space="preserve">to highlight </w:t>
      </w:r>
      <w:r w:rsidRPr="00030442">
        <w:rPr>
          <w:rFonts w:ascii="Times New Roman" w:hAnsi="Times New Roman" w:cs="Times New Roman"/>
          <w:bCs/>
          <w:color w:val="000000"/>
          <w:sz w:val="22"/>
          <w:szCs w:val="22"/>
          <w:lang w:val="en-US"/>
        </w:rPr>
        <w:t>proposed improve</w:t>
      </w:r>
      <w:r w:rsidR="00304E12">
        <w:rPr>
          <w:rFonts w:ascii="Times New Roman" w:hAnsi="Times New Roman" w:cs="Times New Roman"/>
          <w:bCs/>
          <w:color w:val="000000"/>
          <w:sz w:val="22"/>
          <w:szCs w:val="22"/>
          <w:lang w:val="en-US"/>
        </w:rPr>
        <w:t>ments in</w:t>
      </w:r>
      <w:r w:rsidRPr="00030442">
        <w:rPr>
          <w:rFonts w:ascii="Times New Roman" w:hAnsi="Times New Roman" w:cs="Times New Roman"/>
          <w:bCs/>
          <w:color w:val="000000"/>
          <w:sz w:val="22"/>
          <w:szCs w:val="22"/>
          <w:lang w:val="en-US"/>
        </w:rPr>
        <w:t xml:space="preserve"> the connectivity of </w:t>
      </w:r>
      <w:r w:rsidR="00304E12">
        <w:rPr>
          <w:rFonts w:ascii="Times New Roman" w:hAnsi="Times New Roman" w:cs="Times New Roman"/>
          <w:bCs/>
          <w:color w:val="000000"/>
          <w:sz w:val="22"/>
          <w:szCs w:val="22"/>
          <w:lang w:val="en-US"/>
        </w:rPr>
        <w:t xml:space="preserve">the </w:t>
      </w:r>
      <w:r w:rsidRPr="00030442">
        <w:rPr>
          <w:rFonts w:ascii="Times New Roman" w:hAnsi="Times New Roman" w:cs="Times New Roman"/>
          <w:bCs/>
          <w:color w:val="000000"/>
          <w:sz w:val="22"/>
          <w:szCs w:val="22"/>
          <w:lang w:val="en-US"/>
        </w:rPr>
        <w:t xml:space="preserve">green network. The location of each corridor has been linked to Liverpool’s network of Victorian parks which circle the city center and larger green infrastructure sites across the outer wards of the city. This has provided a dual spatial structure for the city </w:t>
      </w:r>
      <w:r w:rsidR="00304E12">
        <w:rPr>
          <w:rFonts w:ascii="Times New Roman" w:hAnsi="Times New Roman" w:cs="Times New Roman"/>
          <w:bCs/>
          <w:color w:val="000000"/>
          <w:sz w:val="22"/>
          <w:szCs w:val="22"/>
          <w:lang w:val="en-US"/>
        </w:rPr>
        <w:t>in a ‘</w:t>
      </w:r>
      <w:r w:rsidR="00304E12" w:rsidRPr="00304E12">
        <w:rPr>
          <w:rFonts w:ascii="Times New Roman" w:hAnsi="Times New Roman" w:cs="Times New Roman"/>
          <w:bCs/>
          <w:i/>
          <w:color w:val="000000"/>
          <w:sz w:val="22"/>
          <w:szCs w:val="22"/>
          <w:lang w:val="en-US"/>
        </w:rPr>
        <w:t>Green Wheel</w:t>
      </w:r>
      <w:r w:rsidR="00304E12">
        <w:rPr>
          <w:rFonts w:ascii="Times New Roman" w:hAnsi="Times New Roman" w:cs="Times New Roman"/>
          <w:bCs/>
          <w:color w:val="000000"/>
          <w:sz w:val="22"/>
          <w:szCs w:val="22"/>
          <w:lang w:val="en-US"/>
        </w:rPr>
        <w:t xml:space="preserve">’ of </w:t>
      </w:r>
      <w:r w:rsidRPr="00030442">
        <w:rPr>
          <w:rFonts w:ascii="Times New Roman" w:hAnsi="Times New Roman" w:cs="Times New Roman"/>
          <w:bCs/>
          <w:color w:val="000000"/>
          <w:sz w:val="22"/>
          <w:szCs w:val="22"/>
          <w:lang w:val="en-US"/>
        </w:rPr>
        <w:t>three rings circling the center</w:t>
      </w:r>
      <w:r w:rsidR="00304E12">
        <w:rPr>
          <w:rFonts w:ascii="Times New Roman" w:hAnsi="Times New Roman" w:cs="Times New Roman"/>
          <w:bCs/>
          <w:color w:val="000000"/>
          <w:sz w:val="22"/>
          <w:szCs w:val="22"/>
          <w:lang w:val="en-US"/>
        </w:rPr>
        <w:t>, the middle wards</w:t>
      </w:r>
      <w:r w:rsidRPr="00030442">
        <w:rPr>
          <w:rFonts w:ascii="Times New Roman" w:hAnsi="Times New Roman" w:cs="Times New Roman"/>
          <w:bCs/>
          <w:color w:val="000000"/>
          <w:sz w:val="22"/>
          <w:szCs w:val="22"/>
          <w:lang w:val="en-US"/>
        </w:rPr>
        <w:t xml:space="preserve"> and the periphery, and spurs radiating from the center to the city</w:t>
      </w:r>
      <w:r w:rsidR="00304E12">
        <w:rPr>
          <w:rFonts w:ascii="Times New Roman" w:hAnsi="Times New Roman" w:cs="Times New Roman"/>
          <w:bCs/>
          <w:color w:val="000000"/>
          <w:sz w:val="22"/>
          <w:szCs w:val="22"/>
          <w:lang w:val="en-US"/>
        </w:rPr>
        <w:t>’s boundary</w:t>
      </w:r>
      <w:r w:rsidRPr="00030442">
        <w:rPr>
          <w:rFonts w:ascii="Times New Roman" w:hAnsi="Times New Roman" w:cs="Times New Roman"/>
          <w:bCs/>
          <w:color w:val="000000"/>
          <w:sz w:val="22"/>
          <w:szCs w:val="22"/>
          <w:lang w:val="en-US"/>
        </w:rPr>
        <w:t xml:space="preserve">. </w:t>
      </w:r>
    </w:p>
    <w:p w:rsidR="00304E12" w:rsidRDefault="00304E12" w:rsidP="00030442">
      <w:pPr>
        <w:rPr>
          <w:rFonts w:ascii="Times New Roman" w:hAnsi="Times New Roman" w:cs="Times New Roman"/>
          <w:bCs/>
          <w:color w:val="000000"/>
          <w:sz w:val="22"/>
          <w:szCs w:val="22"/>
          <w:lang w:val="en-US"/>
        </w:rPr>
      </w:pPr>
    </w:p>
    <w:p w:rsidR="00030442" w:rsidRPr="00030442" w:rsidRDefault="00030442" w:rsidP="00030442">
      <w:pPr>
        <w:rPr>
          <w:rFonts w:ascii="Times New Roman" w:hAnsi="Times New Roman" w:cs="Times New Roman"/>
          <w:b/>
          <w:bCs/>
          <w:color w:val="000000"/>
          <w:sz w:val="22"/>
          <w:szCs w:val="22"/>
          <w:lang w:val="en-US"/>
        </w:rPr>
      </w:pPr>
      <w:r w:rsidRPr="00030442">
        <w:rPr>
          <w:rFonts w:ascii="Times New Roman" w:hAnsi="Times New Roman" w:cs="Times New Roman"/>
          <w:b/>
          <w:bCs/>
          <w:color w:val="000000"/>
          <w:sz w:val="22"/>
          <w:szCs w:val="22"/>
          <w:lang w:val="en-US"/>
        </w:rPr>
        <w:t xml:space="preserve">5. Discussion </w:t>
      </w:r>
    </w:p>
    <w:p w:rsidR="00030442" w:rsidRPr="00030442" w:rsidRDefault="00030442" w:rsidP="00030442">
      <w:pPr>
        <w:rPr>
          <w:rFonts w:ascii="Times New Roman" w:hAnsi="Times New Roman" w:cs="Times New Roman"/>
          <w:bCs/>
          <w:color w:val="000000"/>
          <w:sz w:val="22"/>
          <w:szCs w:val="22"/>
          <w:lang w:val="en-US"/>
        </w:rPr>
      </w:pPr>
      <w:r w:rsidRPr="00030442">
        <w:rPr>
          <w:rFonts w:ascii="Times New Roman" w:hAnsi="Times New Roman" w:cs="Times New Roman"/>
          <w:bCs/>
          <w:color w:val="000000"/>
          <w:sz w:val="22"/>
          <w:szCs w:val="22"/>
          <w:lang w:val="en-US"/>
        </w:rPr>
        <w:t xml:space="preserve">The outcomes of the proposed green corridors in Liverpool are still unknown. Currently, the green corridor network </w:t>
      </w:r>
      <w:r w:rsidR="00304E12">
        <w:rPr>
          <w:rFonts w:ascii="Times New Roman" w:hAnsi="Times New Roman" w:cs="Times New Roman"/>
          <w:bCs/>
          <w:color w:val="000000"/>
          <w:sz w:val="22"/>
          <w:szCs w:val="22"/>
          <w:lang w:val="en-US"/>
        </w:rPr>
        <w:t>is</w:t>
      </w:r>
      <w:r w:rsidRPr="00030442">
        <w:rPr>
          <w:rFonts w:ascii="Times New Roman" w:hAnsi="Times New Roman" w:cs="Times New Roman"/>
          <w:bCs/>
          <w:color w:val="000000"/>
          <w:sz w:val="22"/>
          <w:szCs w:val="22"/>
          <w:lang w:val="en-US"/>
        </w:rPr>
        <w:t xml:space="preserve"> being consulted upon to assess whether local communities, developers and businesses would financially support investment in these networks. The network is also being discussed as part of the draft Local Plan preparations and it has been suggested that it will be used as part of the evidence base to support strategic </w:t>
      </w:r>
      <w:r w:rsidR="00304E12">
        <w:rPr>
          <w:rFonts w:ascii="Times New Roman" w:hAnsi="Times New Roman" w:cs="Times New Roman"/>
          <w:bCs/>
          <w:color w:val="000000"/>
          <w:sz w:val="22"/>
          <w:szCs w:val="22"/>
          <w:lang w:val="en-US"/>
        </w:rPr>
        <w:t xml:space="preserve">GI </w:t>
      </w:r>
      <w:r w:rsidRPr="00030442">
        <w:rPr>
          <w:rFonts w:ascii="Times New Roman" w:hAnsi="Times New Roman" w:cs="Times New Roman"/>
          <w:bCs/>
          <w:color w:val="000000"/>
          <w:sz w:val="22"/>
          <w:szCs w:val="22"/>
          <w:lang w:val="en-US"/>
        </w:rPr>
        <w:t xml:space="preserve">investment across Liverpool. Below is an initial evaluation of these issues which will be extended over the coming years.  </w:t>
      </w:r>
    </w:p>
    <w:p w:rsidR="00D40A76" w:rsidRDefault="00D40A76" w:rsidP="00030442">
      <w:pPr>
        <w:rPr>
          <w:rFonts w:ascii="Times New Roman" w:hAnsi="Times New Roman" w:cs="Times New Roman"/>
          <w:b/>
          <w:bCs/>
          <w:color w:val="000000"/>
          <w:sz w:val="22"/>
          <w:szCs w:val="22"/>
          <w:lang w:val="en-US"/>
        </w:rPr>
      </w:pPr>
    </w:p>
    <w:p w:rsidR="00030442" w:rsidRPr="00030442" w:rsidRDefault="00030442" w:rsidP="00030442">
      <w:pPr>
        <w:rPr>
          <w:rFonts w:ascii="Times New Roman" w:hAnsi="Times New Roman" w:cs="Times New Roman"/>
          <w:b/>
          <w:bCs/>
          <w:color w:val="000000"/>
          <w:sz w:val="22"/>
          <w:szCs w:val="22"/>
          <w:lang w:val="en-US"/>
        </w:rPr>
      </w:pPr>
      <w:r>
        <w:rPr>
          <w:rFonts w:ascii="Times New Roman" w:hAnsi="Times New Roman" w:cs="Times New Roman"/>
          <w:b/>
          <w:bCs/>
          <w:color w:val="000000"/>
          <w:sz w:val="22"/>
          <w:szCs w:val="22"/>
          <w:lang w:val="en-US"/>
        </w:rPr>
        <w:t xml:space="preserve">5.1. </w:t>
      </w:r>
      <w:r w:rsidRPr="00030442">
        <w:rPr>
          <w:rFonts w:ascii="Times New Roman" w:hAnsi="Times New Roman" w:cs="Times New Roman"/>
          <w:b/>
          <w:bCs/>
          <w:color w:val="000000"/>
          <w:sz w:val="22"/>
          <w:szCs w:val="22"/>
          <w:lang w:val="en-US"/>
        </w:rPr>
        <w:t>Developing the green corridors</w:t>
      </w:r>
    </w:p>
    <w:p w:rsidR="00030442" w:rsidRDefault="00030442" w:rsidP="00030442">
      <w:pPr>
        <w:rPr>
          <w:rFonts w:ascii="Times New Roman" w:hAnsi="Times New Roman" w:cs="Times New Roman"/>
          <w:bCs/>
          <w:color w:val="000000"/>
          <w:sz w:val="22"/>
          <w:szCs w:val="22"/>
          <w:lang w:val="en-US"/>
        </w:rPr>
      </w:pPr>
      <w:r w:rsidRPr="00030442">
        <w:rPr>
          <w:rFonts w:ascii="Times New Roman" w:hAnsi="Times New Roman" w:cs="Times New Roman"/>
          <w:bCs/>
          <w:color w:val="000000"/>
          <w:sz w:val="22"/>
          <w:szCs w:val="22"/>
          <w:lang w:val="en-US"/>
        </w:rPr>
        <w:t>A wide range of benefits have been discussed as being associated with the development of green corridors across Liverpool. These include the added social benefits of access to landscape resources, the ecological benefits of integrating habitats through linear corridors to form a supportive network, as well as the economic values of creating a more attractive, and therefore, viable development environment for investment. An initial assessment of the added-</w:t>
      </w:r>
      <w:r w:rsidRPr="00030442">
        <w:rPr>
          <w:rFonts w:ascii="Times New Roman" w:hAnsi="Times New Roman" w:cs="Times New Roman"/>
          <w:bCs/>
          <w:color w:val="000000"/>
          <w:sz w:val="22"/>
          <w:szCs w:val="22"/>
          <w:lang w:val="en-US"/>
        </w:rPr>
        <w:lastRenderedPageBreak/>
        <w:t>value that green corridors can provide is noted in Table 2</w:t>
      </w:r>
      <w:r w:rsidRPr="00030442">
        <w:rPr>
          <w:rStyle w:val="FootnoteReference"/>
          <w:rFonts w:ascii="Times New Roman" w:hAnsi="Times New Roman" w:cs="Times New Roman"/>
          <w:bCs/>
          <w:color w:val="000000"/>
          <w:sz w:val="22"/>
          <w:szCs w:val="22"/>
          <w:lang w:val="en-US"/>
        </w:rPr>
        <w:footnoteReference w:id="3"/>
      </w:r>
      <w:r w:rsidRPr="00030442">
        <w:rPr>
          <w:rFonts w:ascii="Times New Roman" w:hAnsi="Times New Roman" w:cs="Times New Roman"/>
          <w:bCs/>
          <w:color w:val="000000"/>
          <w:sz w:val="22"/>
          <w:szCs w:val="22"/>
          <w:lang w:val="en-US"/>
        </w:rPr>
        <w:t xml:space="preserve">. </w:t>
      </w:r>
    </w:p>
    <w:p w:rsidR="00030442" w:rsidRDefault="00030442" w:rsidP="00030442">
      <w:pPr>
        <w:rPr>
          <w:rFonts w:ascii="Times New Roman" w:hAnsi="Times New Roman" w:cs="Times New Roman"/>
          <w:bCs/>
          <w:color w:val="000000"/>
          <w:sz w:val="22"/>
          <w:szCs w:val="22"/>
          <w:lang w:val="en-US"/>
        </w:rPr>
      </w:pPr>
    </w:p>
    <w:p w:rsidR="00D70C99" w:rsidRPr="00030442" w:rsidRDefault="00D70C99" w:rsidP="00D70C99">
      <w:pPr>
        <w:jc w:val="center"/>
        <w:rPr>
          <w:rFonts w:ascii="Times New Roman" w:hAnsi="Times New Roman" w:cs="Times New Roman"/>
          <w:b/>
          <w:bCs/>
          <w:color w:val="000000"/>
          <w:sz w:val="22"/>
          <w:szCs w:val="22"/>
          <w:lang w:val="en-US"/>
        </w:rPr>
      </w:pPr>
      <w:r w:rsidRPr="00030442">
        <w:rPr>
          <w:rFonts w:ascii="Times New Roman" w:hAnsi="Times New Roman" w:cs="Times New Roman"/>
          <w:b/>
          <w:bCs/>
          <w:color w:val="000000"/>
          <w:sz w:val="22"/>
          <w:szCs w:val="22"/>
          <w:lang w:val="en-US"/>
        </w:rPr>
        <w:t xml:space="preserve">Table 2. </w:t>
      </w:r>
      <w:r w:rsidR="00A7178B">
        <w:rPr>
          <w:rFonts w:ascii="Times New Roman" w:hAnsi="Times New Roman" w:cs="Times New Roman"/>
          <w:b/>
          <w:bCs/>
          <w:color w:val="000000"/>
          <w:sz w:val="22"/>
          <w:szCs w:val="22"/>
          <w:lang w:val="en-US"/>
        </w:rPr>
        <w:t>B</w:t>
      </w:r>
      <w:r w:rsidRPr="00030442">
        <w:rPr>
          <w:rFonts w:ascii="Times New Roman" w:hAnsi="Times New Roman" w:cs="Times New Roman"/>
          <w:b/>
          <w:bCs/>
          <w:color w:val="000000"/>
          <w:sz w:val="22"/>
          <w:szCs w:val="22"/>
          <w:lang w:val="en-US"/>
        </w:rPr>
        <w:t>enefits of investment in green corridors in Liverpool</w:t>
      </w:r>
    </w:p>
    <w:p w:rsidR="00D70C99" w:rsidRPr="00030442" w:rsidRDefault="00D70C99" w:rsidP="00D70C99">
      <w:pPr>
        <w:rPr>
          <w:rFonts w:ascii="Times New Roman" w:hAnsi="Times New Roman" w:cs="Times New Roman"/>
          <w:bCs/>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230"/>
        <w:gridCol w:w="2538"/>
      </w:tblGrid>
      <w:tr w:rsidR="00D70C99" w:rsidRPr="00043F90" w:rsidTr="00353D1D">
        <w:tc>
          <w:tcPr>
            <w:tcW w:w="3207" w:type="dxa"/>
            <w:shd w:val="clear" w:color="auto" w:fill="auto"/>
          </w:tcPr>
          <w:p w:rsidR="00D70C99" w:rsidRPr="00043F90" w:rsidRDefault="00D70C99" w:rsidP="00353D1D">
            <w:pPr>
              <w:jc w:val="center"/>
              <w:rPr>
                <w:rFonts w:ascii="Times New Roman" w:hAnsi="Times New Roman" w:cs="Times New Roman"/>
                <w:b/>
                <w:bCs/>
                <w:color w:val="000000"/>
                <w:sz w:val="16"/>
                <w:szCs w:val="16"/>
                <w:lang w:val="en-US"/>
              </w:rPr>
            </w:pPr>
            <w:r w:rsidRPr="00043F90">
              <w:rPr>
                <w:rFonts w:ascii="Times New Roman" w:hAnsi="Times New Roman" w:cs="Times New Roman"/>
                <w:b/>
                <w:bCs/>
                <w:color w:val="000000"/>
                <w:sz w:val="16"/>
                <w:szCs w:val="16"/>
                <w:lang w:val="en-US"/>
              </w:rPr>
              <w:t>Social</w:t>
            </w:r>
          </w:p>
        </w:tc>
        <w:tc>
          <w:tcPr>
            <w:tcW w:w="3207" w:type="dxa"/>
            <w:shd w:val="clear" w:color="auto" w:fill="auto"/>
          </w:tcPr>
          <w:p w:rsidR="00D70C99" w:rsidRPr="00043F90" w:rsidRDefault="00D70C99" w:rsidP="00353D1D">
            <w:pPr>
              <w:jc w:val="center"/>
              <w:rPr>
                <w:rFonts w:ascii="Times New Roman" w:hAnsi="Times New Roman" w:cs="Times New Roman"/>
                <w:b/>
                <w:bCs/>
                <w:color w:val="000000"/>
                <w:sz w:val="16"/>
                <w:szCs w:val="16"/>
                <w:lang w:val="en-US"/>
              </w:rPr>
            </w:pPr>
            <w:r w:rsidRPr="00043F90">
              <w:rPr>
                <w:rFonts w:ascii="Times New Roman" w:hAnsi="Times New Roman" w:cs="Times New Roman"/>
                <w:b/>
                <w:bCs/>
                <w:color w:val="000000"/>
                <w:sz w:val="16"/>
                <w:szCs w:val="16"/>
                <w:lang w:val="en-US"/>
              </w:rPr>
              <w:t>Ecological</w:t>
            </w:r>
          </w:p>
        </w:tc>
        <w:tc>
          <w:tcPr>
            <w:tcW w:w="3208" w:type="dxa"/>
            <w:shd w:val="clear" w:color="auto" w:fill="auto"/>
          </w:tcPr>
          <w:p w:rsidR="00D70C99" w:rsidRPr="00043F90" w:rsidRDefault="00D70C99" w:rsidP="00353D1D">
            <w:pPr>
              <w:jc w:val="center"/>
              <w:rPr>
                <w:rFonts w:ascii="Times New Roman" w:hAnsi="Times New Roman" w:cs="Times New Roman"/>
                <w:b/>
                <w:bCs/>
                <w:color w:val="000000"/>
                <w:sz w:val="16"/>
                <w:szCs w:val="16"/>
                <w:lang w:val="en-US"/>
              </w:rPr>
            </w:pPr>
            <w:r w:rsidRPr="00043F90">
              <w:rPr>
                <w:rFonts w:ascii="Times New Roman" w:hAnsi="Times New Roman" w:cs="Times New Roman"/>
                <w:b/>
                <w:bCs/>
                <w:color w:val="000000"/>
                <w:sz w:val="16"/>
                <w:szCs w:val="16"/>
                <w:lang w:val="en-US"/>
              </w:rPr>
              <w:t>Economic</w:t>
            </w:r>
          </w:p>
        </w:tc>
      </w:tr>
      <w:tr w:rsidR="00D70C99" w:rsidRPr="00043F90" w:rsidTr="00353D1D">
        <w:tc>
          <w:tcPr>
            <w:tcW w:w="3207" w:type="dxa"/>
            <w:shd w:val="clear" w:color="auto" w:fill="auto"/>
          </w:tcPr>
          <w:p w:rsidR="00D70C99" w:rsidRPr="00043F90" w:rsidRDefault="00D70C99" w:rsidP="00353D1D">
            <w:pPr>
              <w:rPr>
                <w:rFonts w:ascii="Times New Roman" w:hAnsi="Times New Roman" w:cs="Times New Roman"/>
                <w:bCs/>
                <w:color w:val="000000"/>
                <w:sz w:val="16"/>
                <w:szCs w:val="16"/>
                <w:lang w:val="en-US"/>
              </w:rPr>
            </w:pPr>
            <w:r w:rsidRPr="00043F90">
              <w:rPr>
                <w:rFonts w:ascii="Times New Roman" w:hAnsi="Times New Roman" w:cs="Times New Roman"/>
                <w:bCs/>
                <w:color w:val="000000"/>
                <w:sz w:val="16"/>
                <w:szCs w:val="16"/>
                <w:lang w:val="en-US"/>
              </w:rPr>
              <w:t>- Access and connectivity</w:t>
            </w:r>
          </w:p>
          <w:p w:rsidR="00D70C99" w:rsidRPr="00043F90" w:rsidRDefault="00D70C99" w:rsidP="00353D1D">
            <w:pPr>
              <w:rPr>
                <w:rFonts w:ascii="Times New Roman" w:hAnsi="Times New Roman" w:cs="Times New Roman"/>
                <w:bCs/>
                <w:color w:val="000000"/>
                <w:sz w:val="16"/>
                <w:szCs w:val="16"/>
                <w:lang w:val="en-US"/>
              </w:rPr>
            </w:pPr>
            <w:r w:rsidRPr="00043F90">
              <w:rPr>
                <w:rFonts w:ascii="Times New Roman" w:hAnsi="Times New Roman" w:cs="Times New Roman"/>
                <w:bCs/>
                <w:color w:val="000000"/>
                <w:sz w:val="16"/>
                <w:szCs w:val="16"/>
                <w:lang w:val="en-US"/>
              </w:rPr>
              <w:t>- New resources to use for local people, wildlife</w:t>
            </w:r>
          </w:p>
          <w:p w:rsidR="00D70C99" w:rsidRPr="00043F90" w:rsidRDefault="00D70C99" w:rsidP="00353D1D">
            <w:pPr>
              <w:rPr>
                <w:rFonts w:ascii="Times New Roman" w:hAnsi="Times New Roman" w:cs="Times New Roman"/>
                <w:bCs/>
                <w:color w:val="000000"/>
                <w:sz w:val="16"/>
                <w:szCs w:val="16"/>
                <w:lang w:val="en-US"/>
              </w:rPr>
            </w:pPr>
            <w:r w:rsidRPr="00043F90">
              <w:rPr>
                <w:rFonts w:ascii="Times New Roman" w:hAnsi="Times New Roman" w:cs="Times New Roman"/>
                <w:bCs/>
                <w:color w:val="000000"/>
                <w:sz w:val="16"/>
                <w:szCs w:val="16"/>
                <w:lang w:val="en-US"/>
              </w:rPr>
              <w:t>- Sustainable transport</w:t>
            </w:r>
          </w:p>
          <w:p w:rsidR="00D70C99" w:rsidRPr="00043F90" w:rsidRDefault="00D70C99" w:rsidP="00353D1D">
            <w:pPr>
              <w:rPr>
                <w:rFonts w:ascii="Times New Roman" w:hAnsi="Times New Roman" w:cs="Times New Roman"/>
                <w:bCs/>
                <w:color w:val="000000"/>
                <w:sz w:val="16"/>
                <w:szCs w:val="16"/>
                <w:lang w:val="en-US"/>
              </w:rPr>
            </w:pPr>
            <w:r w:rsidRPr="00043F90">
              <w:rPr>
                <w:rFonts w:ascii="Times New Roman" w:hAnsi="Times New Roman" w:cs="Times New Roman"/>
                <w:bCs/>
                <w:color w:val="000000"/>
                <w:sz w:val="16"/>
                <w:szCs w:val="16"/>
                <w:lang w:val="en-US"/>
              </w:rPr>
              <w:t>- Local engagement and informal management – social/civic responsibility</w:t>
            </w:r>
          </w:p>
          <w:p w:rsidR="00D70C99" w:rsidRPr="00043F90" w:rsidRDefault="00D70C99" w:rsidP="00353D1D">
            <w:pPr>
              <w:rPr>
                <w:rFonts w:ascii="Times New Roman" w:hAnsi="Times New Roman" w:cs="Times New Roman"/>
                <w:bCs/>
                <w:color w:val="000000"/>
                <w:sz w:val="16"/>
                <w:szCs w:val="16"/>
                <w:lang w:val="en-US"/>
              </w:rPr>
            </w:pPr>
            <w:r w:rsidRPr="00043F90">
              <w:rPr>
                <w:rFonts w:ascii="Times New Roman" w:hAnsi="Times New Roman" w:cs="Times New Roman"/>
                <w:bCs/>
                <w:color w:val="000000"/>
                <w:sz w:val="16"/>
                <w:szCs w:val="16"/>
                <w:lang w:val="en-US"/>
              </w:rPr>
              <w:t>- Improved landscape/aesthetic quality (livability)</w:t>
            </w:r>
          </w:p>
          <w:p w:rsidR="00D70C99" w:rsidRPr="00043F90" w:rsidRDefault="00D70C99" w:rsidP="00353D1D">
            <w:pPr>
              <w:rPr>
                <w:rFonts w:ascii="Times New Roman" w:hAnsi="Times New Roman" w:cs="Times New Roman"/>
                <w:bCs/>
                <w:color w:val="000000"/>
                <w:sz w:val="16"/>
                <w:szCs w:val="16"/>
                <w:lang w:val="en-US"/>
              </w:rPr>
            </w:pPr>
          </w:p>
          <w:p w:rsidR="00D70C99" w:rsidRPr="00043F90" w:rsidRDefault="00D70C99" w:rsidP="00353D1D">
            <w:pPr>
              <w:rPr>
                <w:rFonts w:ascii="Times New Roman" w:hAnsi="Times New Roman" w:cs="Times New Roman"/>
                <w:bCs/>
                <w:color w:val="000000"/>
                <w:sz w:val="16"/>
                <w:szCs w:val="16"/>
                <w:lang w:val="en-US"/>
              </w:rPr>
            </w:pPr>
          </w:p>
        </w:tc>
        <w:tc>
          <w:tcPr>
            <w:tcW w:w="3207" w:type="dxa"/>
            <w:shd w:val="clear" w:color="auto" w:fill="auto"/>
          </w:tcPr>
          <w:p w:rsidR="00D70C99" w:rsidRPr="00043F90" w:rsidRDefault="00D70C99" w:rsidP="00353D1D">
            <w:pPr>
              <w:rPr>
                <w:rFonts w:ascii="Times New Roman" w:hAnsi="Times New Roman" w:cs="Times New Roman"/>
                <w:bCs/>
                <w:color w:val="000000"/>
                <w:sz w:val="16"/>
                <w:szCs w:val="16"/>
                <w:lang w:val="en-US"/>
              </w:rPr>
            </w:pPr>
            <w:r w:rsidRPr="00043F90">
              <w:rPr>
                <w:rFonts w:ascii="Times New Roman" w:hAnsi="Times New Roman" w:cs="Times New Roman"/>
                <w:bCs/>
                <w:color w:val="000000"/>
                <w:sz w:val="16"/>
                <w:szCs w:val="16"/>
                <w:lang w:val="en-US"/>
              </w:rPr>
              <w:t>- Access and connectivity</w:t>
            </w:r>
          </w:p>
          <w:p w:rsidR="00D70C99" w:rsidRPr="00043F90" w:rsidRDefault="00D70C99" w:rsidP="00353D1D">
            <w:pPr>
              <w:rPr>
                <w:rFonts w:ascii="Times New Roman" w:hAnsi="Times New Roman" w:cs="Times New Roman"/>
                <w:bCs/>
                <w:color w:val="000000"/>
                <w:sz w:val="16"/>
                <w:szCs w:val="16"/>
                <w:lang w:val="en-US"/>
              </w:rPr>
            </w:pPr>
            <w:r w:rsidRPr="00043F90">
              <w:rPr>
                <w:rFonts w:ascii="Times New Roman" w:hAnsi="Times New Roman" w:cs="Times New Roman"/>
                <w:bCs/>
                <w:color w:val="000000"/>
                <w:sz w:val="16"/>
                <w:szCs w:val="16"/>
                <w:lang w:val="en-US"/>
              </w:rPr>
              <w:t>- New resources to use for local people, wildlife</w:t>
            </w:r>
          </w:p>
          <w:p w:rsidR="00D70C99" w:rsidRPr="00043F90" w:rsidRDefault="00D70C99" w:rsidP="00353D1D">
            <w:pPr>
              <w:rPr>
                <w:rFonts w:ascii="Times New Roman" w:hAnsi="Times New Roman" w:cs="Times New Roman"/>
                <w:bCs/>
                <w:color w:val="000000"/>
                <w:sz w:val="16"/>
                <w:szCs w:val="16"/>
                <w:lang w:val="en-US"/>
              </w:rPr>
            </w:pPr>
            <w:r w:rsidRPr="00043F90">
              <w:rPr>
                <w:rFonts w:ascii="Times New Roman" w:hAnsi="Times New Roman" w:cs="Times New Roman"/>
                <w:bCs/>
                <w:color w:val="000000"/>
                <w:sz w:val="16"/>
                <w:szCs w:val="16"/>
                <w:lang w:val="en-US"/>
              </w:rPr>
              <w:t xml:space="preserve">- Strategic corridors </w:t>
            </w:r>
          </w:p>
          <w:p w:rsidR="00D70C99" w:rsidRPr="00043F90" w:rsidRDefault="00D70C99" w:rsidP="00353D1D">
            <w:pPr>
              <w:rPr>
                <w:rFonts w:ascii="Times New Roman" w:hAnsi="Times New Roman" w:cs="Times New Roman"/>
                <w:bCs/>
                <w:color w:val="000000"/>
                <w:sz w:val="16"/>
                <w:szCs w:val="16"/>
                <w:lang w:val="en-US"/>
              </w:rPr>
            </w:pPr>
            <w:r w:rsidRPr="00043F90">
              <w:rPr>
                <w:rFonts w:ascii="Times New Roman" w:hAnsi="Times New Roman" w:cs="Times New Roman"/>
                <w:bCs/>
                <w:color w:val="000000"/>
                <w:sz w:val="16"/>
                <w:szCs w:val="16"/>
                <w:lang w:val="en-US"/>
              </w:rPr>
              <w:t xml:space="preserve">- Climate change </w:t>
            </w:r>
          </w:p>
          <w:p w:rsidR="00D70C99" w:rsidRPr="00043F90" w:rsidRDefault="00D70C99" w:rsidP="00353D1D">
            <w:pPr>
              <w:rPr>
                <w:rFonts w:ascii="Times New Roman" w:hAnsi="Times New Roman" w:cs="Times New Roman"/>
                <w:bCs/>
                <w:color w:val="000000"/>
                <w:sz w:val="16"/>
                <w:szCs w:val="16"/>
                <w:lang w:val="en-US"/>
              </w:rPr>
            </w:pPr>
          </w:p>
        </w:tc>
        <w:tc>
          <w:tcPr>
            <w:tcW w:w="3208" w:type="dxa"/>
            <w:shd w:val="clear" w:color="auto" w:fill="auto"/>
          </w:tcPr>
          <w:p w:rsidR="00D70C99" w:rsidRPr="00043F90" w:rsidRDefault="00D70C99" w:rsidP="00353D1D">
            <w:pPr>
              <w:rPr>
                <w:rFonts w:ascii="Times New Roman" w:hAnsi="Times New Roman" w:cs="Times New Roman"/>
                <w:bCs/>
                <w:color w:val="000000"/>
                <w:sz w:val="16"/>
                <w:szCs w:val="16"/>
                <w:lang w:val="en-US"/>
              </w:rPr>
            </w:pPr>
            <w:r w:rsidRPr="00043F90">
              <w:rPr>
                <w:rFonts w:ascii="Times New Roman" w:hAnsi="Times New Roman" w:cs="Times New Roman"/>
                <w:bCs/>
                <w:color w:val="000000"/>
                <w:sz w:val="16"/>
                <w:szCs w:val="16"/>
                <w:lang w:val="en-US"/>
              </w:rPr>
              <w:t>- New resources to use for local people, wildlife</w:t>
            </w:r>
          </w:p>
          <w:p w:rsidR="00D70C99" w:rsidRPr="00043F90" w:rsidRDefault="00D70C99" w:rsidP="00353D1D">
            <w:pPr>
              <w:rPr>
                <w:rFonts w:ascii="Times New Roman" w:hAnsi="Times New Roman" w:cs="Times New Roman"/>
                <w:bCs/>
                <w:color w:val="000000"/>
                <w:sz w:val="16"/>
                <w:szCs w:val="16"/>
                <w:lang w:val="en-US"/>
              </w:rPr>
            </w:pPr>
            <w:r w:rsidRPr="00043F90">
              <w:rPr>
                <w:rFonts w:ascii="Times New Roman" w:hAnsi="Times New Roman" w:cs="Times New Roman"/>
                <w:bCs/>
                <w:color w:val="000000"/>
                <w:sz w:val="16"/>
                <w:szCs w:val="16"/>
                <w:lang w:val="en-US"/>
              </w:rPr>
              <w:t>- Sustainable transport</w:t>
            </w:r>
          </w:p>
          <w:p w:rsidR="00D70C99" w:rsidRPr="00043F90" w:rsidRDefault="00D70C99" w:rsidP="00353D1D">
            <w:pPr>
              <w:rPr>
                <w:rFonts w:ascii="Times New Roman" w:hAnsi="Times New Roman" w:cs="Times New Roman"/>
                <w:bCs/>
                <w:color w:val="000000"/>
                <w:sz w:val="16"/>
                <w:szCs w:val="16"/>
                <w:lang w:val="en-US"/>
              </w:rPr>
            </w:pPr>
            <w:r w:rsidRPr="00043F90">
              <w:rPr>
                <w:rFonts w:ascii="Times New Roman" w:hAnsi="Times New Roman" w:cs="Times New Roman"/>
                <w:bCs/>
                <w:color w:val="000000"/>
                <w:sz w:val="16"/>
                <w:szCs w:val="16"/>
                <w:lang w:val="en-US"/>
              </w:rPr>
              <w:t xml:space="preserve">- Climate change </w:t>
            </w:r>
          </w:p>
          <w:p w:rsidR="00D70C99" w:rsidRPr="00043F90" w:rsidRDefault="00D70C99" w:rsidP="00353D1D">
            <w:pPr>
              <w:rPr>
                <w:rFonts w:ascii="Times New Roman" w:hAnsi="Times New Roman" w:cs="Times New Roman"/>
                <w:bCs/>
                <w:color w:val="000000"/>
                <w:sz w:val="16"/>
                <w:szCs w:val="16"/>
                <w:lang w:val="en-US"/>
              </w:rPr>
            </w:pPr>
            <w:r w:rsidRPr="00043F90">
              <w:rPr>
                <w:rFonts w:ascii="Times New Roman" w:hAnsi="Times New Roman" w:cs="Times New Roman"/>
                <w:bCs/>
                <w:color w:val="000000"/>
                <w:sz w:val="16"/>
                <w:szCs w:val="16"/>
                <w:lang w:val="en-US"/>
              </w:rPr>
              <w:t>- Local engagement and informal management – social/civic responsibility</w:t>
            </w:r>
          </w:p>
          <w:p w:rsidR="00D70C99" w:rsidRPr="00043F90" w:rsidRDefault="00D70C99" w:rsidP="00353D1D">
            <w:pPr>
              <w:rPr>
                <w:rFonts w:ascii="Times New Roman" w:hAnsi="Times New Roman" w:cs="Times New Roman"/>
                <w:bCs/>
                <w:color w:val="000000"/>
                <w:sz w:val="16"/>
                <w:szCs w:val="16"/>
                <w:lang w:val="en-US"/>
              </w:rPr>
            </w:pPr>
            <w:r w:rsidRPr="00043F90">
              <w:rPr>
                <w:rFonts w:ascii="Times New Roman" w:hAnsi="Times New Roman" w:cs="Times New Roman"/>
                <w:bCs/>
                <w:color w:val="000000"/>
                <w:sz w:val="16"/>
                <w:szCs w:val="16"/>
                <w:lang w:val="en-US"/>
              </w:rPr>
              <w:t>- Improved landscape/aesthetic quality (economic uplift)</w:t>
            </w:r>
          </w:p>
          <w:p w:rsidR="00D70C99" w:rsidRPr="00043F90" w:rsidRDefault="00D70C99" w:rsidP="00353D1D">
            <w:pPr>
              <w:rPr>
                <w:rFonts w:ascii="Times New Roman" w:hAnsi="Times New Roman" w:cs="Times New Roman"/>
                <w:bCs/>
                <w:color w:val="000000"/>
                <w:sz w:val="16"/>
                <w:szCs w:val="16"/>
                <w:lang w:val="en-US"/>
              </w:rPr>
            </w:pPr>
            <w:r w:rsidRPr="00043F90">
              <w:rPr>
                <w:rFonts w:ascii="Times New Roman" w:hAnsi="Times New Roman" w:cs="Times New Roman"/>
                <w:bCs/>
                <w:color w:val="000000"/>
                <w:sz w:val="16"/>
                <w:szCs w:val="16"/>
                <w:lang w:val="en-US"/>
              </w:rPr>
              <w:t>- Improved/viable development in the city due to higher quality environment/landscape</w:t>
            </w:r>
          </w:p>
        </w:tc>
      </w:tr>
    </w:tbl>
    <w:p w:rsidR="00D70C99" w:rsidRDefault="00D70C99" w:rsidP="00030442">
      <w:pPr>
        <w:rPr>
          <w:rFonts w:ascii="Times New Roman" w:hAnsi="Times New Roman" w:cs="Times New Roman"/>
          <w:bCs/>
          <w:color w:val="000000"/>
          <w:sz w:val="22"/>
          <w:szCs w:val="22"/>
          <w:lang w:val="en-US"/>
        </w:rPr>
      </w:pPr>
    </w:p>
    <w:p w:rsidR="00030442" w:rsidRPr="00030442" w:rsidRDefault="00030442" w:rsidP="00030442">
      <w:pPr>
        <w:rPr>
          <w:rFonts w:ascii="Times New Roman" w:hAnsi="Times New Roman" w:cs="Times New Roman"/>
          <w:b/>
          <w:bCs/>
          <w:color w:val="000000"/>
          <w:sz w:val="22"/>
          <w:szCs w:val="22"/>
          <w:lang w:val="en-US"/>
        </w:rPr>
      </w:pPr>
      <w:r w:rsidRPr="00030442">
        <w:rPr>
          <w:rFonts w:ascii="Times New Roman" w:hAnsi="Times New Roman" w:cs="Times New Roman"/>
          <w:b/>
          <w:bCs/>
          <w:color w:val="000000"/>
          <w:sz w:val="22"/>
          <w:szCs w:val="22"/>
          <w:lang w:val="en-US"/>
        </w:rPr>
        <w:t>5.2. Institutional barriers to development</w:t>
      </w:r>
    </w:p>
    <w:p w:rsidR="00D70C99" w:rsidRDefault="00030442" w:rsidP="00030442">
      <w:pPr>
        <w:rPr>
          <w:rFonts w:ascii="Times New Roman" w:hAnsi="Times New Roman" w:cs="Times New Roman"/>
          <w:bCs/>
          <w:color w:val="000000"/>
          <w:sz w:val="22"/>
          <w:szCs w:val="22"/>
          <w:lang w:val="en-US"/>
        </w:rPr>
      </w:pPr>
      <w:r w:rsidRPr="00030442">
        <w:rPr>
          <w:rFonts w:ascii="Times New Roman" w:hAnsi="Times New Roman" w:cs="Times New Roman"/>
          <w:bCs/>
          <w:color w:val="000000"/>
          <w:sz w:val="22"/>
          <w:szCs w:val="22"/>
          <w:lang w:val="en-US"/>
        </w:rPr>
        <w:t xml:space="preserve">A series of institutional barriers were </w:t>
      </w:r>
      <w:r w:rsidR="00D70C99">
        <w:rPr>
          <w:rFonts w:ascii="Times New Roman" w:hAnsi="Times New Roman" w:cs="Times New Roman"/>
          <w:bCs/>
          <w:color w:val="000000"/>
          <w:sz w:val="22"/>
          <w:szCs w:val="22"/>
          <w:lang w:val="en-US"/>
        </w:rPr>
        <w:t xml:space="preserve">also </w:t>
      </w:r>
      <w:r w:rsidRPr="00030442">
        <w:rPr>
          <w:rFonts w:ascii="Times New Roman" w:hAnsi="Times New Roman" w:cs="Times New Roman"/>
          <w:bCs/>
          <w:color w:val="000000"/>
          <w:sz w:val="22"/>
          <w:szCs w:val="22"/>
          <w:lang w:val="en-US"/>
        </w:rPr>
        <w:t xml:space="preserve">identified within the </w:t>
      </w:r>
      <w:r w:rsidR="00D70C99">
        <w:rPr>
          <w:rFonts w:ascii="Times New Roman" w:hAnsi="Times New Roman" w:cs="Times New Roman"/>
          <w:bCs/>
          <w:color w:val="000000"/>
          <w:sz w:val="22"/>
          <w:szCs w:val="22"/>
          <w:lang w:val="en-US"/>
        </w:rPr>
        <w:t xml:space="preserve">proposals for the </w:t>
      </w:r>
      <w:r w:rsidRPr="00030442">
        <w:rPr>
          <w:rFonts w:ascii="Times New Roman" w:hAnsi="Times New Roman" w:cs="Times New Roman"/>
          <w:bCs/>
          <w:color w:val="000000"/>
          <w:sz w:val="22"/>
          <w:szCs w:val="22"/>
          <w:lang w:val="en-US"/>
        </w:rPr>
        <w:t>green corridor network which may influence deliv</w:t>
      </w:r>
      <w:r w:rsidR="00D70C99">
        <w:rPr>
          <w:rFonts w:ascii="Times New Roman" w:hAnsi="Times New Roman" w:cs="Times New Roman"/>
          <w:bCs/>
          <w:color w:val="000000"/>
          <w:sz w:val="22"/>
          <w:szCs w:val="22"/>
          <w:lang w:val="en-US"/>
        </w:rPr>
        <w:t>ery and include:</w:t>
      </w:r>
      <w:r w:rsidRPr="00030442">
        <w:rPr>
          <w:rFonts w:ascii="Times New Roman" w:hAnsi="Times New Roman" w:cs="Times New Roman"/>
          <w:bCs/>
          <w:color w:val="000000"/>
          <w:sz w:val="22"/>
          <w:szCs w:val="22"/>
          <w:lang w:val="en-US"/>
        </w:rPr>
        <w:t xml:space="preserve"> </w:t>
      </w:r>
      <w:r w:rsidR="001A7FA3" w:rsidRPr="001A7FA3">
        <w:rPr>
          <w:rFonts w:ascii="Times New Roman" w:hAnsi="Times New Roman"/>
          <w:bCs/>
          <w:i/>
          <w:color w:val="000000"/>
          <w:sz w:val="22"/>
          <w:szCs w:val="22"/>
          <w:lang w:val="en-US"/>
        </w:rPr>
        <w:t>a</w:t>
      </w:r>
      <w:r w:rsidRPr="001A7FA3">
        <w:rPr>
          <w:rFonts w:ascii="Times New Roman" w:hAnsi="Times New Roman"/>
          <w:bCs/>
          <w:i/>
          <w:color w:val="000000"/>
          <w:sz w:val="22"/>
          <w:szCs w:val="22"/>
          <w:lang w:val="en-US"/>
        </w:rPr>
        <w:t xml:space="preserve"> lack of political su</w:t>
      </w:r>
      <w:r w:rsidR="00D70C99" w:rsidRPr="001A7FA3">
        <w:rPr>
          <w:rFonts w:ascii="Times New Roman" w:hAnsi="Times New Roman"/>
          <w:bCs/>
          <w:i/>
          <w:color w:val="000000"/>
          <w:sz w:val="22"/>
          <w:szCs w:val="22"/>
          <w:lang w:val="en-US"/>
        </w:rPr>
        <w:t>pport to invest in green spaces/</w:t>
      </w:r>
      <w:r w:rsidR="001A7FA3" w:rsidRPr="001A7FA3">
        <w:rPr>
          <w:rFonts w:ascii="Times New Roman" w:hAnsi="Times New Roman"/>
          <w:bCs/>
          <w:i/>
          <w:color w:val="000000"/>
          <w:sz w:val="22"/>
          <w:szCs w:val="22"/>
          <w:lang w:val="en-US"/>
        </w:rPr>
        <w:t>corridors</w:t>
      </w:r>
      <w:r w:rsidR="001A7FA3">
        <w:rPr>
          <w:rFonts w:ascii="Times New Roman" w:hAnsi="Times New Roman"/>
          <w:bCs/>
          <w:color w:val="000000"/>
          <w:sz w:val="22"/>
          <w:szCs w:val="22"/>
          <w:lang w:val="en-US"/>
        </w:rPr>
        <w:t>;</w:t>
      </w:r>
      <w:r w:rsidRPr="00030442">
        <w:rPr>
          <w:rFonts w:ascii="Times New Roman" w:hAnsi="Times New Roman"/>
          <w:bCs/>
          <w:color w:val="000000"/>
          <w:sz w:val="22"/>
          <w:szCs w:val="22"/>
          <w:lang w:val="en-US"/>
        </w:rPr>
        <w:t xml:space="preserve"> </w:t>
      </w:r>
      <w:r w:rsidR="001A7FA3" w:rsidRPr="001A7FA3">
        <w:rPr>
          <w:rFonts w:ascii="Times New Roman" w:hAnsi="Times New Roman"/>
          <w:bCs/>
          <w:i/>
          <w:color w:val="000000"/>
          <w:sz w:val="22"/>
          <w:szCs w:val="22"/>
          <w:lang w:val="en-US"/>
        </w:rPr>
        <w:t>w</w:t>
      </w:r>
      <w:r w:rsidRPr="001A7FA3">
        <w:rPr>
          <w:rFonts w:ascii="Times New Roman" w:hAnsi="Times New Roman"/>
          <w:bCs/>
          <w:i/>
          <w:color w:val="000000"/>
          <w:sz w:val="22"/>
          <w:szCs w:val="22"/>
          <w:lang w:val="en-US"/>
        </w:rPr>
        <w:t>eak policy framework</w:t>
      </w:r>
      <w:r w:rsidR="001A7FA3" w:rsidRPr="001A7FA3">
        <w:rPr>
          <w:rFonts w:ascii="Times New Roman" w:hAnsi="Times New Roman"/>
          <w:bCs/>
          <w:i/>
          <w:color w:val="000000"/>
          <w:sz w:val="22"/>
          <w:szCs w:val="22"/>
          <w:lang w:val="en-US"/>
        </w:rPr>
        <w:t>s</w:t>
      </w:r>
      <w:r w:rsidRPr="001A7FA3">
        <w:rPr>
          <w:rFonts w:ascii="Times New Roman" w:hAnsi="Times New Roman"/>
          <w:bCs/>
          <w:i/>
          <w:color w:val="000000"/>
          <w:sz w:val="22"/>
          <w:szCs w:val="22"/>
          <w:lang w:val="en-US"/>
        </w:rPr>
        <w:t xml:space="preserve"> </w:t>
      </w:r>
      <w:r w:rsidR="00D70C99" w:rsidRPr="001A7FA3">
        <w:rPr>
          <w:rFonts w:ascii="Times New Roman" w:hAnsi="Times New Roman"/>
          <w:bCs/>
          <w:i/>
          <w:color w:val="000000"/>
          <w:sz w:val="22"/>
          <w:szCs w:val="22"/>
          <w:lang w:val="en-US"/>
        </w:rPr>
        <w:t>limiting</w:t>
      </w:r>
      <w:r w:rsidRPr="001A7FA3">
        <w:rPr>
          <w:rFonts w:ascii="Times New Roman" w:hAnsi="Times New Roman"/>
          <w:bCs/>
          <w:i/>
          <w:color w:val="000000"/>
          <w:sz w:val="22"/>
          <w:szCs w:val="22"/>
          <w:lang w:val="en-US"/>
        </w:rPr>
        <w:t xml:space="preserve"> the inclusion of green corridors </w:t>
      </w:r>
      <w:r w:rsidR="00D70C99" w:rsidRPr="001A7FA3">
        <w:rPr>
          <w:rFonts w:ascii="Times New Roman" w:hAnsi="Times New Roman"/>
          <w:bCs/>
          <w:i/>
          <w:color w:val="000000"/>
          <w:sz w:val="22"/>
          <w:szCs w:val="22"/>
          <w:lang w:val="en-US"/>
        </w:rPr>
        <w:t xml:space="preserve">in </w:t>
      </w:r>
      <w:r w:rsidR="001A7FA3" w:rsidRPr="001A7FA3">
        <w:rPr>
          <w:rFonts w:ascii="Times New Roman" w:hAnsi="Times New Roman"/>
          <w:bCs/>
          <w:i/>
          <w:color w:val="000000"/>
          <w:sz w:val="22"/>
          <w:szCs w:val="22"/>
          <w:lang w:val="en-US"/>
        </w:rPr>
        <w:t>the Local Plan</w:t>
      </w:r>
      <w:r w:rsidR="001A7FA3">
        <w:rPr>
          <w:rFonts w:ascii="Times New Roman" w:hAnsi="Times New Roman"/>
          <w:bCs/>
          <w:color w:val="000000"/>
          <w:sz w:val="22"/>
          <w:szCs w:val="22"/>
          <w:lang w:val="en-US"/>
        </w:rPr>
        <w:t>; and</w:t>
      </w:r>
      <w:r w:rsidRPr="00030442">
        <w:rPr>
          <w:rFonts w:ascii="Times New Roman" w:hAnsi="Times New Roman"/>
          <w:bCs/>
          <w:color w:val="000000"/>
          <w:sz w:val="22"/>
          <w:szCs w:val="22"/>
          <w:lang w:val="en-US"/>
        </w:rPr>
        <w:t xml:space="preserve"> </w:t>
      </w:r>
      <w:r w:rsidR="001A7FA3" w:rsidRPr="001A7FA3">
        <w:rPr>
          <w:rFonts w:ascii="Times New Roman" w:hAnsi="Times New Roman"/>
          <w:bCs/>
          <w:i/>
          <w:color w:val="000000"/>
          <w:sz w:val="22"/>
          <w:szCs w:val="22"/>
          <w:lang w:val="en-US"/>
        </w:rPr>
        <w:t>o</w:t>
      </w:r>
      <w:r w:rsidRPr="001A7FA3">
        <w:rPr>
          <w:rFonts w:ascii="Times New Roman" w:hAnsi="Times New Roman"/>
          <w:bCs/>
          <w:i/>
          <w:color w:val="000000"/>
          <w:sz w:val="22"/>
          <w:szCs w:val="22"/>
          <w:lang w:val="en-US"/>
        </w:rPr>
        <w:t xml:space="preserve">bjections from developers </w:t>
      </w:r>
      <w:r w:rsidR="00D70C99" w:rsidRPr="001A7FA3">
        <w:rPr>
          <w:rFonts w:ascii="Times New Roman" w:hAnsi="Times New Roman"/>
          <w:bCs/>
          <w:i/>
          <w:color w:val="000000"/>
          <w:sz w:val="22"/>
          <w:szCs w:val="22"/>
          <w:lang w:val="en-US"/>
        </w:rPr>
        <w:t xml:space="preserve">who are </w:t>
      </w:r>
      <w:r w:rsidRPr="001A7FA3">
        <w:rPr>
          <w:rFonts w:ascii="Times New Roman" w:hAnsi="Times New Roman"/>
          <w:bCs/>
          <w:i/>
          <w:color w:val="000000"/>
          <w:sz w:val="22"/>
          <w:szCs w:val="22"/>
          <w:lang w:val="en-US"/>
        </w:rPr>
        <w:t>unwilling to allocate funding and/or land f</w:t>
      </w:r>
      <w:r w:rsidR="001A7FA3" w:rsidRPr="001A7FA3">
        <w:rPr>
          <w:rFonts w:ascii="Times New Roman" w:hAnsi="Times New Roman"/>
          <w:bCs/>
          <w:i/>
          <w:color w:val="000000"/>
          <w:sz w:val="22"/>
          <w:szCs w:val="22"/>
          <w:lang w:val="en-US"/>
        </w:rPr>
        <w:t>or the development of corridors</w:t>
      </w:r>
      <w:r w:rsidR="001A7FA3">
        <w:rPr>
          <w:rFonts w:ascii="Times New Roman" w:hAnsi="Times New Roman"/>
          <w:bCs/>
          <w:color w:val="000000"/>
          <w:sz w:val="22"/>
          <w:szCs w:val="22"/>
          <w:lang w:val="en-US"/>
        </w:rPr>
        <w:t>.</w:t>
      </w:r>
      <w:r w:rsidRPr="00030442">
        <w:rPr>
          <w:rFonts w:ascii="Times New Roman" w:hAnsi="Times New Roman"/>
          <w:bCs/>
          <w:color w:val="000000"/>
          <w:sz w:val="22"/>
          <w:szCs w:val="22"/>
          <w:lang w:val="en-US"/>
        </w:rPr>
        <w:t xml:space="preserve"> </w:t>
      </w:r>
      <w:r w:rsidRPr="00030442">
        <w:rPr>
          <w:rFonts w:ascii="Times New Roman" w:hAnsi="Times New Roman" w:cs="Times New Roman"/>
          <w:bCs/>
          <w:color w:val="000000"/>
          <w:sz w:val="22"/>
          <w:szCs w:val="22"/>
          <w:lang w:val="en-US"/>
        </w:rPr>
        <w:t xml:space="preserve">The lack of political will and a weak institutional planning framework are clear barriers to implementation. However, in Liverpool the support of the Mayor illustrates the potential for the </w:t>
      </w:r>
      <w:r w:rsidR="00D70C99">
        <w:rPr>
          <w:rFonts w:ascii="Times New Roman" w:hAnsi="Times New Roman" w:cs="Times New Roman"/>
          <w:bCs/>
          <w:color w:val="000000"/>
          <w:sz w:val="22"/>
          <w:szCs w:val="22"/>
          <w:lang w:val="en-US"/>
        </w:rPr>
        <w:t xml:space="preserve">recommendations of </w:t>
      </w:r>
      <w:r w:rsidRPr="00030442">
        <w:rPr>
          <w:rFonts w:ascii="Times New Roman" w:hAnsi="Times New Roman" w:cs="Times New Roman"/>
          <w:bCs/>
          <w:color w:val="000000"/>
          <w:sz w:val="22"/>
          <w:szCs w:val="22"/>
          <w:lang w:val="en-US"/>
        </w:rPr>
        <w:t xml:space="preserve">LG&amp;OSR to be delivered </w:t>
      </w:r>
      <w:r w:rsidRPr="00030442">
        <w:rPr>
          <w:rFonts w:ascii="Times New Roman" w:hAnsi="Times New Roman" w:cs="Times New Roman"/>
          <w:bCs/>
          <w:color w:val="000000"/>
          <w:sz w:val="22"/>
          <w:szCs w:val="22"/>
          <w:lang w:val="en-US"/>
        </w:rPr>
        <w:fldChar w:fldCharType="begin" w:fldLock="1"/>
      </w:r>
      <w:r w:rsidR="001A2EEB">
        <w:rPr>
          <w:rFonts w:ascii="Times New Roman" w:hAnsi="Times New Roman" w:cs="Times New Roman"/>
          <w:bCs/>
          <w:color w:val="000000"/>
          <w:sz w:val="22"/>
          <w:szCs w:val="22"/>
          <w:lang w:val="en-US"/>
        </w:rPr>
        <w:instrText>ADDIN CSL_CITATION { "citationItems" : [ { "id" : "ITEM-1", "itemData" : { "author" : [ { "dropping-particle" : "", "family" : "Liverpool City Council", "given" : "", "non-dropping-particle" : "", "parse-names" : false, "suffix" : "" } ], "id" : "ITEM-1", "issued" : { "date-parts" : [ [ "2015" ] ] }, "publisher-place" : "Liverpool, UK", "title" : "Strategic Green and Open Space Review Board Interim Report", "type" : "report" }, "uris" : [ "http://www.mendeley.com/documents/?uuid=2a53e60b-5e7a-45a6-818b-f4020cd83e37" ] } ], "mendeley" : { "formattedCitation" : "(Liverpool City Council, 2015)", "plainTextFormattedCitation" : "(Liverpool City Council, 2015)", "previouslyFormattedCitation" : "(Liverpool City Council, 2015)" }, "properties" : { "noteIndex" : 0 }, "schema" : "https://github.com/citation-style-language/schema/raw/master/csl-citation.json" }</w:instrText>
      </w:r>
      <w:r w:rsidRPr="00030442">
        <w:rPr>
          <w:rFonts w:ascii="Times New Roman" w:hAnsi="Times New Roman" w:cs="Times New Roman"/>
          <w:bCs/>
          <w:color w:val="000000"/>
          <w:sz w:val="22"/>
          <w:szCs w:val="22"/>
          <w:lang w:val="en-US"/>
        </w:rPr>
        <w:fldChar w:fldCharType="separate"/>
      </w:r>
      <w:r w:rsidRPr="00030442">
        <w:rPr>
          <w:rFonts w:ascii="Times New Roman" w:hAnsi="Times New Roman" w:cs="Times New Roman"/>
          <w:bCs/>
          <w:noProof/>
          <w:color w:val="000000"/>
          <w:sz w:val="22"/>
          <w:szCs w:val="22"/>
          <w:lang w:val="en-US"/>
        </w:rPr>
        <w:t>(Liverpool City Council, 2015)</w:t>
      </w:r>
      <w:r w:rsidRPr="00030442">
        <w:rPr>
          <w:rFonts w:ascii="Times New Roman" w:hAnsi="Times New Roman" w:cs="Times New Roman"/>
          <w:bCs/>
          <w:color w:val="000000"/>
          <w:sz w:val="22"/>
          <w:szCs w:val="22"/>
          <w:lang w:val="en-US"/>
        </w:rPr>
        <w:fldChar w:fldCharType="end"/>
      </w:r>
      <w:r w:rsidRPr="00030442">
        <w:rPr>
          <w:rFonts w:ascii="Times New Roman" w:hAnsi="Times New Roman" w:cs="Times New Roman"/>
          <w:bCs/>
          <w:color w:val="000000"/>
          <w:sz w:val="22"/>
          <w:szCs w:val="22"/>
          <w:lang w:val="en-US"/>
        </w:rPr>
        <w:t xml:space="preserve">. Furthermore, the indication from LCC that the green corridors will be integrated into the draft Local Plan is evidence that LCC are promoting the creation of a connected, livable and (economically and socially) attractive city. The discussion of alternative funding mechanisms presented also offers possible solutions for LCC, as it provides a broad suite of public, private and community-based investment options that could be used to meet the long-term management needs of Liverpool’s </w:t>
      </w:r>
      <w:r w:rsidR="00D70C99">
        <w:rPr>
          <w:rFonts w:ascii="Times New Roman" w:hAnsi="Times New Roman" w:cs="Times New Roman"/>
          <w:bCs/>
          <w:color w:val="000000"/>
          <w:sz w:val="22"/>
          <w:szCs w:val="22"/>
          <w:lang w:val="en-US"/>
        </w:rPr>
        <w:t>GI</w:t>
      </w:r>
      <w:r w:rsidRPr="00030442">
        <w:rPr>
          <w:rFonts w:ascii="Times New Roman" w:hAnsi="Times New Roman" w:cs="Times New Roman"/>
          <w:bCs/>
          <w:color w:val="000000"/>
          <w:sz w:val="22"/>
          <w:szCs w:val="22"/>
          <w:lang w:val="en-US"/>
        </w:rPr>
        <w:t>. There is also a need to reflect upon whether sufficient land is available in public ownership to deliver the green corridors. Unfortunately, a number of pinch-points exist where land is currently i</w:t>
      </w:r>
      <w:r w:rsidR="00D70C99">
        <w:rPr>
          <w:rFonts w:ascii="Times New Roman" w:hAnsi="Times New Roman" w:cs="Times New Roman"/>
          <w:bCs/>
          <w:color w:val="000000"/>
          <w:sz w:val="22"/>
          <w:szCs w:val="22"/>
          <w:lang w:val="en-US"/>
        </w:rPr>
        <w:t>n private/commercial ownership and a</w:t>
      </w:r>
      <w:r w:rsidRPr="00030442">
        <w:rPr>
          <w:rFonts w:ascii="Times New Roman" w:hAnsi="Times New Roman" w:cs="Times New Roman"/>
          <w:bCs/>
          <w:color w:val="000000"/>
          <w:sz w:val="22"/>
          <w:szCs w:val="22"/>
          <w:lang w:val="en-US"/>
        </w:rPr>
        <w:t xml:space="preserve">s a consequence LCC will need to work with developers and land owners to ensure </w:t>
      </w:r>
      <w:r w:rsidR="00D70C99">
        <w:rPr>
          <w:rFonts w:ascii="Times New Roman" w:hAnsi="Times New Roman" w:cs="Times New Roman"/>
          <w:bCs/>
          <w:color w:val="000000"/>
          <w:sz w:val="22"/>
          <w:szCs w:val="22"/>
          <w:lang w:val="en-US"/>
        </w:rPr>
        <w:t xml:space="preserve">that </w:t>
      </w:r>
      <w:r w:rsidRPr="00030442">
        <w:rPr>
          <w:rFonts w:ascii="Times New Roman" w:hAnsi="Times New Roman" w:cs="Times New Roman"/>
          <w:bCs/>
          <w:color w:val="000000"/>
          <w:sz w:val="22"/>
          <w:szCs w:val="22"/>
          <w:lang w:val="en-US"/>
        </w:rPr>
        <w:t>connectivity between sections of the corridors</w:t>
      </w:r>
      <w:r w:rsidR="00D70C99">
        <w:rPr>
          <w:rFonts w:ascii="Times New Roman" w:hAnsi="Times New Roman" w:cs="Times New Roman"/>
          <w:bCs/>
          <w:color w:val="000000"/>
          <w:sz w:val="22"/>
          <w:szCs w:val="22"/>
          <w:lang w:val="en-US"/>
        </w:rPr>
        <w:t xml:space="preserve"> can be delivered</w:t>
      </w:r>
      <w:r w:rsidRPr="00030442">
        <w:rPr>
          <w:rFonts w:ascii="Times New Roman" w:hAnsi="Times New Roman" w:cs="Times New Roman"/>
          <w:bCs/>
          <w:color w:val="000000"/>
          <w:sz w:val="22"/>
          <w:szCs w:val="22"/>
          <w:lang w:val="en-US"/>
        </w:rPr>
        <w:t xml:space="preserve">. Furthermore, where land is not in public ownership LCC could, and potentially will, enter into </w:t>
      </w:r>
      <w:r w:rsidRPr="00030442">
        <w:rPr>
          <w:rFonts w:ascii="Times New Roman" w:hAnsi="Times New Roman" w:cs="Times New Roman"/>
          <w:bCs/>
          <w:color w:val="000000"/>
          <w:sz w:val="22"/>
          <w:szCs w:val="22"/>
          <w:lang w:val="en-US"/>
        </w:rPr>
        <w:lastRenderedPageBreak/>
        <w:t xml:space="preserve">development negotiations to ensure that all growth is subject to developer contributions, i.e. S106, which can then be used to support investment. </w:t>
      </w:r>
    </w:p>
    <w:p w:rsidR="00D70C99" w:rsidRDefault="00D70C99" w:rsidP="00030442">
      <w:pPr>
        <w:rPr>
          <w:rFonts w:ascii="Times New Roman" w:hAnsi="Times New Roman" w:cs="Times New Roman"/>
          <w:b/>
          <w:bCs/>
          <w:color w:val="000000"/>
          <w:sz w:val="22"/>
          <w:szCs w:val="22"/>
          <w:lang w:val="en-US"/>
        </w:rPr>
      </w:pPr>
    </w:p>
    <w:p w:rsidR="00030442" w:rsidRPr="00030442" w:rsidRDefault="00030442" w:rsidP="00030442">
      <w:pPr>
        <w:rPr>
          <w:rFonts w:ascii="Times New Roman" w:hAnsi="Times New Roman" w:cs="Times New Roman"/>
          <w:b/>
          <w:bCs/>
          <w:color w:val="000000"/>
          <w:sz w:val="22"/>
          <w:szCs w:val="22"/>
          <w:lang w:val="en-US"/>
        </w:rPr>
      </w:pPr>
      <w:r w:rsidRPr="00030442">
        <w:rPr>
          <w:rFonts w:ascii="Times New Roman" w:hAnsi="Times New Roman" w:cs="Times New Roman"/>
          <w:b/>
          <w:bCs/>
          <w:color w:val="000000"/>
          <w:sz w:val="22"/>
          <w:szCs w:val="22"/>
          <w:lang w:val="en-US"/>
        </w:rPr>
        <w:t xml:space="preserve">5.3. Local barriers to development </w:t>
      </w:r>
    </w:p>
    <w:p w:rsidR="00030442" w:rsidRPr="00030442" w:rsidRDefault="00030442" w:rsidP="00030442">
      <w:pPr>
        <w:rPr>
          <w:rFonts w:ascii="Times New Roman" w:hAnsi="Times New Roman" w:cs="Times New Roman"/>
          <w:bCs/>
          <w:color w:val="000000"/>
          <w:sz w:val="22"/>
          <w:szCs w:val="22"/>
          <w:lang w:val="en-US"/>
        </w:rPr>
      </w:pPr>
      <w:r w:rsidRPr="00030442">
        <w:rPr>
          <w:rFonts w:ascii="Times New Roman" w:hAnsi="Times New Roman" w:cs="Times New Roman"/>
          <w:bCs/>
          <w:color w:val="000000"/>
          <w:sz w:val="22"/>
          <w:szCs w:val="22"/>
          <w:lang w:val="en-US"/>
        </w:rPr>
        <w:t xml:space="preserve">In additional to institutional barriers there are potentially more localized </w:t>
      </w:r>
      <w:r w:rsidR="00D70C99">
        <w:rPr>
          <w:rFonts w:ascii="Times New Roman" w:hAnsi="Times New Roman" w:cs="Times New Roman"/>
          <w:bCs/>
          <w:color w:val="000000"/>
          <w:sz w:val="22"/>
          <w:szCs w:val="22"/>
          <w:lang w:val="en-US"/>
        </w:rPr>
        <w:t xml:space="preserve">issues </w:t>
      </w:r>
      <w:r w:rsidRPr="00030442">
        <w:rPr>
          <w:rFonts w:ascii="Times New Roman" w:hAnsi="Times New Roman" w:cs="Times New Roman"/>
          <w:bCs/>
          <w:color w:val="000000"/>
          <w:sz w:val="22"/>
          <w:szCs w:val="22"/>
          <w:lang w:val="en-US"/>
        </w:rPr>
        <w:t xml:space="preserve">which may impact upon the development of the green corridors. </w:t>
      </w:r>
      <w:r w:rsidR="00D70C99">
        <w:rPr>
          <w:rFonts w:ascii="Times New Roman" w:hAnsi="Times New Roman" w:cs="Times New Roman"/>
          <w:bCs/>
          <w:color w:val="000000"/>
          <w:sz w:val="22"/>
          <w:szCs w:val="22"/>
          <w:lang w:val="en-US"/>
        </w:rPr>
        <w:t>The t</w:t>
      </w:r>
      <w:r w:rsidRPr="00030442">
        <w:rPr>
          <w:rFonts w:ascii="Times New Roman" w:hAnsi="Times New Roman" w:cs="Times New Roman"/>
          <w:bCs/>
          <w:color w:val="000000"/>
          <w:sz w:val="22"/>
          <w:szCs w:val="22"/>
          <w:lang w:val="en-US"/>
        </w:rPr>
        <w:t xml:space="preserve">wo main issues </w:t>
      </w:r>
      <w:r w:rsidR="00D70C99">
        <w:rPr>
          <w:rFonts w:ascii="Times New Roman" w:hAnsi="Times New Roman" w:cs="Times New Roman"/>
          <w:bCs/>
          <w:color w:val="000000"/>
          <w:sz w:val="22"/>
          <w:szCs w:val="22"/>
          <w:lang w:val="en-US"/>
        </w:rPr>
        <w:t xml:space="preserve">are </w:t>
      </w:r>
      <w:r w:rsidRPr="00030442">
        <w:rPr>
          <w:rFonts w:ascii="Times New Roman" w:hAnsi="Times New Roman" w:cs="Times New Roman"/>
          <w:bCs/>
          <w:color w:val="000000"/>
          <w:sz w:val="22"/>
          <w:szCs w:val="22"/>
          <w:lang w:val="en-US"/>
        </w:rPr>
        <w:t xml:space="preserve">a lack of will within local communities to support investment if they </w:t>
      </w:r>
      <w:r w:rsidR="00D70C99">
        <w:rPr>
          <w:rFonts w:ascii="Times New Roman" w:hAnsi="Times New Roman" w:cs="Times New Roman"/>
          <w:bCs/>
          <w:color w:val="000000"/>
          <w:sz w:val="22"/>
          <w:szCs w:val="22"/>
          <w:lang w:val="en-US"/>
        </w:rPr>
        <w:t xml:space="preserve">are not </w:t>
      </w:r>
      <w:r w:rsidRPr="00030442">
        <w:rPr>
          <w:rFonts w:ascii="Times New Roman" w:hAnsi="Times New Roman" w:cs="Times New Roman"/>
          <w:bCs/>
          <w:color w:val="000000"/>
          <w:sz w:val="22"/>
          <w:szCs w:val="22"/>
          <w:lang w:val="en-US"/>
        </w:rPr>
        <w:t xml:space="preserve">economically or socially appropriate. Within communities in Liverpool there is history of mistrust of LCC and their development objectives which may influence engagement with the creation of green corridors. Therefore, although the proposed green corridors potentially offer a range of socio-economic and ecological benefits these may be undervalued in some areas. </w:t>
      </w:r>
      <w:r w:rsidR="00D70C99">
        <w:rPr>
          <w:rFonts w:ascii="Times New Roman" w:hAnsi="Times New Roman" w:cs="Times New Roman"/>
          <w:bCs/>
          <w:color w:val="000000"/>
          <w:sz w:val="22"/>
          <w:szCs w:val="22"/>
          <w:lang w:val="en-US"/>
        </w:rPr>
        <w:t>Secondly, there is potentially</w:t>
      </w:r>
      <w:r w:rsidRPr="00030442">
        <w:rPr>
          <w:rFonts w:ascii="Times New Roman" w:hAnsi="Times New Roman" w:cs="Times New Roman"/>
          <w:bCs/>
          <w:color w:val="000000"/>
          <w:sz w:val="22"/>
          <w:szCs w:val="22"/>
          <w:lang w:val="en-US"/>
        </w:rPr>
        <w:t xml:space="preserve"> a lack of funding at a local neighborhood/ward level to facilitate in new </w:t>
      </w:r>
      <w:r w:rsidR="00D70C99">
        <w:rPr>
          <w:rFonts w:ascii="Times New Roman" w:hAnsi="Times New Roman" w:cs="Times New Roman"/>
          <w:bCs/>
          <w:color w:val="000000"/>
          <w:sz w:val="22"/>
          <w:szCs w:val="22"/>
          <w:lang w:val="en-US"/>
        </w:rPr>
        <w:t xml:space="preserve">landscape </w:t>
      </w:r>
      <w:r w:rsidRPr="00030442">
        <w:rPr>
          <w:rFonts w:ascii="Times New Roman" w:hAnsi="Times New Roman" w:cs="Times New Roman"/>
          <w:bCs/>
          <w:color w:val="000000"/>
          <w:sz w:val="22"/>
          <w:szCs w:val="22"/>
          <w:lang w:val="en-US"/>
        </w:rPr>
        <w:t xml:space="preserve">infrastructure. This reflects the difficulties that LPAs </w:t>
      </w:r>
      <w:r w:rsidR="00D70C99">
        <w:rPr>
          <w:rFonts w:ascii="Times New Roman" w:hAnsi="Times New Roman" w:cs="Times New Roman"/>
          <w:bCs/>
          <w:color w:val="000000"/>
          <w:sz w:val="22"/>
          <w:szCs w:val="22"/>
          <w:lang w:val="en-US"/>
        </w:rPr>
        <w:t xml:space="preserve">have when </w:t>
      </w:r>
      <w:r w:rsidRPr="00030442">
        <w:rPr>
          <w:rFonts w:ascii="Times New Roman" w:hAnsi="Times New Roman" w:cs="Times New Roman"/>
          <w:bCs/>
          <w:color w:val="000000"/>
          <w:sz w:val="22"/>
          <w:szCs w:val="22"/>
          <w:lang w:val="en-US"/>
        </w:rPr>
        <w:t xml:space="preserve">negotiating smaller developer contributions </w:t>
      </w:r>
      <w:r w:rsidR="00D70C99">
        <w:rPr>
          <w:rFonts w:ascii="Times New Roman" w:hAnsi="Times New Roman" w:cs="Times New Roman"/>
          <w:bCs/>
          <w:color w:val="000000"/>
          <w:sz w:val="22"/>
          <w:szCs w:val="22"/>
          <w:lang w:val="en-US"/>
        </w:rPr>
        <w:t xml:space="preserve">for GI </w:t>
      </w:r>
      <w:r w:rsidRPr="00030442">
        <w:rPr>
          <w:rFonts w:ascii="Times New Roman" w:hAnsi="Times New Roman" w:cs="Times New Roman"/>
          <w:bCs/>
          <w:color w:val="000000"/>
          <w:sz w:val="22"/>
          <w:szCs w:val="22"/>
          <w:lang w:val="en-US"/>
        </w:rPr>
        <w:t xml:space="preserve">projects, and the </w:t>
      </w:r>
      <w:r w:rsidR="00D70C99">
        <w:rPr>
          <w:rFonts w:ascii="Times New Roman" w:hAnsi="Times New Roman" w:cs="Times New Roman"/>
          <w:bCs/>
          <w:color w:val="000000"/>
          <w:sz w:val="22"/>
          <w:szCs w:val="22"/>
          <w:lang w:val="en-US"/>
        </w:rPr>
        <w:t xml:space="preserve">ongoing problems </w:t>
      </w:r>
      <w:r w:rsidRPr="00030442">
        <w:rPr>
          <w:rFonts w:ascii="Times New Roman" w:hAnsi="Times New Roman" w:cs="Times New Roman"/>
          <w:bCs/>
          <w:color w:val="000000"/>
          <w:sz w:val="22"/>
          <w:szCs w:val="22"/>
          <w:lang w:val="en-US"/>
        </w:rPr>
        <w:t>that LPAs have in raising capital</w:t>
      </w:r>
      <w:r w:rsidR="00D70C99">
        <w:rPr>
          <w:rFonts w:ascii="Times New Roman" w:hAnsi="Times New Roman" w:cs="Times New Roman"/>
          <w:bCs/>
          <w:color w:val="000000"/>
          <w:sz w:val="22"/>
          <w:szCs w:val="22"/>
          <w:lang w:val="en-US"/>
        </w:rPr>
        <w:t xml:space="preserve">/revenue </w:t>
      </w:r>
      <w:r w:rsidRPr="00030442">
        <w:rPr>
          <w:rFonts w:ascii="Times New Roman" w:hAnsi="Times New Roman" w:cs="Times New Roman"/>
          <w:bCs/>
          <w:color w:val="000000"/>
          <w:sz w:val="22"/>
          <w:szCs w:val="22"/>
          <w:lang w:val="en-US"/>
        </w:rPr>
        <w:t xml:space="preserve">funding to deliver projects </w:t>
      </w:r>
      <w:r w:rsidRPr="00030442">
        <w:rPr>
          <w:rFonts w:ascii="Times New Roman" w:hAnsi="Times New Roman" w:cs="Times New Roman"/>
          <w:bCs/>
          <w:color w:val="000000"/>
          <w:sz w:val="22"/>
          <w:szCs w:val="22"/>
          <w:lang w:val="en-US"/>
        </w:rPr>
        <w:fldChar w:fldCharType="begin" w:fldLock="1"/>
      </w:r>
      <w:r w:rsidRPr="00030442">
        <w:rPr>
          <w:rFonts w:ascii="Times New Roman" w:hAnsi="Times New Roman" w:cs="Times New Roman"/>
          <w:bCs/>
          <w:color w:val="000000"/>
          <w:sz w:val="22"/>
          <w:szCs w:val="22"/>
          <w:lang w:val="en-US"/>
        </w:rPr>
        <w:instrText>ADDIN CSL_CITATION { "citationItems" : [ { "id" : "ITEM-1", "itemData" : { "author" : [ { "dropping-particle" : "", "family" : "Mell", "given" : "I.C.", "non-dropping-particle" : "", "parse-names" : false, "suffix" : "" } ], "container-title" : "Biotope City Journal", "id" : "ITEM-1", "issued" : { "date-parts" : [ [ "2016" ] ] }, "title" : "Financing Green Infrastructure in times of austerity: The case of Liverpool, UK", "type" : "article-journal" }, "uris" : [ "http://www.mendeley.com/documents/?uuid=47f7b659-73b9-4052-98a9-7003b25f9c5f" ] }, { "id" : "ITEM-2", "itemData" : { "ISSN" : "0269-7459", "abstract" : "Abstract Urban green space, although an important aspect of urban life in England since the 19th century, experienced declining quality throughout the late 20th century. The election of the New Labour Government in 1997 saw the development of a new urban policy discourse, which recognized the important contribution of green space to quality of life. This paper examines New Labour's policy measures on urban green space and focuses on the Urban White Paper of 2000, new funding opportunities, planning guidance, changing urban green space governance and the introduction of national and local performance targets. Additionally, it identifies four broad policy discourses surrounding urban green space that reflect different but overlapping understandings of the value and function of urban green space relating to quantity, quality, nature/biodiversity and social/community. The paper concludes that there is a need for further research to examine the implications of changes in the national policy agenda and associated policy discourses for the planning, management and governance of urban green space at the local level. This will also enable a more in-depth analysis and understanding of the four policy discourses identified and provide a platform from which to assess future changes in green space policy and management. Abstract Urban green space, although an important aspect of urban life in England since the 19th century, experienced declining quality throughout the late 20th century. The election of the New Labour Government in 1997 saw the development of a new urban policy discourse, which recognized the important contribution of green space to quality of life. This paper examines New Labour's policy measures on urban green space and focuses on the Urban White Paper of 2000, new funding opportunities, planning guidance, changing urban green space governance and the introduction of national and local performance targets. Additionally, it identifies four broad policy discourses surrounding urban green space that reflect different but overlapping understandings of the value and function of urban green space relating to quantity, quality, nature/biodiversity and social/community. The paper concludes that there is a need for further research to examine the implications of changes in the national policy agenda and associated policy discourses for the planning, management and governance of urban green space at the local level. This will also enable a more in-depth anal\u2026", "author" : [ { "dropping-particle" : "", "family" : "Wilson", "given" : "Olivia", "non-dropping-particle" : "", "parse-names" : false, "suffix" : "" }, { "dropping-particle" : "", "family" : "Hughes", "given" : "Olwen", "non-dropping-particle" : "", "parse-names" : false, "suffix" : "" } ], "container-title" : "Planning Practice and Research", "id" : "ITEM-2", "issue" : "2", "issued" : { "date-parts" : [ [ "2011", "4" ] ] }, "page" : "207-228", "publisher" : "Routledge", "title" : "Urban Green Space Policy and Discourse in England under New Labour from 1997 to 2010", "type" : "article-journal", "volume" : "26" }, "uris" : [ "http://www.mendeley.com/documents/?uuid=a3e85e10-0607-49ad-9e08-38f3f67a5797" ] } ], "mendeley" : { "formattedCitation" : "(Mell, 2016a; Wilson &amp; Hughes, 2011)", "plainTextFormattedCitation" : "(Mell, 2016a; Wilson &amp; Hughes, 2011)", "previouslyFormattedCitation" : "(Mell, 2016a; Wilson &amp; Hughes, 2011)" }, "properties" : { "noteIndex" : 0 }, "schema" : "https://github.com/citation-style-language/schema/raw/master/csl-citation.json" }</w:instrText>
      </w:r>
      <w:r w:rsidRPr="00030442">
        <w:rPr>
          <w:rFonts w:ascii="Times New Roman" w:hAnsi="Times New Roman" w:cs="Times New Roman"/>
          <w:bCs/>
          <w:color w:val="000000"/>
          <w:sz w:val="22"/>
          <w:szCs w:val="22"/>
          <w:lang w:val="en-US"/>
        </w:rPr>
        <w:fldChar w:fldCharType="separate"/>
      </w:r>
      <w:r w:rsidR="00A7178B">
        <w:rPr>
          <w:rFonts w:ascii="Times New Roman" w:hAnsi="Times New Roman" w:cs="Times New Roman"/>
          <w:bCs/>
          <w:noProof/>
          <w:color w:val="000000"/>
          <w:sz w:val="22"/>
          <w:szCs w:val="22"/>
          <w:lang w:val="en-US"/>
        </w:rPr>
        <w:t>(Mell, 2016</w:t>
      </w:r>
      <w:r w:rsidRPr="00030442">
        <w:rPr>
          <w:rFonts w:ascii="Times New Roman" w:hAnsi="Times New Roman" w:cs="Times New Roman"/>
          <w:bCs/>
          <w:noProof/>
          <w:color w:val="000000"/>
          <w:sz w:val="22"/>
          <w:szCs w:val="22"/>
          <w:lang w:val="en-US"/>
        </w:rPr>
        <w:t>)</w:t>
      </w:r>
      <w:r w:rsidRPr="00030442">
        <w:rPr>
          <w:rFonts w:ascii="Times New Roman" w:hAnsi="Times New Roman" w:cs="Times New Roman"/>
          <w:bCs/>
          <w:color w:val="000000"/>
          <w:sz w:val="22"/>
          <w:szCs w:val="22"/>
          <w:lang w:val="en-US"/>
        </w:rPr>
        <w:fldChar w:fldCharType="end"/>
      </w:r>
      <w:r w:rsidRPr="00030442">
        <w:rPr>
          <w:rFonts w:ascii="Times New Roman" w:hAnsi="Times New Roman" w:cs="Times New Roman"/>
          <w:bCs/>
          <w:color w:val="000000"/>
          <w:sz w:val="22"/>
          <w:szCs w:val="22"/>
          <w:lang w:val="en-US"/>
        </w:rPr>
        <w:t xml:space="preserve">. Neither of these barriers are insurmountable. Through continued engagement LCC can work with local communities to develop the rationale for the green corridors network </w:t>
      </w:r>
      <w:r w:rsidR="00612D9E">
        <w:rPr>
          <w:rFonts w:ascii="Times New Roman" w:hAnsi="Times New Roman" w:cs="Times New Roman"/>
          <w:bCs/>
          <w:color w:val="000000"/>
          <w:sz w:val="22"/>
          <w:szCs w:val="22"/>
          <w:lang w:val="en-US"/>
        </w:rPr>
        <w:t xml:space="preserve">as a more </w:t>
      </w:r>
      <w:r w:rsidRPr="00030442">
        <w:rPr>
          <w:rFonts w:ascii="Times New Roman" w:hAnsi="Times New Roman" w:cs="Times New Roman"/>
          <w:bCs/>
          <w:color w:val="000000"/>
          <w:sz w:val="22"/>
          <w:szCs w:val="22"/>
          <w:lang w:val="en-US"/>
        </w:rPr>
        <w:t xml:space="preserve">collaborative process of development. If undertaken successfully then LPA may be able to generate ‘buy-in’ from local communities in support of the project to ensure that even with a longer-term delivery timeframe that objections are not raised for its development. Furthermore, if the green corridors are adopted as part of the Local Plan they can be identified as a strategic investment which would place LCC in a stronger position financially, as it would require contributions from developers to fund the network. The spatial diversity of the project may therefore provide additional options for LCC to generate funding to deliver the project. </w:t>
      </w:r>
    </w:p>
    <w:p w:rsidR="00A7178B" w:rsidRDefault="00A7178B" w:rsidP="00030442">
      <w:pPr>
        <w:rPr>
          <w:rFonts w:ascii="Times New Roman" w:hAnsi="Times New Roman" w:cs="Times New Roman"/>
          <w:b/>
          <w:bCs/>
          <w:color w:val="000000"/>
          <w:sz w:val="22"/>
          <w:szCs w:val="22"/>
          <w:lang w:val="en-US"/>
        </w:rPr>
      </w:pPr>
    </w:p>
    <w:p w:rsidR="00030442" w:rsidRPr="00030442" w:rsidRDefault="00030442" w:rsidP="00030442">
      <w:pPr>
        <w:rPr>
          <w:rFonts w:ascii="Times New Roman" w:hAnsi="Times New Roman" w:cs="Times New Roman"/>
          <w:b/>
          <w:bCs/>
          <w:color w:val="000000"/>
          <w:sz w:val="22"/>
          <w:szCs w:val="22"/>
          <w:lang w:val="en-US"/>
        </w:rPr>
      </w:pPr>
      <w:r w:rsidRPr="00030442">
        <w:rPr>
          <w:rFonts w:ascii="Times New Roman" w:hAnsi="Times New Roman" w:cs="Times New Roman"/>
          <w:b/>
          <w:bCs/>
          <w:color w:val="000000"/>
          <w:sz w:val="22"/>
          <w:szCs w:val="22"/>
          <w:lang w:val="en-US"/>
        </w:rPr>
        <w:t>6. Conclusion</w:t>
      </w:r>
    </w:p>
    <w:p w:rsidR="00030442" w:rsidRPr="00030442" w:rsidRDefault="00030442" w:rsidP="00030442">
      <w:pPr>
        <w:rPr>
          <w:rFonts w:ascii="Times New Roman" w:hAnsi="Times New Roman" w:cs="Times New Roman"/>
          <w:bCs/>
          <w:color w:val="000000"/>
          <w:sz w:val="22"/>
          <w:szCs w:val="22"/>
          <w:lang w:val="en-US"/>
        </w:rPr>
      </w:pPr>
      <w:r w:rsidRPr="00030442">
        <w:rPr>
          <w:rFonts w:ascii="Times New Roman" w:hAnsi="Times New Roman" w:cs="Times New Roman"/>
          <w:bCs/>
          <w:color w:val="000000"/>
          <w:sz w:val="22"/>
          <w:szCs w:val="22"/>
          <w:lang w:val="en-US"/>
        </w:rPr>
        <w:t>The reception of the LG&amp;OSR highlights a positive response from LPA officers, elected officials and sections of the public to the proposed investment in a network of green corridors. Given the strategic nature of the network the LG&amp;OSR has also proposed a series of funding mechanisms that could be used to provide financing for investment. Discussions with</w:t>
      </w:r>
      <w:r w:rsidR="00612D9E">
        <w:rPr>
          <w:rFonts w:ascii="Times New Roman" w:hAnsi="Times New Roman" w:cs="Times New Roman"/>
          <w:bCs/>
          <w:color w:val="000000"/>
          <w:sz w:val="22"/>
          <w:szCs w:val="22"/>
          <w:lang w:val="en-US"/>
        </w:rPr>
        <w:t>in</w:t>
      </w:r>
      <w:r w:rsidRPr="00030442">
        <w:rPr>
          <w:rFonts w:ascii="Times New Roman" w:hAnsi="Times New Roman" w:cs="Times New Roman"/>
          <w:bCs/>
          <w:color w:val="000000"/>
          <w:sz w:val="22"/>
          <w:szCs w:val="22"/>
          <w:lang w:val="en-US"/>
        </w:rPr>
        <w:t xml:space="preserve"> LCC have also highlighted the role that the proposed green corridors could play in assisting </w:t>
      </w:r>
      <w:r w:rsidR="00612D9E">
        <w:rPr>
          <w:rFonts w:ascii="Times New Roman" w:hAnsi="Times New Roman" w:cs="Times New Roman"/>
          <w:bCs/>
          <w:color w:val="000000"/>
          <w:sz w:val="22"/>
          <w:szCs w:val="22"/>
          <w:lang w:val="en-US"/>
        </w:rPr>
        <w:t>them to generate</w:t>
      </w:r>
      <w:r w:rsidRPr="00030442">
        <w:rPr>
          <w:rFonts w:ascii="Times New Roman" w:hAnsi="Times New Roman" w:cs="Times New Roman"/>
          <w:bCs/>
          <w:color w:val="000000"/>
          <w:sz w:val="22"/>
          <w:szCs w:val="22"/>
          <w:lang w:val="en-US"/>
        </w:rPr>
        <w:t xml:space="preserve"> income from development to fund </w:t>
      </w:r>
      <w:r w:rsidR="00612D9E">
        <w:rPr>
          <w:rFonts w:ascii="Times New Roman" w:hAnsi="Times New Roman" w:cs="Times New Roman"/>
          <w:bCs/>
          <w:color w:val="000000"/>
          <w:sz w:val="22"/>
          <w:szCs w:val="22"/>
          <w:lang w:val="en-US"/>
        </w:rPr>
        <w:t xml:space="preserve">the </w:t>
      </w:r>
      <w:r w:rsidRPr="00030442">
        <w:rPr>
          <w:rFonts w:ascii="Times New Roman" w:hAnsi="Times New Roman" w:cs="Times New Roman"/>
          <w:bCs/>
          <w:color w:val="000000"/>
          <w:sz w:val="22"/>
          <w:szCs w:val="22"/>
          <w:lang w:val="en-US"/>
        </w:rPr>
        <w:t>network. This includes the potential for LCC to work with developers and house</w:t>
      </w:r>
      <w:r w:rsidR="00043F90">
        <w:rPr>
          <w:rFonts w:ascii="Times New Roman" w:hAnsi="Times New Roman" w:cs="Times New Roman"/>
          <w:bCs/>
          <w:color w:val="000000"/>
          <w:sz w:val="22"/>
          <w:szCs w:val="22"/>
          <w:lang w:val="en-US"/>
        </w:rPr>
        <w:t xml:space="preserve"> </w:t>
      </w:r>
      <w:r w:rsidRPr="00030442">
        <w:rPr>
          <w:rFonts w:ascii="Times New Roman" w:hAnsi="Times New Roman" w:cs="Times New Roman"/>
          <w:bCs/>
          <w:color w:val="000000"/>
          <w:sz w:val="22"/>
          <w:szCs w:val="22"/>
          <w:lang w:val="en-US"/>
        </w:rPr>
        <w:t xml:space="preserve">builders to ensure that development contributes to the wider creation and management of green and open spaces. Currently, the rhetoric coming </w:t>
      </w:r>
      <w:r w:rsidR="00612D9E">
        <w:rPr>
          <w:rFonts w:ascii="Times New Roman" w:hAnsi="Times New Roman" w:cs="Times New Roman"/>
          <w:bCs/>
          <w:color w:val="000000"/>
          <w:sz w:val="22"/>
          <w:szCs w:val="22"/>
          <w:lang w:val="en-US"/>
        </w:rPr>
        <w:t xml:space="preserve">from </w:t>
      </w:r>
      <w:r w:rsidRPr="00030442">
        <w:rPr>
          <w:rFonts w:ascii="Times New Roman" w:hAnsi="Times New Roman" w:cs="Times New Roman"/>
          <w:bCs/>
          <w:color w:val="000000"/>
          <w:sz w:val="22"/>
          <w:szCs w:val="22"/>
          <w:lang w:val="en-US"/>
        </w:rPr>
        <w:t xml:space="preserve">LCC is positive in terms of </w:t>
      </w:r>
      <w:r w:rsidR="00612D9E">
        <w:rPr>
          <w:rFonts w:ascii="Times New Roman" w:hAnsi="Times New Roman" w:cs="Times New Roman"/>
          <w:bCs/>
          <w:color w:val="000000"/>
          <w:sz w:val="22"/>
          <w:szCs w:val="22"/>
          <w:lang w:val="en-US"/>
        </w:rPr>
        <w:t>delivering ‘</w:t>
      </w:r>
      <w:r w:rsidR="00612D9E" w:rsidRPr="00612D9E">
        <w:rPr>
          <w:rFonts w:ascii="Times New Roman" w:hAnsi="Times New Roman" w:cs="Times New Roman"/>
          <w:bCs/>
          <w:i/>
          <w:color w:val="000000"/>
          <w:sz w:val="22"/>
          <w:szCs w:val="22"/>
          <w:lang w:val="en-US"/>
        </w:rPr>
        <w:t>Liverpool’s Green Wheel’</w:t>
      </w:r>
      <w:r w:rsidR="00612D9E">
        <w:rPr>
          <w:rFonts w:ascii="Times New Roman" w:hAnsi="Times New Roman" w:cs="Times New Roman"/>
          <w:bCs/>
          <w:color w:val="000000"/>
          <w:sz w:val="22"/>
          <w:szCs w:val="22"/>
          <w:lang w:val="en-US"/>
        </w:rPr>
        <w:t xml:space="preserve"> </w:t>
      </w:r>
      <w:r w:rsidRPr="00030442">
        <w:rPr>
          <w:rFonts w:ascii="Times New Roman" w:hAnsi="Times New Roman" w:cs="Times New Roman"/>
          <w:bCs/>
          <w:color w:val="000000"/>
          <w:sz w:val="22"/>
          <w:szCs w:val="22"/>
          <w:lang w:val="en-US"/>
        </w:rPr>
        <w:t xml:space="preserve">and looks set to continue despite of the difficult financial decisions being made. </w:t>
      </w:r>
    </w:p>
    <w:p w:rsidR="00030442" w:rsidRPr="00030442" w:rsidRDefault="00030442" w:rsidP="00030442">
      <w:pPr>
        <w:rPr>
          <w:rFonts w:ascii="Times New Roman" w:hAnsi="Times New Roman" w:cs="Times New Roman"/>
          <w:b/>
          <w:bCs/>
          <w:color w:val="000000"/>
          <w:sz w:val="22"/>
          <w:szCs w:val="22"/>
          <w:lang w:val="en-US"/>
        </w:rPr>
      </w:pPr>
      <w:r w:rsidRPr="00030442">
        <w:rPr>
          <w:rFonts w:ascii="Times New Roman" w:hAnsi="Times New Roman" w:cs="Times New Roman"/>
          <w:b/>
          <w:bCs/>
          <w:color w:val="000000"/>
          <w:sz w:val="22"/>
          <w:szCs w:val="22"/>
          <w:lang w:val="en-US"/>
        </w:rPr>
        <w:lastRenderedPageBreak/>
        <w:t xml:space="preserve">8. References </w:t>
      </w:r>
    </w:p>
    <w:p w:rsidR="00607424" w:rsidRPr="00607424" w:rsidRDefault="00030442" w:rsidP="00607424">
      <w:pPr>
        <w:autoSpaceDE w:val="0"/>
        <w:autoSpaceDN w:val="0"/>
        <w:adjustRightInd w:val="0"/>
        <w:ind w:left="480" w:hanging="480"/>
        <w:rPr>
          <w:rFonts w:ascii="Times New Roman" w:eastAsia="Times New Roman" w:hAnsi="Times New Roman" w:cs="Times New Roman"/>
          <w:noProof/>
          <w:sz w:val="22"/>
        </w:rPr>
      </w:pPr>
      <w:r w:rsidRPr="00030442">
        <w:rPr>
          <w:rFonts w:ascii="Times New Roman" w:hAnsi="Times New Roman" w:cs="Times New Roman"/>
          <w:bCs/>
          <w:color w:val="000000"/>
          <w:sz w:val="22"/>
          <w:szCs w:val="22"/>
          <w:lang w:val="en-US"/>
        </w:rPr>
        <w:fldChar w:fldCharType="begin" w:fldLock="1"/>
      </w:r>
      <w:r w:rsidRPr="00030442">
        <w:rPr>
          <w:rFonts w:ascii="Times New Roman" w:hAnsi="Times New Roman" w:cs="Times New Roman"/>
          <w:bCs/>
          <w:color w:val="000000"/>
          <w:sz w:val="22"/>
          <w:szCs w:val="22"/>
          <w:lang w:val="en-US"/>
        </w:rPr>
        <w:instrText xml:space="preserve">ADDIN Mendeley Bibliography CSL_BIBLIOGRAPHY </w:instrText>
      </w:r>
      <w:r w:rsidRPr="00030442">
        <w:rPr>
          <w:rFonts w:ascii="Times New Roman" w:hAnsi="Times New Roman" w:cs="Times New Roman"/>
          <w:bCs/>
          <w:color w:val="000000"/>
          <w:sz w:val="22"/>
          <w:szCs w:val="22"/>
          <w:lang w:val="en-US"/>
        </w:rPr>
        <w:fldChar w:fldCharType="separate"/>
      </w:r>
      <w:r w:rsidR="00607424" w:rsidRPr="00607424">
        <w:rPr>
          <w:rFonts w:ascii="Times New Roman" w:eastAsia="Times New Roman" w:hAnsi="Times New Roman" w:cs="Times New Roman"/>
          <w:noProof/>
          <w:sz w:val="22"/>
        </w:rPr>
        <w:t xml:space="preserve">Benedict, M. A., &amp; McMahon, E. T. (2006). </w:t>
      </w:r>
      <w:r w:rsidR="00607424" w:rsidRPr="00607424">
        <w:rPr>
          <w:rFonts w:ascii="Times New Roman" w:eastAsia="Times New Roman" w:hAnsi="Times New Roman" w:cs="Times New Roman"/>
          <w:i/>
          <w:iCs/>
          <w:noProof/>
          <w:sz w:val="22"/>
        </w:rPr>
        <w:t>Green Infrastructure: Linking Landscapes and Communities</w:t>
      </w:r>
      <w:r w:rsidR="00607424" w:rsidRPr="00607424">
        <w:rPr>
          <w:rFonts w:ascii="Times New Roman" w:eastAsia="Times New Roman" w:hAnsi="Times New Roman" w:cs="Times New Roman"/>
          <w:noProof/>
          <w:sz w:val="22"/>
        </w:rPr>
        <w:t xml:space="preserve">. </w:t>
      </w:r>
      <w:r w:rsidR="00607424" w:rsidRPr="00607424">
        <w:rPr>
          <w:rFonts w:ascii="Times New Roman" w:eastAsia="Times New Roman" w:hAnsi="Times New Roman" w:cs="Times New Roman"/>
          <w:i/>
          <w:iCs/>
          <w:noProof/>
          <w:sz w:val="22"/>
        </w:rPr>
        <w:t>Urban Land</w:t>
      </w:r>
      <w:r w:rsidR="00607424" w:rsidRPr="00607424">
        <w:rPr>
          <w:rFonts w:ascii="Times New Roman" w:eastAsia="Times New Roman" w:hAnsi="Times New Roman" w:cs="Times New Roman"/>
          <w:noProof/>
          <w:sz w:val="22"/>
        </w:rPr>
        <w:t xml:space="preserve"> (Vol. June). Washington DC: Island Press.</w:t>
      </w:r>
    </w:p>
    <w:p w:rsidR="00607424" w:rsidRPr="00607424" w:rsidRDefault="00607424" w:rsidP="00607424">
      <w:pPr>
        <w:autoSpaceDE w:val="0"/>
        <w:autoSpaceDN w:val="0"/>
        <w:adjustRightInd w:val="0"/>
        <w:ind w:left="480" w:hanging="480"/>
        <w:rPr>
          <w:rFonts w:ascii="Times New Roman" w:eastAsia="Times New Roman" w:hAnsi="Times New Roman" w:cs="Times New Roman"/>
          <w:noProof/>
          <w:sz w:val="22"/>
        </w:rPr>
      </w:pPr>
      <w:r w:rsidRPr="00607424">
        <w:rPr>
          <w:rFonts w:ascii="Times New Roman" w:eastAsia="Times New Roman" w:hAnsi="Times New Roman" w:cs="Times New Roman"/>
          <w:noProof/>
          <w:sz w:val="22"/>
        </w:rPr>
        <w:t xml:space="preserve">Breuste, J., Niemelä, J., &amp; Snep, R. P. H. (2008). Applying landscape ecological principles in urban environments. </w:t>
      </w:r>
      <w:r w:rsidRPr="00607424">
        <w:rPr>
          <w:rFonts w:ascii="Times New Roman" w:eastAsia="Times New Roman" w:hAnsi="Times New Roman" w:cs="Times New Roman"/>
          <w:i/>
          <w:iCs/>
          <w:noProof/>
          <w:sz w:val="22"/>
        </w:rPr>
        <w:t>Landscape Ecology</w:t>
      </w:r>
      <w:r w:rsidRPr="00607424">
        <w:rPr>
          <w:rFonts w:ascii="Times New Roman" w:eastAsia="Times New Roman" w:hAnsi="Times New Roman" w:cs="Times New Roman"/>
          <w:noProof/>
          <w:sz w:val="22"/>
        </w:rPr>
        <w:t xml:space="preserve">, </w:t>
      </w:r>
      <w:r w:rsidRPr="00607424">
        <w:rPr>
          <w:rFonts w:ascii="Times New Roman" w:eastAsia="Times New Roman" w:hAnsi="Times New Roman" w:cs="Times New Roman"/>
          <w:i/>
          <w:iCs/>
          <w:noProof/>
          <w:sz w:val="22"/>
        </w:rPr>
        <w:t>23</w:t>
      </w:r>
      <w:r w:rsidRPr="00607424">
        <w:rPr>
          <w:rFonts w:ascii="Times New Roman" w:eastAsia="Times New Roman" w:hAnsi="Times New Roman" w:cs="Times New Roman"/>
          <w:noProof/>
          <w:sz w:val="22"/>
        </w:rPr>
        <w:t xml:space="preserve">(10), 1139–1142. </w:t>
      </w:r>
    </w:p>
    <w:p w:rsidR="00607424" w:rsidRPr="00607424" w:rsidRDefault="00607424" w:rsidP="00607424">
      <w:pPr>
        <w:autoSpaceDE w:val="0"/>
        <w:autoSpaceDN w:val="0"/>
        <w:adjustRightInd w:val="0"/>
        <w:ind w:left="480" w:hanging="480"/>
        <w:rPr>
          <w:rFonts w:ascii="Times New Roman" w:eastAsia="Times New Roman" w:hAnsi="Times New Roman" w:cs="Times New Roman"/>
          <w:noProof/>
          <w:sz w:val="22"/>
        </w:rPr>
      </w:pPr>
      <w:r w:rsidRPr="00607424">
        <w:rPr>
          <w:rFonts w:ascii="Times New Roman" w:eastAsia="Times New Roman" w:hAnsi="Times New Roman" w:cs="Times New Roman"/>
          <w:noProof/>
          <w:sz w:val="22"/>
        </w:rPr>
        <w:t xml:space="preserve">Cullingworth, B., Nadin, V., Hart, T., Davoudi, S., Pendlebury, J., Vigar, G., … Townshend, T. (2015). </w:t>
      </w:r>
      <w:r w:rsidRPr="00607424">
        <w:rPr>
          <w:rFonts w:ascii="Times New Roman" w:eastAsia="Times New Roman" w:hAnsi="Times New Roman" w:cs="Times New Roman"/>
          <w:i/>
          <w:iCs/>
          <w:noProof/>
          <w:sz w:val="22"/>
        </w:rPr>
        <w:t>Town and Country Planning in the UK</w:t>
      </w:r>
      <w:r w:rsidRPr="00607424">
        <w:rPr>
          <w:rFonts w:ascii="Times New Roman" w:eastAsia="Times New Roman" w:hAnsi="Times New Roman" w:cs="Times New Roman"/>
          <w:noProof/>
          <w:sz w:val="22"/>
        </w:rPr>
        <w:t xml:space="preserve"> (15th ed.). Abingdon: Routledge.</w:t>
      </w:r>
    </w:p>
    <w:p w:rsidR="00607424" w:rsidRPr="00607424" w:rsidRDefault="00607424" w:rsidP="00607424">
      <w:pPr>
        <w:autoSpaceDE w:val="0"/>
        <w:autoSpaceDN w:val="0"/>
        <w:adjustRightInd w:val="0"/>
        <w:ind w:left="480" w:hanging="480"/>
        <w:rPr>
          <w:rFonts w:ascii="Times New Roman" w:eastAsia="Times New Roman" w:hAnsi="Times New Roman" w:cs="Times New Roman"/>
          <w:noProof/>
          <w:sz w:val="22"/>
        </w:rPr>
      </w:pPr>
      <w:r w:rsidRPr="00607424">
        <w:rPr>
          <w:rFonts w:ascii="Times New Roman" w:eastAsia="Times New Roman" w:hAnsi="Times New Roman" w:cs="Times New Roman"/>
          <w:noProof/>
          <w:sz w:val="22"/>
        </w:rPr>
        <w:t xml:space="preserve">Department of Communties and Local Government. (2012). </w:t>
      </w:r>
      <w:r w:rsidRPr="00607424">
        <w:rPr>
          <w:rFonts w:ascii="Times New Roman" w:eastAsia="Times New Roman" w:hAnsi="Times New Roman" w:cs="Times New Roman"/>
          <w:i/>
          <w:iCs/>
          <w:noProof/>
          <w:sz w:val="22"/>
        </w:rPr>
        <w:t>Potential funding for community green spaces</w:t>
      </w:r>
      <w:r w:rsidRPr="00607424">
        <w:rPr>
          <w:rFonts w:ascii="Times New Roman" w:eastAsia="Times New Roman" w:hAnsi="Times New Roman" w:cs="Times New Roman"/>
          <w:noProof/>
          <w:sz w:val="22"/>
        </w:rPr>
        <w:t xml:space="preserve">. London, UK. </w:t>
      </w:r>
    </w:p>
    <w:p w:rsidR="00607424" w:rsidRPr="00607424" w:rsidRDefault="00607424" w:rsidP="00607424">
      <w:pPr>
        <w:autoSpaceDE w:val="0"/>
        <w:autoSpaceDN w:val="0"/>
        <w:adjustRightInd w:val="0"/>
        <w:ind w:left="480" w:hanging="480"/>
        <w:rPr>
          <w:rFonts w:ascii="Times New Roman" w:eastAsia="Times New Roman" w:hAnsi="Times New Roman" w:cs="Times New Roman"/>
          <w:noProof/>
          <w:sz w:val="22"/>
        </w:rPr>
      </w:pPr>
      <w:r w:rsidRPr="00607424">
        <w:rPr>
          <w:rFonts w:ascii="Times New Roman" w:eastAsia="Times New Roman" w:hAnsi="Times New Roman" w:cs="Times New Roman"/>
          <w:noProof/>
          <w:sz w:val="22"/>
        </w:rPr>
        <w:t xml:space="preserve">Fábos, J. G. (2004). Greenway planning in the United States: its origins and recent case studies. </w:t>
      </w:r>
      <w:r w:rsidRPr="00607424">
        <w:rPr>
          <w:rFonts w:ascii="Times New Roman" w:eastAsia="Times New Roman" w:hAnsi="Times New Roman" w:cs="Times New Roman"/>
          <w:i/>
          <w:iCs/>
          <w:noProof/>
          <w:sz w:val="22"/>
        </w:rPr>
        <w:t>Landscape and Urban Planning</w:t>
      </w:r>
      <w:r w:rsidRPr="00607424">
        <w:rPr>
          <w:rFonts w:ascii="Times New Roman" w:eastAsia="Times New Roman" w:hAnsi="Times New Roman" w:cs="Times New Roman"/>
          <w:noProof/>
          <w:sz w:val="22"/>
        </w:rPr>
        <w:t xml:space="preserve">, </w:t>
      </w:r>
      <w:r w:rsidRPr="00607424">
        <w:rPr>
          <w:rFonts w:ascii="Times New Roman" w:eastAsia="Times New Roman" w:hAnsi="Times New Roman" w:cs="Times New Roman"/>
          <w:i/>
          <w:iCs/>
          <w:noProof/>
          <w:sz w:val="22"/>
        </w:rPr>
        <w:t>68</w:t>
      </w:r>
      <w:r w:rsidRPr="00607424">
        <w:rPr>
          <w:rFonts w:ascii="Times New Roman" w:eastAsia="Times New Roman" w:hAnsi="Times New Roman" w:cs="Times New Roman"/>
          <w:noProof/>
          <w:sz w:val="22"/>
        </w:rPr>
        <w:t>(2-3), 321–342.</w:t>
      </w:r>
    </w:p>
    <w:p w:rsidR="00607424" w:rsidRPr="00607424" w:rsidRDefault="00607424" w:rsidP="00607424">
      <w:pPr>
        <w:autoSpaceDE w:val="0"/>
        <w:autoSpaceDN w:val="0"/>
        <w:adjustRightInd w:val="0"/>
        <w:ind w:left="480" w:hanging="480"/>
        <w:rPr>
          <w:rFonts w:ascii="Times New Roman" w:eastAsia="Times New Roman" w:hAnsi="Times New Roman" w:cs="Times New Roman"/>
          <w:noProof/>
          <w:sz w:val="22"/>
        </w:rPr>
      </w:pPr>
      <w:r w:rsidRPr="00607424">
        <w:rPr>
          <w:rFonts w:ascii="Times New Roman" w:eastAsia="Times New Roman" w:hAnsi="Times New Roman" w:cs="Times New Roman"/>
          <w:noProof/>
          <w:sz w:val="22"/>
        </w:rPr>
        <w:t xml:space="preserve">Farina, A. (2006). </w:t>
      </w:r>
      <w:r w:rsidRPr="00607424">
        <w:rPr>
          <w:rFonts w:ascii="Times New Roman" w:eastAsia="Times New Roman" w:hAnsi="Times New Roman" w:cs="Times New Roman"/>
          <w:i/>
          <w:iCs/>
          <w:noProof/>
          <w:sz w:val="22"/>
        </w:rPr>
        <w:t>Principles and Methods in Landscape Ecology: Towards a Science of the Landscape</w:t>
      </w:r>
      <w:r w:rsidRPr="00607424">
        <w:rPr>
          <w:rFonts w:ascii="Times New Roman" w:eastAsia="Times New Roman" w:hAnsi="Times New Roman" w:cs="Times New Roman"/>
          <w:noProof/>
          <w:sz w:val="22"/>
        </w:rPr>
        <w:t>. London: Springer.</w:t>
      </w:r>
    </w:p>
    <w:p w:rsidR="00607424" w:rsidRPr="00607424" w:rsidRDefault="00607424" w:rsidP="00607424">
      <w:pPr>
        <w:autoSpaceDE w:val="0"/>
        <w:autoSpaceDN w:val="0"/>
        <w:adjustRightInd w:val="0"/>
        <w:ind w:left="480" w:hanging="480"/>
        <w:rPr>
          <w:rFonts w:ascii="Times New Roman" w:eastAsia="Times New Roman" w:hAnsi="Times New Roman" w:cs="Times New Roman"/>
          <w:noProof/>
          <w:sz w:val="22"/>
        </w:rPr>
      </w:pPr>
      <w:r w:rsidRPr="00607424">
        <w:rPr>
          <w:rFonts w:ascii="Times New Roman" w:eastAsia="Times New Roman" w:hAnsi="Times New Roman" w:cs="Times New Roman"/>
          <w:noProof/>
          <w:sz w:val="22"/>
        </w:rPr>
        <w:t xml:space="preserve">Harrison, C., Burgess, J., Milward, A., &amp; Dawe, G. (1995). </w:t>
      </w:r>
      <w:r w:rsidRPr="00607424">
        <w:rPr>
          <w:rFonts w:ascii="Times New Roman" w:eastAsia="Times New Roman" w:hAnsi="Times New Roman" w:cs="Times New Roman"/>
          <w:i/>
          <w:iCs/>
          <w:noProof/>
          <w:sz w:val="22"/>
        </w:rPr>
        <w:t>Accessible natural greenspace in towns and cities: A review of appropriate size and distance criteria. English Nature Research Reports No. 153.</w:t>
      </w:r>
      <w:r w:rsidRPr="00607424">
        <w:rPr>
          <w:rFonts w:ascii="Times New Roman" w:eastAsia="Times New Roman" w:hAnsi="Times New Roman" w:cs="Times New Roman"/>
          <w:noProof/>
          <w:sz w:val="22"/>
        </w:rPr>
        <w:t xml:space="preserve"> Peterborough.</w:t>
      </w:r>
    </w:p>
    <w:p w:rsidR="00607424" w:rsidRPr="00607424" w:rsidRDefault="00607424" w:rsidP="00607424">
      <w:pPr>
        <w:autoSpaceDE w:val="0"/>
        <w:autoSpaceDN w:val="0"/>
        <w:adjustRightInd w:val="0"/>
        <w:ind w:left="480" w:hanging="480"/>
        <w:rPr>
          <w:rFonts w:ascii="Times New Roman" w:eastAsia="Times New Roman" w:hAnsi="Times New Roman" w:cs="Times New Roman"/>
          <w:noProof/>
          <w:sz w:val="22"/>
        </w:rPr>
      </w:pPr>
      <w:r w:rsidRPr="00607424">
        <w:rPr>
          <w:rFonts w:ascii="Times New Roman" w:eastAsia="Times New Roman" w:hAnsi="Times New Roman" w:cs="Times New Roman"/>
          <w:noProof/>
          <w:sz w:val="22"/>
        </w:rPr>
        <w:t xml:space="preserve">Hellmund, P. C., &amp; Smith, D. (2006). </w:t>
      </w:r>
      <w:r w:rsidRPr="00607424">
        <w:rPr>
          <w:rFonts w:ascii="Times New Roman" w:eastAsia="Times New Roman" w:hAnsi="Times New Roman" w:cs="Times New Roman"/>
          <w:i/>
          <w:iCs/>
          <w:noProof/>
          <w:sz w:val="22"/>
        </w:rPr>
        <w:t>Designing Greenways: Sustainable Landscapes for Nature and People</w:t>
      </w:r>
      <w:r w:rsidRPr="00607424">
        <w:rPr>
          <w:rFonts w:ascii="Times New Roman" w:eastAsia="Times New Roman" w:hAnsi="Times New Roman" w:cs="Times New Roman"/>
          <w:noProof/>
          <w:sz w:val="22"/>
        </w:rPr>
        <w:t>. Washington DC: Island Press.</w:t>
      </w:r>
    </w:p>
    <w:p w:rsidR="00607424" w:rsidRPr="00607424" w:rsidRDefault="00607424" w:rsidP="00607424">
      <w:pPr>
        <w:autoSpaceDE w:val="0"/>
        <w:autoSpaceDN w:val="0"/>
        <w:adjustRightInd w:val="0"/>
        <w:ind w:left="480" w:hanging="480"/>
        <w:rPr>
          <w:rFonts w:ascii="Times New Roman" w:eastAsia="Times New Roman" w:hAnsi="Times New Roman" w:cs="Times New Roman"/>
          <w:noProof/>
          <w:sz w:val="22"/>
        </w:rPr>
      </w:pPr>
      <w:r w:rsidRPr="00607424">
        <w:rPr>
          <w:rFonts w:ascii="Times New Roman" w:eastAsia="Times New Roman" w:hAnsi="Times New Roman" w:cs="Times New Roman"/>
          <w:noProof/>
          <w:sz w:val="22"/>
        </w:rPr>
        <w:t xml:space="preserve">Hostetler, M., Allen, W., &amp; Meurk, C. (2011). Conserving urban biodiversity? Creating green infrastructure is only the first step. </w:t>
      </w:r>
      <w:r w:rsidRPr="00607424">
        <w:rPr>
          <w:rFonts w:ascii="Times New Roman" w:eastAsia="Times New Roman" w:hAnsi="Times New Roman" w:cs="Times New Roman"/>
          <w:i/>
          <w:iCs/>
          <w:noProof/>
          <w:sz w:val="22"/>
        </w:rPr>
        <w:t>Landscape and Urban Planning</w:t>
      </w:r>
      <w:r w:rsidRPr="00607424">
        <w:rPr>
          <w:rFonts w:ascii="Times New Roman" w:eastAsia="Times New Roman" w:hAnsi="Times New Roman" w:cs="Times New Roman"/>
          <w:noProof/>
          <w:sz w:val="22"/>
        </w:rPr>
        <w:t xml:space="preserve">, </w:t>
      </w:r>
      <w:r w:rsidRPr="00607424">
        <w:rPr>
          <w:rFonts w:ascii="Times New Roman" w:eastAsia="Times New Roman" w:hAnsi="Times New Roman" w:cs="Times New Roman"/>
          <w:i/>
          <w:iCs/>
          <w:noProof/>
          <w:sz w:val="22"/>
        </w:rPr>
        <w:t>100</w:t>
      </w:r>
      <w:r w:rsidRPr="00607424">
        <w:rPr>
          <w:rFonts w:ascii="Times New Roman" w:eastAsia="Times New Roman" w:hAnsi="Times New Roman" w:cs="Times New Roman"/>
          <w:noProof/>
          <w:sz w:val="22"/>
        </w:rPr>
        <w:t>(4), 369–371.</w:t>
      </w:r>
    </w:p>
    <w:p w:rsidR="00607424" w:rsidRPr="00607424" w:rsidRDefault="00607424" w:rsidP="00607424">
      <w:pPr>
        <w:autoSpaceDE w:val="0"/>
        <w:autoSpaceDN w:val="0"/>
        <w:adjustRightInd w:val="0"/>
        <w:ind w:left="480" w:hanging="480"/>
        <w:rPr>
          <w:rFonts w:ascii="Times New Roman" w:eastAsia="Times New Roman" w:hAnsi="Times New Roman" w:cs="Times New Roman"/>
          <w:noProof/>
          <w:sz w:val="22"/>
        </w:rPr>
      </w:pPr>
      <w:r w:rsidRPr="00607424">
        <w:rPr>
          <w:rFonts w:ascii="Times New Roman" w:eastAsia="Times New Roman" w:hAnsi="Times New Roman" w:cs="Times New Roman"/>
          <w:noProof/>
          <w:sz w:val="22"/>
        </w:rPr>
        <w:t xml:space="preserve">Jongman, R., &amp; Pungetti, G. (2004). </w:t>
      </w:r>
      <w:r w:rsidRPr="00607424">
        <w:rPr>
          <w:rFonts w:ascii="Times New Roman" w:eastAsia="Times New Roman" w:hAnsi="Times New Roman" w:cs="Times New Roman"/>
          <w:i/>
          <w:iCs/>
          <w:noProof/>
          <w:sz w:val="22"/>
        </w:rPr>
        <w:t>Ecological Networks and greenways: concept, design and implementation.</w:t>
      </w:r>
      <w:r w:rsidRPr="00607424">
        <w:rPr>
          <w:rFonts w:ascii="Times New Roman" w:eastAsia="Times New Roman" w:hAnsi="Times New Roman" w:cs="Times New Roman"/>
          <w:noProof/>
          <w:sz w:val="22"/>
        </w:rPr>
        <w:t xml:space="preserve"> (R. Jongman &amp; G. Pungetti, Eds.). Cambridge: Cambridge University Press.</w:t>
      </w:r>
    </w:p>
    <w:p w:rsidR="00607424" w:rsidRPr="00607424" w:rsidRDefault="00607424" w:rsidP="00607424">
      <w:pPr>
        <w:autoSpaceDE w:val="0"/>
        <w:autoSpaceDN w:val="0"/>
        <w:adjustRightInd w:val="0"/>
        <w:ind w:left="480" w:hanging="480"/>
        <w:rPr>
          <w:rFonts w:ascii="Times New Roman" w:eastAsia="Times New Roman" w:hAnsi="Times New Roman" w:cs="Times New Roman"/>
          <w:noProof/>
          <w:sz w:val="22"/>
        </w:rPr>
      </w:pPr>
      <w:r w:rsidRPr="00607424">
        <w:rPr>
          <w:rFonts w:ascii="Times New Roman" w:eastAsia="Times New Roman" w:hAnsi="Times New Roman" w:cs="Times New Roman"/>
          <w:noProof/>
          <w:sz w:val="22"/>
        </w:rPr>
        <w:t xml:space="preserve">Little, C. (1990). </w:t>
      </w:r>
      <w:r w:rsidRPr="00607424">
        <w:rPr>
          <w:rFonts w:ascii="Times New Roman" w:eastAsia="Times New Roman" w:hAnsi="Times New Roman" w:cs="Times New Roman"/>
          <w:i/>
          <w:iCs/>
          <w:noProof/>
          <w:sz w:val="22"/>
        </w:rPr>
        <w:t>Greenways for America</w:t>
      </w:r>
      <w:r w:rsidRPr="00607424">
        <w:rPr>
          <w:rFonts w:ascii="Times New Roman" w:eastAsia="Times New Roman" w:hAnsi="Times New Roman" w:cs="Times New Roman"/>
          <w:noProof/>
          <w:sz w:val="22"/>
        </w:rPr>
        <w:t>. Baltimore: The John Hopkins University Press.</w:t>
      </w:r>
    </w:p>
    <w:p w:rsidR="00607424" w:rsidRPr="00607424" w:rsidRDefault="00607424" w:rsidP="00607424">
      <w:pPr>
        <w:autoSpaceDE w:val="0"/>
        <w:autoSpaceDN w:val="0"/>
        <w:adjustRightInd w:val="0"/>
        <w:ind w:left="480" w:hanging="480"/>
        <w:rPr>
          <w:rFonts w:ascii="Times New Roman" w:eastAsia="Times New Roman" w:hAnsi="Times New Roman" w:cs="Times New Roman"/>
          <w:noProof/>
          <w:sz w:val="22"/>
        </w:rPr>
      </w:pPr>
      <w:r w:rsidRPr="00607424">
        <w:rPr>
          <w:rFonts w:ascii="Times New Roman" w:eastAsia="Times New Roman" w:hAnsi="Times New Roman" w:cs="Times New Roman"/>
          <w:noProof/>
          <w:sz w:val="22"/>
        </w:rPr>
        <w:t xml:space="preserve">Liverpool City Council. (2015). </w:t>
      </w:r>
      <w:r w:rsidRPr="00607424">
        <w:rPr>
          <w:rFonts w:ascii="Times New Roman" w:eastAsia="Times New Roman" w:hAnsi="Times New Roman" w:cs="Times New Roman"/>
          <w:i/>
          <w:iCs/>
          <w:noProof/>
          <w:sz w:val="22"/>
        </w:rPr>
        <w:t>Strategic Green and Open Space Review Board Interim Report</w:t>
      </w:r>
      <w:r w:rsidRPr="00607424">
        <w:rPr>
          <w:rFonts w:ascii="Times New Roman" w:eastAsia="Times New Roman" w:hAnsi="Times New Roman" w:cs="Times New Roman"/>
          <w:noProof/>
          <w:sz w:val="22"/>
        </w:rPr>
        <w:t>. Liverpool, UK.</w:t>
      </w:r>
    </w:p>
    <w:p w:rsidR="00607424" w:rsidRPr="00607424" w:rsidRDefault="00607424" w:rsidP="00607424">
      <w:pPr>
        <w:autoSpaceDE w:val="0"/>
        <w:autoSpaceDN w:val="0"/>
        <w:adjustRightInd w:val="0"/>
        <w:ind w:left="480" w:hanging="480"/>
        <w:rPr>
          <w:rFonts w:ascii="Times New Roman" w:eastAsia="Times New Roman" w:hAnsi="Times New Roman" w:cs="Times New Roman"/>
          <w:noProof/>
          <w:sz w:val="22"/>
        </w:rPr>
      </w:pPr>
      <w:r w:rsidRPr="00607424">
        <w:rPr>
          <w:rFonts w:ascii="Times New Roman" w:eastAsia="Times New Roman" w:hAnsi="Times New Roman" w:cs="Times New Roman"/>
          <w:noProof/>
          <w:sz w:val="22"/>
        </w:rPr>
        <w:t xml:space="preserve">Mell, I. C. (2010). </w:t>
      </w:r>
      <w:r w:rsidRPr="00607424">
        <w:rPr>
          <w:rFonts w:ascii="Times New Roman" w:eastAsia="Times New Roman" w:hAnsi="Times New Roman" w:cs="Times New Roman"/>
          <w:i/>
          <w:iCs/>
          <w:noProof/>
          <w:sz w:val="22"/>
        </w:rPr>
        <w:t>Green infrastructure: concepts , perceptions and its use in spatial planning</w:t>
      </w:r>
      <w:r w:rsidRPr="00607424">
        <w:rPr>
          <w:rFonts w:ascii="Times New Roman" w:eastAsia="Times New Roman" w:hAnsi="Times New Roman" w:cs="Times New Roman"/>
          <w:noProof/>
          <w:sz w:val="22"/>
        </w:rPr>
        <w:t>. University of Newcastle.</w:t>
      </w:r>
    </w:p>
    <w:p w:rsidR="00607424" w:rsidRPr="00607424" w:rsidRDefault="00607424" w:rsidP="00607424">
      <w:pPr>
        <w:autoSpaceDE w:val="0"/>
        <w:autoSpaceDN w:val="0"/>
        <w:adjustRightInd w:val="0"/>
        <w:ind w:left="480" w:hanging="480"/>
        <w:rPr>
          <w:rFonts w:ascii="Times New Roman" w:eastAsia="Times New Roman" w:hAnsi="Times New Roman" w:cs="Times New Roman"/>
          <w:noProof/>
          <w:sz w:val="22"/>
        </w:rPr>
      </w:pPr>
      <w:r w:rsidRPr="00607424">
        <w:rPr>
          <w:rFonts w:ascii="Times New Roman" w:eastAsia="Times New Roman" w:hAnsi="Times New Roman" w:cs="Times New Roman"/>
          <w:noProof/>
          <w:sz w:val="22"/>
        </w:rPr>
        <w:t xml:space="preserve">Mell, I. C. (2012). Will CIL help to fund green infrastructure? </w:t>
      </w:r>
      <w:r w:rsidRPr="00607424">
        <w:rPr>
          <w:rFonts w:ascii="Times New Roman" w:eastAsia="Times New Roman" w:hAnsi="Times New Roman" w:cs="Times New Roman"/>
          <w:i/>
          <w:iCs/>
          <w:noProof/>
          <w:sz w:val="22"/>
        </w:rPr>
        <w:t>Town and Country Planning</w:t>
      </w:r>
      <w:r w:rsidRPr="00607424">
        <w:rPr>
          <w:rFonts w:ascii="Times New Roman" w:eastAsia="Times New Roman" w:hAnsi="Times New Roman" w:cs="Times New Roman"/>
          <w:noProof/>
          <w:sz w:val="22"/>
        </w:rPr>
        <w:t xml:space="preserve">, </w:t>
      </w:r>
      <w:r w:rsidRPr="00607424">
        <w:rPr>
          <w:rFonts w:ascii="Times New Roman" w:eastAsia="Times New Roman" w:hAnsi="Times New Roman" w:cs="Times New Roman"/>
          <w:i/>
          <w:iCs/>
          <w:noProof/>
          <w:sz w:val="22"/>
        </w:rPr>
        <w:t>81</w:t>
      </w:r>
      <w:r w:rsidRPr="00607424">
        <w:rPr>
          <w:rFonts w:ascii="Times New Roman" w:eastAsia="Times New Roman" w:hAnsi="Times New Roman" w:cs="Times New Roman"/>
          <w:noProof/>
          <w:sz w:val="22"/>
        </w:rPr>
        <w:t>(4), 194–197.</w:t>
      </w:r>
    </w:p>
    <w:p w:rsidR="00607424" w:rsidRPr="00607424" w:rsidRDefault="00A7178B" w:rsidP="00607424">
      <w:pPr>
        <w:autoSpaceDE w:val="0"/>
        <w:autoSpaceDN w:val="0"/>
        <w:adjustRightInd w:val="0"/>
        <w:ind w:left="480" w:hanging="480"/>
        <w:rPr>
          <w:rFonts w:ascii="Times New Roman" w:eastAsia="Times New Roman" w:hAnsi="Times New Roman" w:cs="Times New Roman"/>
          <w:noProof/>
          <w:sz w:val="22"/>
        </w:rPr>
      </w:pPr>
      <w:r>
        <w:rPr>
          <w:rFonts w:ascii="Times New Roman" w:eastAsia="Times New Roman" w:hAnsi="Times New Roman" w:cs="Times New Roman"/>
          <w:noProof/>
          <w:sz w:val="22"/>
        </w:rPr>
        <w:t>Mell, I. C. (2016</w:t>
      </w:r>
      <w:r w:rsidR="00607424" w:rsidRPr="00607424">
        <w:rPr>
          <w:rFonts w:ascii="Times New Roman" w:eastAsia="Times New Roman" w:hAnsi="Times New Roman" w:cs="Times New Roman"/>
          <w:noProof/>
          <w:sz w:val="22"/>
        </w:rPr>
        <w:t xml:space="preserve">). Financing Green Infrastructure in times of austerity: The case of Liverpool, UK. </w:t>
      </w:r>
      <w:r w:rsidR="00607424" w:rsidRPr="00607424">
        <w:rPr>
          <w:rFonts w:ascii="Times New Roman" w:eastAsia="Times New Roman" w:hAnsi="Times New Roman" w:cs="Times New Roman"/>
          <w:i/>
          <w:iCs/>
          <w:noProof/>
          <w:sz w:val="22"/>
        </w:rPr>
        <w:t>Biotope City Journal</w:t>
      </w:r>
      <w:r w:rsidR="00607424" w:rsidRPr="00607424">
        <w:rPr>
          <w:rFonts w:ascii="Times New Roman" w:eastAsia="Times New Roman" w:hAnsi="Times New Roman" w:cs="Times New Roman"/>
          <w:noProof/>
          <w:sz w:val="22"/>
        </w:rPr>
        <w:t>. http://www.biotope-city.net/gallery/financing-green-infrastructure-times-austerity</w:t>
      </w:r>
    </w:p>
    <w:p w:rsidR="00607424" w:rsidRPr="00607424" w:rsidRDefault="00607424" w:rsidP="00607424">
      <w:pPr>
        <w:autoSpaceDE w:val="0"/>
        <w:autoSpaceDN w:val="0"/>
        <w:adjustRightInd w:val="0"/>
        <w:ind w:left="480" w:hanging="480"/>
        <w:rPr>
          <w:rFonts w:ascii="Times New Roman" w:eastAsia="Times New Roman" w:hAnsi="Times New Roman" w:cs="Times New Roman"/>
          <w:noProof/>
          <w:sz w:val="22"/>
        </w:rPr>
      </w:pPr>
      <w:r w:rsidRPr="00607424">
        <w:rPr>
          <w:rFonts w:ascii="Times New Roman" w:eastAsia="Times New Roman" w:hAnsi="Times New Roman" w:cs="Times New Roman"/>
          <w:noProof/>
          <w:sz w:val="22"/>
        </w:rPr>
        <w:t xml:space="preserve">Sykes, O., Brown, J., Cocks, M., Shaw, D., &amp; Couch, C. (2013). A City Profile of Liverpool. </w:t>
      </w:r>
      <w:r w:rsidRPr="00607424">
        <w:rPr>
          <w:rFonts w:ascii="Times New Roman" w:eastAsia="Times New Roman" w:hAnsi="Times New Roman" w:cs="Times New Roman"/>
          <w:i/>
          <w:iCs/>
          <w:noProof/>
          <w:sz w:val="22"/>
        </w:rPr>
        <w:t>Cities</w:t>
      </w:r>
      <w:r w:rsidRPr="00607424">
        <w:rPr>
          <w:rFonts w:ascii="Times New Roman" w:eastAsia="Times New Roman" w:hAnsi="Times New Roman" w:cs="Times New Roman"/>
          <w:noProof/>
          <w:sz w:val="22"/>
        </w:rPr>
        <w:t xml:space="preserve">, </w:t>
      </w:r>
      <w:r w:rsidRPr="00607424">
        <w:rPr>
          <w:rFonts w:ascii="Times New Roman" w:eastAsia="Times New Roman" w:hAnsi="Times New Roman" w:cs="Times New Roman"/>
          <w:i/>
          <w:iCs/>
          <w:noProof/>
          <w:sz w:val="22"/>
        </w:rPr>
        <w:t>35</w:t>
      </w:r>
      <w:r w:rsidRPr="00607424">
        <w:rPr>
          <w:rFonts w:ascii="Times New Roman" w:eastAsia="Times New Roman" w:hAnsi="Times New Roman" w:cs="Times New Roman"/>
          <w:noProof/>
          <w:sz w:val="22"/>
        </w:rPr>
        <w:t xml:space="preserve">, 299–318. </w:t>
      </w:r>
    </w:p>
    <w:p w:rsidR="00030442" w:rsidRPr="00030442" w:rsidRDefault="00030442" w:rsidP="00607424">
      <w:pPr>
        <w:autoSpaceDE w:val="0"/>
        <w:autoSpaceDN w:val="0"/>
        <w:adjustRightInd w:val="0"/>
        <w:ind w:left="480" w:hanging="480"/>
        <w:rPr>
          <w:rFonts w:ascii="Times New Roman" w:hAnsi="Times New Roman" w:cs="Times New Roman"/>
          <w:bCs/>
          <w:color w:val="000000"/>
          <w:sz w:val="22"/>
          <w:szCs w:val="22"/>
          <w:lang w:val="en-US"/>
        </w:rPr>
      </w:pPr>
      <w:r w:rsidRPr="00030442">
        <w:rPr>
          <w:rFonts w:ascii="Times New Roman" w:hAnsi="Times New Roman" w:cs="Times New Roman"/>
          <w:bCs/>
          <w:color w:val="000000"/>
          <w:sz w:val="22"/>
          <w:szCs w:val="22"/>
          <w:lang w:val="en-US"/>
        </w:rPr>
        <w:fldChar w:fldCharType="end"/>
      </w:r>
    </w:p>
    <w:sectPr w:rsidR="00030442" w:rsidRPr="00030442" w:rsidSect="00030442">
      <w:headerReference w:type="even" r:id="rId8"/>
      <w:headerReference w:type="default" r:id="rId9"/>
      <w:footerReference w:type="even" r:id="rId10"/>
      <w:footerReference w:type="default" r:id="rId11"/>
      <w:pgSz w:w="8680" w:h="12760"/>
      <w:pgMar w:top="1026" w:right="567" w:bottom="1026" w:left="1134"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D1D" w:rsidRDefault="00353D1D">
      <w:r>
        <w:separator/>
      </w:r>
    </w:p>
  </w:endnote>
  <w:endnote w:type="continuationSeparator" w:id="0">
    <w:p w:rsidR="00353D1D" w:rsidRDefault="0035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iberation Sans">
    <w:altName w:val="Arial"/>
    <w:charset w:val="EE"/>
    <w:family w:val="swiss"/>
    <w:pitch w:val="variable"/>
  </w:font>
  <w:font w:name="Liberation Mono">
    <w:altName w:val="Courier New"/>
    <w:charset w:val="EE"/>
    <w:family w:val="modern"/>
    <w:pitch w:val="fixed"/>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9C" w:rsidRDefault="0042199C">
    <w:pPr>
      <w:pStyle w:val="Footer"/>
      <w:pBdr>
        <w:top w:val="single" w:sz="2" w:space="2" w:color="000000"/>
        <w:left w:val="none" w:sz="0" w:space="0" w:color="000000"/>
        <w:bottom w:val="none" w:sz="0" w:space="0" w:color="000000"/>
        <w:right w:val="none" w:sz="0" w:space="0" w:color="000000"/>
      </w:pBdr>
      <w:jc w:val="center"/>
    </w:pPr>
    <w:r>
      <w:rPr>
        <w:sz w:val="20"/>
        <w:szCs w:val="20"/>
      </w:rPr>
      <w:fldChar w:fldCharType="begin"/>
    </w:r>
    <w:r>
      <w:rPr>
        <w:sz w:val="20"/>
        <w:szCs w:val="20"/>
      </w:rPr>
      <w:instrText xml:space="preserve"> PAGE </w:instrText>
    </w:r>
    <w:r>
      <w:rPr>
        <w:sz w:val="20"/>
        <w:szCs w:val="20"/>
      </w:rPr>
      <w:fldChar w:fldCharType="separate"/>
    </w:r>
    <w:r w:rsidR="00F130D9">
      <w:rPr>
        <w:rFonts w:hint="eastAsia"/>
        <w:noProof/>
        <w:sz w:val="20"/>
        <w:szCs w:val="20"/>
      </w:rPr>
      <w:t>6</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9C" w:rsidRDefault="0042199C">
    <w:pPr>
      <w:pStyle w:val="Footer"/>
      <w:pBdr>
        <w:top w:val="single" w:sz="2" w:space="2" w:color="000000"/>
        <w:left w:val="none" w:sz="0" w:space="0" w:color="000000"/>
        <w:bottom w:val="none" w:sz="0" w:space="0" w:color="000000"/>
        <w:right w:val="none" w:sz="0" w:space="0" w:color="000000"/>
      </w:pBdr>
      <w:jc w:val="center"/>
    </w:pPr>
    <w:r>
      <w:rPr>
        <w:sz w:val="20"/>
        <w:szCs w:val="20"/>
      </w:rPr>
      <w:fldChar w:fldCharType="begin"/>
    </w:r>
    <w:r>
      <w:rPr>
        <w:sz w:val="20"/>
        <w:szCs w:val="20"/>
      </w:rPr>
      <w:instrText xml:space="preserve"> PAGE </w:instrText>
    </w:r>
    <w:r>
      <w:rPr>
        <w:sz w:val="20"/>
        <w:szCs w:val="20"/>
      </w:rPr>
      <w:fldChar w:fldCharType="separate"/>
    </w:r>
    <w:r w:rsidR="00F130D9">
      <w:rPr>
        <w:rFonts w:hint="eastAsia"/>
        <w:noProof/>
        <w:sz w:val="20"/>
        <w:szCs w:val="20"/>
      </w:rPr>
      <w:t>5</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D1D" w:rsidRDefault="00353D1D">
      <w:r>
        <w:separator/>
      </w:r>
    </w:p>
  </w:footnote>
  <w:footnote w:type="continuationSeparator" w:id="0">
    <w:p w:rsidR="00353D1D" w:rsidRDefault="00353D1D">
      <w:r>
        <w:continuationSeparator/>
      </w:r>
    </w:p>
  </w:footnote>
  <w:footnote w:id="1">
    <w:p w:rsidR="00030442" w:rsidRPr="00304E12" w:rsidRDefault="00030442" w:rsidP="00030442">
      <w:pPr>
        <w:pStyle w:val="FootnoteText"/>
        <w:ind w:left="0" w:firstLine="0"/>
        <w:rPr>
          <w:rFonts w:ascii="Times New Roman" w:hAnsi="Times New Roman" w:cs="Times New Roman"/>
          <w:sz w:val="16"/>
          <w:szCs w:val="16"/>
          <w:lang w:val="en-GB"/>
        </w:rPr>
      </w:pPr>
      <w:r w:rsidRPr="00304E12">
        <w:rPr>
          <w:rStyle w:val="FootnoteReference"/>
          <w:rFonts w:ascii="Times New Roman" w:hAnsi="Times New Roman" w:cs="Times New Roman"/>
          <w:sz w:val="16"/>
          <w:szCs w:val="16"/>
        </w:rPr>
        <w:footnoteRef/>
      </w:r>
      <w:r w:rsidRPr="00304E12">
        <w:rPr>
          <w:rFonts w:ascii="Times New Roman" w:hAnsi="Times New Roman" w:cs="Times New Roman"/>
          <w:sz w:val="16"/>
          <w:szCs w:val="16"/>
        </w:rPr>
        <w:t xml:space="preserve"> </w:t>
      </w:r>
      <w:r w:rsidRPr="00304E12">
        <w:rPr>
          <w:rFonts w:ascii="Times New Roman" w:hAnsi="Times New Roman" w:cs="Times New Roman"/>
          <w:sz w:val="16"/>
          <w:szCs w:val="16"/>
          <w:lang w:val="en-GB"/>
        </w:rPr>
        <w:t xml:space="preserve">Throughout this paper greenways, green corridors, green spaces and green infrastructure </w:t>
      </w:r>
      <w:r w:rsidR="00422546">
        <w:rPr>
          <w:rFonts w:ascii="Times New Roman" w:hAnsi="Times New Roman" w:cs="Times New Roman"/>
          <w:sz w:val="16"/>
          <w:szCs w:val="16"/>
          <w:lang w:val="en-GB"/>
        </w:rPr>
        <w:t xml:space="preserve">(GI) </w:t>
      </w:r>
      <w:r w:rsidRPr="00304E12">
        <w:rPr>
          <w:rFonts w:ascii="Times New Roman" w:hAnsi="Times New Roman" w:cs="Times New Roman"/>
          <w:sz w:val="16"/>
          <w:szCs w:val="16"/>
          <w:lang w:val="en-GB"/>
        </w:rPr>
        <w:t>are used interchangeably. Although each term has a grounded meaning the princi</w:t>
      </w:r>
      <w:r w:rsidR="00422546">
        <w:rPr>
          <w:rFonts w:ascii="Times New Roman" w:hAnsi="Times New Roman" w:cs="Times New Roman"/>
          <w:sz w:val="16"/>
          <w:szCs w:val="16"/>
          <w:lang w:val="en-GB"/>
        </w:rPr>
        <w:t>ples of connectivity, access,</w:t>
      </w:r>
      <w:r w:rsidRPr="00304E12">
        <w:rPr>
          <w:rFonts w:ascii="Times New Roman" w:hAnsi="Times New Roman" w:cs="Times New Roman"/>
          <w:sz w:val="16"/>
          <w:szCs w:val="16"/>
          <w:lang w:val="en-GB"/>
        </w:rPr>
        <w:t xml:space="preserve"> </w:t>
      </w:r>
      <w:r w:rsidR="00422546">
        <w:rPr>
          <w:rFonts w:ascii="Times New Roman" w:hAnsi="Times New Roman" w:cs="Times New Roman"/>
          <w:sz w:val="16"/>
          <w:szCs w:val="16"/>
          <w:lang w:val="en-GB"/>
        </w:rPr>
        <w:t>promoting multi-functionality</w:t>
      </w:r>
      <w:r w:rsidRPr="00304E12">
        <w:rPr>
          <w:rFonts w:ascii="Times New Roman" w:hAnsi="Times New Roman" w:cs="Times New Roman"/>
          <w:sz w:val="16"/>
          <w:szCs w:val="16"/>
          <w:lang w:val="en-GB"/>
        </w:rPr>
        <w:t xml:space="preserve">, and </w:t>
      </w:r>
      <w:r w:rsidR="00422546">
        <w:rPr>
          <w:rFonts w:ascii="Times New Roman" w:hAnsi="Times New Roman" w:cs="Times New Roman"/>
          <w:sz w:val="16"/>
          <w:szCs w:val="16"/>
          <w:lang w:val="en-GB"/>
        </w:rPr>
        <w:t xml:space="preserve">diverse </w:t>
      </w:r>
      <w:r w:rsidRPr="00304E12">
        <w:rPr>
          <w:rFonts w:ascii="Times New Roman" w:hAnsi="Times New Roman" w:cs="Times New Roman"/>
          <w:sz w:val="16"/>
          <w:szCs w:val="16"/>
          <w:lang w:val="en-GB"/>
        </w:rPr>
        <w:t xml:space="preserve">spatial distribution are common to all </w:t>
      </w:r>
      <w:r w:rsidRPr="00304E12">
        <w:rPr>
          <w:rFonts w:ascii="Times New Roman" w:hAnsi="Times New Roman" w:cs="Times New Roman"/>
          <w:sz w:val="16"/>
          <w:szCs w:val="16"/>
          <w:lang w:val="en-GB"/>
        </w:rPr>
        <w:fldChar w:fldCharType="begin" w:fldLock="1"/>
      </w:r>
      <w:r w:rsidRPr="00304E12">
        <w:rPr>
          <w:rFonts w:ascii="Times New Roman" w:hAnsi="Times New Roman" w:cs="Times New Roman"/>
          <w:sz w:val="16"/>
          <w:szCs w:val="16"/>
          <w:lang w:val="en-GB"/>
        </w:rPr>
        <w:instrText>ADDIN CSL_CITATION { "citationItems" : [ { "id" : "ITEM-1", "itemData" : { "author" : [ { "dropping-particle" : "", "family" : "Mell", "given" : "I.C.", "non-dropping-particle" : "", "parse-names" : false, "suffix" : "" } ], "id" : "ITEM-1", "issued" : { "date-parts" : [ [ "2016" ] ] }, "publisher" : "Routledge", "publisher-place" : "Abingdon", "title" : "Global Green frastructure: Lessons for successful policy-making, investment and management", "type" : "book" }, "uris" : [ "http://www.mendeley.com/documents/?uuid=728dcced-a811-4ca8-96ca-50728a02db84" ] }, { "id" : "ITEM-2", "itemData" : { "author" : [ { "dropping-particle" : "", "family" : "Little", "given" : "C.", "non-dropping-particle" : "", "parse-names" : false, "suffix" : "" } ], "id" : "ITEM-2", "issued" : { "date-parts" : [ [ "1990" ] ] }, "publisher" : "The John Hopkins University Press", "publisher-place" : "Baltimore", "title" : "Greenways for America", "type" : "book" }, "uris" : [ "http://www.mendeley.com/documents/?uuid=d37f406d-4c2b-4962-b165-5ca494d157f8" ] }, { "id" : "ITEM-3", "itemData" : { "ISSN" : "01692046", "abstract" : "Urban planning efforts to conserve urban biodiversity have often concentrated on establishing protected natural areas and corridors. While green infrastructure is important, it is critical that surrounding neighborhoods and commercial areas have minimal impacts on conserved areas. Everything from invasive exotics to stormwater runoff can degrade the biological integrity of green infrastructure. In this essay, we discuss future research and strategic directions to achieve a systems approach that includes the design and management of nearby built areas to be compatible with green infrastructure. Planners, developers, researchers, and residents all play a role in shifting conventional development inertia to something more compatible with green infrastructure. We outline a range of processes, research, policy tools and educational strategies that could be used to engage key stakeholder groups more closely with urban biodiversity conservation.", "author" : [ { "dropping-particle" : "", "family" : "Hostetler", "given" : "Mark", "non-dropping-particle" : "", "parse-names" : false, "suffix" : "" }, { "dropping-particle" : "", "family" : "Allen", "given" : "Will", "non-dropping-particle" : "", "parse-names" : false, "suffix" : "" }, { "dropping-particle" : "", "family" : "Meurk", "given" : "Colin", "non-dropping-particle" : "", "parse-names" : false, "suffix" : "" } ], "container-title" : "Landscape and Urban Planning", "id" : "ITEM-3", "issue" : "4", "issued" : { "date-parts" : [ [ "2011" ] ] }, "page" : "369-371", "title" : "Conserving urban biodiversity? Creating green infrastructure is only the first step", "type" : "article-journal", "volume" : "100" }, "uris" : [ "http://www.mendeley.com/documents/?uuid=9585b2bb-4c1e-47a9-b8c7-5182eb464595" ] } ], "mendeley" : { "formattedCitation" : "(Hostetler, Allen, &amp; Meurk, 2011; Little, 1990; Mell, 2016b)", "plainTextFormattedCitation" : "(Hostetler, Allen, &amp; Meurk, 2011; Little, 1990; Mell, 2016b)", "previouslyFormattedCitation" : "(Hostetler, Allen, &amp; Meurk, 2011; Little, 1990; Mell, 2016b)" }, "properties" : { "noteIndex" : 0 }, "schema" : "https://github.com/citation-style-language/schema/raw/master/csl-citation.json" }</w:instrText>
      </w:r>
      <w:r w:rsidRPr="00304E12">
        <w:rPr>
          <w:rFonts w:ascii="Times New Roman" w:hAnsi="Times New Roman" w:cs="Times New Roman"/>
          <w:sz w:val="16"/>
          <w:szCs w:val="16"/>
          <w:lang w:val="en-GB"/>
        </w:rPr>
        <w:fldChar w:fldCharType="separate"/>
      </w:r>
      <w:r w:rsidRPr="00304E12">
        <w:rPr>
          <w:rFonts w:ascii="Times New Roman" w:hAnsi="Times New Roman" w:cs="Times New Roman"/>
          <w:noProof/>
          <w:sz w:val="16"/>
          <w:szCs w:val="16"/>
          <w:lang w:val="en-GB"/>
        </w:rPr>
        <w:t>(Hostetler, All</w:t>
      </w:r>
      <w:r w:rsidR="00D7331F">
        <w:rPr>
          <w:rFonts w:ascii="Times New Roman" w:hAnsi="Times New Roman" w:cs="Times New Roman"/>
          <w:noProof/>
          <w:sz w:val="16"/>
          <w:szCs w:val="16"/>
          <w:lang w:val="en-GB"/>
        </w:rPr>
        <w:t>en, &amp; Meurk, 2011; Little, 1990</w:t>
      </w:r>
      <w:r w:rsidRPr="00304E12">
        <w:rPr>
          <w:rFonts w:ascii="Times New Roman" w:hAnsi="Times New Roman" w:cs="Times New Roman"/>
          <w:noProof/>
          <w:sz w:val="16"/>
          <w:szCs w:val="16"/>
          <w:lang w:val="en-GB"/>
        </w:rPr>
        <w:t>)</w:t>
      </w:r>
      <w:r w:rsidRPr="00304E12">
        <w:rPr>
          <w:rFonts w:ascii="Times New Roman" w:hAnsi="Times New Roman" w:cs="Times New Roman"/>
          <w:sz w:val="16"/>
          <w:szCs w:val="16"/>
          <w:lang w:val="en-GB"/>
        </w:rPr>
        <w:fldChar w:fldCharType="end"/>
      </w:r>
      <w:r w:rsidRPr="00304E12">
        <w:rPr>
          <w:rFonts w:ascii="Times New Roman" w:hAnsi="Times New Roman" w:cs="Times New Roman"/>
          <w:sz w:val="16"/>
          <w:szCs w:val="16"/>
          <w:lang w:val="en-GB"/>
        </w:rPr>
        <w:t xml:space="preserve">. This paper uses </w:t>
      </w:r>
      <w:r w:rsidR="00422546">
        <w:rPr>
          <w:rFonts w:ascii="Times New Roman" w:hAnsi="Times New Roman" w:cs="Times New Roman"/>
          <w:sz w:val="16"/>
          <w:szCs w:val="16"/>
          <w:lang w:val="en-GB"/>
        </w:rPr>
        <w:t xml:space="preserve">GI </w:t>
      </w:r>
      <w:r w:rsidRPr="00304E12">
        <w:rPr>
          <w:rFonts w:ascii="Times New Roman" w:hAnsi="Times New Roman" w:cs="Times New Roman"/>
          <w:sz w:val="16"/>
          <w:szCs w:val="16"/>
          <w:lang w:val="en-GB"/>
        </w:rPr>
        <w:t xml:space="preserve">as an overarching concept that includes greenways/green corridors </w:t>
      </w:r>
      <w:r w:rsidR="00422546">
        <w:rPr>
          <w:rFonts w:ascii="Times New Roman" w:hAnsi="Times New Roman" w:cs="Times New Roman"/>
          <w:sz w:val="16"/>
          <w:szCs w:val="16"/>
          <w:lang w:val="en-GB"/>
        </w:rPr>
        <w:t>and supports</w:t>
      </w:r>
      <w:r w:rsidRPr="00304E12">
        <w:rPr>
          <w:rFonts w:ascii="Times New Roman" w:hAnsi="Times New Roman" w:cs="Times New Roman"/>
          <w:sz w:val="16"/>
          <w:szCs w:val="16"/>
          <w:lang w:val="en-GB"/>
        </w:rPr>
        <w:t xml:space="preserve"> the notion that green spaces </w:t>
      </w:r>
      <w:r w:rsidR="00422546">
        <w:rPr>
          <w:rFonts w:ascii="Times New Roman" w:hAnsi="Times New Roman" w:cs="Times New Roman"/>
          <w:sz w:val="16"/>
          <w:szCs w:val="16"/>
          <w:lang w:val="en-GB"/>
        </w:rPr>
        <w:t xml:space="preserve">can be thought of as </w:t>
      </w:r>
      <w:r w:rsidRPr="00304E12">
        <w:rPr>
          <w:rFonts w:ascii="Times New Roman" w:hAnsi="Times New Roman" w:cs="Times New Roman"/>
          <w:sz w:val="16"/>
          <w:szCs w:val="16"/>
          <w:lang w:val="en-GB"/>
        </w:rPr>
        <w:t xml:space="preserve">green network </w:t>
      </w:r>
      <w:r w:rsidRPr="00304E12">
        <w:rPr>
          <w:rFonts w:ascii="Times New Roman" w:hAnsi="Times New Roman" w:cs="Times New Roman"/>
          <w:sz w:val="16"/>
          <w:szCs w:val="16"/>
          <w:lang w:val="en-GB"/>
        </w:rPr>
        <w:fldChar w:fldCharType="begin" w:fldLock="1"/>
      </w:r>
      <w:r w:rsidR="001A2EEB" w:rsidRPr="00304E12">
        <w:rPr>
          <w:rFonts w:ascii="Times New Roman" w:hAnsi="Times New Roman" w:cs="Times New Roman"/>
          <w:sz w:val="16"/>
          <w:szCs w:val="16"/>
          <w:lang w:val="en-GB"/>
        </w:rPr>
        <w:instrText>ADDIN CSL_CITATION { "citationItems" : [ { "id" : "ITEM-1", "itemData" : { "author" : [ { "dropping-particle" : "", "family" : "Austin", "given" : "G.", "non-dropping-particle" : "", "parse-names" : false, "suffix" : "" } ], "id" : "ITEM-1", "issued" : { "date-parts" : [ [ "2014" ] ] }, "publisher" : "Routledge", "publisher-place" : "New York", "title" : "Green Infrastructure for Landscape Planning: Integrating Human and Natural Systems", "type" : "book" }, "uris" : [ "http://www.mendeley.com/documents/?uuid=f4a1bad9-ba23-4d4d-8be7-d372d6fb1ccd" ] }, { "id" : "ITEM-2", "itemData" : { "ISBN" : "1559635584", "abstract" : "With illustrative and detailed examples drawn from throughout the country, Green Infrastructure advances smart land conservation: large scale thinking and integrated action to plan, protect and manage our natural and restored lands. From the individual parcel to the multi-state region, Green Infrastructure helps each of us look at the landscape in relation to the many uses it could serve, for nature and people, and determine which use makes the most sense. In this wide-ranging primer, leading experts in the field provide a detailed how-to for planners, designers, landscape architects, and citizen activists", "author" : [ { "dropping-particle" : "", "family" : "Benedict", "given" : "Mark A", "non-dropping-particle" : "", "parse-names" : false, "suffix" : "" }, { "dropping-particle" : "", "family" : "McMahon", "given" : "Edward T", "non-dropping-particle" : "", "parse-names" : false, "suffix" : "" } ], "collection-title" : "Conservation Fund (Arlington, Va.)", "container-title" : "Urban Land", "id" : "ITEM-2", "issued" : { "date-parts" : [ [ "2006" ] ] }, "publisher" : "Island Press", "publisher-place" : "Washington DC", "title" : "Green Infrastructure: Linking Landscapes and Communities", "type" : "book", "volume" : "June" }, "uris" : [ "http://www.mendeley.com/documents/?uuid=19781c25-7a20-4de9-b04b-83a1e9c30b22" ] }, { "id" : "ITEM-3", "itemData" : { "author" : [ { "dropping-particle" : "", "family" : "Mell", "given" : "I.C.", "non-dropping-particle" : "", "parse-names" : false, "suffix" : "" } ], "id" : "ITEM-3", "issue" : "June", "issued" : { "date-parts" : [ [ "2010" ] ] }, "publisher" : "University of Newcastle", "title" : "Green infrastructure: concepts , perceptions and its use in spatial planning", "type" : "thesis" }, "uris" : [ "http://www.mendeley.com/documents/?uuid=f17d8a41-8644-4b68-9c9d-fbbd2dc27a86" ] } ], "mendeley" : { "formattedCitation" : "(Austin, 2014; Benedict &amp; McMahon, 2006; Mell, 2010)", "manualFormatting" : "(Benedict &amp; McMahon, 2006; Mell, 2016b)", "plainTextFormattedCitation" : "(Austin, 2014; Benedict &amp; McMahon, 2006; Mell, 2010)", "previouslyFormattedCitation" : "(Austin, 2014; Benedict &amp; McMahon, 2006; Mell, 2010)" }, "properties" : { "noteIndex" : 0 }, "schema" : "https://github.com/citation-style-language/schema/raw/master/csl-citation.json" }</w:instrText>
      </w:r>
      <w:r w:rsidRPr="00304E12">
        <w:rPr>
          <w:rFonts w:ascii="Times New Roman" w:hAnsi="Times New Roman" w:cs="Times New Roman"/>
          <w:sz w:val="16"/>
          <w:szCs w:val="16"/>
          <w:lang w:val="en-GB"/>
        </w:rPr>
        <w:fldChar w:fldCharType="separate"/>
      </w:r>
      <w:r w:rsidRPr="00304E12">
        <w:rPr>
          <w:rFonts w:ascii="Times New Roman" w:hAnsi="Times New Roman" w:cs="Times New Roman"/>
          <w:noProof/>
          <w:sz w:val="16"/>
          <w:szCs w:val="16"/>
          <w:lang w:val="en-GB"/>
        </w:rPr>
        <w:t>(Bene</w:t>
      </w:r>
      <w:r w:rsidR="00D7331F">
        <w:rPr>
          <w:rFonts w:ascii="Times New Roman" w:hAnsi="Times New Roman" w:cs="Times New Roman"/>
          <w:noProof/>
          <w:sz w:val="16"/>
          <w:szCs w:val="16"/>
          <w:lang w:val="en-GB"/>
        </w:rPr>
        <w:t>dict &amp; McMahon, 2006; Mell, 2010</w:t>
      </w:r>
      <w:r w:rsidRPr="00304E12">
        <w:rPr>
          <w:rFonts w:ascii="Times New Roman" w:hAnsi="Times New Roman" w:cs="Times New Roman"/>
          <w:noProof/>
          <w:sz w:val="16"/>
          <w:szCs w:val="16"/>
          <w:lang w:val="en-GB"/>
        </w:rPr>
        <w:t>)</w:t>
      </w:r>
      <w:r w:rsidRPr="00304E12">
        <w:rPr>
          <w:rFonts w:ascii="Times New Roman" w:hAnsi="Times New Roman" w:cs="Times New Roman"/>
          <w:sz w:val="16"/>
          <w:szCs w:val="16"/>
          <w:lang w:val="en-GB"/>
        </w:rPr>
        <w:fldChar w:fldCharType="end"/>
      </w:r>
      <w:r w:rsidRPr="00304E12">
        <w:rPr>
          <w:rFonts w:ascii="Times New Roman" w:hAnsi="Times New Roman" w:cs="Times New Roman"/>
          <w:sz w:val="16"/>
          <w:szCs w:val="16"/>
          <w:lang w:val="en-GB"/>
        </w:rPr>
        <w:t xml:space="preserve">. Greenways are understood to act as the physical manifestation of </w:t>
      </w:r>
      <w:r w:rsidR="00422546">
        <w:rPr>
          <w:rFonts w:ascii="Times New Roman" w:hAnsi="Times New Roman" w:cs="Times New Roman"/>
          <w:sz w:val="16"/>
          <w:szCs w:val="16"/>
          <w:lang w:val="en-GB"/>
        </w:rPr>
        <w:t xml:space="preserve">GI </w:t>
      </w:r>
      <w:r w:rsidR="00043F90" w:rsidRPr="00304E12">
        <w:rPr>
          <w:rFonts w:ascii="Times New Roman" w:hAnsi="Times New Roman" w:cs="Times New Roman"/>
          <w:sz w:val="16"/>
          <w:szCs w:val="16"/>
          <w:lang w:val="en-GB"/>
        </w:rPr>
        <w:t>providing linear/</w:t>
      </w:r>
      <w:r w:rsidRPr="00304E12">
        <w:rPr>
          <w:rFonts w:ascii="Times New Roman" w:hAnsi="Times New Roman" w:cs="Times New Roman"/>
          <w:sz w:val="16"/>
          <w:szCs w:val="16"/>
          <w:lang w:val="en-GB"/>
        </w:rPr>
        <w:t xml:space="preserve">circular features that link different landscape features </w:t>
      </w:r>
      <w:r w:rsidR="00422546">
        <w:rPr>
          <w:rFonts w:ascii="Times New Roman" w:hAnsi="Times New Roman" w:cs="Times New Roman"/>
          <w:sz w:val="16"/>
          <w:szCs w:val="16"/>
          <w:lang w:val="en-GB"/>
        </w:rPr>
        <w:t xml:space="preserve">in a network </w:t>
      </w:r>
      <w:r w:rsidRPr="00304E12">
        <w:rPr>
          <w:rFonts w:ascii="Times New Roman" w:hAnsi="Times New Roman" w:cs="Times New Roman"/>
          <w:sz w:val="16"/>
          <w:szCs w:val="16"/>
          <w:lang w:val="en-GB"/>
        </w:rPr>
        <w:fldChar w:fldCharType="begin" w:fldLock="1"/>
      </w:r>
      <w:r w:rsidRPr="00304E12">
        <w:rPr>
          <w:rFonts w:ascii="Times New Roman" w:hAnsi="Times New Roman" w:cs="Times New Roman"/>
          <w:sz w:val="16"/>
          <w:szCs w:val="16"/>
          <w:lang w:val="en-GB"/>
        </w:rPr>
        <w:instrText>ADDIN CSL_CITATION { "citationItems" : [ { "id" : "ITEM-1", "itemData" : { "ISSN" : "0033-0124", "abstract" : "Recurring issues in the social sciences concern the distribution of public facilities such as parks and equity of access to them. Geographers have observed that access has perceptual as well as physical dimensions and that perceptions of difference can affect use of public space. This study explores the nature of greenways as public space and a set of issues related to equity of access to greenway trails in Indianapolis, Indiana. The study uses proximity as a measure of access and simple GIS analyses of census and other data to assess equality of access. Evidence is provided that suggests that minorities and the poor have disproportionate access to trails. It is also shown that populations adjacent to the trails differ and that the populations along particular trails are segregated. Spatial differences in trail populations are associated with historic land use patterns and population movements within the city. The implications of the findings of difference for use of the greenways system are explored. Implications for management of the greenways system?including achievement of the goal of linking neighborhoods?are also discussed. Recurring issues in the social sciences concern the distribution of public facilities such as parks and equity of access to them. Geographers have observed that access has perceptual as well as physical dimensions and that perceptions of difference can affect use of public space. This study explores the nature of greenways as public space and a set of issues related to equity of access to greenway trails in Indianapolis, Indiana. The study uses proximity as a measure of access and simple GIS analyses of census and other data to assess equality of access. Evidence is provided that suggests that minorities and the poor have disproportionate access to trails. It is also shown that populations adjacent to the trails differ and that the populations along particular trails are segregated. Spatial differences in trail populations are associated with historic land use patterns and population movements within the city. The implications of the findings of difference for use of the greenways system are explored. Implications for management of the greenways system?including achievement of the goal of linking neighborhoods?are also discussed.", "author" : [ { "dropping-particle" : "", "family" : "Lindsey", "given" : "Greg", "non-dropping-particle" : "", "parse-names" : false, "suffix" : "" }, { "dropping-particle" : "", "family" : "Maraj", "given" : "Maltie", "non-dropping-particle" : "", "parse-names" : false, "suffix" : "" }, { "dropping-particle" : "", "family" : "Kuan", "given" : "SonCheong", "non-dropping-particle" : "", "parse-names" : false, "suffix" : "" } ], "container-title" : "The Professional Geographer", "id" : "ITEM-1", "issue" : "3", "issued" : { "date-parts" : [ [ "2001", "8" ] ] }, "page" : "332-346", "publisher" : "Routledge", "title" : "Access, Equity, and Urban Greenways: An Exploratory Investigation", "type" : "article-journal", "volume" : "53" }, "uris" : [ "http://www.mendeley.com/documents/?uuid=d4ed0bfd-d0d4-4863-8d6e-8aba2ef9c457" ] }, { "id" : "ITEM-2", "itemData" : { "ISSN" : "01692046", "abstract" : "The thesis of this paper is that the origin of greenway planning goes back to the beginning of the landscape architecture profession in the United States. This thesis is substantiated below through an extensive literature review. It describes three phases of this evolution of planning which started with Frederick Law Olmsted\u2019s Boston\u2019s Emerald Necklace, the planning of this Boston Park System by Frederick Law Olmsted, during the late 19th century and by Charles Eliot, a pupil of Olmsted. The second phase of this evolution was during the early 20th century. This time, Olmsted\u2019s sons and Eliot\u2019s nephew expanded the work of Olmsted and Eliot. The third phase of this greenway evolution reviewed here was by Phil Lewis, Ian McHarg and others during the post-World War II decades, also known as the environmental decades. Interestingly, all planners of these first three phases of greenway planning were landscape architects. After describing the origin of greenway planning in America, the paper traces the beginning of greenway planning during the 1980s and 1990s, and summarizes the greenway literature of these two decades. The result of this literature review concludes that while the greenway movement has resulted in thousands of greenway plans and projects in the USA, it produced only a small amount of publications, which are placed in research libraries. Unfortunately, the greenway reports of greenway projects are published for limited distribution and only a handful of these reports become part of \u201cscholarly literature\u201d. Secondly, the greenway reports seldom include relevant literature review or descriptions of the study methodology. Hence, their research and educational value is limited. The second part of the paper describes two current greenway plans in the United States. Both of these plans were initiated and done at the Department of Landscape Architecture at the University of Massachusetts. The author served as co-director of both of these plans. The first plan is a vision plan for the New England region, which consists of six states in the Northeast corner of the United States. This plan was prepared for the Centennial Conference of the American Society of Landscape Architects in 1999. Its aim was to stimulate landscape architectural professionals to join the greenway movement. The second plan builds on planning efforts of the US governmental, non-governmental agencies and some visionary planners of the past century. Our team mapped all published greenw\u2026", "author" : [ { "dropping-particle" : "", "family" : "F\u00e1bos", "given" : "J.G.", "non-dropping-particle" : "", "parse-names" : false, "suffix" : "" } ], "container-title" : "Landscape and Urban Planning", "id" : "ITEM-2", "issue" : "2-3", "issued" : { "date-parts" : [ [ "2004", "5" ] ] }, "page" : "321-342", "title" : "Greenway planning in the United States: its origins and recent case studies", "type" : "article-journal", "volume" : "68" }, "uris" : [ "http://www.mendeley.com/documents/?uuid=13b92f2d-7303-471a-be12-a3acbc2bf93f" ] } ], "mendeley" : { "formattedCitation" : "(F\u00e1bos, 2004; Lindsey, Maraj, &amp; Kuan, 2001)", "plainTextFormattedCitation" : "(F\u00e1bos, 2004; Lindsey, Maraj, &amp; Kuan, 2001)", "previouslyFormattedCitation" : "(F\u00e1bos, 2004; Lindsey, Maraj, &amp; Kuan, 2001)" }, "properties" : { "noteIndex" : 0 }, "schema" : "https://github.com/citation-style-language/schema/raw/master/csl-citation.json" }</w:instrText>
      </w:r>
      <w:r w:rsidRPr="00304E12">
        <w:rPr>
          <w:rFonts w:ascii="Times New Roman" w:hAnsi="Times New Roman" w:cs="Times New Roman"/>
          <w:sz w:val="16"/>
          <w:szCs w:val="16"/>
          <w:lang w:val="en-GB"/>
        </w:rPr>
        <w:fldChar w:fldCharType="separate"/>
      </w:r>
      <w:r w:rsidRPr="00304E12">
        <w:rPr>
          <w:rFonts w:ascii="Times New Roman" w:hAnsi="Times New Roman" w:cs="Times New Roman"/>
          <w:noProof/>
          <w:sz w:val="16"/>
          <w:szCs w:val="16"/>
          <w:lang w:val="en-GB"/>
        </w:rPr>
        <w:t>(Fábos, 2004)</w:t>
      </w:r>
      <w:r w:rsidRPr="00304E12">
        <w:rPr>
          <w:rFonts w:ascii="Times New Roman" w:hAnsi="Times New Roman" w:cs="Times New Roman"/>
          <w:sz w:val="16"/>
          <w:szCs w:val="16"/>
          <w:lang w:val="en-GB"/>
        </w:rPr>
        <w:fldChar w:fldCharType="end"/>
      </w:r>
      <w:r w:rsidRPr="00304E12">
        <w:rPr>
          <w:rFonts w:ascii="Times New Roman" w:hAnsi="Times New Roman" w:cs="Times New Roman"/>
          <w:sz w:val="16"/>
          <w:szCs w:val="16"/>
          <w:lang w:val="en-GB"/>
        </w:rPr>
        <w:t xml:space="preserve">. </w:t>
      </w:r>
    </w:p>
  </w:footnote>
  <w:footnote w:id="2">
    <w:p w:rsidR="00030442" w:rsidRPr="00304E12" w:rsidRDefault="00030442" w:rsidP="00030442">
      <w:pPr>
        <w:pStyle w:val="FootnoteText"/>
        <w:ind w:left="0" w:firstLine="0"/>
        <w:rPr>
          <w:rFonts w:ascii="Times New Roman" w:hAnsi="Times New Roman" w:cs="Times New Roman"/>
          <w:sz w:val="16"/>
          <w:szCs w:val="16"/>
          <w:lang w:val="en-GB"/>
        </w:rPr>
      </w:pPr>
      <w:r w:rsidRPr="00304E12">
        <w:rPr>
          <w:rStyle w:val="FootnoteReference"/>
          <w:rFonts w:ascii="Times New Roman" w:hAnsi="Times New Roman" w:cs="Times New Roman"/>
          <w:sz w:val="16"/>
          <w:szCs w:val="16"/>
          <w:lang w:val="en-GB"/>
        </w:rPr>
        <w:footnoteRef/>
      </w:r>
      <w:r w:rsidRPr="00304E12">
        <w:rPr>
          <w:rFonts w:ascii="Times New Roman" w:hAnsi="Times New Roman" w:cs="Times New Roman"/>
          <w:sz w:val="16"/>
          <w:szCs w:val="16"/>
          <w:lang w:val="en-GB"/>
        </w:rPr>
        <w:t xml:space="preserve"> This reflects the view of English Nature and their Accessible Natural Greenspace Standards (ANGSt) which proposed specific radiuses and a time that people should be from sites neighbourhood,  local, city  and regional scale green infrastructure resources </w:t>
      </w:r>
      <w:r w:rsidRPr="00304E12">
        <w:rPr>
          <w:rFonts w:ascii="Times New Roman" w:hAnsi="Times New Roman" w:cs="Times New Roman"/>
          <w:sz w:val="16"/>
          <w:szCs w:val="16"/>
          <w:lang w:val="en-GB"/>
        </w:rPr>
        <w:fldChar w:fldCharType="begin" w:fldLock="1"/>
      </w:r>
      <w:r w:rsidRPr="00304E12">
        <w:rPr>
          <w:rFonts w:ascii="Times New Roman" w:hAnsi="Times New Roman" w:cs="Times New Roman"/>
          <w:sz w:val="16"/>
          <w:szCs w:val="16"/>
          <w:lang w:val="en-GB"/>
        </w:rPr>
        <w:instrText>ADDIN CSL_CITATION { "citationItems" : [ { "id" : "ITEM-1", "itemData" : { "ISSN" : "02637960", "abstract" : "A study of English Nature's Accessible Natural Greenspace Standards model investigated whether such a model is needed; barriers and limitations to its adoption; and means of implementation. It was concluded that English Nature should improve communication with local authorities, and that greenspace planners and managers need effective decision-support in implementing the model. Also many of the difficulties associated with the model arise from its attempt to combine two very different perspectives: that of nature conservation and that of greenspace users.", "author" : [ { "dropping-particle" : "", "family" : "Pauleit", "given" : "Stephan", "non-dropping-particle" : "", "parse-names" : false, "suffix" : "" }, { "dropping-particle" : "", "family" : "Slinn", "given" : "Paul", "non-dropping-particle" : "", "parse-names" : false, "suffix" : "" }, { "dropping-particle" : "", "family" : "Handley", "given" : "John", "non-dropping-particle" : "", "parse-names" : false, "suffix" : "" }, { "dropping-particle" : "", "family" : "Lindley", "given" : "Sarah", "non-dropping-particle" : "", "parse-names" : false, "suffix" : "" } ], "container-title" : "Built Environment", "id" : "ITEM-1", "issue" : "2", "issued" : { "date-parts" : [ [ "2003", "6", "1" ] ] }, "page" : "157-170", "publisher" : "Alexandrine Press", "title" : "Promoting the Natural Greenstructure of Towns and Cities: English Nature's Accessible Natural Greenspace Standards Model", "type" : "article-journal", "volume" : "29" }, "uris" : [ "http://www.mendeley.com/documents/?uuid=60a50eee-8cd7-4126-ad2e-d62a1fbaa435" ] }, { "id" : "ITEM-2", "itemData" : { "author" : [ { "dropping-particle" : "", "family" : "Harrison", "given" : "C", "non-dropping-particle" : "", "parse-names" : false, "suffix" : "" }, { "dropping-particle" : "", "family" : "Burgess", "given" : "Jacquelin", "non-dropping-particle" : "", "parse-names" : false, "suffix" : "" }, { "dropping-particle" : "", "family" : "Milward", "given" : "A", "non-dropping-particle" : "", "parse-names" : false, "suffix" : "" }, { "dropping-particle" : "", "family" : "Dawe", "given" : "G", "non-dropping-particle" : "", "parse-names" : false, "suffix" : "" } ], "id" : "ITEM-2", "issued" : { "date-parts" : [ [ "1995" ] ] }, "publisher-place" : "Peterborough", "title" : "Accessible natural greenspace in towns and cities: A review of appropriate size and distance criteria. English Nature Research Reports No. 153.", "type" : "report" }, "uris" : [ "http://www.mendeley.com/documents/?uuid=25a7b85e-0855-466f-bb02-d6b1c426eacb" ] } ], "mendeley" : { "formattedCitation" : "(Harrison, Burgess, Milward, &amp; Dawe, 1995; Pauleit, Slinn, Handley, &amp; Lindley, 2003)", "plainTextFormattedCitation" : "(Harrison, Burgess, Milward, &amp; Dawe, 1995; Pauleit, Slinn, Handley, &amp; Lindley, 2003)", "previouslyFormattedCitation" : "(Harrison, Burgess, Milward, &amp; Dawe, 1995; Pauleit, Slinn, Handley, &amp; Lindley, 2003)" }, "properties" : { "noteIndex" : 0 }, "schema" : "https://github.com/citation-style-language/schema/raw/master/csl-citation.json" }</w:instrText>
      </w:r>
      <w:r w:rsidRPr="00304E12">
        <w:rPr>
          <w:rFonts w:ascii="Times New Roman" w:hAnsi="Times New Roman" w:cs="Times New Roman"/>
          <w:sz w:val="16"/>
          <w:szCs w:val="16"/>
          <w:lang w:val="en-GB"/>
        </w:rPr>
        <w:fldChar w:fldCharType="separate"/>
      </w:r>
      <w:r w:rsidRPr="00304E12">
        <w:rPr>
          <w:rFonts w:ascii="Times New Roman" w:hAnsi="Times New Roman" w:cs="Times New Roman"/>
          <w:noProof/>
          <w:sz w:val="16"/>
          <w:szCs w:val="16"/>
          <w:lang w:val="en-GB"/>
        </w:rPr>
        <w:t>(Harrison</w:t>
      </w:r>
      <w:r w:rsidR="00304E12">
        <w:rPr>
          <w:rFonts w:ascii="Times New Roman" w:hAnsi="Times New Roman" w:cs="Times New Roman"/>
          <w:noProof/>
          <w:sz w:val="16"/>
          <w:szCs w:val="16"/>
          <w:lang w:val="en-GB"/>
        </w:rPr>
        <w:t xml:space="preserve"> et al.</w:t>
      </w:r>
      <w:r w:rsidRPr="00304E12">
        <w:rPr>
          <w:rFonts w:ascii="Times New Roman" w:hAnsi="Times New Roman" w:cs="Times New Roman"/>
          <w:noProof/>
          <w:sz w:val="16"/>
          <w:szCs w:val="16"/>
          <w:lang w:val="en-GB"/>
        </w:rPr>
        <w:t>, 1995)</w:t>
      </w:r>
      <w:r w:rsidRPr="00304E12">
        <w:rPr>
          <w:rFonts w:ascii="Times New Roman" w:hAnsi="Times New Roman" w:cs="Times New Roman"/>
          <w:sz w:val="16"/>
          <w:szCs w:val="16"/>
          <w:lang w:val="en-GB"/>
        </w:rPr>
        <w:fldChar w:fldCharType="end"/>
      </w:r>
      <w:r w:rsidRPr="00304E12">
        <w:rPr>
          <w:rFonts w:ascii="Times New Roman" w:hAnsi="Times New Roman" w:cs="Times New Roman"/>
          <w:sz w:val="16"/>
          <w:szCs w:val="16"/>
          <w:lang w:val="en-GB"/>
        </w:rPr>
        <w:t>.</w:t>
      </w:r>
    </w:p>
  </w:footnote>
  <w:footnote w:id="3">
    <w:p w:rsidR="00030442" w:rsidRPr="00304E12" w:rsidRDefault="00030442" w:rsidP="00030442">
      <w:pPr>
        <w:rPr>
          <w:rFonts w:ascii="Times New Roman" w:hAnsi="Times New Roman" w:cs="Times New Roman"/>
          <w:bCs/>
          <w:color w:val="000000"/>
          <w:sz w:val="16"/>
          <w:szCs w:val="16"/>
          <w:lang w:val="en-US"/>
        </w:rPr>
      </w:pPr>
      <w:r w:rsidRPr="00304E12">
        <w:rPr>
          <w:rStyle w:val="FootnoteReference"/>
          <w:sz w:val="16"/>
          <w:szCs w:val="16"/>
        </w:rPr>
        <w:footnoteRef/>
      </w:r>
      <w:r w:rsidRPr="00304E12">
        <w:rPr>
          <w:sz w:val="16"/>
          <w:szCs w:val="16"/>
        </w:rPr>
        <w:t xml:space="preserve"> </w:t>
      </w:r>
      <w:r w:rsidRPr="00304E12">
        <w:rPr>
          <w:rFonts w:ascii="Times New Roman" w:hAnsi="Times New Roman" w:cs="Times New Roman"/>
          <w:bCs/>
          <w:color w:val="000000"/>
          <w:sz w:val="16"/>
          <w:szCs w:val="16"/>
          <w:lang w:val="en-US"/>
        </w:rPr>
        <w:t>This is not exhaustive. For an more extensive review of the values of greenways and green corridors please refer to the following:</w:t>
      </w:r>
      <w:r w:rsidR="001A7FA3">
        <w:rPr>
          <w:rFonts w:ascii="Times New Roman" w:hAnsi="Times New Roman" w:cs="Times New Roman"/>
          <w:bCs/>
          <w:color w:val="000000"/>
          <w:sz w:val="16"/>
          <w:szCs w:val="16"/>
          <w:lang w:val="en-US"/>
        </w:rPr>
        <w:t xml:space="preserve"> </w:t>
      </w:r>
      <w:r w:rsidRPr="00304E12">
        <w:rPr>
          <w:rFonts w:ascii="Times New Roman" w:hAnsi="Times New Roman" w:cs="Times New Roman"/>
          <w:bCs/>
          <w:color w:val="000000"/>
          <w:sz w:val="16"/>
          <w:szCs w:val="16"/>
          <w:lang w:val="en-US"/>
        </w:rPr>
        <w:fldChar w:fldCharType="begin" w:fldLock="1"/>
      </w:r>
      <w:r w:rsidR="001A2EEB" w:rsidRPr="00304E12">
        <w:rPr>
          <w:rFonts w:ascii="Times New Roman" w:hAnsi="Times New Roman" w:cs="Times New Roman"/>
          <w:bCs/>
          <w:color w:val="000000"/>
          <w:sz w:val="16"/>
          <w:szCs w:val="16"/>
          <w:lang w:val="en-US"/>
        </w:rPr>
        <w:instrText>ADDIN CSL_CITATION { "citationItems" : [ { "id" : "ITEM-1", "itemData" : { "author" : [ { "dropping-particle" : "", "family" : "Little", "given" : "C.", "non-dropping-particle" : "", "parse-names" : false, "suffix" : "" } ], "id" : "ITEM-1", "issued" : { "date-parts" : [ [ "1990" ] ] }, "publisher" : "The John Hopkins University Press", "publisher-place" : "Baltimore", "title" : "Greenways for America", "type" : "book" }, "uris" : [ "http://www.mendeley.com/documents/?uuid=d37f406d-4c2b-4962-b165-5ca494d157f8" ] }, { "id" : "ITEM-2", "itemData" : { "DOI" : "10.1007/s10841-009-9232-3", "ISSN" : "1366-638X", "author" : [ { "dropping-particle" : "", "family" : "Haaland", "given" : "Christine", "non-dropping-particle" : "", "parse-names" : false, "suffix" : "" }, { "dropping-particle" : "", "family" : "Gyllin", "given" : "Mats", "non-dropping-particle" : "", "parse-names" : false, "suffix" : "" } ], "container-title" : "Journal of Insect Conservation", "id" : "ITEM-2", "issue" : "2", "issued" : { "date-parts" : [ [ "2009", "7", "23" ] ] }, "page" : "125-132", "title" : "Butterflies and bumblebees in greenways and sown wildflower strips in southern Sweden", "type" : "article-journal", "volume" : "14" }, "uris" : [ "http://www.mendeley.com/documents/?uuid=a1055957-dd67-4782-b02e-96be2e4dc8a8" ] }, { "id" : "ITEM-3", "itemData" : { "author" : [ { "dropping-particle" : "", "family" : "Hellmund", "given" : "P.C.", "non-dropping-particle" : "", "parse-names" : false, "suffix" : "" }, { "dropping-particle" : "", "family" : "Smith", "given" : "DS", "non-dropping-particle" : "", "parse-names" : false, "suffix" : "" } ], "id" : "ITEM-3", "issued" : { "date-parts" : [ [ "2006" ] ] }, "publisher" : "Island Press", "publisher-place" : "Washington DC", "title" : "Designing Greenways: Sustainable Landscapes for Nature and People", "type" : "book" }, "uris" : [ "http://www.mendeley.com/documents/?uuid=77367124-3b6b-491e-ad26-e0fef2cf5a39" ] }, { "id" : "ITEM-4", "itemData" : { "ISSN" : "01692046", "abstract" : "Protection of natural, cultural, and recreational resources requires a regional approach to greenway planning that transcends political boundaries. Previous research on greenway planning has shown there are four main challenges in multi-jurisdictional greenway implementation: inter-governmental coordination, the lack of regional governance, funding, and public perceptions about greenways. The focus of this study was to understand successful strategies for collaborative greenway planning in the fragmented political landscape of New England (USA). To understand these issues, in-depth interviews were conducted with key greenway planners in New England from federal and state agencies and non-governmental organizations. The results of the study revealed four key strategies that are essential to multi-jurisdictional greenway planning in New England: partnerships, clearly defined goals, public involvement, and regional coordination. This study provides lessons for greenway planners who are implementing regional greenways across state, provincial, and international boundaries.", "author" : [ { "dropping-particle" : "", "family" : "Ryan", "given" : "Robert L.", "non-dropping-particle" : "", "parse-names" : false, "suffix" : "" }, { "dropping-particle" : "", "family" : "F\u00e1bos", "given" : "Julius Gyula", "non-dropping-particle" : "", "parse-names" : false, "suffix" : "" }, { "dropping-particle" : "", "family" : "Allan", "given" : "Jessica Jo", "non-dropping-particle" : "", "parse-names" : false, "suffix" : "" } ], "container-title" : "Landscape and Urban Planning", "id" : "ITEM-4", "issue" : "1-4", "issued" : { "date-parts" : [ [ "2006", "4" ] ] }, "page" : "172-191", "title" : "Understanding opportunities and challenges for collaborative greenway planning in New England", "type" : "article-journal", "volume" : "76" }, "uris" : [ "http://www.mendeley.com/documents/?uuid=e67294aa-0dad-4a72-978d-e48ba95ac80a" ] }, { "id" : "ITEM-5", "itemData" : { "ISSN" : "01692046", "abstract" : "Building on the legacy of historic greenway planning in the U.S., several new initiatives have been taking shape and gaining recognition in the past decade. One is \u2018Green Infrastructure\u2019 planning which is a \u2018must have\u2019 inter-connected system of green spaces. Another is \u2018Smart Conservation\u2019\u2014the counterpoint of another planning initiative that preceded it known as \u2018Smart Growth\u2019. This is the establishment of critical green corridors that should be preserved and maintained for predominantly ecological functions, in advance of or in conjunction with new development. \u2018New Urbanism\u2019 has focused on bringing order and coherence to escalating \u2018Edge Cities\u2019 on the urban fringe, based on walkable, mixed-use towns, villages and neighborhoods with integrated open-space systems. Transit-Oriented Developments (TODs) are transportation plans for accommodating regional growth around clustered \u2018pedestrian pockets\u2019 linked by transit systems. Both New Urbanism and TODs have applied similar principles to \u2018brown sites\u2019 and declining city neighborhoods. All these initiatives are different aspects of the greenway movement, expressing its many possibilities, enriching its original concepts, enlarging its credibility\u2014if need be\u2014and emphasizing its importance for and relevance to current issues of sustainability and \u2018green\u2019 planning and design. The author, a teacher/practitioner, discusses recent U.S. greenway examples at site, metropolitan and regional scales for which he has been the principal planner/designer or a consultant, and compares New Urbanism and TOD methodologies and approaches to established greenway-planning practices and the premises of Smart Conservation.", "author" : [ { "dropping-particle" : "", "family" : "Walmsley", "given" : "Anthony", "non-dropping-particle" : "", "parse-names" : false, "suffix" : "" } ], "container-title" : "Landscape and Urban Planning", "id" : "ITEM-5", "issue" : "1-4", "issued" : { "date-parts" : [ [ "2006", "4" ] ] }, "page" : "252-290", "title" : "Greenways: multiplying and diversifying in the 21st century", "type" : "article-journal", "volume" : "76" }, "uris" : [ "http://www.mendeley.com/documents/?uuid=c9aa3901-bfb1-496d-9b1c-0e647027e154" ] }, { "id" : "ITEM-6", "itemData" : { "ISSN" : "01692046", "abstract" : "Greenways is a generic term that has been applied to a wide range of landscape planning strategies, concepts, and plans. While there is some consensus emerging on the benefits of protecting networks of land, there is little agreement on terminology. As a result, communication and knowledge exchange are limited. This paper offers an inclusive definition of greenways, discusses greenway characteristics, benefits and liabilities, and presents a typology for greenway classification based on scale, goals, landscape context, and planning strategy. This typology is applied to three case studies from the Netherlands and the USA which have been selected to represent a range of greenway types, to articulate similarities, differences, and to explore the transferability of knowledge and concepts. Through this discussion, greenways are considered as a useful strategy for planning, design and management of sustainable landscapes.", "author" : [ { "dropping-particle" : "", "family" : "Ahern", "given" : "Jack", "non-dropping-particle" : "", "parse-names" : false, "suffix" : "" } ], "container-title" : "Landscape and Urban Planning", "id" : "ITEM-6", "issue" : "1-3", "issued" : { "date-parts" : [ [ "1995", "10" ] ] }, "page" : "131-155", "title" : "Greenways as a planning strategy", "type" : "article-journal", "volume" : "33" }, "uris" : [ "http://www.mendeley.com/documents/?uuid=e79e8b7c-a891-4aae-8bd8-a2fe62af759c" ] }, { "id" : "ITEM-7", "itemData" : { "author" : [ { "dropping-particle" : "", "family" : "Noss", "given" : "RF", "non-dropping-particle" : "", "parse-names" : false, "suffix" : "" } ], "container-title" : "Designing Greenways: Sustainable Landsacpes for Nature adn People", "editor" : [ { "dropping-particle" : "", "family" : "Hellmund", "given" : "P.C.", "non-dropping-particle" : "", "parse-names" : false, "suffix" : "" }, { "dropping-particle" : "", "family" : "Smith", "given" : "DS", "non-dropping-particle" : "", "parse-names" : false, "suffix" : "" } ], "id" : "ITEM-7", "issued" : { "date-parts" : [ [ "2006" ] ] }, "page" : "70-107", "publisher" : "Island Press", "publisher-place" : "Washington DC", "title" : "Greenways as wildlife corridors", "type" : "chapter" }, "uris" : [ "http://www.mendeley.com/documents/?uuid=e2c8f4d2-7524-4edc-9df3-7e471e3d723a" ] }, { "id" : "ITEM-8", "itemData" : { "ISSN" : "0033-0124", "abstract" : "Recurring issues in the social sciences concern the distribution of public facilities such as parks and equity of access to them. Geographers have observed that access has perceptual as well as physical dimensions and that perceptions of difference can affect use of public space. This study explores the nature of greenways as public space and a set of issues related to equity of access to greenway trails in Indianapolis, Indiana. The study uses proximity as a measure of access and simple GIS analyses of census and other data to assess equality of access. Evidence is provided that suggests that minorities and the poor have disproportionate access to trails. It is also shown that populations adjacent to the trails differ and that the populations along particular trails are segregated. Spatial differences in trail populations are associated with historic land use patterns and population movements within the city. The implications of the findings of difference for use of the greenways system are explored. Implications for management of the greenways system?including achievement of the goal of linking neighborhoods?are also discussed. Recurring issues in the social sciences concern the distribution of public facilities such as parks and equity of access to them. Geographers have observed that access has perceptual as well as physical dimensions and that perceptions of difference can affect use of public space. This study explores the nature of greenways as public space and a set of issues related to equity of access to greenway trails in Indianapolis, Indiana. The study uses proximity as a measure of access and simple GIS analyses of census and other data to assess equality of access. Evidence is provided that suggests that minorities and the poor have disproportionate access to trails. It is also shown that populations adjacent to the trails differ and that the populations along particular trails are segregated. Spatial differences in trail populations are associated with historic land use patterns and population movements within the city. The implications of the findings of difference for use of the greenways system are explored. Implications for management of the greenways system?including achievement of the goal of linking neighborhoods?are also discussed.", "author" : [ { "dropping-particle" : "", "family" : "Lindsey", "given" : "Greg", "non-dropping-particle" : "", "parse-names" : false, "suffix" : "" }, { "dropping-particle" : "", "family" : "Maraj", "given" : "Maltie", "non-dropping-particle" : "", "parse-names" : false, "suffix" : "" }, { "dropping-particle" : "", "family" : "Kuan", "given" : "SonCheong", "non-dropping-particle" : "", "parse-names" : false, "suffix" : "" } ], "container-title" : "The Professional Geographer", "id" : "ITEM-8", "issue" : "3", "issued" : { "date-parts" : [ [ "2001", "8" ] ] }, "page" : "332-346", "publisher" : "Routledge", "title" : "Access, Equity, and Urban Greenways: An Exploratory Investigation", "type" : "article-journal", "volume" : "53" }, "uris" : [ "http://www.mendeley.com/documents/?uuid=d4ed0bfd-d0d4-4863-8d6e-8aba2ef9c457" ] }, { "id" : "ITEM-9", "itemData" : { "author" : [ { "dropping-particle" : "", "family" : "Jongman", "given" : "RHG", "non-dropping-particle" : "", "parse-names" : false, "suffix" : "" }, { "dropping-particle" : "", "family" : "Pungetti", "given" : "G", "non-dropping-particle" : "", "parse-names" : false, "suffix" : "" } ], "editor" : [ { "dropping-particle" : "", "family" : "Jongman", "given" : "RHG", "non-dropping-particle" : "", "parse-names" : false, "suffix" : "" }, { "dropping-particle" : "", "family" : "Pungetti", "given" : "G", "non-dropping-particle" : "", "parse-names" : false, "suffix" : "" } ], "id" : "ITEM-9", "issued" : { "date-parts" : [ [ "2004" ] ] }, "publisher" : "Cambridge University Press", "publisher-place" : "Cambridge", "title" : "Ecological Networks and greenways: concept, design and implementation.", "type" : "book" }, "uris" : [ "http://www.mendeley.com/documents/?uuid=7f721f8c-29b8-439a-abc5-d0d978c92a77" ] }, { "id" : "ITEM-10", "itemData" : { "ISBN" : "1559635584", "abstract" : "With illustrative and detailed examples drawn from throughout the country, Green Infrastructure advances smart land conservation: large scale thinking and integrated action to plan, protect and manage our natural and restored lands. From the individual parcel to the multi-state region, Green Infrastructure helps each of us look at the landscape in relation to the many uses it could serve, for nature and people, and determine which use makes the most sense. In this wide-ranging primer, leading experts in the field provide a detailed how-to for planners, designers, landscape architects, and citizen activists", "author" : [ { "dropping-particle" : "", "family" : "Benedict", "given" : "Mark A", "non-dropping-particle" : "", "parse-names" : false, "suffix" : "" }, { "dropping-particle" : "", "family" : "McMahon", "given" : "Edward T", "non-dropping-particle" : "", "parse-names" : false, "suffix" : "" } ], "collection-title" : "Conservation Fund (Arlington, Va.)", "container-title" : "Urban Land", "id" : "ITEM-10", "issued" : { "date-parts" : [ [ "2006" ] ] }, "publisher" : "Island Press", "publisher-place" : "Washington DC", "title" : "Green Infrastructure: Linking Landscapes and Communities", "type" : "book", "volume" : "June" }, "uris" : [ "http://www.mendeley.com/documents/?uuid=19781c25-7a20-4de9-b04b-83a1e9c30b22" ] } ], "mendeley" : { "formattedCitation" : "(Ahern, 1995; Benedict &amp; McMahon, 2006; Haaland &amp; Gyllin, 2009; Hellmund &amp; Smith, 2006; Jongman &amp; Pungetti, 2004; Lindsey et al., 2001; Little, 1990; Noss, 2006; Ryan, F\u00e1bos, &amp; Allan, 2006; Walmsley, 2006)", "manualFormatting" : "Ahern (1995), Benedict &amp; McMahon (2006), Hellmund &amp; Smith (2006), Jongman &amp; Pungetti  (2004), Lindsey et al. (2001), Little (1990), and Ryan, F\u00e1bos, &amp; Allan (2006)", "plainTextFormattedCitation" : "(Ahern, 1995; Benedict &amp; McMahon, 2006; Haaland &amp; Gyllin, 2009; Hellmund &amp; Smith, 2006; Jongman &amp; Pungetti, 2004; Lindsey et al., 2001; Little, 1990; Noss, 2006; Ryan, F\u00e1bos, &amp; Allan, 2006; Walmsley, 2006)", "previouslyFormattedCitation" : "(Ahern, 1995; Benedict &amp; McMahon, 2006; Haaland &amp; Gyllin, 2009; Hellmund &amp; Smith, 2006; Jongman &amp; Pungetti, 2004; Lindsey et al., 2001; Little, 1990; Noss, 2006; Ryan, F\u00e1bos, &amp; Allan, 2006; Walmsley, 2006)" }, "properties" : { "noteIndex" : 0 }, "schema" : "https://github.com/citation-style-language/schema/raw/master/csl-citation.json" }</w:instrText>
      </w:r>
      <w:r w:rsidRPr="00304E12">
        <w:rPr>
          <w:rFonts w:ascii="Times New Roman" w:hAnsi="Times New Roman" w:cs="Times New Roman"/>
          <w:bCs/>
          <w:color w:val="000000"/>
          <w:sz w:val="16"/>
          <w:szCs w:val="16"/>
          <w:lang w:val="en-US"/>
        </w:rPr>
        <w:fldChar w:fldCharType="separate"/>
      </w:r>
      <w:r w:rsidRPr="00304E12">
        <w:rPr>
          <w:rFonts w:ascii="Times New Roman" w:hAnsi="Times New Roman" w:cs="Times New Roman"/>
          <w:bCs/>
          <w:noProof/>
          <w:color w:val="000000"/>
          <w:sz w:val="16"/>
          <w:szCs w:val="16"/>
          <w:lang w:val="en-US"/>
        </w:rPr>
        <w:t>Benedict &amp; McMahon (2006), Hellmund &amp; Smith (200</w:t>
      </w:r>
      <w:r w:rsidR="001A7FA3">
        <w:rPr>
          <w:rFonts w:ascii="Times New Roman" w:hAnsi="Times New Roman" w:cs="Times New Roman"/>
          <w:bCs/>
          <w:noProof/>
          <w:color w:val="000000"/>
          <w:sz w:val="16"/>
          <w:szCs w:val="16"/>
          <w:lang w:val="en-US"/>
        </w:rPr>
        <w:t>6), Jongman &amp; Pungetti  (2004) and Little (1990</w:t>
      </w:r>
      <w:r w:rsidR="00043F90" w:rsidRPr="00304E12">
        <w:rPr>
          <w:rFonts w:ascii="Times New Roman" w:hAnsi="Times New Roman" w:cs="Times New Roman"/>
          <w:bCs/>
          <w:noProof/>
          <w:color w:val="000000"/>
          <w:sz w:val="16"/>
          <w:szCs w:val="16"/>
          <w:lang w:val="en-US"/>
        </w:rPr>
        <w:t>)</w:t>
      </w:r>
      <w:r w:rsidRPr="00304E12">
        <w:rPr>
          <w:rFonts w:ascii="Times New Roman" w:hAnsi="Times New Roman" w:cs="Times New Roman"/>
          <w:bCs/>
          <w:color w:val="000000"/>
          <w:sz w:val="16"/>
          <w:szCs w:val="16"/>
          <w:lang w:val="en-US"/>
        </w:rPr>
        <w:fldChar w:fldCharType="end"/>
      </w:r>
      <w:r w:rsidRPr="00304E12">
        <w:rPr>
          <w:rFonts w:ascii="Times New Roman" w:hAnsi="Times New Roman" w:cs="Times New Roman"/>
          <w:bCs/>
          <w:color w:val="000000"/>
          <w:sz w:val="16"/>
          <w:szCs w:val="16"/>
          <w:lang w:val="en-US"/>
        </w:rPr>
        <w:t xml:space="preserve">. </w:t>
      </w:r>
    </w:p>
    <w:p w:rsidR="00030442" w:rsidRPr="00304E12" w:rsidRDefault="00030442" w:rsidP="00030442">
      <w:pPr>
        <w:pStyle w:val="FootnoteText"/>
        <w:ind w:left="0" w:firstLine="0"/>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9C" w:rsidRDefault="0042199C">
    <w:pPr>
      <w:pStyle w:val="Header"/>
      <w:pBdr>
        <w:top w:val="none" w:sz="0" w:space="0" w:color="000000"/>
        <w:left w:val="none" w:sz="0" w:space="0" w:color="000000"/>
        <w:bottom w:val="single" w:sz="2" w:space="1" w:color="000000"/>
        <w:right w:val="none" w:sz="0" w:space="0" w:color="00000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99C" w:rsidRDefault="008811FB">
    <w:pPr>
      <w:pStyle w:val="Header"/>
      <w:pBdr>
        <w:top w:val="none" w:sz="0" w:space="0" w:color="000000"/>
        <w:left w:val="none" w:sz="0" w:space="0" w:color="000000"/>
        <w:bottom w:val="single" w:sz="2" w:space="1" w:color="000000"/>
        <w:right w:val="none" w:sz="0" w:space="0" w:color="000000"/>
      </w:pBdr>
      <w:jc w:val="right"/>
    </w:pPr>
    <w:r>
      <w:rPr>
        <w:rFonts w:ascii="Times New Roman" w:hAnsi="Times New Roman"/>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09074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Lista 1"/>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3" w15:restartNumberingAfterBreak="0">
    <w:nsid w:val="0CF130AE"/>
    <w:multiLevelType w:val="hybridMultilevel"/>
    <w:tmpl w:val="51AA7802"/>
    <w:lvl w:ilvl="0" w:tplc="7D885AD0">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defaultTabStop w:val="710"/>
  <w:defaultTableStyle w:val="Normal"/>
  <w:evenAndOddHeaders/>
  <w:drawingGridHorizontalSpacing w:val="120"/>
  <w:drawingGridVerticalSpacing w:val="163"/>
  <w:displayHorizontalDrawingGridEvery w:val="0"/>
  <w:displayVerticalDrawingGridEvery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59"/>
    <w:rsid w:val="00030442"/>
    <w:rsid w:val="00043F90"/>
    <w:rsid w:val="00047F59"/>
    <w:rsid w:val="00087BFB"/>
    <w:rsid w:val="00163BA2"/>
    <w:rsid w:val="001A2EEB"/>
    <w:rsid w:val="001A7FA3"/>
    <w:rsid w:val="001C6701"/>
    <w:rsid w:val="002331E7"/>
    <w:rsid w:val="003033A9"/>
    <w:rsid w:val="00304E12"/>
    <w:rsid w:val="00353D1D"/>
    <w:rsid w:val="003B2FF8"/>
    <w:rsid w:val="0042199C"/>
    <w:rsid w:val="00422546"/>
    <w:rsid w:val="004243C1"/>
    <w:rsid w:val="00463E98"/>
    <w:rsid w:val="005C4FE3"/>
    <w:rsid w:val="00607424"/>
    <w:rsid w:val="00612D9E"/>
    <w:rsid w:val="00615FC7"/>
    <w:rsid w:val="006C57F2"/>
    <w:rsid w:val="006F66DC"/>
    <w:rsid w:val="00706487"/>
    <w:rsid w:val="00784544"/>
    <w:rsid w:val="00790EEA"/>
    <w:rsid w:val="007B5BC2"/>
    <w:rsid w:val="008576F8"/>
    <w:rsid w:val="008811FB"/>
    <w:rsid w:val="00887AEE"/>
    <w:rsid w:val="00912814"/>
    <w:rsid w:val="00930580"/>
    <w:rsid w:val="009659DD"/>
    <w:rsid w:val="00A52CD4"/>
    <w:rsid w:val="00A54473"/>
    <w:rsid w:val="00A7178B"/>
    <w:rsid w:val="00AA236A"/>
    <w:rsid w:val="00AA79E8"/>
    <w:rsid w:val="00AD6B15"/>
    <w:rsid w:val="00C92FAE"/>
    <w:rsid w:val="00D40A76"/>
    <w:rsid w:val="00D70C99"/>
    <w:rsid w:val="00D7331F"/>
    <w:rsid w:val="00D827DE"/>
    <w:rsid w:val="00DB0E7B"/>
    <w:rsid w:val="00DC761A"/>
    <w:rsid w:val="00DD6DE0"/>
    <w:rsid w:val="00E0294B"/>
    <w:rsid w:val="00E037E8"/>
    <w:rsid w:val="00E5579D"/>
    <w:rsid w:val="00F11E3F"/>
    <w:rsid w:val="00F130D9"/>
    <w:rsid w:val="00F75D0E"/>
    <w:rsid w:val="00FF1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BB7F9415-3D37-4126-A540-7B194865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widowControl w:val="0"/>
      <w:suppressAutoHyphens/>
    </w:pPr>
    <w:rPr>
      <w:rFonts w:ascii="Liberation Serif" w:eastAsia="SimSun" w:hAnsi="Liberation Serif" w:cs="Lucida Sans"/>
      <w:kern w:val="1"/>
      <w:sz w:val="24"/>
      <w:szCs w:val="24"/>
      <w:lang w:val="hu-HU" w:eastAsia="zh-CN" w:bidi="hi-IN"/>
    </w:rPr>
  </w:style>
  <w:style w:type="paragraph" w:styleId="Heading1">
    <w:name w:val="heading 1"/>
    <w:basedOn w:val="Cmsor"/>
    <w:next w:val="BodyText"/>
    <w:qFormat/>
    <w:pPr>
      <w:numPr>
        <w:numId w:val="1"/>
      </w:numPr>
      <w:spacing w:before="0" w:after="200"/>
      <w:ind w:left="0" w:firstLine="0"/>
      <w:outlineLvl w:val="0"/>
    </w:pPr>
    <w:rPr>
      <w:rFonts w:ascii="Times New Roman" w:hAnsi="Times New Roman"/>
      <w:b/>
      <w:bCs/>
      <w:sz w:val="20"/>
      <w:szCs w:val="36"/>
    </w:rPr>
  </w:style>
  <w:style w:type="paragraph" w:styleId="Heading2">
    <w:name w:val="heading 2"/>
    <w:basedOn w:val="Cmsor"/>
    <w:next w:val="BodyText"/>
    <w:qFormat/>
    <w:pPr>
      <w:numPr>
        <w:ilvl w:val="1"/>
        <w:numId w:val="1"/>
      </w:numPr>
      <w:spacing w:before="200"/>
      <w:outlineLvl w:val="1"/>
    </w:pPr>
    <w:rPr>
      <w:b/>
      <w:bCs/>
      <w:sz w:val="32"/>
      <w:szCs w:val="32"/>
    </w:rPr>
  </w:style>
  <w:style w:type="paragraph" w:styleId="Heading3">
    <w:name w:val="heading 3"/>
    <w:basedOn w:val="Cmsor"/>
    <w:next w:val="BodyText"/>
    <w:qFormat/>
    <w:pPr>
      <w:numPr>
        <w:ilvl w:val="2"/>
        <w:numId w:val="1"/>
      </w:numPr>
      <w:spacing w:before="140"/>
      <w:outlineLvl w:val="2"/>
    </w:pPr>
    <w:rPr>
      <w:b/>
      <w:bCs/>
    </w:rPr>
  </w:style>
  <w:style w:type="paragraph" w:styleId="Heading4">
    <w:name w:val="heading 4"/>
    <w:basedOn w:val="Cmsor"/>
    <w:next w:val="BodyText"/>
    <w:qFormat/>
    <w:pPr>
      <w:numPr>
        <w:ilvl w:val="3"/>
        <w:numId w:val="1"/>
      </w:numPr>
      <w:spacing w:before="120"/>
      <w:outlineLvl w:val="3"/>
    </w:pPr>
    <w:rPr>
      <w:b/>
      <w:bCs/>
      <w:i/>
      <w:iCs/>
      <w:sz w:val="27"/>
      <w:szCs w:val="27"/>
    </w:rPr>
  </w:style>
  <w:style w:type="paragraph" w:styleId="Heading5">
    <w:name w:val="heading 5"/>
    <w:basedOn w:val="Cmsor"/>
    <w:next w:val="BodyText"/>
    <w:qFormat/>
    <w:pPr>
      <w:numPr>
        <w:ilvl w:val="4"/>
        <w:numId w:val="1"/>
      </w:numPr>
      <w:spacing w:before="120" w:after="60"/>
      <w:outlineLvl w:val="4"/>
    </w:pPr>
    <w:rPr>
      <w:b/>
      <w:bCs/>
      <w:sz w:val="24"/>
      <w:szCs w:val="24"/>
    </w:rPr>
  </w:style>
  <w:style w:type="paragraph" w:styleId="Heading6">
    <w:name w:val="heading 6"/>
    <w:basedOn w:val="Cmsor"/>
    <w:next w:val="BodyText"/>
    <w:qFormat/>
    <w:pPr>
      <w:numPr>
        <w:ilvl w:val="5"/>
        <w:numId w:val="1"/>
      </w:numPr>
      <w:spacing w:before="60" w:after="60"/>
      <w:outlineLvl w:val="5"/>
    </w:pPr>
    <w:rPr>
      <w:b/>
      <w:bCs/>
      <w:i/>
      <w:iCs/>
      <w:sz w:val="24"/>
      <w:szCs w:val="24"/>
    </w:rPr>
  </w:style>
  <w:style w:type="paragraph" w:styleId="Heading7">
    <w:name w:val="heading 7"/>
    <w:basedOn w:val="Cmsor"/>
    <w:next w:val="BodyText"/>
    <w:qFormat/>
    <w:pPr>
      <w:numPr>
        <w:ilvl w:val="6"/>
        <w:numId w:val="1"/>
      </w:numPr>
      <w:spacing w:before="60" w:after="60"/>
      <w:outlineLvl w:val="6"/>
    </w:pPr>
    <w:rPr>
      <w:b/>
      <w:bCs/>
      <w:sz w:val="22"/>
      <w:szCs w:val="22"/>
    </w:rPr>
  </w:style>
  <w:style w:type="paragraph" w:styleId="Heading8">
    <w:name w:val="heading 8"/>
    <w:basedOn w:val="Cmsor"/>
    <w:next w:val="BodyText"/>
    <w:qFormat/>
    <w:pPr>
      <w:numPr>
        <w:ilvl w:val="7"/>
        <w:numId w:val="1"/>
      </w:numPr>
      <w:spacing w:before="60" w:after="60"/>
      <w:outlineLvl w:val="7"/>
    </w:pPr>
    <w:rPr>
      <w:b/>
      <w:bCs/>
      <w:i/>
      <w:iCs/>
      <w:sz w:val="22"/>
      <w:szCs w:val="22"/>
    </w:rPr>
  </w:style>
  <w:style w:type="paragraph" w:styleId="Heading9">
    <w:name w:val="heading 9"/>
    <w:basedOn w:val="Cmsor"/>
    <w:next w:val="BodyText"/>
    <w:qFormat/>
    <w:pPr>
      <w:numPr>
        <w:ilvl w:val="8"/>
        <w:numId w:val="1"/>
      </w:numPr>
      <w:spacing w:before="60" w:after="60"/>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zmozsjelek">
    <w:name w:val="Számozásjelek"/>
  </w:style>
  <w:style w:type="paragraph" w:customStyle="1" w:styleId="Cmsor">
    <w:name w:val="Címsor"/>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link w:val="BodyTextChar"/>
    <w:pPr>
      <w:suppressAutoHyphens w:val="0"/>
      <w:spacing w:after="200"/>
      <w:jc w:val="both"/>
    </w:pPr>
    <w:rPr>
      <w:rFonts w:ascii="Times New Roman" w:hAnsi="Times New Roman"/>
      <w:sz w:val="20"/>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Trgymutat">
    <w:name w:val="Tárgymutató"/>
    <w:basedOn w:val="Normal"/>
    <w:pPr>
      <w:suppressLineNumbers/>
    </w:pPr>
  </w:style>
  <w:style w:type="paragraph" w:customStyle="1" w:styleId="Idzetblokk">
    <w:name w:val="Idézetblokk"/>
    <w:basedOn w:val="Normal"/>
    <w:pPr>
      <w:spacing w:after="283"/>
      <w:ind w:left="567" w:right="567"/>
    </w:pPr>
  </w:style>
  <w:style w:type="paragraph" w:styleId="Title">
    <w:name w:val="Title"/>
    <w:basedOn w:val="Cmsor"/>
    <w:next w:val="BodyText"/>
    <w:qFormat/>
    <w:pPr>
      <w:spacing w:before="0" w:after="200"/>
      <w:jc w:val="center"/>
    </w:pPr>
    <w:rPr>
      <w:rFonts w:ascii="Times New Roman" w:hAnsi="Times New Roman"/>
      <w:b/>
      <w:bCs/>
      <w:sz w:val="20"/>
      <w:szCs w:val="56"/>
    </w:rPr>
  </w:style>
  <w:style w:type="paragraph" w:styleId="Subtitle">
    <w:name w:val="Subtitle"/>
    <w:basedOn w:val="Cmsor"/>
    <w:next w:val="BodyText"/>
    <w:qFormat/>
    <w:pPr>
      <w:spacing w:before="60"/>
      <w:jc w:val="center"/>
    </w:pPr>
    <w:rPr>
      <w:sz w:val="36"/>
      <w:szCs w:val="36"/>
    </w:rPr>
  </w:style>
  <w:style w:type="paragraph" w:styleId="Header">
    <w:name w:val="header"/>
    <w:basedOn w:val="Normal"/>
    <w:pPr>
      <w:suppressLineNumbers/>
      <w:tabs>
        <w:tab w:val="center" w:pos="3486"/>
        <w:tab w:val="right" w:pos="6973"/>
      </w:tabs>
    </w:pPr>
  </w:style>
  <w:style w:type="paragraph" w:styleId="Footer">
    <w:name w:val="footer"/>
    <w:basedOn w:val="Normal"/>
    <w:pPr>
      <w:suppressLineNumbers/>
      <w:tabs>
        <w:tab w:val="center" w:pos="3486"/>
        <w:tab w:val="right" w:pos="6973"/>
      </w:tabs>
    </w:pPr>
  </w:style>
  <w:style w:type="paragraph" w:styleId="Signature">
    <w:name w:val="Signature"/>
    <w:basedOn w:val="Normal"/>
    <w:pPr>
      <w:suppressLineNumbers/>
    </w:pPr>
  </w:style>
  <w:style w:type="paragraph" w:styleId="EnvelopeAddress">
    <w:name w:val="envelope address"/>
    <w:basedOn w:val="Normal"/>
    <w:pPr>
      <w:suppressLineNumbers/>
      <w:spacing w:after="60"/>
    </w:pPr>
  </w:style>
  <w:style w:type="paragraph" w:customStyle="1" w:styleId="Elformzottszveg">
    <w:name w:val="Előformázott szöveg"/>
    <w:basedOn w:val="Normal"/>
    <w:rPr>
      <w:rFonts w:ascii="Liberation Mono" w:eastAsia="NSimSun" w:hAnsi="Liberation Mono" w:cs="Liberation Mono"/>
      <w:sz w:val="20"/>
      <w:szCs w:val="20"/>
    </w:rPr>
  </w:style>
  <w:style w:type="paragraph" w:styleId="EnvelopeReturn">
    <w:name w:val="envelope return"/>
    <w:basedOn w:val="Normal"/>
    <w:pPr>
      <w:suppressLineNumbers/>
      <w:spacing w:after="60"/>
    </w:pPr>
  </w:style>
  <w:style w:type="paragraph" w:customStyle="1" w:styleId="Kerettartalom">
    <w:name w:val="Kerettartalom"/>
    <w:basedOn w:val="Normal"/>
  </w:style>
  <w:style w:type="paragraph" w:styleId="FootnoteText">
    <w:name w:val="footnote text"/>
    <w:basedOn w:val="Normal"/>
    <w:link w:val="FootnoteTextChar"/>
    <w:uiPriority w:val="99"/>
    <w:pPr>
      <w:suppressLineNumbers/>
      <w:ind w:left="339" w:hanging="339"/>
    </w:pPr>
    <w:rPr>
      <w:sz w:val="20"/>
      <w:szCs w:val="20"/>
    </w:rPr>
  </w:style>
  <w:style w:type="paragraph" w:customStyle="1" w:styleId="Listafejlc">
    <w:name w:val="Listafejléc"/>
    <w:basedOn w:val="Normal"/>
    <w:next w:val="Listatartalom"/>
  </w:style>
  <w:style w:type="paragraph" w:customStyle="1" w:styleId="Listatartalom">
    <w:name w:val="Listatartalom"/>
    <w:basedOn w:val="Normal"/>
    <w:pPr>
      <w:ind w:left="567"/>
    </w:pPr>
  </w:style>
  <w:style w:type="paragraph" w:customStyle="1" w:styleId="Pratlanlfej">
    <w:name w:val="Páratlan élőfej"/>
    <w:basedOn w:val="Normal"/>
    <w:pPr>
      <w:suppressLineNumbers/>
      <w:tabs>
        <w:tab w:val="center" w:pos="3489"/>
        <w:tab w:val="right" w:pos="6979"/>
      </w:tabs>
    </w:pPr>
  </w:style>
  <w:style w:type="paragraph" w:customStyle="1" w:styleId="Pratlanllb">
    <w:name w:val="Páratlan élőláb"/>
    <w:basedOn w:val="Normal"/>
    <w:pPr>
      <w:suppressLineNumbers/>
      <w:tabs>
        <w:tab w:val="center" w:pos="3489"/>
        <w:tab w:val="right" w:pos="6979"/>
      </w:tabs>
    </w:pPr>
  </w:style>
  <w:style w:type="paragraph" w:customStyle="1" w:styleId="Proslfej">
    <w:name w:val="Páros élőfej"/>
    <w:basedOn w:val="Normal"/>
    <w:pPr>
      <w:suppressLineNumbers/>
      <w:tabs>
        <w:tab w:val="center" w:pos="3489"/>
        <w:tab w:val="right" w:pos="6979"/>
      </w:tabs>
    </w:pPr>
  </w:style>
  <w:style w:type="paragraph" w:customStyle="1" w:styleId="Prosllb">
    <w:name w:val="Páros élőláb"/>
    <w:basedOn w:val="Normal"/>
    <w:pPr>
      <w:suppressLineNumbers/>
      <w:tabs>
        <w:tab w:val="center" w:pos="3489"/>
        <w:tab w:val="right" w:pos="6979"/>
      </w:tabs>
    </w:pPr>
  </w:style>
  <w:style w:type="paragraph" w:customStyle="1" w:styleId="Tblzattartalom">
    <w:name w:val="Táblázattartalom"/>
    <w:basedOn w:val="Normal"/>
    <w:pPr>
      <w:suppressLineNumbers/>
    </w:pPr>
  </w:style>
  <w:style w:type="paragraph" w:styleId="Salutation">
    <w:name w:val="Salutation"/>
    <w:basedOn w:val="Normal"/>
    <w:pPr>
      <w:suppressLineNumbers/>
    </w:pPr>
  </w:style>
  <w:style w:type="paragraph" w:styleId="EndnoteText">
    <w:name w:val="endnote text"/>
    <w:basedOn w:val="Normal"/>
    <w:pPr>
      <w:suppressLineNumbers/>
      <w:ind w:left="339" w:hanging="339"/>
    </w:pPr>
    <w:rPr>
      <w:sz w:val="20"/>
      <w:szCs w:val="20"/>
    </w:rPr>
  </w:style>
  <w:style w:type="paragraph" w:customStyle="1" w:styleId="Vzszintesvonal">
    <w:name w:val="Vízszintes vonal"/>
    <w:basedOn w:val="Normal"/>
    <w:next w:val="BodyText"/>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brajegyzkfejlce">
    <w:name w:val="Ábrajegyzék fejléce"/>
    <w:basedOn w:val="Cmsor"/>
    <w:pPr>
      <w:suppressLineNumbers/>
    </w:pPr>
    <w:rPr>
      <w:b/>
      <w:bCs/>
      <w:sz w:val="32"/>
      <w:szCs w:val="32"/>
    </w:rPr>
  </w:style>
  <w:style w:type="paragraph" w:customStyle="1" w:styleId="Cmsor10">
    <w:name w:val="Címsor 10"/>
    <w:basedOn w:val="Cmsor"/>
    <w:next w:val="BodyText"/>
    <w:pPr>
      <w:numPr>
        <w:ilvl w:val="8"/>
        <w:numId w:val="1"/>
      </w:numPr>
      <w:spacing w:before="60" w:after="60"/>
      <w:outlineLvl w:val="8"/>
    </w:pPr>
    <w:rPr>
      <w:b/>
      <w:bCs/>
      <w:sz w:val="21"/>
      <w:szCs w:val="21"/>
    </w:rPr>
  </w:style>
  <w:style w:type="paragraph" w:customStyle="1" w:styleId="Egynijegyzkfejlce">
    <w:name w:val="Egyéni jegyzék fejléce"/>
    <w:basedOn w:val="Cmsor"/>
    <w:pPr>
      <w:suppressLineNumbers/>
    </w:pPr>
    <w:rPr>
      <w:b/>
      <w:bCs/>
      <w:sz w:val="32"/>
      <w:szCs w:val="32"/>
    </w:rPr>
  </w:style>
  <w:style w:type="paragraph" w:styleId="TableofAuthorities">
    <w:name w:val="table of authorities"/>
    <w:basedOn w:val="Cmsor"/>
    <w:pPr>
      <w:suppressLineNumbers/>
    </w:pPr>
    <w:rPr>
      <w:b/>
      <w:bCs/>
      <w:sz w:val="32"/>
      <w:szCs w:val="32"/>
    </w:rPr>
  </w:style>
  <w:style w:type="paragraph" w:customStyle="1" w:styleId="Objektumjegyzkfejlce">
    <w:name w:val="Objektumjegyzék fejléce"/>
    <w:basedOn w:val="Cmsor"/>
    <w:pPr>
      <w:suppressLineNumbers/>
    </w:pPr>
    <w:rPr>
      <w:b/>
      <w:bCs/>
      <w:sz w:val="32"/>
      <w:szCs w:val="32"/>
    </w:rPr>
  </w:style>
  <w:style w:type="paragraph" w:customStyle="1" w:styleId="Tblzatjegyzkfejlce">
    <w:name w:val="Táblázatjegyzék fejléce"/>
    <w:basedOn w:val="Cmsor"/>
    <w:pPr>
      <w:suppressLineNumbers/>
    </w:pPr>
    <w:rPr>
      <w:b/>
      <w:bCs/>
      <w:sz w:val="32"/>
      <w:szCs w:val="32"/>
    </w:rPr>
  </w:style>
  <w:style w:type="paragraph" w:styleId="IndexHeading">
    <w:name w:val="index heading"/>
    <w:basedOn w:val="Cmsor"/>
    <w:pPr>
      <w:suppressLineNumbers/>
    </w:pPr>
    <w:rPr>
      <w:b/>
      <w:bCs/>
      <w:sz w:val="32"/>
      <w:szCs w:val="32"/>
    </w:rPr>
  </w:style>
  <w:style w:type="paragraph" w:styleId="TOAHeading">
    <w:name w:val="toa heading"/>
    <w:basedOn w:val="Cmsor"/>
    <w:pPr>
      <w:suppressLineNumbers/>
    </w:pPr>
    <w:rPr>
      <w:b/>
      <w:bCs/>
      <w:sz w:val="32"/>
      <w:szCs w:val="32"/>
    </w:rPr>
  </w:style>
  <w:style w:type="paragraph" w:styleId="BodyTextFirstIndent">
    <w:name w:val="Body Text First Indent"/>
    <w:basedOn w:val="BodyText"/>
    <w:pPr>
      <w:ind w:firstLine="283"/>
    </w:pPr>
  </w:style>
  <w:style w:type="paragraph" w:customStyle="1" w:styleId="Fggbehzs">
    <w:name w:val="Függő behúzás"/>
    <w:basedOn w:val="BodyText"/>
    <w:pPr>
      <w:tabs>
        <w:tab w:val="left" w:pos="567"/>
      </w:tabs>
      <w:ind w:left="567" w:hanging="283"/>
    </w:pPr>
  </w:style>
  <w:style w:type="paragraph" w:customStyle="1" w:styleId="Listabehzs">
    <w:name w:val="Listabehúzás"/>
    <w:basedOn w:val="BodyText"/>
    <w:pPr>
      <w:tabs>
        <w:tab w:val="left" w:pos="2835"/>
      </w:tabs>
      <w:ind w:left="2835" w:hanging="2551"/>
    </w:pPr>
  </w:style>
  <w:style w:type="paragraph" w:styleId="CommentText">
    <w:name w:val="annotation text"/>
    <w:basedOn w:val="BodyText"/>
    <w:pPr>
      <w:ind w:left="2268"/>
    </w:pPr>
  </w:style>
  <w:style w:type="paragraph" w:styleId="BodyTextIndent">
    <w:name w:val="Body Text Indent"/>
    <w:basedOn w:val="BodyText"/>
    <w:pPr>
      <w:ind w:left="283"/>
    </w:pPr>
  </w:style>
  <w:style w:type="paragraph" w:customStyle="1" w:styleId="FABOS-maintitle">
    <w:name w:val="FABOS - main title"/>
    <w:basedOn w:val="Title"/>
    <w:next w:val="FABOS-author"/>
    <w:rPr>
      <w:smallCaps/>
    </w:rPr>
  </w:style>
  <w:style w:type="paragraph" w:customStyle="1" w:styleId="FABOS-author">
    <w:name w:val="FABOS - author"/>
    <w:basedOn w:val="Title"/>
    <w:next w:val="FABOS-authorstitle"/>
    <w:pPr>
      <w:spacing w:after="0"/>
    </w:pPr>
    <w:rPr>
      <w:b w:val="0"/>
    </w:rPr>
  </w:style>
  <w:style w:type="paragraph" w:customStyle="1" w:styleId="FABOS-authorstitle">
    <w:name w:val="FABOS - author's title"/>
    <w:basedOn w:val="Title"/>
    <w:next w:val="FABOS-heading"/>
    <w:rPr>
      <w:b w:val="0"/>
      <w:i/>
    </w:rPr>
  </w:style>
  <w:style w:type="paragraph" w:customStyle="1" w:styleId="FABOS-heading">
    <w:name w:val="FABOS - heading"/>
    <w:basedOn w:val="Title"/>
    <w:next w:val="FABOS-maintext"/>
    <w:pPr>
      <w:jc w:val="left"/>
    </w:pPr>
  </w:style>
  <w:style w:type="paragraph" w:customStyle="1" w:styleId="FABOS-buletted">
    <w:name w:val="FABOS - buletted"/>
    <w:basedOn w:val="Title"/>
    <w:pPr>
      <w:numPr>
        <w:numId w:val="2"/>
      </w:numPr>
      <w:spacing w:after="0"/>
      <w:jc w:val="both"/>
    </w:pPr>
    <w:rPr>
      <w:b w:val="0"/>
    </w:rPr>
  </w:style>
  <w:style w:type="paragraph" w:customStyle="1" w:styleId="FABOS-bulettedlastline">
    <w:name w:val="FABOS - buletted last line"/>
    <w:basedOn w:val="FABOS-buletted"/>
    <w:pPr>
      <w:spacing w:after="200"/>
    </w:pPr>
  </w:style>
  <w:style w:type="paragraph" w:customStyle="1" w:styleId="FABOS-maintext">
    <w:name w:val="FABOS - main text"/>
    <w:basedOn w:val="Title"/>
    <w:pPr>
      <w:keepNext w:val="0"/>
      <w:jc w:val="both"/>
    </w:pPr>
    <w:rPr>
      <w:b w:val="0"/>
    </w:rPr>
  </w:style>
  <w:style w:type="paragraph" w:customStyle="1" w:styleId="FABOS-references">
    <w:name w:val="FABOS - references"/>
    <w:basedOn w:val="Title"/>
    <w:pPr>
      <w:spacing w:after="0"/>
      <w:ind w:left="300" w:hanging="300"/>
      <w:jc w:val="both"/>
    </w:pPr>
    <w:rPr>
      <w:b w:val="0"/>
    </w:rPr>
  </w:style>
  <w:style w:type="paragraph" w:customStyle="1" w:styleId="FABOS-Figuretext">
    <w:name w:val="FABOS - Figure text"/>
    <w:basedOn w:val="FABOS-heading"/>
    <w:next w:val="FABOS-maintext"/>
    <w:pPr>
      <w:jc w:val="center"/>
    </w:pPr>
    <w:rPr>
      <w:i/>
    </w:rPr>
  </w:style>
  <w:style w:type="character" w:styleId="Hyperlink">
    <w:name w:val="Hyperlink"/>
    <w:rsid w:val="00047F59"/>
    <w:rPr>
      <w:color w:val="0000FF"/>
      <w:u w:val="single"/>
    </w:rPr>
  </w:style>
  <w:style w:type="character" w:customStyle="1" w:styleId="object">
    <w:name w:val="object"/>
    <w:rsid w:val="00047F59"/>
  </w:style>
  <w:style w:type="paragraph" w:customStyle="1" w:styleId="Bibliographytext">
    <w:name w:val="Bibliography text"/>
    <w:basedOn w:val="Normal"/>
    <w:rsid w:val="00C92FAE"/>
    <w:pPr>
      <w:widowControl/>
      <w:suppressAutoHyphens w:val="0"/>
      <w:overflowPunct w:val="0"/>
      <w:autoSpaceDE w:val="0"/>
      <w:autoSpaceDN w:val="0"/>
      <w:adjustRightInd w:val="0"/>
      <w:ind w:left="284" w:hanging="284"/>
      <w:jc w:val="both"/>
      <w:textAlignment w:val="baseline"/>
    </w:pPr>
    <w:rPr>
      <w:rFonts w:ascii="Times New Roman" w:eastAsia="Times New Roman" w:hAnsi="Times New Roman" w:cs="Times New Roman"/>
      <w:kern w:val="0"/>
      <w:sz w:val="20"/>
      <w:szCs w:val="20"/>
      <w:lang w:val="de-DE" w:eastAsia="de-DE" w:bidi="ar-SA"/>
    </w:rPr>
  </w:style>
  <w:style w:type="character" w:styleId="CommentReference">
    <w:name w:val="annotation reference"/>
    <w:uiPriority w:val="99"/>
    <w:semiHidden/>
    <w:unhideWhenUsed/>
    <w:rsid w:val="00AD6B15"/>
    <w:rPr>
      <w:sz w:val="16"/>
      <w:szCs w:val="16"/>
    </w:rPr>
  </w:style>
  <w:style w:type="paragraph" w:styleId="CommentSubject">
    <w:name w:val="annotation subject"/>
    <w:basedOn w:val="CommentText"/>
    <w:next w:val="CommentText"/>
    <w:uiPriority w:val="99"/>
    <w:semiHidden/>
    <w:unhideWhenUsed/>
    <w:rsid w:val="00AD6B15"/>
    <w:pPr>
      <w:suppressAutoHyphens/>
      <w:spacing w:after="0"/>
      <w:ind w:left="0"/>
      <w:jc w:val="left"/>
    </w:pPr>
    <w:rPr>
      <w:rFonts w:ascii="Liberation Serif" w:hAnsi="Liberation Serif" w:cs="Mangal"/>
      <w:b/>
      <w:bCs/>
      <w:szCs w:val="18"/>
    </w:rPr>
  </w:style>
  <w:style w:type="character" w:customStyle="1" w:styleId="BodyTextChar">
    <w:name w:val="Body Text Char"/>
    <w:link w:val="BodyText"/>
    <w:rsid w:val="00AD6B15"/>
    <w:rPr>
      <w:rFonts w:eastAsia="SimSun" w:cs="Lucida Sans"/>
      <w:kern w:val="1"/>
      <w:szCs w:val="24"/>
      <w:lang w:eastAsia="zh-CN" w:bidi="hi-IN"/>
    </w:rPr>
  </w:style>
  <w:style w:type="character" w:customStyle="1" w:styleId="JegyzetszvegChar">
    <w:name w:val="Jegyzetszöveg Char"/>
    <w:basedOn w:val="BodyTextChar"/>
    <w:link w:val="CommentText"/>
    <w:rsid w:val="00AD6B15"/>
    <w:rPr>
      <w:rFonts w:eastAsia="SimSun" w:cs="Lucida Sans"/>
      <w:kern w:val="1"/>
      <w:szCs w:val="24"/>
      <w:lang w:eastAsia="zh-CN" w:bidi="hi-IN"/>
    </w:rPr>
  </w:style>
  <w:style w:type="character" w:customStyle="1" w:styleId="MegjegyzstrgyaChar">
    <w:name w:val="Megjegyzés tárgya Char"/>
    <w:basedOn w:val="JegyzetszvegChar"/>
    <w:link w:val="CommentSubject"/>
    <w:rsid w:val="00AD6B15"/>
    <w:rPr>
      <w:rFonts w:eastAsia="SimSun" w:cs="Lucida Sans"/>
      <w:kern w:val="1"/>
      <w:szCs w:val="24"/>
      <w:lang w:eastAsia="zh-CN" w:bidi="hi-IN"/>
    </w:rPr>
  </w:style>
  <w:style w:type="paragraph" w:styleId="BalloonText">
    <w:name w:val="Balloon Text"/>
    <w:basedOn w:val="Normal"/>
    <w:link w:val="BalloonTextChar"/>
    <w:uiPriority w:val="99"/>
    <w:semiHidden/>
    <w:unhideWhenUsed/>
    <w:rsid w:val="00AD6B15"/>
    <w:rPr>
      <w:rFonts w:ascii="Tahoma" w:hAnsi="Tahoma" w:cs="Mangal"/>
      <w:sz w:val="16"/>
      <w:szCs w:val="14"/>
    </w:rPr>
  </w:style>
  <w:style w:type="character" w:customStyle="1" w:styleId="BalloonTextChar">
    <w:name w:val="Balloon Text Char"/>
    <w:link w:val="BalloonText"/>
    <w:uiPriority w:val="99"/>
    <w:semiHidden/>
    <w:rsid w:val="00AD6B15"/>
    <w:rPr>
      <w:rFonts w:ascii="Tahoma" w:eastAsia="SimSun" w:hAnsi="Tahoma" w:cs="Mangal"/>
      <w:kern w:val="1"/>
      <w:sz w:val="16"/>
      <w:szCs w:val="14"/>
      <w:lang w:eastAsia="zh-CN" w:bidi="hi-IN"/>
    </w:rPr>
  </w:style>
  <w:style w:type="character" w:styleId="Emphasis">
    <w:name w:val="Emphasis"/>
    <w:uiPriority w:val="20"/>
    <w:qFormat/>
    <w:rsid w:val="003B2FF8"/>
    <w:rPr>
      <w:i/>
      <w:iCs/>
    </w:rPr>
  </w:style>
  <w:style w:type="paragraph" w:styleId="ColorfulList-Accent1">
    <w:name w:val="Colorful List Accent 1"/>
    <w:basedOn w:val="Normal"/>
    <w:uiPriority w:val="34"/>
    <w:qFormat/>
    <w:rsid w:val="00030442"/>
    <w:pPr>
      <w:widowControl/>
      <w:suppressAutoHyphens w:val="0"/>
      <w:ind w:left="720"/>
      <w:contextualSpacing/>
    </w:pPr>
    <w:rPr>
      <w:rFonts w:ascii="Calibri" w:eastAsia="Calibri" w:hAnsi="Calibri" w:cs="Times New Roman"/>
      <w:kern w:val="0"/>
      <w:lang w:val="en-GB" w:eastAsia="en-US" w:bidi="ar-SA"/>
    </w:rPr>
  </w:style>
  <w:style w:type="paragraph" w:styleId="MediumGrid2">
    <w:name w:val="Medium Grid 2"/>
    <w:uiPriority w:val="1"/>
    <w:qFormat/>
    <w:rsid w:val="00030442"/>
    <w:rPr>
      <w:rFonts w:eastAsia="Calibri"/>
      <w:sz w:val="24"/>
      <w:szCs w:val="24"/>
    </w:rPr>
  </w:style>
  <w:style w:type="character" w:customStyle="1" w:styleId="FootnoteTextChar">
    <w:name w:val="Footnote Text Char"/>
    <w:link w:val="FootnoteText"/>
    <w:uiPriority w:val="99"/>
    <w:rsid w:val="00030442"/>
    <w:rPr>
      <w:rFonts w:ascii="Liberation Serif" w:eastAsia="SimSun" w:hAnsi="Liberation Serif" w:cs="Lucida Sans"/>
      <w:kern w:val="1"/>
      <w:lang w:val="hu-HU" w:eastAsia="zh-CN" w:bidi="hi-IN"/>
    </w:rPr>
  </w:style>
  <w:style w:type="character" w:styleId="FootnoteReference">
    <w:name w:val="footnote reference"/>
    <w:uiPriority w:val="99"/>
    <w:unhideWhenUsed/>
    <w:rsid w:val="00030442"/>
    <w:rPr>
      <w:vertAlign w:val="superscript"/>
    </w:rPr>
  </w:style>
  <w:style w:type="table" w:styleId="TableGrid">
    <w:name w:val="Table Grid"/>
    <w:basedOn w:val="TableNormal"/>
    <w:uiPriority w:val="39"/>
    <w:rsid w:val="0003044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F046C905-BBCE-4665-94B2-979DCF3C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7290</Words>
  <Characters>41553</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Fabos layout sample - Korosvolgyi Tamas Amber Industries Kft.</dc:subject>
  <dc:creator>Corvinus</dc:creator>
  <cp:keywords/>
  <cp:lastModifiedBy>Mell, Ian</cp:lastModifiedBy>
  <cp:revision>2</cp:revision>
  <cp:lastPrinted>2015-09-27T18:17:00Z</cp:lastPrinted>
  <dcterms:created xsi:type="dcterms:W3CDTF">2016-03-08T09:47:00Z</dcterms:created>
  <dcterms:modified xsi:type="dcterms:W3CDTF">2016-03-08T09:47:00Z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I.C.Mell@liverpool.ac.uk@www.mendeley.com</vt:lpwstr>
  </property>
  <property fmtid="{D5CDD505-2E9C-101B-9397-08002B2CF9AE}" pid="4" name="Mendeley Citation Style_1">
    <vt:lpwstr>http://www.zotero.org/styles/landscape-and-urban-planning</vt:lpwstr>
  </property>
</Properties>
</file>