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74" w:rsidRPr="005C4A01" w:rsidRDefault="008369B1" w:rsidP="00DE5530">
      <w:pPr>
        <w:pStyle w:val="Title"/>
        <w:jc w:val="center"/>
        <w:rPr>
          <w:color w:val="auto"/>
        </w:rPr>
      </w:pPr>
      <w:r w:rsidRPr="005C4A01">
        <w:rPr>
          <w:color w:val="auto"/>
        </w:rPr>
        <w:t xml:space="preserve">Continuities of Risk </w:t>
      </w:r>
      <w:r w:rsidR="000D071F" w:rsidRPr="005C4A01">
        <w:rPr>
          <w:color w:val="auto"/>
        </w:rPr>
        <w:t>in the Era of</w:t>
      </w:r>
      <w:r w:rsidR="00BB6303" w:rsidRPr="005C4A01">
        <w:rPr>
          <w:color w:val="auto"/>
        </w:rPr>
        <w:t xml:space="preserve"> the Mental Capacity Act</w:t>
      </w:r>
      <w:r w:rsidR="00C75DA2">
        <w:rPr>
          <w:rStyle w:val="FootnoteReference"/>
          <w:color w:val="auto"/>
        </w:rPr>
        <w:footnoteReference w:id="1"/>
      </w:r>
    </w:p>
    <w:p w:rsidR="00B73057" w:rsidRPr="000D2CAE" w:rsidRDefault="00473888" w:rsidP="005C306D">
      <w:pPr>
        <w:pBdr>
          <w:top w:val="single" w:sz="4" w:space="1" w:color="auto"/>
          <w:left w:val="single" w:sz="4" w:space="4" w:color="auto"/>
          <w:bottom w:val="single" w:sz="4" w:space="1" w:color="auto"/>
          <w:right w:val="single" w:sz="4" w:space="4" w:color="auto"/>
        </w:pBdr>
        <w:tabs>
          <w:tab w:val="left" w:pos="1753"/>
        </w:tabs>
        <w:spacing w:line="240" w:lineRule="auto"/>
        <w:rPr>
          <w:rFonts w:asciiTheme="majorHAnsi" w:hAnsiTheme="majorHAnsi"/>
          <w:b/>
          <w:sz w:val="24"/>
          <w:szCs w:val="28"/>
        </w:rPr>
      </w:pPr>
      <w:r w:rsidRPr="000D2CAE">
        <w:rPr>
          <w:rFonts w:asciiTheme="majorHAnsi" w:hAnsiTheme="majorHAnsi"/>
          <w:b/>
          <w:sz w:val="24"/>
          <w:szCs w:val="28"/>
        </w:rPr>
        <w:t>Abstract</w:t>
      </w:r>
      <w:r w:rsidR="005C306D" w:rsidRPr="000D2CAE">
        <w:rPr>
          <w:rFonts w:asciiTheme="majorHAnsi" w:hAnsiTheme="majorHAnsi"/>
          <w:b/>
          <w:sz w:val="24"/>
          <w:szCs w:val="28"/>
        </w:rPr>
        <w:tab/>
      </w:r>
    </w:p>
    <w:p w:rsidR="005C306D" w:rsidRDefault="000B4A8F" w:rsidP="00B73057">
      <w:pPr>
        <w:pBdr>
          <w:top w:val="single" w:sz="4" w:space="1" w:color="auto"/>
          <w:left w:val="single" w:sz="4" w:space="4" w:color="auto"/>
          <w:bottom w:val="single" w:sz="4" w:space="1" w:color="auto"/>
          <w:right w:val="single" w:sz="4" w:space="4" w:color="auto"/>
        </w:pBdr>
        <w:spacing w:line="240" w:lineRule="auto"/>
        <w:jc w:val="both"/>
        <w:rPr>
          <w:i/>
          <w:sz w:val="20"/>
          <w:szCs w:val="20"/>
        </w:rPr>
      </w:pPr>
      <w:r>
        <w:rPr>
          <w:i/>
          <w:sz w:val="20"/>
          <w:szCs w:val="20"/>
        </w:rPr>
        <w:t>When compared with</w:t>
      </w:r>
      <w:r w:rsidR="00671C33">
        <w:rPr>
          <w:i/>
          <w:sz w:val="20"/>
          <w:szCs w:val="20"/>
        </w:rPr>
        <w:t xml:space="preserve"> the </w:t>
      </w:r>
      <w:r w:rsidR="00225AB3">
        <w:rPr>
          <w:i/>
          <w:sz w:val="20"/>
          <w:szCs w:val="20"/>
        </w:rPr>
        <w:t>Mental Capacity Act</w:t>
      </w:r>
      <w:r w:rsidR="001021D4">
        <w:rPr>
          <w:i/>
          <w:sz w:val="20"/>
          <w:szCs w:val="20"/>
        </w:rPr>
        <w:t xml:space="preserve"> (MCA)</w:t>
      </w:r>
      <w:r w:rsidR="00225AB3">
        <w:rPr>
          <w:i/>
          <w:sz w:val="20"/>
          <w:szCs w:val="20"/>
        </w:rPr>
        <w:t xml:space="preserve"> 2005, the Mental Health Act</w:t>
      </w:r>
      <w:r w:rsidR="001021D4">
        <w:rPr>
          <w:i/>
          <w:sz w:val="20"/>
          <w:szCs w:val="20"/>
        </w:rPr>
        <w:t xml:space="preserve"> (MHA) 1983</w:t>
      </w:r>
      <w:r w:rsidR="00225AB3">
        <w:rPr>
          <w:i/>
          <w:sz w:val="20"/>
          <w:szCs w:val="20"/>
        </w:rPr>
        <w:t xml:space="preserve"> </w:t>
      </w:r>
      <w:r w:rsidR="00780704">
        <w:rPr>
          <w:i/>
          <w:sz w:val="20"/>
          <w:szCs w:val="20"/>
        </w:rPr>
        <w:t>s</w:t>
      </w:r>
      <w:r>
        <w:rPr>
          <w:i/>
          <w:sz w:val="20"/>
          <w:szCs w:val="20"/>
        </w:rPr>
        <w:t>eems</w:t>
      </w:r>
      <w:r w:rsidR="003902D3">
        <w:rPr>
          <w:i/>
          <w:sz w:val="20"/>
          <w:szCs w:val="20"/>
        </w:rPr>
        <w:t xml:space="preserve"> an </w:t>
      </w:r>
      <w:r w:rsidR="00225AB3">
        <w:rPr>
          <w:i/>
          <w:sz w:val="20"/>
          <w:szCs w:val="20"/>
        </w:rPr>
        <w:t>outlier.</w:t>
      </w:r>
      <w:r w:rsidR="003902D3">
        <w:rPr>
          <w:i/>
          <w:sz w:val="20"/>
          <w:szCs w:val="20"/>
        </w:rPr>
        <w:t xml:space="preserve"> </w:t>
      </w:r>
      <w:r w:rsidR="00780704">
        <w:rPr>
          <w:i/>
          <w:sz w:val="20"/>
          <w:szCs w:val="20"/>
        </w:rPr>
        <w:t>It</w:t>
      </w:r>
      <w:r w:rsidR="003902D3">
        <w:rPr>
          <w:i/>
          <w:sz w:val="20"/>
          <w:szCs w:val="20"/>
        </w:rPr>
        <w:t xml:space="preserve"> authorises</w:t>
      </w:r>
      <w:r w:rsidR="00671C33">
        <w:rPr>
          <w:i/>
          <w:sz w:val="20"/>
          <w:szCs w:val="20"/>
        </w:rPr>
        <w:t xml:space="preserve"> compulsory treatment </w:t>
      </w:r>
      <w:r w:rsidR="003902D3">
        <w:rPr>
          <w:i/>
          <w:sz w:val="20"/>
          <w:szCs w:val="20"/>
        </w:rPr>
        <w:t>of mental disorders on the basis of</w:t>
      </w:r>
      <w:r w:rsidR="00F80097">
        <w:rPr>
          <w:i/>
          <w:sz w:val="20"/>
          <w:szCs w:val="20"/>
        </w:rPr>
        <w:t xml:space="preserve"> P’s</w:t>
      </w:r>
      <w:r w:rsidR="003902D3">
        <w:rPr>
          <w:i/>
          <w:sz w:val="20"/>
          <w:szCs w:val="20"/>
        </w:rPr>
        <w:t xml:space="preserve"> risks.</w:t>
      </w:r>
      <w:r w:rsidR="00780704">
        <w:rPr>
          <w:i/>
          <w:sz w:val="20"/>
          <w:szCs w:val="20"/>
        </w:rPr>
        <w:t xml:space="preserve"> English law therefore discriminates between mental and physical disorders.</w:t>
      </w:r>
      <w:r w:rsidR="000340CE">
        <w:rPr>
          <w:i/>
          <w:sz w:val="20"/>
          <w:szCs w:val="20"/>
        </w:rPr>
        <w:t xml:space="preserve"> Following the UK’s ratification of the Convention on the Rights of Persons with Disabilities (CRPD), the MHA</w:t>
      </w:r>
      <w:r w:rsidR="00F80097">
        <w:rPr>
          <w:i/>
          <w:sz w:val="20"/>
          <w:szCs w:val="20"/>
        </w:rPr>
        <w:t xml:space="preserve"> probably</w:t>
      </w:r>
      <w:r w:rsidR="000340CE">
        <w:rPr>
          <w:i/>
          <w:sz w:val="20"/>
          <w:szCs w:val="20"/>
        </w:rPr>
        <w:t xml:space="preserve"> also violates international law.</w:t>
      </w:r>
      <w:r w:rsidR="00B12050">
        <w:rPr>
          <w:i/>
          <w:sz w:val="20"/>
          <w:szCs w:val="20"/>
        </w:rPr>
        <w:t xml:space="preserve"> Against this backdrop, one might expect that</w:t>
      </w:r>
      <w:r w:rsidR="00D342CF">
        <w:rPr>
          <w:i/>
          <w:sz w:val="20"/>
          <w:szCs w:val="20"/>
        </w:rPr>
        <w:t xml:space="preserve"> decisions contingent on</w:t>
      </w:r>
      <w:r w:rsidR="00B12050">
        <w:rPr>
          <w:i/>
          <w:sz w:val="20"/>
          <w:szCs w:val="20"/>
        </w:rPr>
        <w:t xml:space="preserve"> risk </w:t>
      </w:r>
      <w:r w:rsidR="0027513C">
        <w:rPr>
          <w:i/>
          <w:sz w:val="20"/>
          <w:szCs w:val="20"/>
        </w:rPr>
        <w:t xml:space="preserve">are confined to the MHA and </w:t>
      </w:r>
      <w:r>
        <w:rPr>
          <w:i/>
          <w:sz w:val="20"/>
          <w:szCs w:val="20"/>
        </w:rPr>
        <w:t>have</w:t>
      </w:r>
      <w:r w:rsidR="0027513C">
        <w:rPr>
          <w:i/>
          <w:sz w:val="20"/>
          <w:szCs w:val="20"/>
        </w:rPr>
        <w:t xml:space="preserve"> no r</w:t>
      </w:r>
      <w:r>
        <w:rPr>
          <w:i/>
          <w:sz w:val="20"/>
          <w:szCs w:val="20"/>
        </w:rPr>
        <w:t>elevance</w:t>
      </w:r>
      <w:r w:rsidR="0027513C">
        <w:rPr>
          <w:i/>
          <w:sz w:val="20"/>
          <w:szCs w:val="20"/>
        </w:rPr>
        <w:t xml:space="preserve"> </w:t>
      </w:r>
      <w:r>
        <w:rPr>
          <w:i/>
          <w:sz w:val="20"/>
          <w:szCs w:val="20"/>
        </w:rPr>
        <w:t>elsewhere</w:t>
      </w:r>
      <w:r w:rsidR="0027513C">
        <w:rPr>
          <w:i/>
          <w:sz w:val="20"/>
          <w:szCs w:val="20"/>
        </w:rPr>
        <w:t>.</w:t>
      </w:r>
      <w:r w:rsidR="00D342CF">
        <w:rPr>
          <w:i/>
          <w:sz w:val="20"/>
          <w:szCs w:val="20"/>
        </w:rPr>
        <w:t xml:space="preserve"> This paper argues that the opposite is true: risk-based decision-making has colonised</w:t>
      </w:r>
      <w:r w:rsidR="00780704">
        <w:rPr>
          <w:i/>
          <w:sz w:val="20"/>
          <w:szCs w:val="20"/>
        </w:rPr>
        <w:t xml:space="preserve"> MCA</w:t>
      </w:r>
      <w:r w:rsidR="00D342CF">
        <w:rPr>
          <w:i/>
          <w:sz w:val="20"/>
          <w:szCs w:val="20"/>
        </w:rPr>
        <w:t xml:space="preserve"> processes </w:t>
      </w:r>
      <w:r w:rsidR="00F93604">
        <w:rPr>
          <w:i/>
          <w:sz w:val="20"/>
          <w:szCs w:val="20"/>
        </w:rPr>
        <w:t>and play</w:t>
      </w:r>
      <w:r w:rsidR="003C7B36">
        <w:rPr>
          <w:i/>
          <w:sz w:val="20"/>
          <w:szCs w:val="20"/>
        </w:rPr>
        <w:t>s</w:t>
      </w:r>
      <w:r w:rsidR="00F93604">
        <w:rPr>
          <w:i/>
          <w:sz w:val="20"/>
          <w:szCs w:val="20"/>
        </w:rPr>
        <w:t xml:space="preserve"> a key role in determining the nature of P’s interaction with </w:t>
      </w:r>
      <w:r w:rsidR="00600BE2">
        <w:rPr>
          <w:i/>
          <w:sz w:val="20"/>
          <w:szCs w:val="20"/>
        </w:rPr>
        <w:t>health services</w:t>
      </w:r>
      <w:r w:rsidR="00D342CF">
        <w:rPr>
          <w:i/>
          <w:sz w:val="20"/>
          <w:szCs w:val="20"/>
        </w:rPr>
        <w:t>. These ‘continuities’ of risk are most notable in the Deprivation of Liberty Safeguards (DOLS)</w:t>
      </w:r>
      <w:r w:rsidR="00914CD2">
        <w:rPr>
          <w:i/>
          <w:sz w:val="20"/>
          <w:szCs w:val="20"/>
        </w:rPr>
        <w:t xml:space="preserve">, where assessments of risk are implicitly </w:t>
      </w:r>
      <w:r w:rsidR="00F93604">
        <w:rPr>
          <w:i/>
          <w:sz w:val="20"/>
          <w:szCs w:val="20"/>
        </w:rPr>
        <w:t>significant</w:t>
      </w:r>
      <w:r w:rsidR="00914CD2">
        <w:rPr>
          <w:i/>
          <w:sz w:val="20"/>
          <w:szCs w:val="20"/>
        </w:rPr>
        <w:t xml:space="preserve"> for best interests and eligibility determinations.</w:t>
      </w:r>
      <w:r w:rsidR="003C7B36">
        <w:rPr>
          <w:i/>
          <w:sz w:val="20"/>
          <w:szCs w:val="20"/>
        </w:rPr>
        <w:t xml:space="preserve"> Using </w:t>
      </w:r>
      <w:proofErr w:type="spellStart"/>
      <w:r w:rsidR="003C7B36">
        <w:rPr>
          <w:i/>
          <w:sz w:val="20"/>
          <w:szCs w:val="20"/>
        </w:rPr>
        <w:t>governmentality</w:t>
      </w:r>
      <w:proofErr w:type="spellEnd"/>
      <w:r w:rsidR="003C7B36">
        <w:rPr>
          <w:i/>
          <w:sz w:val="20"/>
          <w:szCs w:val="20"/>
        </w:rPr>
        <w:t xml:space="preserve"> theory as an explanatory model, this paper claims that the DOLS can be reconstructed as part of a wider legal apparatus for the regulation of the risks of harm associated with mental disorders. The paper also </w:t>
      </w:r>
      <w:r w:rsidR="00F80097">
        <w:rPr>
          <w:i/>
          <w:sz w:val="20"/>
          <w:szCs w:val="20"/>
        </w:rPr>
        <w:t>argues</w:t>
      </w:r>
      <w:r w:rsidR="003C7B36">
        <w:rPr>
          <w:i/>
          <w:sz w:val="20"/>
          <w:szCs w:val="20"/>
        </w:rPr>
        <w:t xml:space="preserve"> that the Law Commission’s </w:t>
      </w:r>
      <w:r w:rsidR="00D1167B">
        <w:rPr>
          <w:i/>
          <w:sz w:val="20"/>
          <w:szCs w:val="20"/>
        </w:rPr>
        <w:t xml:space="preserve">recent </w:t>
      </w:r>
      <w:r w:rsidR="003C7B36">
        <w:rPr>
          <w:i/>
          <w:sz w:val="20"/>
          <w:szCs w:val="20"/>
        </w:rPr>
        <w:t xml:space="preserve">proposals to </w:t>
      </w:r>
      <w:r w:rsidR="00F80097">
        <w:rPr>
          <w:i/>
          <w:sz w:val="20"/>
          <w:szCs w:val="20"/>
        </w:rPr>
        <w:t xml:space="preserve">introduce </w:t>
      </w:r>
      <w:r w:rsidR="003C7B36">
        <w:rPr>
          <w:i/>
          <w:sz w:val="20"/>
          <w:szCs w:val="20"/>
        </w:rPr>
        <w:t xml:space="preserve">a new ‘protective care’ scheme and expand the remit of the MHA hint at a ‘rehabilitation’ of risk as an integral component of mental health and capacity law. The paper concludes that the concept’s stigmatising potential, lack of definition, </w:t>
      </w:r>
      <w:r>
        <w:rPr>
          <w:i/>
          <w:sz w:val="20"/>
          <w:szCs w:val="20"/>
        </w:rPr>
        <w:t>and conflict with the CRPD cast</w:t>
      </w:r>
      <w:r w:rsidR="003C7B36">
        <w:rPr>
          <w:i/>
          <w:sz w:val="20"/>
          <w:szCs w:val="20"/>
        </w:rPr>
        <w:t xml:space="preserve"> doubt on </w:t>
      </w:r>
      <w:r>
        <w:rPr>
          <w:i/>
          <w:sz w:val="20"/>
          <w:szCs w:val="20"/>
        </w:rPr>
        <w:t>its capacity to reconcile</w:t>
      </w:r>
      <w:r w:rsidR="003C7B36">
        <w:rPr>
          <w:i/>
          <w:sz w:val="20"/>
          <w:szCs w:val="20"/>
        </w:rPr>
        <w:t xml:space="preserve"> English mental health law with the era of autonomy, capacity, and non-discrimination.</w:t>
      </w:r>
      <w:r w:rsidR="00914CD2">
        <w:rPr>
          <w:i/>
          <w:sz w:val="20"/>
          <w:szCs w:val="20"/>
        </w:rPr>
        <w:t xml:space="preserve"> </w:t>
      </w:r>
      <w:r w:rsidR="0027513C">
        <w:rPr>
          <w:i/>
          <w:sz w:val="20"/>
          <w:szCs w:val="20"/>
        </w:rPr>
        <w:t xml:space="preserve"> </w:t>
      </w:r>
    </w:p>
    <w:p w:rsidR="00473888" w:rsidRPr="00405476" w:rsidRDefault="00473888" w:rsidP="009F5A8F">
      <w:pPr>
        <w:pBdr>
          <w:top w:val="single" w:sz="4" w:space="1" w:color="auto"/>
          <w:left w:val="single" w:sz="4" w:space="4" w:color="auto"/>
          <w:bottom w:val="single" w:sz="4" w:space="1" w:color="auto"/>
          <w:right w:val="single" w:sz="4" w:space="4" w:color="auto"/>
        </w:pBdr>
        <w:tabs>
          <w:tab w:val="left" w:pos="2940"/>
          <w:tab w:val="center" w:pos="4513"/>
          <w:tab w:val="left" w:pos="7701"/>
        </w:tabs>
        <w:spacing w:line="240" w:lineRule="auto"/>
        <w:jc w:val="both"/>
        <w:rPr>
          <w:rFonts w:asciiTheme="majorHAnsi" w:hAnsiTheme="majorHAnsi"/>
          <w:i/>
          <w:sz w:val="24"/>
          <w:szCs w:val="24"/>
        </w:rPr>
      </w:pPr>
      <w:r w:rsidRPr="00405476">
        <w:rPr>
          <w:rFonts w:asciiTheme="majorHAnsi" w:hAnsiTheme="majorHAnsi"/>
          <w:b/>
          <w:sz w:val="24"/>
          <w:szCs w:val="24"/>
        </w:rPr>
        <w:t xml:space="preserve">Key words: </w:t>
      </w:r>
      <w:r w:rsidRPr="00914C1F">
        <w:rPr>
          <w:i/>
          <w:szCs w:val="24"/>
        </w:rPr>
        <w:t>deprivation; liberty; safeguards; authorisation; autonomy; reform</w:t>
      </w:r>
      <w:r w:rsidRPr="00914C1F">
        <w:rPr>
          <w:rFonts w:asciiTheme="majorHAnsi" w:hAnsiTheme="majorHAnsi"/>
          <w:i/>
          <w:szCs w:val="24"/>
        </w:rPr>
        <w:t xml:space="preserve"> </w:t>
      </w:r>
      <w:r w:rsidR="009F5A8F">
        <w:rPr>
          <w:rFonts w:asciiTheme="majorHAnsi" w:hAnsiTheme="majorHAnsi"/>
          <w:i/>
          <w:szCs w:val="24"/>
        </w:rPr>
        <w:tab/>
      </w:r>
    </w:p>
    <w:p w:rsidR="009D4601" w:rsidRDefault="009D4601" w:rsidP="00DE5530">
      <w:pPr>
        <w:spacing w:line="240" w:lineRule="auto"/>
        <w:rPr>
          <w:rFonts w:asciiTheme="majorHAnsi" w:hAnsiTheme="majorHAnsi"/>
          <w:sz w:val="28"/>
          <w:szCs w:val="28"/>
        </w:rPr>
      </w:pPr>
      <w:r>
        <w:rPr>
          <w:rFonts w:asciiTheme="majorHAnsi" w:hAnsiTheme="majorHAnsi"/>
          <w:sz w:val="28"/>
          <w:szCs w:val="28"/>
        </w:rPr>
        <w:t xml:space="preserve">By </w:t>
      </w:r>
      <w:r w:rsidR="00D004AE">
        <w:rPr>
          <w:rFonts w:asciiTheme="majorHAnsi" w:hAnsiTheme="majorHAnsi"/>
          <w:sz w:val="28"/>
          <w:szCs w:val="28"/>
        </w:rPr>
        <w:t xml:space="preserve">J.B. </w:t>
      </w:r>
      <w:bookmarkStart w:id="0" w:name="_GoBack"/>
      <w:bookmarkEnd w:id="0"/>
      <w:r w:rsidR="00D004AE">
        <w:rPr>
          <w:rFonts w:asciiTheme="majorHAnsi" w:hAnsiTheme="majorHAnsi"/>
          <w:sz w:val="28"/>
          <w:szCs w:val="28"/>
        </w:rPr>
        <w:t>Fanning</w:t>
      </w:r>
      <w:r w:rsidR="000F1AE7">
        <w:rPr>
          <w:rStyle w:val="FootnoteReference"/>
          <w:rFonts w:asciiTheme="majorHAnsi" w:hAnsiTheme="majorHAnsi"/>
          <w:sz w:val="28"/>
          <w:szCs w:val="28"/>
        </w:rPr>
        <w:footnoteReference w:id="2"/>
      </w:r>
    </w:p>
    <w:p w:rsidR="009D4601" w:rsidRDefault="009D4601" w:rsidP="00DE5530">
      <w:pPr>
        <w:spacing w:line="720" w:lineRule="auto"/>
        <w:rPr>
          <w:rFonts w:asciiTheme="majorHAnsi" w:hAnsiTheme="majorHAnsi"/>
          <w:sz w:val="28"/>
          <w:szCs w:val="28"/>
        </w:rPr>
      </w:pPr>
    </w:p>
    <w:p w:rsidR="009D4601" w:rsidRDefault="009D4601" w:rsidP="00DE5530">
      <w:pPr>
        <w:spacing w:line="720" w:lineRule="auto"/>
        <w:rPr>
          <w:rFonts w:asciiTheme="majorHAnsi" w:hAnsiTheme="majorHAnsi"/>
          <w:sz w:val="28"/>
          <w:szCs w:val="28"/>
        </w:rPr>
        <w:sectPr w:rsidR="009D4601" w:rsidSect="009D4601">
          <w:headerReference w:type="default" r:id="rId9"/>
          <w:footerReference w:type="default" r:id="rId10"/>
          <w:footnotePr>
            <w:numFmt w:val="chicago"/>
            <w:numRestart w:val="eachSect"/>
          </w:footnotePr>
          <w:type w:val="continuous"/>
          <w:pgSz w:w="11906" w:h="16838"/>
          <w:pgMar w:top="1440" w:right="1440" w:bottom="1440" w:left="1440" w:header="709" w:footer="709" w:gutter="0"/>
          <w:cols w:space="708"/>
          <w:docGrid w:linePitch="360"/>
        </w:sectPr>
      </w:pPr>
    </w:p>
    <w:p w:rsidR="009D4601" w:rsidRDefault="009D4601" w:rsidP="00DE5530">
      <w:pPr>
        <w:spacing w:line="720" w:lineRule="auto"/>
        <w:rPr>
          <w:rFonts w:asciiTheme="majorHAnsi" w:hAnsiTheme="majorHAnsi"/>
          <w:sz w:val="28"/>
          <w:szCs w:val="28"/>
        </w:rPr>
        <w:sectPr w:rsidR="009D4601" w:rsidSect="009D4601">
          <w:footnotePr>
            <w:numRestart w:val="eachSect"/>
          </w:footnotePr>
          <w:type w:val="continuous"/>
          <w:pgSz w:w="11906" w:h="16838"/>
          <w:pgMar w:top="1440" w:right="1440" w:bottom="1440" w:left="1440" w:header="708" w:footer="708" w:gutter="0"/>
          <w:cols w:space="708"/>
          <w:docGrid w:linePitch="360"/>
        </w:sectPr>
      </w:pPr>
    </w:p>
    <w:p w:rsidR="00473888" w:rsidRDefault="00A84237" w:rsidP="00A84237">
      <w:pPr>
        <w:spacing w:line="720" w:lineRule="auto"/>
        <w:jc w:val="center"/>
        <w:rPr>
          <w:rFonts w:asciiTheme="majorHAnsi" w:hAnsiTheme="majorHAnsi"/>
          <w:b/>
          <w:sz w:val="28"/>
          <w:szCs w:val="28"/>
        </w:rPr>
      </w:pPr>
      <w:r>
        <w:rPr>
          <w:rFonts w:asciiTheme="majorHAnsi" w:hAnsiTheme="majorHAnsi"/>
          <w:b/>
          <w:sz w:val="28"/>
          <w:szCs w:val="28"/>
        </w:rPr>
        <w:lastRenderedPageBreak/>
        <w:t>INTRODUCTION</w:t>
      </w:r>
    </w:p>
    <w:p w:rsidR="00C3724C" w:rsidRDefault="005B6D45" w:rsidP="00DE5530">
      <w:pPr>
        <w:spacing w:line="720" w:lineRule="auto"/>
        <w:jc w:val="both"/>
        <w:rPr>
          <w:sz w:val="24"/>
          <w:szCs w:val="24"/>
        </w:rPr>
      </w:pPr>
      <w:r>
        <w:rPr>
          <w:sz w:val="24"/>
          <w:szCs w:val="24"/>
        </w:rPr>
        <w:t xml:space="preserve">Risk is integral to </w:t>
      </w:r>
      <w:r w:rsidR="009B3453">
        <w:rPr>
          <w:sz w:val="24"/>
          <w:szCs w:val="24"/>
        </w:rPr>
        <w:t>the</w:t>
      </w:r>
      <w:r>
        <w:rPr>
          <w:sz w:val="24"/>
          <w:szCs w:val="24"/>
        </w:rPr>
        <w:t xml:space="preserve"> Mental Health Act</w:t>
      </w:r>
      <w:r w:rsidR="00B81607">
        <w:rPr>
          <w:sz w:val="24"/>
          <w:szCs w:val="24"/>
        </w:rPr>
        <w:t xml:space="preserve"> (</w:t>
      </w:r>
      <w:r w:rsidR="00542478">
        <w:rPr>
          <w:sz w:val="24"/>
          <w:szCs w:val="24"/>
        </w:rPr>
        <w:t>‘</w:t>
      </w:r>
      <w:r w:rsidR="00B81607">
        <w:rPr>
          <w:sz w:val="24"/>
          <w:szCs w:val="24"/>
        </w:rPr>
        <w:t>MHA</w:t>
      </w:r>
      <w:r w:rsidR="00542478">
        <w:rPr>
          <w:sz w:val="24"/>
          <w:szCs w:val="24"/>
        </w:rPr>
        <w:t>’</w:t>
      </w:r>
      <w:r w:rsidR="00B81607">
        <w:rPr>
          <w:sz w:val="24"/>
          <w:szCs w:val="24"/>
        </w:rPr>
        <w:t>)</w:t>
      </w:r>
      <w:r w:rsidR="009B3453">
        <w:rPr>
          <w:sz w:val="24"/>
          <w:szCs w:val="24"/>
        </w:rPr>
        <w:t xml:space="preserve"> 1983</w:t>
      </w:r>
      <w:r>
        <w:rPr>
          <w:sz w:val="24"/>
          <w:szCs w:val="24"/>
        </w:rPr>
        <w:t>.</w:t>
      </w:r>
      <w:r w:rsidR="00810F07">
        <w:rPr>
          <w:sz w:val="24"/>
          <w:szCs w:val="24"/>
        </w:rPr>
        <w:t xml:space="preserve"> </w:t>
      </w:r>
      <w:r w:rsidR="003F5270">
        <w:rPr>
          <w:sz w:val="24"/>
          <w:szCs w:val="24"/>
        </w:rPr>
        <w:t>T</w:t>
      </w:r>
      <w:r w:rsidR="00EF1AAD">
        <w:rPr>
          <w:sz w:val="24"/>
          <w:szCs w:val="24"/>
        </w:rPr>
        <w:t>o deploy</w:t>
      </w:r>
      <w:r w:rsidR="00B63F19">
        <w:rPr>
          <w:sz w:val="24"/>
          <w:szCs w:val="24"/>
        </w:rPr>
        <w:t xml:space="preserve"> its compulsory powers</w:t>
      </w:r>
      <w:r w:rsidR="009B3453">
        <w:rPr>
          <w:sz w:val="24"/>
          <w:szCs w:val="24"/>
        </w:rPr>
        <w:t>,</w:t>
      </w:r>
      <w:r w:rsidR="00B81607">
        <w:rPr>
          <w:rStyle w:val="FootnoteReference"/>
          <w:sz w:val="24"/>
          <w:szCs w:val="24"/>
        </w:rPr>
        <w:footnoteReference w:id="3"/>
      </w:r>
      <w:r w:rsidR="009B3453">
        <w:rPr>
          <w:sz w:val="24"/>
          <w:szCs w:val="24"/>
        </w:rPr>
        <w:t xml:space="preserve"> two registered medical practitioners must certify that </w:t>
      </w:r>
      <w:r w:rsidR="0002481E">
        <w:rPr>
          <w:sz w:val="24"/>
          <w:szCs w:val="24"/>
        </w:rPr>
        <w:t>the patient (</w:t>
      </w:r>
      <w:r w:rsidR="00542478">
        <w:rPr>
          <w:sz w:val="24"/>
          <w:szCs w:val="24"/>
        </w:rPr>
        <w:t>‘</w:t>
      </w:r>
      <w:r w:rsidR="0002481E">
        <w:rPr>
          <w:sz w:val="24"/>
          <w:szCs w:val="24"/>
        </w:rPr>
        <w:t>P</w:t>
      </w:r>
      <w:r w:rsidR="00542478">
        <w:rPr>
          <w:sz w:val="24"/>
          <w:szCs w:val="24"/>
        </w:rPr>
        <w:t>’</w:t>
      </w:r>
      <w:r w:rsidR="0002481E">
        <w:rPr>
          <w:sz w:val="24"/>
          <w:szCs w:val="24"/>
        </w:rPr>
        <w:t>)</w:t>
      </w:r>
      <w:r w:rsidR="009B3453">
        <w:rPr>
          <w:sz w:val="24"/>
          <w:szCs w:val="24"/>
        </w:rPr>
        <w:t xml:space="preserve"> (a) is suffering from a mental disorder</w:t>
      </w:r>
      <w:r w:rsidR="007017EB">
        <w:rPr>
          <w:rStyle w:val="FootnoteReference"/>
          <w:sz w:val="24"/>
          <w:szCs w:val="24"/>
        </w:rPr>
        <w:footnoteReference w:id="4"/>
      </w:r>
      <w:r w:rsidR="003661F3">
        <w:rPr>
          <w:sz w:val="24"/>
          <w:szCs w:val="24"/>
        </w:rPr>
        <w:t xml:space="preserve"> of the requisite nature or degree</w:t>
      </w:r>
      <w:r w:rsidR="009B3453">
        <w:rPr>
          <w:sz w:val="24"/>
          <w:szCs w:val="24"/>
        </w:rPr>
        <w:t>, and (b) poses a risk of harm to his health or safety or to other people.</w:t>
      </w:r>
      <w:r w:rsidR="003661F3">
        <w:rPr>
          <w:rStyle w:val="FootnoteReference"/>
          <w:sz w:val="24"/>
          <w:szCs w:val="24"/>
        </w:rPr>
        <w:footnoteReference w:id="5"/>
      </w:r>
      <w:r w:rsidR="00884CD5">
        <w:rPr>
          <w:sz w:val="24"/>
          <w:szCs w:val="24"/>
        </w:rPr>
        <w:t xml:space="preserve"> </w:t>
      </w:r>
      <w:r w:rsidR="006704DC">
        <w:rPr>
          <w:sz w:val="24"/>
          <w:szCs w:val="24"/>
        </w:rPr>
        <w:t>R</w:t>
      </w:r>
      <w:r w:rsidR="00D94265">
        <w:rPr>
          <w:sz w:val="24"/>
          <w:szCs w:val="24"/>
        </w:rPr>
        <w:t>isk</w:t>
      </w:r>
      <w:r w:rsidR="006704DC">
        <w:rPr>
          <w:sz w:val="24"/>
          <w:szCs w:val="24"/>
        </w:rPr>
        <w:t xml:space="preserve"> therefore</w:t>
      </w:r>
      <w:r w:rsidR="00D94265">
        <w:rPr>
          <w:sz w:val="24"/>
          <w:szCs w:val="24"/>
        </w:rPr>
        <w:t xml:space="preserve"> has a transformative effect on </w:t>
      </w:r>
      <w:r w:rsidR="0002481E">
        <w:rPr>
          <w:sz w:val="24"/>
          <w:szCs w:val="24"/>
        </w:rPr>
        <w:t>P’s</w:t>
      </w:r>
      <w:r w:rsidR="00D94265">
        <w:rPr>
          <w:sz w:val="24"/>
          <w:szCs w:val="24"/>
        </w:rPr>
        <w:t xml:space="preserve"> interaction with mental health services</w:t>
      </w:r>
      <w:r w:rsidR="00C61168">
        <w:rPr>
          <w:sz w:val="24"/>
          <w:szCs w:val="24"/>
        </w:rPr>
        <w:t>,</w:t>
      </w:r>
      <w:r w:rsidR="002D77DD">
        <w:rPr>
          <w:sz w:val="24"/>
          <w:szCs w:val="24"/>
        </w:rPr>
        <w:t xml:space="preserve"> turning it</w:t>
      </w:r>
      <w:r w:rsidR="00642878">
        <w:rPr>
          <w:sz w:val="24"/>
          <w:szCs w:val="24"/>
        </w:rPr>
        <w:t xml:space="preserve"> into a relationship defined by a </w:t>
      </w:r>
      <w:r w:rsidR="00C61168">
        <w:rPr>
          <w:sz w:val="24"/>
          <w:szCs w:val="24"/>
        </w:rPr>
        <w:t>paternalistic imperative.</w:t>
      </w:r>
    </w:p>
    <w:p w:rsidR="009D4601" w:rsidRDefault="00C3724C" w:rsidP="00DE5530">
      <w:pPr>
        <w:spacing w:line="720" w:lineRule="auto"/>
        <w:jc w:val="both"/>
        <w:rPr>
          <w:sz w:val="24"/>
          <w:szCs w:val="24"/>
        </w:rPr>
      </w:pPr>
      <w:r>
        <w:rPr>
          <w:sz w:val="24"/>
          <w:szCs w:val="24"/>
        </w:rPr>
        <w:tab/>
      </w:r>
      <w:r w:rsidR="00C46F18">
        <w:rPr>
          <w:sz w:val="24"/>
          <w:szCs w:val="24"/>
        </w:rPr>
        <w:t xml:space="preserve">The </w:t>
      </w:r>
      <w:r w:rsidR="007A2B4B">
        <w:rPr>
          <w:sz w:val="24"/>
          <w:szCs w:val="24"/>
        </w:rPr>
        <w:t>centrality</w:t>
      </w:r>
      <w:r w:rsidR="00C46F18">
        <w:rPr>
          <w:sz w:val="24"/>
          <w:szCs w:val="24"/>
        </w:rPr>
        <w:t xml:space="preserve"> of risk under the MHA contrasts sharply with the Mental Capacity Act (</w:t>
      </w:r>
      <w:r w:rsidR="00542478">
        <w:rPr>
          <w:sz w:val="24"/>
          <w:szCs w:val="24"/>
        </w:rPr>
        <w:t>‘</w:t>
      </w:r>
      <w:r w:rsidR="00C46F18">
        <w:rPr>
          <w:sz w:val="24"/>
          <w:szCs w:val="24"/>
        </w:rPr>
        <w:t>MCA</w:t>
      </w:r>
      <w:r w:rsidR="00542478">
        <w:rPr>
          <w:sz w:val="24"/>
          <w:szCs w:val="24"/>
        </w:rPr>
        <w:t>’</w:t>
      </w:r>
      <w:r w:rsidR="00C46F18">
        <w:rPr>
          <w:sz w:val="24"/>
          <w:szCs w:val="24"/>
        </w:rPr>
        <w:t>) 2005.</w:t>
      </w:r>
      <w:r w:rsidR="0011277C">
        <w:rPr>
          <w:sz w:val="24"/>
          <w:szCs w:val="24"/>
        </w:rPr>
        <w:t xml:space="preserve"> </w:t>
      </w:r>
      <w:r w:rsidR="00EA74F2">
        <w:rPr>
          <w:sz w:val="24"/>
          <w:szCs w:val="24"/>
        </w:rPr>
        <w:t xml:space="preserve">Here, </w:t>
      </w:r>
      <w:r w:rsidR="00F531DF">
        <w:rPr>
          <w:sz w:val="24"/>
          <w:szCs w:val="24"/>
        </w:rPr>
        <w:t>P’s</w:t>
      </w:r>
      <w:r w:rsidR="00EA74F2">
        <w:rPr>
          <w:sz w:val="24"/>
          <w:szCs w:val="24"/>
        </w:rPr>
        <w:t xml:space="preserve"> capacity to make decisions is the primary concern</w:t>
      </w:r>
      <w:r w:rsidR="000C3A4E">
        <w:rPr>
          <w:sz w:val="24"/>
          <w:szCs w:val="24"/>
        </w:rPr>
        <w:t>.</w:t>
      </w:r>
      <w:r w:rsidR="00BD1168">
        <w:rPr>
          <w:rStyle w:val="FootnoteReference"/>
          <w:sz w:val="24"/>
          <w:szCs w:val="24"/>
        </w:rPr>
        <w:footnoteReference w:id="6"/>
      </w:r>
      <w:r w:rsidR="00EA74F2">
        <w:rPr>
          <w:sz w:val="24"/>
          <w:szCs w:val="24"/>
        </w:rPr>
        <w:t xml:space="preserve"> </w:t>
      </w:r>
      <w:r w:rsidR="00013C49">
        <w:rPr>
          <w:sz w:val="24"/>
          <w:szCs w:val="24"/>
        </w:rPr>
        <w:t>T</w:t>
      </w:r>
      <w:r w:rsidR="00EA74F2">
        <w:rPr>
          <w:sz w:val="24"/>
          <w:szCs w:val="24"/>
        </w:rPr>
        <w:t xml:space="preserve">he MCA has a </w:t>
      </w:r>
      <w:r w:rsidR="00EA74F2">
        <w:rPr>
          <w:sz w:val="24"/>
          <w:szCs w:val="24"/>
        </w:rPr>
        <w:lastRenderedPageBreak/>
        <w:t>broader scope than the MHA in that it applies to all patients, irrespective of</w:t>
      </w:r>
      <w:r w:rsidR="00CB2DD2">
        <w:rPr>
          <w:sz w:val="24"/>
          <w:szCs w:val="24"/>
        </w:rPr>
        <w:t xml:space="preserve"> the nature of their disorders</w:t>
      </w:r>
      <w:r w:rsidR="00EA74F2">
        <w:rPr>
          <w:sz w:val="24"/>
          <w:szCs w:val="24"/>
        </w:rPr>
        <w:t>.</w:t>
      </w:r>
      <w:r w:rsidR="00DE4C55">
        <w:rPr>
          <w:sz w:val="24"/>
          <w:szCs w:val="24"/>
        </w:rPr>
        <w:t xml:space="preserve"> If </w:t>
      </w:r>
      <w:r w:rsidR="00BF4318">
        <w:rPr>
          <w:sz w:val="24"/>
          <w:szCs w:val="24"/>
        </w:rPr>
        <w:t>P</w:t>
      </w:r>
      <w:r w:rsidR="00DE4C55">
        <w:rPr>
          <w:sz w:val="24"/>
          <w:szCs w:val="24"/>
        </w:rPr>
        <w:t xml:space="preserve"> is unable to make a decision for himself</w:t>
      </w:r>
      <w:r w:rsidR="009759DD">
        <w:rPr>
          <w:sz w:val="24"/>
          <w:szCs w:val="24"/>
        </w:rPr>
        <w:t xml:space="preserve"> then he will be deemed to lack capacity and a decision may be taken in his </w:t>
      </w:r>
      <w:r w:rsidR="00542478">
        <w:rPr>
          <w:sz w:val="24"/>
          <w:szCs w:val="24"/>
        </w:rPr>
        <w:t>‘</w:t>
      </w:r>
      <w:r w:rsidR="009759DD">
        <w:rPr>
          <w:sz w:val="24"/>
          <w:szCs w:val="24"/>
        </w:rPr>
        <w:t>best interests</w:t>
      </w:r>
      <w:r w:rsidR="00542478">
        <w:rPr>
          <w:sz w:val="24"/>
          <w:szCs w:val="24"/>
        </w:rPr>
        <w:t>’</w:t>
      </w:r>
      <w:r w:rsidR="009759DD">
        <w:rPr>
          <w:sz w:val="24"/>
          <w:szCs w:val="24"/>
        </w:rPr>
        <w:t>.</w:t>
      </w:r>
      <w:r w:rsidR="004E7F74">
        <w:rPr>
          <w:rStyle w:val="FootnoteReference"/>
          <w:sz w:val="24"/>
          <w:szCs w:val="24"/>
        </w:rPr>
        <w:footnoteReference w:id="7"/>
      </w:r>
      <w:r w:rsidR="00C95BF9">
        <w:rPr>
          <w:sz w:val="24"/>
          <w:szCs w:val="24"/>
        </w:rPr>
        <w:t xml:space="preserve"> </w:t>
      </w:r>
      <w:r w:rsidR="00DE4758">
        <w:rPr>
          <w:sz w:val="24"/>
          <w:szCs w:val="24"/>
        </w:rPr>
        <w:t>As the House of Lords Select Committee on the 2005</w:t>
      </w:r>
      <w:r w:rsidR="00AB40E8">
        <w:rPr>
          <w:sz w:val="24"/>
          <w:szCs w:val="24"/>
        </w:rPr>
        <w:t xml:space="preserve"> Act</w:t>
      </w:r>
      <w:r w:rsidR="00DE4758">
        <w:rPr>
          <w:sz w:val="24"/>
          <w:szCs w:val="24"/>
        </w:rPr>
        <w:t xml:space="preserve"> recently stated, the MCA is a </w:t>
      </w:r>
      <w:r w:rsidR="00542478">
        <w:rPr>
          <w:sz w:val="24"/>
          <w:szCs w:val="24"/>
        </w:rPr>
        <w:t>‘</w:t>
      </w:r>
      <w:r w:rsidR="00DE4758">
        <w:rPr>
          <w:sz w:val="24"/>
          <w:szCs w:val="24"/>
        </w:rPr>
        <w:t>visionary</w:t>
      </w:r>
      <w:r w:rsidR="00542478">
        <w:rPr>
          <w:sz w:val="24"/>
          <w:szCs w:val="24"/>
        </w:rPr>
        <w:t>’</w:t>
      </w:r>
      <w:r w:rsidR="00DE4758">
        <w:rPr>
          <w:sz w:val="24"/>
          <w:szCs w:val="24"/>
        </w:rPr>
        <w:t xml:space="preserve"> piece of legislation which puts patients at the heart of decision-making processes.</w:t>
      </w:r>
      <w:bookmarkStart w:id="4" w:name="_Ref448843985"/>
      <w:r w:rsidR="00EF2565">
        <w:rPr>
          <w:rStyle w:val="FootnoteReference"/>
          <w:sz w:val="24"/>
          <w:szCs w:val="24"/>
        </w:rPr>
        <w:footnoteReference w:id="8"/>
      </w:r>
      <w:bookmarkEnd w:id="4"/>
    </w:p>
    <w:p w:rsidR="009054CC" w:rsidRDefault="009054CC" w:rsidP="00DE5530">
      <w:pPr>
        <w:spacing w:line="720" w:lineRule="auto"/>
        <w:jc w:val="both"/>
        <w:rPr>
          <w:sz w:val="24"/>
          <w:szCs w:val="24"/>
        </w:rPr>
      </w:pPr>
      <w:r>
        <w:rPr>
          <w:sz w:val="24"/>
          <w:szCs w:val="24"/>
        </w:rPr>
        <w:tab/>
      </w:r>
      <w:r w:rsidR="00ED7DFC">
        <w:rPr>
          <w:sz w:val="24"/>
          <w:szCs w:val="24"/>
        </w:rPr>
        <w:t>W</w:t>
      </w:r>
      <w:r w:rsidR="00E45FE7">
        <w:rPr>
          <w:sz w:val="24"/>
          <w:szCs w:val="24"/>
        </w:rPr>
        <w:t>hile the MHA authorises the detention of a</w:t>
      </w:r>
      <w:r w:rsidR="00A9382D">
        <w:rPr>
          <w:sz w:val="24"/>
          <w:szCs w:val="24"/>
        </w:rPr>
        <w:t xml:space="preserve"> mentally-disordered</w:t>
      </w:r>
      <w:r w:rsidR="00E45FE7">
        <w:rPr>
          <w:sz w:val="24"/>
          <w:szCs w:val="24"/>
        </w:rPr>
        <w:t xml:space="preserve"> person on the basis of risk, no equivalent power exists for physical disorders.</w:t>
      </w:r>
      <w:r w:rsidR="006F1456">
        <w:rPr>
          <w:sz w:val="24"/>
          <w:szCs w:val="24"/>
        </w:rPr>
        <w:t xml:space="preserve"> As Richardson has argued, there seems to be no justification for singling out mental disorders in this way.</w:t>
      </w:r>
      <w:r w:rsidR="00ED7DFC">
        <w:rPr>
          <w:rStyle w:val="FootnoteReference"/>
          <w:sz w:val="24"/>
          <w:szCs w:val="24"/>
        </w:rPr>
        <w:footnoteReference w:id="9"/>
      </w:r>
      <w:r w:rsidR="00803CA6">
        <w:rPr>
          <w:sz w:val="24"/>
          <w:szCs w:val="24"/>
        </w:rPr>
        <w:t xml:space="preserve"> </w:t>
      </w:r>
      <w:r w:rsidR="00E01A0D">
        <w:rPr>
          <w:sz w:val="24"/>
          <w:szCs w:val="24"/>
        </w:rPr>
        <w:t>M</w:t>
      </w:r>
      <w:r w:rsidR="00F201F5">
        <w:rPr>
          <w:sz w:val="24"/>
          <w:szCs w:val="24"/>
        </w:rPr>
        <w:t xml:space="preserve">any commentators have </w:t>
      </w:r>
      <w:r w:rsidR="004A2910">
        <w:rPr>
          <w:sz w:val="24"/>
          <w:szCs w:val="24"/>
        </w:rPr>
        <w:t>criticised the</w:t>
      </w:r>
      <w:r w:rsidR="00F201F5">
        <w:rPr>
          <w:sz w:val="24"/>
          <w:szCs w:val="24"/>
        </w:rPr>
        <w:t xml:space="preserve"> involuntary care and treatment </w:t>
      </w:r>
      <w:r w:rsidR="004A2910">
        <w:rPr>
          <w:sz w:val="24"/>
          <w:szCs w:val="24"/>
        </w:rPr>
        <w:t>of</w:t>
      </w:r>
      <w:r w:rsidR="00F201F5">
        <w:rPr>
          <w:sz w:val="24"/>
          <w:szCs w:val="24"/>
        </w:rPr>
        <w:t xml:space="preserve"> mental disorders as a </w:t>
      </w:r>
      <w:r w:rsidR="00F201F5">
        <w:rPr>
          <w:sz w:val="24"/>
          <w:szCs w:val="24"/>
        </w:rPr>
        <w:lastRenderedPageBreak/>
        <w:t xml:space="preserve">crude historical anachronism </w:t>
      </w:r>
      <w:r w:rsidR="005E3E7D">
        <w:rPr>
          <w:sz w:val="24"/>
          <w:szCs w:val="24"/>
        </w:rPr>
        <w:t>alien to a modern liberal state.</w:t>
      </w:r>
      <w:r w:rsidR="005E3E7D">
        <w:rPr>
          <w:rStyle w:val="FootnoteReference"/>
          <w:sz w:val="24"/>
          <w:szCs w:val="24"/>
        </w:rPr>
        <w:footnoteReference w:id="10"/>
      </w:r>
      <w:r w:rsidR="004636E4">
        <w:rPr>
          <w:sz w:val="24"/>
          <w:szCs w:val="24"/>
        </w:rPr>
        <w:t xml:space="preserve"> </w:t>
      </w:r>
      <w:r w:rsidR="00B92FA0">
        <w:rPr>
          <w:sz w:val="24"/>
          <w:szCs w:val="24"/>
        </w:rPr>
        <w:t>Furthermore, t</w:t>
      </w:r>
      <w:r w:rsidR="00923856">
        <w:rPr>
          <w:sz w:val="24"/>
          <w:szCs w:val="24"/>
        </w:rPr>
        <w:t>he United Nations Convention on the Rights of People with Disabilities (</w:t>
      </w:r>
      <w:r w:rsidR="00542478">
        <w:rPr>
          <w:sz w:val="24"/>
          <w:szCs w:val="24"/>
        </w:rPr>
        <w:t>‘</w:t>
      </w:r>
      <w:r w:rsidR="00923856">
        <w:rPr>
          <w:sz w:val="24"/>
          <w:szCs w:val="24"/>
        </w:rPr>
        <w:t>CRPD</w:t>
      </w:r>
      <w:r w:rsidR="00542478">
        <w:rPr>
          <w:sz w:val="24"/>
          <w:szCs w:val="24"/>
        </w:rPr>
        <w:t>’</w:t>
      </w:r>
      <w:r w:rsidR="00923856">
        <w:rPr>
          <w:sz w:val="24"/>
          <w:szCs w:val="24"/>
        </w:rPr>
        <w:t>)</w:t>
      </w:r>
      <w:r w:rsidR="00BA0B62">
        <w:rPr>
          <w:sz w:val="24"/>
          <w:szCs w:val="24"/>
        </w:rPr>
        <w:t xml:space="preserve"> casts doubt on the MHA’s compatibility </w:t>
      </w:r>
      <w:r w:rsidR="001C5322">
        <w:rPr>
          <w:sz w:val="24"/>
          <w:szCs w:val="24"/>
        </w:rPr>
        <w:t>with the United Kingdom’s international legal obligations.</w:t>
      </w:r>
      <w:bookmarkStart w:id="5" w:name="_Ref448846435"/>
      <w:r w:rsidR="001C5322">
        <w:rPr>
          <w:rStyle w:val="FootnoteReference"/>
          <w:sz w:val="24"/>
          <w:szCs w:val="24"/>
        </w:rPr>
        <w:footnoteReference w:id="11"/>
      </w:r>
      <w:bookmarkEnd w:id="5"/>
      <w:r w:rsidR="0023474F">
        <w:rPr>
          <w:sz w:val="24"/>
          <w:szCs w:val="24"/>
        </w:rPr>
        <w:t xml:space="preserve"> </w:t>
      </w:r>
      <w:r w:rsidR="00090BD1">
        <w:rPr>
          <w:sz w:val="24"/>
          <w:szCs w:val="24"/>
        </w:rPr>
        <w:t>T</w:t>
      </w:r>
      <w:r w:rsidR="00EC3273">
        <w:rPr>
          <w:sz w:val="24"/>
          <w:szCs w:val="24"/>
        </w:rPr>
        <w:t>en years since the introduction of the MCA,</w:t>
      </w:r>
      <w:r w:rsidR="006759C2">
        <w:rPr>
          <w:sz w:val="24"/>
          <w:szCs w:val="24"/>
        </w:rPr>
        <w:t xml:space="preserve"> the MHA looks increasingly like an outlier. Consequently,</w:t>
      </w:r>
      <w:r w:rsidR="00090BD1">
        <w:rPr>
          <w:sz w:val="24"/>
          <w:szCs w:val="24"/>
        </w:rPr>
        <w:t xml:space="preserve"> </w:t>
      </w:r>
      <w:r w:rsidR="006759C2">
        <w:rPr>
          <w:sz w:val="24"/>
          <w:szCs w:val="24"/>
        </w:rPr>
        <w:t>o</w:t>
      </w:r>
      <w:r w:rsidR="005B699F">
        <w:rPr>
          <w:sz w:val="24"/>
          <w:szCs w:val="24"/>
        </w:rPr>
        <w:t>ne might</w:t>
      </w:r>
      <w:r w:rsidR="00710D44">
        <w:rPr>
          <w:sz w:val="24"/>
          <w:szCs w:val="24"/>
        </w:rPr>
        <w:t xml:space="preserve"> expect</w:t>
      </w:r>
      <w:r w:rsidR="00B070F8">
        <w:rPr>
          <w:sz w:val="24"/>
          <w:szCs w:val="24"/>
        </w:rPr>
        <w:t xml:space="preserve"> that</w:t>
      </w:r>
      <w:r w:rsidR="00E05FCC">
        <w:rPr>
          <w:sz w:val="24"/>
          <w:szCs w:val="24"/>
        </w:rPr>
        <w:t xml:space="preserve"> </w:t>
      </w:r>
      <w:r w:rsidR="00D45F81">
        <w:rPr>
          <w:sz w:val="24"/>
          <w:szCs w:val="24"/>
        </w:rPr>
        <w:t>the domain of risk is</w:t>
      </w:r>
      <w:r w:rsidR="006759C2">
        <w:rPr>
          <w:sz w:val="24"/>
          <w:szCs w:val="24"/>
        </w:rPr>
        <w:t xml:space="preserve"> narrowly</w:t>
      </w:r>
      <w:r w:rsidR="00D45F81">
        <w:rPr>
          <w:sz w:val="24"/>
          <w:szCs w:val="24"/>
        </w:rPr>
        <w:t xml:space="preserve"> confined</w:t>
      </w:r>
      <w:r w:rsidR="00B1693E">
        <w:rPr>
          <w:sz w:val="24"/>
          <w:szCs w:val="24"/>
        </w:rPr>
        <w:t xml:space="preserve"> </w:t>
      </w:r>
      <w:r w:rsidR="00E5301F">
        <w:rPr>
          <w:sz w:val="24"/>
          <w:szCs w:val="24"/>
        </w:rPr>
        <w:t>to the MHA and that</w:t>
      </w:r>
      <w:r w:rsidR="00B1693E">
        <w:rPr>
          <w:sz w:val="24"/>
          <w:szCs w:val="24"/>
        </w:rPr>
        <w:t xml:space="preserve"> </w:t>
      </w:r>
      <w:r w:rsidR="00D45F81">
        <w:rPr>
          <w:sz w:val="24"/>
          <w:szCs w:val="24"/>
        </w:rPr>
        <w:t>it</w:t>
      </w:r>
      <w:r w:rsidR="00510996">
        <w:rPr>
          <w:sz w:val="24"/>
          <w:szCs w:val="24"/>
        </w:rPr>
        <w:t xml:space="preserve"> </w:t>
      </w:r>
      <w:r w:rsidR="00BB541B">
        <w:rPr>
          <w:sz w:val="24"/>
          <w:szCs w:val="24"/>
        </w:rPr>
        <w:t>play</w:t>
      </w:r>
      <w:r w:rsidR="00D45F81">
        <w:rPr>
          <w:sz w:val="24"/>
          <w:szCs w:val="24"/>
        </w:rPr>
        <w:t>s</w:t>
      </w:r>
      <w:r w:rsidR="00BB541B">
        <w:rPr>
          <w:sz w:val="24"/>
          <w:szCs w:val="24"/>
        </w:rPr>
        <w:t xml:space="preserve"> a marginal role </w:t>
      </w:r>
      <w:r w:rsidR="00753F59">
        <w:rPr>
          <w:sz w:val="24"/>
          <w:szCs w:val="24"/>
        </w:rPr>
        <w:t xml:space="preserve">in </w:t>
      </w:r>
      <w:r w:rsidR="001912BA">
        <w:rPr>
          <w:sz w:val="24"/>
          <w:szCs w:val="24"/>
        </w:rPr>
        <w:t>care and treatment decisions</w:t>
      </w:r>
      <w:r w:rsidR="00EA33C7">
        <w:rPr>
          <w:sz w:val="24"/>
          <w:szCs w:val="24"/>
        </w:rPr>
        <w:t>.</w:t>
      </w:r>
    </w:p>
    <w:p w:rsidR="00F81AF6" w:rsidRDefault="00F81AF6" w:rsidP="00DE5530">
      <w:pPr>
        <w:spacing w:line="720" w:lineRule="auto"/>
        <w:jc w:val="both"/>
        <w:rPr>
          <w:sz w:val="24"/>
          <w:szCs w:val="24"/>
        </w:rPr>
      </w:pPr>
      <w:r>
        <w:rPr>
          <w:sz w:val="24"/>
          <w:szCs w:val="24"/>
        </w:rPr>
        <w:tab/>
      </w:r>
      <w:r w:rsidR="00E5301F">
        <w:rPr>
          <w:sz w:val="24"/>
          <w:szCs w:val="24"/>
        </w:rPr>
        <w:t xml:space="preserve">This paper makes </w:t>
      </w:r>
      <w:r>
        <w:rPr>
          <w:sz w:val="24"/>
          <w:szCs w:val="24"/>
        </w:rPr>
        <w:t xml:space="preserve">an original contribution to the literature by </w:t>
      </w:r>
      <w:r w:rsidR="00B1693E">
        <w:rPr>
          <w:sz w:val="24"/>
          <w:szCs w:val="24"/>
        </w:rPr>
        <w:t>evaluating</w:t>
      </w:r>
      <w:r w:rsidR="00E5301F">
        <w:rPr>
          <w:sz w:val="24"/>
          <w:szCs w:val="24"/>
        </w:rPr>
        <w:t xml:space="preserve"> the</w:t>
      </w:r>
      <w:r w:rsidR="0059787F">
        <w:rPr>
          <w:sz w:val="24"/>
          <w:szCs w:val="24"/>
        </w:rPr>
        <w:t xml:space="preserve"> </w:t>
      </w:r>
      <w:r w:rsidR="00542478">
        <w:rPr>
          <w:sz w:val="24"/>
          <w:szCs w:val="24"/>
        </w:rPr>
        <w:t>‘</w:t>
      </w:r>
      <w:r w:rsidR="0059787F">
        <w:rPr>
          <w:sz w:val="24"/>
          <w:szCs w:val="24"/>
        </w:rPr>
        <w:t>continuities of risk</w:t>
      </w:r>
      <w:r w:rsidR="00542478">
        <w:rPr>
          <w:sz w:val="24"/>
          <w:szCs w:val="24"/>
        </w:rPr>
        <w:t>’</w:t>
      </w:r>
      <w:r w:rsidR="0059787F">
        <w:rPr>
          <w:sz w:val="24"/>
          <w:szCs w:val="24"/>
        </w:rPr>
        <w:t xml:space="preserve"> </w:t>
      </w:r>
      <w:r w:rsidR="000F59BB">
        <w:rPr>
          <w:sz w:val="24"/>
          <w:szCs w:val="24"/>
        </w:rPr>
        <w:t xml:space="preserve">in mental health and capacity law. Specifically, it focuses on the </w:t>
      </w:r>
      <w:r w:rsidR="0023474F">
        <w:rPr>
          <w:sz w:val="24"/>
          <w:szCs w:val="24"/>
        </w:rPr>
        <w:t xml:space="preserve">way </w:t>
      </w:r>
      <w:r w:rsidR="00510996">
        <w:rPr>
          <w:sz w:val="24"/>
          <w:szCs w:val="24"/>
        </w:rPr>
        <w:t>that</w:t>
      </w:r>
      <w:r w:rsidR="0023474F">
        <w:rPr>
          <w:sz w:val="24"/>
          <w:szCs w:val="24"/>
        </w:rPr>
        <w:t xml:space="preserve"> the </w:t>
      </w:r>
      <w:r w:rsidR="000F59BB">
        <w:rPr>
          <w:sz w:val="24"/>
          <w:szCs w:val="24"/>
        </w:rPr>
        <w:t>Deprivation of Liberty Safeguards</w:t>
      </w:r>
      <w:r w:rsidR="0023474F">
        <w:rPr>
          <w:sz w:val="24"/>
          <w:szCs w:val="24"/>
        </w:rPr>
        <w:t xml:space="preserve"> (</w:t>
      </w:r>
      <w:r w:rsidR="00542478">
        <w:rPr>
          <w:sz w:val="24"/>
          <w:szCs w:val="24"/>
        </w:rPr>
        <w:t>‘</w:t>
      </w:r>
      <w:r w:rsidR="0023474F">
        <w:rPr>
          <w:sz w:val="24"/>
          <w:szCs w:val="24"/>
        </w:rPr>
        <w:t>DOLS</w:t>
      </w:r>
      <w:r w:rsidR="00542478">
        <w:rPr>
          <w:sz w:val="24"/>
          <w:szCs w:val="24"/>
        </w:rPr>
        <w:t>’</w:t>
      </w:r>
      <w:r w:rsidR="0023474F">
        <w:rPr>
          <w:sz w:val="24"/>
          <w:szCs w:val="24"/>
        </w:rPr>
        <w:t>)</w:t>
      </w:r>
      <w:r w:rsidR="0007542C">
        <w:rPr>
          <w:sz w:val="24"/>
          <w:szCs w:val="24"/>
        </w:rPr>
        <w:t xml:space="preserve"> regime</w:t>
      </w:r>
      <w:r w:rsidR="0023474F">
        <w:rPr>
          <w:sz w:val="24"/>
          <w:szCs w:val="24"/>
        </w:rPr>
        <w:t xml:space="preserve"> </w:t>
      </w:r>
      <w:r w:rsidR="0007542C">
        <w:rPr>
          <w:sz w:val="24"/>
          <w:szCs w:val="24"/>
        </w:rPr>
        <w:t>has amplified the significance of risk in mental health decision-making</w:t>
      </w:r>
      <w:r w:rsidR="000F59BB">
        <w:rPr>
          <w:sz w:val="24"/>
          <w:szCs w:val="24"/>
        </w:rPr>
        <w:t>.</w:t>
      </w:r>
      <w:r w:rsidR="00510996">
        <w:rPr>
          <w:sz w:val="24"/>
          <w:szCs w:val="24"/>
        </w:rPr>
        <w:t xml:space="preserve"> </w:t>
      </w:r>
      <w:r w:rsidR="00D45F81">
        <w:rPr>
          <w:sz w:val="24"/>
          <w:szCs w:val="24"/>
        </w:rPr>
        <w:t>The</w:t>
      </w:r>
      <w:r w:rsidR="00C07D51">
        <w:rPr>
          <w:sz w:val="24"/>
          <w:szCs w:val="24"/>
        </w:rPr>
        <w:t xml:space="preserve"> paper advances two core claims. First,</w:t>
      </w:r>
      <w:r w:rsidR="004A2910">
        <w:rPr>
          <w:sz w:val="24"/>
          <w:szCs w:val="24"/>
        </w:rPr>
        <w:t xml:space="preserve"> </w:t>
      </w:r>
      <w:r w:rsidR="00AC5C08">
        <w:rPr>
          <w:sz w:val="24"/>
          <w:szCs w:val="24"/>
        </w:rPr>
        <w:t xml:space="preserve">the concept of risk </w:t>
      </w:r>
      <w:r w:rsidR="00BB5C4F">
        <w:rPr>
          <w:sz w:val="24"/>
          <w:szCs w:val="24"/>
        </w:rPr>
        <w:t>continue</w:t>
      </w:r>
      <w:r w:rsidR="00B1693E">
        <w:rPr>
          <w:sz w:val="24"/>
          <w:szCs w:val="24"/>
        </w:rPr>
        <w:t>s</w:t>
      </w:r>
      <w:r w:rsidR="00BB5C4F">
        <w:rPr>
          <w:sz w:val="24"/>
          <w:szCs w:val="24"/>
        </w:rPr>
        <w:t xml:space="preserve"> to determine the nature of </w:t>
      </w:r>
      <w:r w:rsidR="008D57B3">
        <w:rPr>
          <w:sz w:val="24"/>
          <w:szCs w:val="24"/>
        </w:rPr>
        <w:t>P’s</w:t>
      </w:r>
      <w:r w:rsidR="00BB5C4F">
        <w:rPr>
          <w:sz w:val="24"/>
          <w:szCs w:val="24"/>
        </w:rPr>
        <w:t xml:space="preserve"> interaction with mental health </w:t>
      </w:r>
      <w:r w:rsidR="00BB5C4F">
        <w:rPr>
          <w:sz w:val="24"/>
          <w:szCs w:val="24"/>
        </w:rPr>
        <w:lastRenderedPageBreak/>
        <w:t>services</w:t>
      </w:r>
      <w:r w:rsidR="00DA1E28">
        <w:rPr>
          <w:sz w:val="24"/>
          <w:szCs w:val="24"/>
        </w:rPr>
        <w:t>,</w:t>
      </w:r>
      <w:r w:rsidR="00FB4EB4">
        <w:rPr>
          <w:sz w:val="24"/>
          <w:szCs w:val="24"/>
        </w:rPr>
        <w:t xml:space="preserve"> </w:t>
      </w:r>
      <w:r w:rsidR="00E6234D">
        <w:rPr>
          <w:sz w:val="24"/>
          <w:szCs w:val="24"/>
        </w:rPr>
        <w:t>even outside</w:t>
      </w:r>
      <w:r w:rsidR="00FB4EB4">
        <w:rPr>
          <w:sz w:val="24"/>
          <w:szCs w:val="24"/>
        </w:rPr>
        <w:t xml:space="preserve"> the MHA</w:t>
      </w:r>
      <w:r w:rsidR="00DA1E28">
        <w:rPr>
          <w:sz w:val="24"/>
          <w:szCs w:val="24"/>
        </w:rPr>
        <w:t>,</w:t>
      </w:r>
      <w:r w:rsidR="00BB5C4F">
        <w:rPr>
          <w:sz w:val="24"/>
          <w:szCs w:val="24"/>
        </w:rPr>
        <w:t xml:space="preserve"> and </w:t>
      </w:r>
      <w:r w:rsidR="00B1693E">
        <w:rPr>
          <w:sz w:val="24"/>
          <w:szCs w:val="24"/>
        </w:rPr>
        <w:t>is</w:t>
      </w:r>
      <w:r w:rsidR="00BB5C4F">
        <w:rPr>
          <w:sz w:val="24"/>
          <w:szCs w:val="24"/>
        </w:rPr>
        <w:t xml:space="preserve"> implicitly relevant to determinations of </w:t>
      </w:r>
      <w:r w:rsidR="00542478">
        <w:rPr>
          <w:sz w:val="24"/>
          <w:szCs w:val="24"/>
        </w:rPr>
        <w:t>‘</w:t>
      </w:r>
      <w:r w:rsidR="00BB5C4F">
        <w:rPr>
          <w:sz w:val="24"/>
          <w:szCs w:val="24"/>
        </w:rPr>
        <w:t>best interests</w:t>
      </w:r>
      <w:r w:rsidR="00542478">
        <w:rPr>
          <w:sz w:val="24"/>
          <w:szCs w:val="24"/>
        </w:rPr>
        <w:t>’</w:t>
      </w:r>
      <w:r w:rsidR="00BB5C4F">
        <w:rPr>
          <w:sz w:val="24"/>
          <w:szCs w:val="24"/>
        </w:rPr>
        <w:t>.</w:t>
      </w:r>
      <w:r w:rsidR="008E63D3">
        <w:rPr>
          <w:sz w:val="24"/>
          <w:szCs w:val="24"/>
        </w:rPr>
        <w:t xml:space="preserve"> Secondly,</w:t>
      </w:r>
      <w:r w:rsidR="00627B2A">
        <w:rPr>
          <w:sz w:val="24"/>
          <w:szCs w:val="24"/>
        </w:rPr>
        <w:t xml:space="preserve"> </w:t>
      </w:r>
      <w:r w:rsidR="008E63D3">
        <w:rPr>
          <w:sz w:val="24"/>
          <w:szCs w:val="24"/>
        </w:rPr>
        <w:t>the Law Commission’s</w:t>
      </w:r>
      <w:r w:rsidR="00E46CEB">
        <w:rPr>
          <w:sz w:val="24"/>
          <w:szCs w:val="24"/>
        </w:rPr>
        <w:t xml:space="preserve"> recent</w:t>
      </w:r>
      <w:r w:rsidR="002E65EE">
        <w:rPr>
          <w:sz w:val="24"/>
          <w:szCs w:val="24"/>
        </w:rPr>
        <w:t xml:space="preserve"> proposals to</w:t>
      </w:r>
      <w:r w:rsidR="008E63D3">
        <w:rPr>
          <w:sz w:val="24"/>
          <w:szCs w:val="24"/>
        </w:rPr>
        <w:t xml:space="preserve"> </w:t>
      </w:r>
      <w:r w:rsidR="00B453CC">
        <w:rPr>
          <w:sz w:val="24"/>
          <w:szCs w:val="24"/>
        </w:rPr>
        <w:t>reform</w:t>
      </w:r>
      <w:r w:rsidR="002E65EE">
        <w:rPr>
          <w:sz w:val="24"/>
          <w:szCs w:val="24"/>
        </w:rPr>
        <w:t xml:space="preserve"> the law in this area would have expanded</w:t>
      </w:r>
      <w:r w:rsidR="00B453CC">
        <w:rPr>
          <w:sz w:val="24"/>
          <w:szCs w:val="24"/>
        </w:rPr>
        <w:t xml:space="preserve"> </w:t>
      </w:r>
      <w:r w:rsidR="00F24931">
        <w:rPr>
          <w:sz w:val="24"/>
          <w:szCs w:val="24"/>
        </w:rPr>
        <w:t xml:space="preserve">the domain of risk </w:t>
      </w:r>
      <w:r w:rsidR="008E63D3">
        <w:rPr>
          <w:sz w:val="24"/>
          <w:szCs w:val="24"/>
        </w:rPr>
        <w:t xml:space="preserve">by bringing </w:t>
      </w:r>
      <w:r w:rsidR="00542478">
        <w:rPr>
          <w:sz w:val="24"/>
          <w:szCs w:val="24"/>
        </w:rPr>
        <w:t>‘</w:t>
      </w:r>
      <w:r w:rsidR="00627B2A">
        <w:rPr>
          <w:sz w:val="24"/>
          <w:szCs w:val="24"/>
        </w:rPr>
        <w:t>informal</w:t>
      </w:r>
      <w:r w:rsidR="00542478">
        <w:rPr>
          <w:sz w:val="24"/>
          <w:szCs w:val="24"/>
        </w:rPr>
        <w:t>’</w:t>
      </w:r>
      <w:r w:rsidR="00627B2A">
        <w:rPr>
          <w:sz w:val="24"/>
          <w:szCs w:val="24"/>
        </w:rPr>
        <w:t xml:space="preserve"> patients</w:t>
      </w:r>
      <w:r w:rsidR="009C2D00">
        <w:rPr>
          <w:sz w:val="24"/>
          <w:szCs w:val="24"/>
        </w:rPr>
        <w:t xml:space="preserve"> (that is, patients suffering from a mental disorder and lacking capacity)</w:t>
      </w:r>
      <w:r w:rsidR="008E63D3">
        <w:rPr>
          <w:sz w:val="24"/>
          <w:szCs w:val="24"/>
        </w:rPr>
        <w:t xml:space="preserve"> within the scope of the MHA</w:t>
      </w:r>
      <w:r w:rsidR="00DD073F">
        <w:rPr>
          <w:sz w:val="24"/>
          <w:szCs w:val="24"/>
        </w:rPr>
        <w:t>.</w:t>
      </w:r>
      <w:bookmarkStart w:id="6" w:name="_Ref454371245"/>
      <w:r w:rsidR="00C65C50">
        <w:rPr>
          <w:rStyle w:val="FootnoteReference"/>
          <w:sz w:val="24"/>
          <w:szCs w:val="24"/>
        </w:rPr>
        <w:footnoteReference w:id="12"/>
      </w:r>
      <w:bookmarkEnd w:id="6"/>
      <w:r w:rsidR="00D45F81">
        <w:rPr>
          <w:sz w:val="24"/>
          <w:szCs w:val="24"/>
        </w:rPr>
        <w:t xml:space="preserve"> </w:t>
      </w:r>
      <w:r w:rsidR="00B17FBC">
        <w:rPr>
          <w:sz w:val="24"/>
          <w:szCs w:val="24"/>
        </w:rPr>
        <w:t>F</w:t>
      </w:r>
      <w:r w:rsidR="00DD073F">
        <w:rPr>
          <w:sz w:val="24"/>
          <w:szCs w:val="24"/>
        </w:rPr>
        <w:t>ar from</w:t>
      </w:r>
      <w:r w:rsidR="00627B2A">
        <w:rPr>
          <w:sz w:val="24"/>
          <w:szCs w:val="24"/>
        </w:rPr>
        <w:t xml:space="preserve"> </w:t>
      </w:r>
      <w:r w:rsidR="00E01A0D">
        <w:rPr>
          <w:sz w:val="24"/>
          <w:szCs w:val="24"/>
        </w:rPr>
        <w:t>a containment of</w:t>
      </w:r>
      <w:r w:rsidR="00DD073F">
        <w:rPr>
          <w:sz w:val="24"/>
          <w:szCs w:val="24"/>
        </w:rPr>
        <w:t xml:space="preserve"> risk’s significance, the post-MCA era</w:t>
      </w:r>
      <w:r w:rsidR="00627B2A">
        <w:rPr>
          <w:sz w:val="24"/>
          <w:szCs w:val="24"/>
        </w:rPr>
        <w:t xml:space="preserve"> </w:t>
      </w:r>
      <w:r w:rsidR="00F24931">
        <w:rPr>
          <w:sz w:val="24"/>
          <w:szCs w:val="24"/>
        </w:rPr>
        <w:t xml:space="preserve">has witnessed </w:t>
      </w:r>
      <w:r w:rsidR="00387B76">
        <w:rPr>
          <w:sz w:val="24"/>
          <w:szCs w:val="24"/>
        </w:rPr>
        <w:t>the concept’s</w:t>
      </w:r>
      <w:r w:rsidR="0052113B">
        <w:rPr>
          <w:sz w:val="24"/>
          <w:szCs w:val="24"/>
        </w:rPr>
        <w:t xml:space="preserve"> colonisation of </w:t>
      </w:r>
      <w:r w:rsidR="00B73878">
        <w:rPr>
          <w:sz w:val="24"/>
          <w:szCs w:val="24"/>
        </w:rPr>
        <w:t xml:space="preserve">mental health </w:t>
      </w:r>
      <w:r w:rsidR="00B453CC">
        <w:rPr>
          <w:sz w:val="24"/>
          <w:szCs w:val="24"/>
        </w:rPr>
        <w:t>decision-making</w:t>
      </w:r>
      <w:r w:rsidR="0052113B">
        <w:rPr>
          <w:sz w:val="24"/>
          <w:szCs w:val="24"/>
        </w:rPr>
        <w:t xml:space="preserve"> processes </w:t>
      </w:r>
      <w:r w:rsidR="00F24931">
        <w:rPr>
          <w:sz w:val="24"/>
          <w:szCs w:val="24"/>
        </w:rPr>
        <w:t>beyond</w:t>
      </w:r>
      <w:r w:rsidR="0052113B">
        <w:rPr>
          <w:sz w:val="24"/>
          <w:szCs w:val="24"/>
        </w:rPr>
        <w:t xml:space="preserve"> the MHA</w:t>
      </w:r>
      <w:r w:rsidR="00DD073F">
        <w:rPr>
          <w:sz w:val="24"/>
          <w:szCs w:val="24"/>
        </w:rPr>
        <w:t>.</w:t>
      </w:r>
    </w:p>
    <w:p w:rsidR="002C7D13" w:rsidRDefault="00E47F1C" w:rsidP="00DE5530">
      <w:pPr>
        <w:spacing w:line="720" w:lineRule="auto"/>
        <w:jc w:val="both"/>
        <w:rPr>
          <w:sz w:val="24"/>
          <w:szCs w:val="24"/>
        </w:rPr>
      </w:pPr>
      <w:r>
        <w:rPr>
          <w:sz w:val="24"/>
          <w:szCs w:val="24"/>
        </w:rPr>
        <w:tab/>
        <w:t xml:space="preserve">This paper is divided into three parts. Part one frames the debate </w:t>
      </w:r>
      <w:r w:rsidR="00AA58BE">
        <w:rPr>
          <w:sz w:val="24"/>
          <w:szCs w:val="24"/>
        </w:rPr>
        <w:t xml:space="preserve">by </w:t>
      </w:r>
      <w:r w:rsidR="00D47F67">
        <w:rPr>
          <w:sz w:val="24"/>
          <w:szCs w:val="24"/>
        </w:rPr>
        <w:t>defining</w:t>
      </w:r>
      <w:r w:rsidR="00AA58BE">
        <w:rPr>
          <w:sz w:val="24"/>
          <w:szCs w:val="24"/>
        </w:rPr>
        <w:t xml:space="preserve"> </w:t>
      </w:r>
      <w:r w:rsidR="00542478">
        <w:rPr>
          <w:sz w:val="24"/>
          <w:szCs w:val="24"/>
        </w:rPr>
        <w:t>‘</w:t>
      </w:r>
      <w:r w:rsidR="00AA58BE">
        <w:rPr>
          <w:sz w:val="24"/>
          <w:szCs w:val="24"/>
        </w:rPr>
        <w:t>risk</w:t>
      </w:r>
      <w:r w:rsidR="00542478">
        <w:rPr>
          <w:sz w:val="24"/>
          <w:szCs w:val="24"/>
        </w:rPr>
        <w:t>’</w:t>
      </w:r>
      <w:r w:rsidR="00AA58BE">
        <w:rPr>
          <w:sz w:val="24"/>
          <w:szCs w:val="24"/>
        </w:rPr>
        <w:t xml:space="preserve"> for the purposes of mental health law</w:t>
      </w:r>
      <w:r w:rsidR="00D47F67">
        <w:rPr>
          <w:sz w:val="24"/>
          <w:szCs w:val="24"/>
        </w:rPr>
        <w:t xml:space="preserve"> and locating it</w:t>
      </w:r>
      <w:r w:rsidR="00AA58BE">
        <w:rPr>
          <w:sz w:val="24"/>
          <w:szCs w:val="24"/>
        </w:rPr>
        <w:t xml:space="preserve"> with</w:t>
      </w:r>
      <w:r w:rsidR="00F24CD0">
        <w:rPr>
          <w:sz w:val="24"/>
          <w:szCs w:val="24"/>
        </w:rPr>
        <w:t>in a theoretical context.</w:t>
      </w:r>
      <w:r w:rsidR="00C04F84">
        <w:rPr>
          <w:sz w:val="24"/>
          <w:szCs w:val="24"/>
        </w:rPr>
        <w:t xml:space="preserve"> </w:t>
      </w:r>
      <w:r w:rsidR="00AB79B1">
        <w:rPr>
          <w:sz w:val="24"/>
          <w:szCs w:val="24"/>
        </w:rPr>
        <w:t>It argues that</w:t>
      </w:r>
      <w:r w:rsidR="007C2257">
        <w:rPr>
          <w:sz w:val="24"/>
          <w:szCs w:val="24"/>
        </w:rPr>
        <w:t xml:space="preserve"> the</w:t>
      </w:r>
      <w:r w:rsidR="006104BD">
        <w:rPr>
          <w:sz w:val="24"/>
          <w:szCs w:val="24"/>
        </w:rPr>
        <w:t xml:space="preserve"> </w:t>
      </w:r>
      <w:proofErr w:type="spellStart"/>
      <w:r w:rsidR="006104BD">
        <w:rPr>
          <w:sz w:val="24"/>
          <w:szCs w:val="24"/>
        </w:rPr>
        <w:t>Foucauldian</w:t>
      </w:r>
      <w:proofErr w:type="spellEnd"/>
      <w:r w:rsidR="006104BD">
        <w:rPr>
          <w:sz w:val="24"/>
          <w:szCs w:val="24"/>
        </w:rPr>
        <w:t xml:space="preserve"> </w:t>
      </w:r>
      <w:r w:rsidR="00542478">
        <w:rPr>
          <w:sz w:val="24"/>
          <w:szCs w:val="24"/>
        </w:rPr>
        <w:t>‘</w:t>
      </w:r>
      <w:proofErr w:type="spellStart"/>
      <w:r w:rsidR="006104BD">
        <w:rPr>
          <w:sz w:val="24"/>
          <w:szCs w:val="24"/>
        </w:rPr>
        <w:t>g</w:t>
      </w:r>
      <w:r w:rsidR="00E75511">
        <w:rPr>
          <w:sz w:val="24"/>
          <w:szCs w:val="24"/>
        </w:rPr>
        <w:t>overnmentality</w:t>
      </w:r>
      <w:proofErr w:type="spellEnd"/>
      <w:r w:rsidR="00542478">
        <w:rPr>
          <w:sz w:val="24"/>
          <w:szCs w:val="24"/>
        </w:rPr>
        <w:t>’</w:t>
      </w:r>
      <w:r w:rsidR="00412EBF">
        <w:rPr>
          <w:sz w:val="24"/>
          <w:szCs w:val="24"/>
        </w:rPr>
        <w:t xml:space="preserve"> thesis provides a compelling explanatory model for the utilisation of risk in mental health law.</w:t>
      </w:r>
      <w:r w:rsidR="00CD5FC6">
        <w:rPr>
          <w:sz w:val="24"/>
          <w:szCs w:val="24"/>
        </w:rPr>
        <w:t xml:space="preserve"> </w:t>
      </w:r>
      <w:r w:rsidR="00542478">
        <w:rPr>
          <w:sz w:val="24"/>
          <w:szCs w:val="24"/>
        </w:rPr>
        <w:t>‘</w:t>
      </w:r>
      <w:r w:rsidR="00237E81">
        <w:rPr>
          <w:sz w:val="24"/>
          <w:szCs w:val="24"/>
        </w:rPr>
        <w:t>R</w:t>
      </w:r>
      <w:r w:rsidR="00CD5FC6">
        <w:rPr>
          <w:sz w:val="24"/>
          <w:szCs w:val="24"/>
        </w:rPr>
        <w:t>isk</w:t>
      </w:r>
      <w:r w:rsidR="00542478">
        <w:rPr>
          <w:sz w:val="24"/>
          <w:szCs w:val="24"/>
        </w:rPr>
        <w:t>’</w:t>
      </w:r>
      <w:r w:rsidR="00F24931">
        <w:rPr>
          <w:sz w:val="24"/>
          <w:szCs w:val="24"/>
        </w:rPr>
        <w:t xml:space="preserve"> is an instrument of social control which</w:t>
      </w:r>
      <w:r w:rsidR="00CD5FC6">
        <w:rPr>
          <w:sz w:val="24"/>
          <w:szCs w:val="24"/>
        </w:rPr>
        <w:t xml:space="preserve"> provides a legitimate basis </w:t>
      </w:r>
      <w:r w:rsidR="00F24931">
        <w:rPr>
          <w:sz w:val="24"/>
          <w:szCs w:val="24"/>
        </w:rPr>
        <w:t>for the deployment of the state’s disciplinary powers against its citizens</w:t>
      </w:r>
      <w:r w:rsidR="00CD5FC6">
        <w:rPr>
          <w:sz w:val="24"/>
          <w:szCs w:val="24"/>
        </w:rPr>
        <w:t>.</w:t>
      </w:r>
      <w:r w:rsidR="00412EBF">
        <w:rPr>
          <w:sz w:val="24"/>
          <w:szCs w:val="24"/>
        </w:rPr>
        <w:t xml:space="preserve"> </w:t>
      </w:r>
      <w:r w:rsidR="007C0E91">
        <w:rPr>
          <w:sz w:val="24"/>
          <w:szCs w:val="24"/>
        </w:rPr>
        <w:t xml:space="preserve">Part two explores the extent to which the concept of risk informs the mechanics of the DOLS. </w:t>
      </w:r>
      <w:r w:rsidR="00237E81">
        <w:rPr>
          <w:sz w:val="24"/>
          <w:szCs w:val="24"/>
        </w:rPr>
        <w:t xml:space="preserve">Using the notion of an </w:t>
      </w:r>
      <w:r w:rsidR="00542478">
        <w:rPr>
          <w:sz w:val="24"/>
          <w:szCs w:val="24"/>
        </w:rPr>
        <w:t>‘</w:t>
      </w:r>
      <w:r w:rsidR="00237E81">
        <w:rPr>
          <w:sz w:val="24"/>
          <w:szCs w:val="24"/>
        </w:rPr>
        <w:t>escalator of risk</w:t>
      </w:r>
      <w:r w:rsidR="00542478">
        <w:rPr>
          <w:sz w:val="24"/>
          <w:szCs w:val="24"/>
        </w:rPr>
        <w:t>’</w:t>
      </w:r>
      <w:r w:rsidR="00237E81">
        <w:rPr>
          <w:sz w:val="24"/>
          <w:szCs w:val="24"/>
        </w:rPr>
        <w:t>, i</w:t>
      </w:r>
      <w:r w:rsidR="00BF7204">
        <w:rPr>
          <w:sz w:val="24"/>
          <w:szCs w:val="24"/>
        </w:rPr>
        <w:t>t reconstruct</w:t>
      </w:r>
      <w:r w:rsidR="00A72CC3">
        <w:rPr>
          <w:sz w:val="24"/>
          <w:szCs w:val="24"/>
        </w:rPr>
        <w:t>s</w:t>
      </w:r>
      <w:r w:rsidR="00BF7204">
        <w:rPr>
          <w:sz w:val="24"/>
          <w:szCs w:val="24"/>
        </w:rPr>
        <w:t xml:space="preserve"> the DOLS framework as part of a broader legal apparatus to regulate the risks of harm associated with mental </w:t>
      </w:r>
      <w:r w:rsidR="00BF7204">
        <w:rPr>
          <w:sz w:val="24"/>
          <w:szCs w:val="24"/>
        </w:rPr>
        <w:lastRenderedPageBreak/>
        <w:t>illnesses.</w:t>
      </w:r>
      <w:r w:rsidR="00C643EF">
        <w:rPr>
          <w:sz w:val="24"/>
          <w:szCs w:val="24"/>
        </w:rPr>
        <w:t xml:space="preserve"> </w:t>
      </w:r>
      <w:r w:rsidR="001C3076">
        <w:rPr>
          <w:sz w:val="24"/>
          <w:szCs w:val="24"/>
        </w:rPr>
        <w:t>Part three analyses the</w:t>
      </w:r>
      <w:r w:rsidR="00E50C19">
        <w:rPr>
          <w:sz w:val="24"/>
          <w:szCs w:val="24"/>
        </w:rPr>
        <w:t xml:space="preserve"> Law Commission’s</w:t>
      </w:r>
      <w:r w:rsidR="00237E81">
        <w:rPr>
          <w:sz w:val="24"/>
          <w:szCs w:val="24"/>
        </w:rPr>
        <w:t xml:space="preserve"> reform proposals </w:t>
      </w:r>
      <w:r w:rsidR="001C3076">
        <w:rPr>
          <w:sz w:val="24"/>
          <w:szCs w:val="24"/>
        </w:rPr>
        <w:t xml:space="preserve">and argues that </w:t>
      </w:r>
      <w:r w:rsidR="00771216">
        <w:rPr>
          <w:sz w:val="24"/>
          <w:szCs w:val="24"/>
        </w:rPr>
        <w:t>they</w:t>
      </w:r>
      <w:r w:rsidR="00EC2202">
        <w:rPr>
          <w:sz w:val="24"/>
          <w:szCs w:val="24"/>
        </w:rPr>
        <w:t xml:space="preserve"> would</w:t>
      </w:r>
      <w:r w:rsidR="00771216">
        <w:rPr>
          <w:sz w:val="24"/>
          <w:szCs w:val="24"/>
        </w:rPr>
        <w:t xml:space="preserve"> run counter to the</w:t>
      </w:r>
      <w:r w:rsidR="009C2D00">
        <w:rPr>
          <w:sz w:val="24"/>
          <w:szCs w:val="24"/>
        </w:rPr>
        <w:t xml:space="preserve"> presumed</w:t>
      </w:r>
      <w:r w:rsidR="00771216">
        <w:rPr>
          <w:sz w:val="24"/>
          <w:szCs w:val="24"/>
        </w:rPr>
        <w:t xml:space="preserve"> direction of travel in English mental health and capacity law.</w:t>
      </w:r>
      <w:r w:rsidR="002E65EE">
        <w:rPr>
          <w:sz w:val="24"/>
          <w:szCs w:val="24"/>
        </w:rPr>
        <w:t xml:space="preserve"> It also reflects on the </w:t>
      </w:r>
      <w:r w:rsidR="00EC2202">
        <w:rPr>
          <w:sz w:val="24"/>
          <w:szCs w:val="24"/>
        </w:rPr>
        <w:t>revised proposals which appeared in the Law Commission’s</w:t>
      </w:r>
      <w:r w:rsidR="00E50C19">
        <w:rPr>
          <w:sz w:val="24"/>
          <w:szCs w:val="24"/>
        </w:rPr>
        <w:t xml:space="preserve"> recent ‘Interim Statement’.</w:t>
      </w:r>
      <w:bookmarkStart w:id="7" w:name="_Ref454372125"/>
      <w:r w:rsidR="00E50C19">
        <w:rPr>
          <w:rStyle w:val="FootnoteReference"/>
          <w:sz w:val="24"/>
          <w:szCs w:val="24"/>
        </w:rPr>
        <w:footnoteReference w:id="13"/>
      </w:r>
      <w:bookmarkEnd w:id="7"/>
      <w:r w:rsidR="002E65EE">
        <w:rPr>
          <w:sz w:val="24"/>
          <w:szCs w:val="24"/>
        </w:rPr>
        <w:t xml:space="preserve"> </w:t>
      </w:r>
      <w:r w:rsidR="000856EB">
        <w:rPr>
          <w:sz w:val="24"/>
          <w:szCs w:val="24"/>
        </w:rPr>
        <w:t>The</w:t>
      </w:r>
      <w:r w:rsidR="003D1670">
        <w:rPr>
          <w:sz w:val="24"/>
          <w:szCs w:val="24"/>
        </w:rPr>
        <w:t xml:space="preserve"> paper concludes that</w:t>
      </w:r>
      <w:r w:rsidR="009C2D00">
        <w:rPr>
          <w:sz w:val="24"/>
          <w:szCs w:val="24"/>
        </w:rPr>
        <w:t xml:space="preserve"> a </w:t>
      </w:r>
      <w:r w:rsidR="00542478">
        <w:rPr>
          <w:sz w:val="24"/>
          <w:szCs w:val="24"/>
        </w:rPr>
        <w:t>‘</w:t>
      </w:r>
      <w:r w:rsidR="009C2D00">
        <w:rPr>
          <w:sz w:val="24"/>
          <w:szCs w:val="24"/>
        </w:rPr>
        <w:t>rehabilitation</w:t>
      </w:r>
      <w:r w:rsidR="00542478">
        <w:rPr>
          <w:sz w:val="24"/>
          <w:szCs w:val="24"/>
        </w:rPr>
        <w:t>’</w:t>
      </w:r>
      <w:r w:rsidR="009C2D00">
        <w:rPr>
          <w:sz w:val="24"/>
          <w:szCs w:val="24"/>
        </w:rPr>
        <w:t xml:space="preserve"> of risk</w:t>
      </w:r>
      <w:r w:rsidR="00BC5CDC">
        <w:rPr>
          <w:sz w:val="24"/>
          <w:szCs w:val="24"/>
        </w:rPr>
        <w:t xml:space="preserve"> may be taking place, raising questions about where the balance lies between autonomy and paternalism </w:t>
      </w:r>
      <w:r w:rsidR="00AA3A2E">
        <w:rPr>
          <w:sz w:val="24"/>
          <w:szCs w:val="24"/>
        </w:rPr>
        <w:t>in the post-MCA era.</w:t>
      </w:r>
    </w:p>
    <w:p w:rsidR="00E47F1C" w:rsidRPr="00A84237" w:rsidRDefault="002C7D13" w:rsidP="00A84237">
      <w:pPr>
        <w:pStyle w:val="ListParagraph"/>
        <w:numPr>
          <w:ilvl w:val="0"/>
          <w:numId w:val="1"/>
        </w:numPr>
        <w:spacing w:line="720" w:lineRule="auto"/>
        <w:jc w:val="center"/>
        <w:rPr>
          <w:rFonts w:asciiTheme="majorHAnsi" w:hAnsiTheme="majorHAnsi"/>
          <w:b/>
          <w:sz w:val="28"/>
          <w:szCs w:val="28"/>
        </w:rPr>
      </w:pPr>
      <w:r w:rsidRPr="00A84237">
        <w:rPr>
          <w:rFonts w:asciiTheme="majorHAnsi" w:hAnsiTheme="majorHAnsi"/>
          <w:b/>
          <w:sz w:val="28"/>
          <w:szCs w:val="28"/>
        </w:rPr>
        <w:t>F</w:t>
      </w:r>
      <w:r w:rsidR="00A84237">
        <w:rPr>
          <w:rFonts w:asciiTheme="majorHAnsi" w:hAnsiTheme="majorHAnsi"/>
          <w:b/>
          <w:sz w:val="28"/>
          <w:szCs w:val="28"/>
        </w:rPr>
        <w:t>RAMING THE DEBATE</w:t>
      </w:r>
    </w:p>
    <w:p w:rsidR="00473888" w:rsidRDefault="00FF6AA6" w:rsidP="00DE5530">
      <w:pPr>
        <w:spacing w:line="720" w:lineRule="auto"/>
        <w:jc w:val="both"/>
        <w:rPr>
          <w:sz w:val="24"/>
          <w:szCs w:val="24"/>
        </w:rPr>
      </w:pPr>
      <w:r>
        <w:rPr>
          <w:sz w:val="24"/>
          <w:szCs w:val="24"/>
        </w:rPr>
        <w:t>T</w:t>
      </w:r>
      <w:r w:rsidR="004975BE">
        <w:rPr>
          <w:sz w:val="24"/>
          <w:szCs w:val="24"/>
        </w:rPr>
        <w:t xml:space="preserve">he </w:t>
      </w:r>
      <w:r>
        <w:rPr>
          <w:sz w:val="24"/>
          <w:szCs w:val="24"/>
        </w:rPr>
        <w:t>MHA</w:t>
      </w:r>
      <w:r w:rsidR="004975BE">
        <w:rPr>
          <w:sz w:val="24"/>
          <w:szCs w:val="24"/>
        </w:rPr>
        <w:t xml:space="preserve"> does not define </w:t>
      </w:r>
      <w:r w:rsidR="00542478">
        <w:rPr>
          <w:sz w:val="24"/>
          <w:szCs w:val="24"/>
        </w:rPr>
        <w:t>‘</w:t>
      </w:r>
      <w:r w:rsidR="004975BE">
        <w:rPr>
          <w:sz w:val="24"/>
          <w:szCs w:val="24"/>
        </w:rPr>
        <w:t>risk</w:t>
      </w:r>
      <w:r w:rsidR="00542478">
        <w:rPr>
          <w:sz w:val="24"/>
          <w:szCs w:val="24"/>
        </w:rPr>
        <w:t>’</w:t>
      </w:r>
      <w:r w:rsidR="009C4F10">
        <w:rPr>
          <w:sz w:val="24"/>
          <w:szCs w:val="24"/>
        </w:rPr>
        <w:t>.</w:t>
      </w:r>
      <w:r w:rsidR="000772B7">
        <w:rPr>
          <w:rStyle w:val="FootnoteReference"/>
          <w:sz w:val="24"/>
          <w:szCs w:val="24"/>
        </w:rPr>
        <w:footnoteReference w:id="14"/>
      </w:r>
      <w:r w:rsidR="00E62446">
        <w:rPr>
          <w:sz w:val="24"/>
          <w:szCs w:val="24"/>
        </w:rPr>
        <w:t xml:space="preserve"> </w:t>
      </w:r>
      <w:r w:rsidR="00A00F0D">
        <w:rPr>
          <w:sz w:val="24"/>
          <w:szCs w:val="24"/>
        </w:rPr>
        <w:t>Its</w:t>
      </w:r>
      <w:r w:rsidR="00CA5F24">
        <w:rPr>
          <w:sz w:val="24"/>
          <w:szCs w:val="24"/>
        </w:rPr>
        <w:t xml:space="preserve"> admission criteria</w:t>
      </w:r>
      <w:r w:rsidR="00A00F0D">
        <w:rPr>
          <w:sz w:val="24"/>
          <w:szCs w:val="24"/>
        </w:rPr>
        <w:t xml:space="preserve"> instead</w:t>
      </w:r>
      <w:r w:rsidR="00CA5F24">
        <w:rPr>
          <w:sz w:val="24"/>
          <w:szCs w:val="24"/>
        </w:rPr>
        <w:t xml:space="preserve"> make oblique reference to the concept through </w:t>
      </w:r>
      <w:r w:rsidR="0082145F">
        <w:rPr>
          <w:sz w:val="24"/>
          <w:szCs w:val="24"/>
        </w:rPr>
        <w:t>the</w:t>
      </w:r>
      <w:r w:rsidR="00543D98">
        <w:rPr>
          <w:sz w:val="24"/>
          <w:szCs w:val="24"/>
        </w:rPr>
        <w:t>ir</w:t>
      </w:r>
      <w:r w:rsidR="00CA5F24">
        <w:rPr>
          <w:sz w:val="24"/>
          <w:szCs w:val="24"/>
        </w:rPr>
        <w:t xml:space="preserve"> </w:t>
      </w:r>
      <w:r w:rsidR="00542478">
        <w:rPr>
          <w:sz w:val="24"/>
          <w:szCs w:val="24"/>
        </w:rPr>
        <w:t>‘</w:t>
      </w:r>
      <w:r w:rsidR="00CA5F24">
        <w:rPr>
          <w:sz w:val="24"/>
          <w:szCs w:val="24"/>
        </w:rPr>
        <w:t>risk formula</w:t>
      </w:r>
      <w:r w:rsidR="00542478">
        <w:rPr>
          <w:sz w:val="24"/>
          <w:szCs w:val="24"/>
        </w:rPr>
        <w:t>’</w:t>
      </w:r>
      <w:r w:rsidR="0082145F">
        <w:rPr>
          <w:sz w:val="24"/>
          <w:szCs w:val="24"/>
        </w:rPr>
        <w:t xml:space="preserve">; that is, </w:t>
      </w:r>
      <w:r w:rsidR="002D3F75">
        <w:rPr>
          <w:sz w:val="24"/>
          <w:szCs w:val="24"/>
        </w:rPr>
        <w:t>the</w:t>
      </w:r>
      <w:r w:rsidR="002120D2">
        <w:rPr>
          <w:sz w:val="24"/>
          <w:szCs w:val="24"/>
        </w:rPr>
        <w:t xml:space="preserve"> words</w:t>
      </w:r>
      <w:r w:rsidR="00BC52F3">
        <w:rPr>
          <w:sz w:val="24"/>
          <w:szCs w:val="24"/>
        </w:rPr>
        <w:t xml:space="preserve"> in the Act</w:t>
      </w:r>
      <w:r w:rsidR="002120D2">
        <w:rPr>
          <w:sz w:val="24"/>
          <w:szCs w:val="24"/>
        </w:rPr>
        <w:t xml:space="preserve"> which render the deployment of the compulsory powers contingent on</w:t>
      </w:r>
      <w:r w:rsidR="00D137EF">
        <w:rPr>
          <w:sz w:val="24"/>
          <w:szCs w:val="24"/>
        </w:rPr>
        <w:t xml:space="preserve"> </w:t>
      </w:r>
      <w:r w:rsidR="002120D2">
        <w:rPr>
          <w:sz w:val="24"/>
          <w:szCs w:val="24"/>
        </w:rPr>
        <w:t xml:space="preserve">decision-makers’ </w:t>
      </w:r>
      <w:r w:rsidR="001925FD">
        <w:rPr>
          <w:sz w:val="24"/>
          <w:szCs w:val="24"/>
        </w:rPr>
        <w:t>evaluations of risk</w:t>
      </w:r>
      <w:r w:rsidR="008D4D1C">
        <w:rPr>
          <w:sz w:val="24"/>
          <w:szCs w:val="24"/>
        </w:rPr>
        <w:t xml:space="preserve">. </w:t>
      </w:r>
      <w:r w:rsidR="002E16C3">
        <w:rPr>
          <w:sz w:val="24"/>
          <w:szCs w:val="24"/>
        </w:rPr>
        <w:t>There is nothing new about this:</w:t>
      </w:r>
      <w:r w:rsidR="00A36211">
        <w:rPr>
          <w:sz w:val="24"/>
          <w:szCs w:val="24"/>
        </w:rPr>
        <w:t xml:space="preserve"> variations of</w:t>
      </w:r>
      <w:r w:rsidR="002E16C3">
        <w:rPr>
          <w:sz w:val="24"/>
          <w:szCs w:val="24"/>
        </w:rPr>
        <w:t xml:space="preserve"> </w:t>
      </w:r>
      <w:r w:rsidR="00926178">
        <w:rPr>
          <w:sz w:val="24"/>
          <w:szCs w:val="24"/>
        </w:rPr>
        <w:t>the formula</w:t>
      </w:r>
      <w:r w:rsidR="00A36211">
        <w:rPr>
          <w:sz w:val="24"/>
          <w:szCs w:val="24"/>
        </w:rPr>
        <w:t xml:space="preserve"> appeared in the original 1983 Act and its forerunners.</w:t>
      </w:r>
      <w:r w:rsidR="00A36211">
        <w:rPr>
          <w:rStyle w:val="FootnoteReference"/>
          <w:sz w:val="24"/>
          <w:szCs w:val="24"/>
        </w:rPr>
        <w:footnoteReference w:id="15"/>
      </w:r>
      <w:r w:rsidR="007325FB">
        <w:rPr>
          <w:sz w:val="24"/>
          <w:szCs w:val="24"/>
        </w:rPr>
        <w:t xml:space="preserve"> The objective of avoiding or minimising the risks of harm associated </w:t>
      </w:r>
      <w:r w:rsidR="007325FB">
        <w:rPr>
          <w:sz w:val="24"/>
          <w:szCs w:val="24"/>
        </w:rPr>
        <w:lastRenderedPageBreak/>
        <w:t>with mental disorders has indisputably been at the core of En</w:t>
      </w:r>
      <w:r w:rsidR="00926178">
        <w:rPr>
          <w:sz w:val="24"/>
          <w:szCs w:val="24"/>
        </w:rPr>
        <w:t>glish mental health law for some</w:t>
      </w:r>
      <w:r w:rsidR="007325FB">
        <w:rPr>
          <w:sz w:val="24"/>
          <w:szCs w:val="24"/>
        </w:rPr>
        <w:t xml:space="preserve"> time.</w:t>
      </w:r>
    </w:p>
    <w:p w:rsidR="00CD13A3" w:rsidRDefault="00A763D2" w:rsidP="00DE5530">
      <w:pPr>
        <w:spacing w:line="720" w:lineRule="auto"/>
        <w:jc w:val="both"/>
        <w:rPr>
          <w:sz w:val="24"/>
          <w:szCs w:val="24"/>
        </w:rPr>
      </w:pPr>
      <w:r>
        <w:rPr>
          <w:sz w:val="24"/>
          <w:szCs w:val="24"/>
        </w:rPr>
        <w:tab/>
      </w:r>
      <w:r w:rsidR="00077F1E">
        <w:rPr>
          <w:sz w:val="24"/>
          <w:szCs w:val="24"/>
        </w:rPr>
        <w:t>It would be an oversimpli</w:t>
      </w:r>
      <w:r w:rsidR="00B44306">
        <w:rPr>
          <w:sz w:val="24"/>
          <w:szCs w:val="24"/>
        </w:rPr>
        <w:t>fication to argue that the</w:t>
      </w:r>
      <w:r w:rsidR="002818A5">
        <w:rPr>
          <w:sz w:val="24"/>
          <w:szCs w:val="24"/>
        </w:rPr>
        <w:t xml:space="preserve"> MHA is concerned</w:t>
      </w:r>
      <w:r w:rsidR="00543D70">
        <w:rPr>
          <w:sz w:val="24"/>
          <w:szCs w:val="24"/>
        </w:rPr>
        <w:t xml:space="preserve"> solely</w:t>
      </w:r>
      <w:r w:rsidR="002818A5">
        <w:rPr>
          <w:sz w:val="24"/>
          <w:szCs w:val="24"/>
        </w:rPr>
        <w:t xml:space="preserve"> with the </w:t>
      </w:r>
      <w:r w:rsidR="00B44306">
        <w:rPr>
          <w:sz w:val="24"/>
          <w:szCs w:val="24"/>
        </w:rPr>
        <w:t xml:space="preserve">risk </w:t>
      </w:r>
      <w:r w:rsidR="001810F0">
        <w:rPr>
          <w:sz w:val="24"/>
          <w:szCs w:val="24"/>
        </w:rPr>
        <w:t>of violence</w:t>
      </w:r>
      <w:r w:rsidR="00B44306">
        <w:rPr>
          <w:sz w:val="24"/>
          <w:szCs w:val="24"/>
        </w:rPr>
        <w:t>.</w:t>
      </w:r>
      <w:r w:rsidR="00077F1E">
        <w:rPr>
          <w:sz w:val="24"/>
          <w:szCs w:val="24"/>
        </w:rPr>
        <w:t xml:space="preserve"> </w:t>
      </w:r>
      <w:r w:rsidR="00F71822">
        <w:rPr>
          <w:sz w:val="24"/>
          <w:szCs w:val="24"/>
        </w:rPr>
        <w:t xml:space="preserve">It is true that </w:t>
      </w:r>
      <w:r w:rsidR="00B44306">
        <w:rPr>
          <w:sz w:val="24"/>
          <w:szCs w:val="24"/>
        </w:rPr>
        <w:t xml:space="preserve">the </w:t>
      </w:r>
      <w:r w:rsidR="00230D79">
        <w:rPr>
          <w:sz w:val="24"/>
          <w:szCs w:val="24"/>
        </w:rPr>
        <w:t xml:space="preserve">scientific literature </w:t>
      </w:r>
      <w:r w:rsidR="001107BD">
        <w:rPr>
          <w:sz w:val="24"/>
          <w:szCs w:val="24"/>
        </w:rPr>
        <w:t xml:space="preserve">has </w:t>
      </w:r>
      <w:r w:rsidR="00230D79">
        <w:rPr>
          <w:sz w:val="24"/>
          <w:szCs w:val="24"/>
        </w:rPr>
        <w:t>explore</w:t>
      </w:r>
      <w:r w:rsidR="001107BD">
        <w:rPr>
          <w:sz w:val="24"/>
          <w:szCs w:val="24"/>
        </w:rPr>
        <w:t>d</w:t>
      </w:r>
      <w:r w:rsidR="00230D79">
        <w:rPr>
          <w:sz w:val="24"/>
          <w:szCs w:val="24"/>
        </w:rPr>
        <w:t xml:space="preserve"> the </w:t>
      </w:r>
      <w:r w:rsidR="00B44306">
        <w:rPr>
          <w:sz w:val="24"/>
          <w:szCs w:val="24"/>
        </w:rPr>
        <w:t>putative relationship between mental illness and violence</w:t>
      </w:r>
      <w:r w:rsidR="00230D79">
        <w:rPr>
          <w:sz w:val="24"/>
          <w:szCs w:val="24"/>
        </w:rPr>
        <w:t xml:space="preserve"> in great depth</w:t>
      </w:r>
      <w:r w:rsidR="00E943DA">
        <w:rPr>
          <w:sz w:val="24"/>
          <w:szCs w:val="24"/>
        </w:rPr>
        <w:t>.</w:t>
      </w:r>
      <w:bookmarkStart w:id="8" w:name="_Ref448846085"/>
      <w:r w:rsidR="00F80E76">
        <w:rPr>
          <w:rStyle w:val="FootnoteReference"/>
          <w:sz w:val="24"/>
          <w:szCs w:val="24"/>
        </w:rPr>
        <w:footnoteReference w:id="16"/>
      </w:r>
      <w:bookmarkEnd w:id="8"/>
      <w:r w:rsidR="00770BEE">
        <w:rPr>
          <w:sz w:val="24"/>
          <w:szCs w:val="24"/>
        </w:rPr>
        <w:t xml:space="preserve"> It is also true that</w:t>
      </w:r>
      <w:r w:rsidR="004C4312">
        <w:rPr>
          <w:sz w:val="24"/>
          <w:szCs w:val="24"/>
        </w:rPr>
        <w:t xml:space="preserve"> this</w:t>
      </w:r>
      <w:r w:rsidR="001107BD">
        <w:rPr>
          <w:sz w:val="24"/>
          <w:szCs w:val="24"/>
        </w:rPr>
        <w:t xml:space="preserve"> apparent</w:t>
      </w:r>
      <w:r w:rsidR="004C4312">
        <w:rPr>
          <w:sz w:val="24"/>
          <w:szCs w:val="24"/>
        </w:rPr>
        <w:t xml:space="preserve"> relationship led to</w:t>
      </w:r>
      <w:r w:rsidR="00770BEE">
        <w:rPr>
          <w:sz w:val="24"/>
          <w:szCs w:val="24"/>
        </w:rPr>
        <w:t xml:space="preserve"> a renewed emphasis on risk</w:t>
      </w:r>
      <w:r w:rsidR="00587C73">
        <w:rPr>
          <w:sz w:val="24"/>
          <w:szCs w:val="24"/>
        </w:rPr>
        <w:t xml:space="preserve"> as a policy driver</w:t>
      </w:r>
      <w:r w:rsidR="00AC6DE9">
        <w:rPr>
          <w:sz w:val="24"/>
          <w:szCs w:val="24"/>
        </w:rPr>
        <w:t xml:space="preserve"> </w:t>
      </w:r>
      <w:r w:rsidR="00770BEE">
        <w:rPr>
          <w:sz w:val="24"/>
          <w:szCs w:val="24"/>
        </w:rPr>
        <w:t>during the 1990s and 2000s</w:t>
      </w:r>
      <w:bookmarkStart w:id="9" w:name="_Ref448846343"/>
      <w:r w:rsidR="00C80138">
        <w:rPr>
          <w:sz w:val="24"/>
          <w:szCs w:val="24"/>
        </w:rPr>
        <w:t>.</w:t>
      </w:r>
      <w:r w:rsidR="00770BEE">
        <w:rPr>
          <w:rStyle w:val="FootnoteReference"/>
          <w:sz w:val="24"/>
          <w:szCs w:val="24"/>
        </w:rPr>
        <w:footnoteReference w:id="17"/>
      </w:r>
      <w:bookmarkEnd w:id="9"/>
      <w:r w:rsidR="00022CDD">
        <w:rPr>
          <w:sz w:val="24"/>
          <w:szCs w:val="24"/>
        </w:rPr>
        <w:t xml:space="preserve"> </w:t>
      </w:r>
      <w:r w:rsidR="005D5772">
        <w:rPr>
          <w:sz w:val="24"/>
          <w:szCs w:val="24"/>
        </w:rPr>
        <w:t>Yet</w:t>
      </w:r>
      <w:r w:rsidR="00CC6FCE">
        <w:rPr>
          <w:sz w:val="24"/>
          <w:szCs w:val="24"/>
        </w:rPr>
        <w:t xml:space="preserve"> the</w:t>
      </w:r>
      <w:r w:rsidR="002818A5">
        <w:rPr>
          <w:sz w:val="24"/>
          <w:szCs w:val="24"/>
        </w:rPr>
        <w:t xml:space="preserve"> MHA’s</w:t>
      </w:r>
      <w:r w:rsidR="004C4312">
        <w:rPr>
          <w:sz w:val="24"/>
          <w:szCs w:val="24"/>
        </w:rPr>
        <w:t xml:space="preserve"> risk formulae</w:t>
      </w:r>
      <w:r w:rsidR="002818A5">
        <w:rPr>
          <w:sz w:val="24"/>
          <w:szCs w:val="24"/>
        </w:rPr>
        <w:t xml:space="preserve"> cover more than the risk of violence alone</w:t>
      </w:r>
      <w:r w:rsidR="00CC6FCE">
        <w:rPr>
          <w:sz w:val="24"/>
          <w:szCs w:val="24"/>
        </w:rPr>
        <w:t>. First,</w:t>
      </w:r>
      <w:r w:rsidR="00802CE4">
        <w:rPr>
          <w:sz w:val="24"/>
          <w:szCs w:val="24"/>
        </w:rPr>
        <w:t xml:space="preserve"> </w:t>
      </w:r>
      <w:r w:rsidR="00B4137B">
        <w:rPr>
          <w:sz w:val="24"/>
          <w:szCs w:val="24"/>
        </w:rPr>
        <w:t xml:space="preserve">the </w:t>
      </w:r>
      <w:r w:rsidR="00B4137B">
        <w:rPr>
          <w:sz w:val="24"/>
          <w:szCs w:val="24"/>
        </w:rPr>
        <w:lastRenderedPageBreak/>
        <w:t>Mental Health Act Code of Practice contains factors which decision-makers should consider when deciding whether a person should be detained under the MHA.</w:t>
      </w:r>
      <w:bookmarkStart w:id="10" w:name="_Ref449461921"/>
      <w:r w:rsidR="004C4312">
        <w:rPr>
          <w:rStyle w:val="FootnoteReference"/>
          <w:sz w:val="24"/>
          <w:szCs w:val="24"/>
        </w:rPr>
        <w:footnoteReference w:id="18"/>
      </w:r>
      <w:bookmarkEnd w:id="10"/>
      <w:r w:rsidR="00486000">
        <w:rPr>
          <w:sz w:val="24"/>
          <w:szCs w:val="24"/>
        </w:rPr>
        <w:t xml:space="preserve"> These factors include </w:t>
      </w:r>
      <w:r w:rsidR="0024680B">
        <w:rPr>
          <w:sz w:val="24"/>
          <w:szCs w:val="24"/>
        </w:rPr>
        <w:t>P’s</w:t>
      </w:r>
      <w:r w:rsidR="00486000">
        <w:rPr>
          <w:sz w:val="24"/>
          <w:szCs w:val="24"/>
        </w:rPr>
        <w:t xml:space="preserve"> risk of </w:t>
      </w:r>
      <w:r w:rsidR="00B4137B">
        <w:rPr>
          <w:sz w:val="24"/>
          <w:szCs w:val="24"/>
        </w:rPr>
        <w:t>suicide</w:t>
      </w:r>
      <w:r w:rsidR="00AC6DE9">
        <w:rPr>
          <w:sz w:val="24"/>
          <w:szCs w:val="24"/>
        </w:rPr>
        <w:t>;</w:t>
      </w:r>
      <w:r w:rsidR="00B4137B">
        <w:rPr>
          <w:sz w:val="24"/>
          <w:szCs w:val="24"/>
        </w:rPr>
        <w:t xml:space="preserve"> self-harm</w:t>
      </w:r>
      <w:r w:rsidR="00AC6DE9">
        <w:rPr>
          <w:sz w:val="24"/>
          <w:szCs w:val="24"/>
        </w:rPr>
        <w:t>;</w:t>
      </w:r>
      <w:r w:rsidR="00B4137B">
        <w:rPr>
          <w:sz w:val="24"/>
          <w:szCs w:val="24"/>
        </w:rPr>
        <w:t xml:space="preserve"> self-neglect</w:t>
      </w:r>
      <w:r w:rsidR="00AC6DE9">
        <w:rPr>
          <w:sz w:val="24"/>
          <w:szCs w:val="24"/>
        </w:rPr>
        <w:t>;</w:t>
      </w:r>
      <w:r w:rsidR="009D1F38">
        <w:rPr>
          <w:sz w:val="24"/>
          <w:szCs w:val="24"/>
        </w:rPr>
        <w:t xml:space="preserve"> deterioration</w:t>
      </w:r>
      <w:r w:rsidR="00AC6DE9">
        <w:rPr>
          <w:sz w:val="24"/>
          <w:szCs w:val="24"/>
        </w:rPr>
        <w:t>;</w:t>
      </w:r>
      <w:r w:rsidR="009D1F38">
        <w:rPr>
          <w:sz w:val="24"/>
          <w:szCs w:val="24"/>
        </w:rPr>
        <w:t xml:space="preserve"> </w:t>
      </w:r>
      <w:r w:rsidR="0038735F">
        <w:rPr>
          <w:sz w:val="24"/>
          <w:szCs w:val="24"/>
        </w:rPr>
        <w:t>and</w:t>
      </w:r>
      <w:r w:rsidR="00B4137B">
        <w:rPr>
          <w:sz w:val="24"/>
          <w:szCs w:val="24"/>
        </w:rPr>
        <w:t xml:space="preserve"> jeopardising his health or safety accidentally</w:t>
      </w:r>
      <w:r w:rsidR="00152FEA">
        <w:rPr>
          <w:sz w:val="24"/>
          <w:szCs w:val="24"/>
        </w:rPr>
        <w:t>, recklessly or unintentionally</w:t>
      </w:r>
      <w:r w:rsidR="00486000">
        <w:rPr>
          <w:sz w:val="24"/>
          <w:szCs w:val="24"/>
        </w:rPr>
        <w:t>.</w:t>
      </w:r>
      <w:r w:rsidR="00486000">
        <w:rPr>
          <w:rStyle w:val="FootnoteReference"/>
          <w:sz w:val="24"/>
          <w:szCs w:val="24"/>
        </w:rPr>
        <w:footnoteReference w:id="19"/>
      </w:r>
      <w:r w:rsidR="00486000">
        <w:rPr>
          <w:sz w:val="24"/>
          <w:szCs w:val="24"/>
        </w:rPr>
        <w:t xml:space="preserve"> </w:t>
      </w:r>
      <w:r w:rsidR="00486000" w:rsidRPr="009D1F38">
        <w:rPr>
          <w:sz w:val="24"/>
          <w:szCs w:val="24"/>
        </w:rPr>
        <w:t xml:space="preserve">The Code </w:t>
      </w:r>
      <w:r w:rsidR="00FC42A9" w:rsidRPr="009D1F38">
        <w:rPr>
          <w:sz w:val="24"/>
          <w:szCs w:val="24"/>
        </w:rPr>
        <w:t xml:space="preserve">therefore plainly </w:t>
      </w:r>
      <w:r w:rsidR="00D700F9" w:rsidRPr="009D1F38">
        <w:rPr>
          <w:sz w:val="24"/>
          <w:szCs w:val="24"/>
        </w:rPr>
        <w:t>acknowledges</w:t>
      </w:r>
      <w:r w:rsidR="00FC42A9" w:rsidRPr="009D1F38">
        <w:rPr>
          <w:sz w:val="24"/>
          <w:szCs w:val="24"/>
        </w:rPr>
        <w:t xml:space="preserve"> that</w:t>
      </w:r>
      <w:r w:rsidR="00CD13A3">
        <w:rPr>
          <w:sz w:val="24"/>
          <w:szCs w:val="24"/>
        </w:rPr>
        <w:t xml:space="preserve"> the risk of violence is</w:t>
      </w:r>
      <w:r w:rsidR="00E17735">
        <w:rPr>
          <w:sz w:val="24"/>
          <w:szCs w:val="24"/>
        </w:rPr>
        <w:t xml:space="preserve"> </w:t>
      </w:r>
      <w:r w:rsidR="00A72CC3">
        <w:rPr>
          <w:sz w:val="24"/>
          <w:szCs w:val="24"/>
        </w:rPr>
        <w:t xml:space="preserve">just </w:t>
      </w:r>
      <w:r w:rsidR="00CD13A3">
        <w:rPr>
          <w:sz w:val="24"/>
          <w:szCs w:val="24"/>
        </w:rPr>
        <w:t>one of</w:t>
      </w:r>
      <w:r w:rsidR="00D700F9" w:rsidRPr="009D1F38">
        <w:rPr>
          <w:sz w:val="24"/>
          <w:szCs w:val="24"/>
        </w:rPr>
        <w:t xml:space="preserve"> a range of</w:t>
      </w:r>
      <w:r w:rsidR="00FC42A9" w:rsidRPr="009D1F38">
        <w:rPr>
          <w:sz w:val="24"/>
          <w:szCs w:val="24"/>
        </w:rPr>
        <w:t xml:space="preserve"> </w:t>
      </w:r>
      <w:r w:rsidR="00D700F9" w:rsidRPr="009D1F38">
        <w:rPr>
          <w:sz w:val="24"/>
          <w:szCs w:val="24"/>
        </w:rPr>
        <w:t>risks</w:t>
      </w:r>
      <w:r w:rsidR="00CD13A3">
        <w:rPr>
          <w:sz w:val="24"/>
          <w:szCs w:val="24"/>
        </w:rPr>
        <w:t xml:space="preserve"> that</w:t>
      </w:r>
      <w:r w:rsidR="00D700F9" w:rsidRPr="009D1F38">
        <w:rPr>
          <w:sz w:val="24"/>
          <w:szCs w:val="24"/>
        </w:rPr>
        <w:t xml:space="preserve"> </w:t>
      </w:r>
      <w:r w:rsidR="0013399F">
        <w:rPr>
          <w:sz w:val="24"/>
          <w:szCs w:val="24"/>
        </w:rPr>
        <w:t>can</w:t>
      </w:r>
      <w:r w:rsidR="009D1F38">
        <w:rPr>
          <w:sz w:val="24"/>
          <w:szCs w:val="24"/>
        </w:rPr>
        <w:t xml:space="preserve"> justify </w:t>
      </w:r>
      <w:r w:rsidR="00B26919">
        <w:rPr>
          <w:sz w:val="24"/>
          <w:szCs w:val="24"/>
        </w:rPr>
        <w:t>P’s</w:t>
      </w:r>
      <w:r w:rsidR="009D1F38">
        <w:rPr>
          <w:sz w:val="24"/>
          <w:szCs w:val="24"/>
        </w:rPr>
        <w:t xml:space="preserve"> </w:t>
      </w:r>
      <w:r w:rsidR="00CD13A3">
        <w:rPr>
          <w:sz w:val="24"/>
          <w:szCs w:val="24"/>
        </w:rPr>
        <w:t>compulsory admission to hospital</w:t>
      </w:r>
      <w:r w:rsidR="009D1F38">
        <w:rPr>
          <w:sz w:val="24"/>
          <w:szCs w:val="24"/>
        </w:rPr>
        <w:t>.</w:t>
      </w:r>
    </w:p>
    <w:p w:rsidR="00A763D2" w:rsidRDefault="00D700F9" w:rsidP="00DE5530">
      <w:pPr>
        <w:spacing w:line="720" w:lineRule="auto"/>
        <w:ind w:firstLine="720"/>
        <w:jc w:val="both"/>
        <w:rPr>
          <w:sz w:val="24"/>
          <w:szCs w:val="24"/>
        </w:rPr>
      </w:pPr>
      <w:r w:rsidRPr="009D1F38">
        <w:rPr>
          <w:sz w:val="24"/>
          <w:szCs w:val="24"/>
        </w:rPr>
        <w:t xml:space="preserve">Secondly, </w:t>
      </w:r>
      <w:r w:rsidR="007425DB" w:rsidRPr="009D1F38">
        <w:rPr>
          <w:sz w:val="24"/>
          <w:szCs w:val="24"/>
        </w:rPr>
        <w:t>the MHA distinguishes bet</w:t>
      </w:r>
      <w:r w:rsidR="00FF656C">
        <w:rPr>
          <w:sz w:val="24"/>
          <w:szCs w:val="24"/>
        </w:rPr>
        <w:t xml:space="preserve">ween </w:t>
      </w:r>
      <w:r w:rsidR="00542478">
        <w:rPr>
          <w:sz w:val="24"/>
          <w:szCs w:val="24"/>
        </w:rPr>
        <w:t>‘</w:t>
      </w:r>
      <w:r w:rsidR="00FF656C">
        <w:rPr>
          <w:sz w:val="24"/>
          <w:szCs w:val="24"/>
        </w:rPr>
        <w:t>risk</w:t>
      </w:r>
      <w:r w:rsidR="00542478">
        <w:rPr>
          <w:sz w:val="24"/>
          <w:szCs w:val="24"/>
        </w:rPr>
        <w:t>’</w:t>
      </w:r>
      <w:r w:rsidR="00FF656C">
        <w:rPr>
          <w:sz w:val="24"/>
          <w:szCs w:val="24"/>
        </w:rPr>
        <w:t xml:space="preserve"> and </w:t>
      </w:r>
      <w:r w:rsidR="00542478">
        <w:rPr>
          <w:sz w:val="24"/>
          <w:szCs w:val="24"/>
        </w:rPr>
        <w:t>‘</w:t>
      </w:r>
      <w:r w:rsidR="00FF656C">
        <w:rPr>
          <w:sz w:val="24"/>
          <w:szCs w:val="24"/>
        </w:rPr>
        <w:t>dangerousness</w:t>
      </w:r>
      <w:r w:rsidR="00542478">
        <w:rPr>
          <w:sz w:val="24"/>
          <w:szCs w:val="24"/>
        </w:rPr>
        <w:t>’</w:t>
      </w:r>
      <w:r w:rsidR="007425DB" w:rsidRPr="009D1F38">
        <w:rPr>
          <w:sz w:val="24"/>
          <w:szCs w:val="24"/>
        </w:rPr>
        <w:t xml:space="preserve">. </w:t>
      </w:r>
      <w:r w:rsidR="00F2305B">
        <w:rPr>
          <w:sz w:val="24"/>
          <w:szCs w:val="24"/>
        </w:rPr>
        <w:t xml:space="preserve">According to Lady Hale, </w:t>
      </w:r>
      <w:r w:rsidR="007425DB" w:rsidRPr="009D1F38">
        <w:rPr>
          <w:sz w:val="24"/>
          <w:szCs w:val="24"/>
        </w:rPr>
        <w:t xml:space="preserve">the MHA does not require that </w:t>
      </w:r>
      <w:r w:rsidR="00F2305B">
        <w:rPr>
          <w:sz w:val="24"/>
          <w:szCs w:val="24"/>
        </w:rPr>
        <w:t>P</w:t>
      </w:r>
      <w:r w:rsidR="007425DB" w:rsidRPr="009D1F38">
        <w:rPr>
          <w:sz w:val="24"/>
          <w:szCs w:val="24"/>
        </w:rPr>
        <w:t xml:space="preserve"> pose a </w:t>
      </w:r>
      <w:r w:rsidR="007425DB" w:rsidRPr="009D1F38">
        <w:rPr>
          <w:i/>
          <w:sz w:val="24"/>
          <w:szCs w:val="24"/>
        </w:rPr>
        <w:t>danger</w:t>
      </w:r>
      <w:r w:rsidR="007425DB" w:rsidRPr="009D1F38">
        <w:rPr>
          <w:sz w:val="24"/>
          <w:szCs w:val="24"/>
        </w:rPr>
        <w:t xml:space="preserve"> as a prerequisite for admission to hospital.</w:t>
      </w:r>
      <w:bookmarkStart w:id="11" w:name="_Ref427069878"/>
      <w:r w:rsidR="007425DB" w:rsidRPr="009D1F38">
        <w:rPr>
          <w:rStyle w:val="FootnoteReference"/>
          <w:sz w:val="24"/>
          <w:szCs w:val="24"/>
        </w:rPr>
        <w:footnoteReference w:id="20"/>
      </w:r>
      <w:bookmarkEnd w:id="11"/>
      <w:r w:rsidR="00CD13A3">
        <w:rPr>
          <w:sz w:val="24"/>
          <w:szCs w:val="24"/>
        </w:rPr>
        <w:t xml:space="preserve"> </w:t>
      </w:r>
      <w:r w:rsidR="00EF4243">
        <w:rPr>
          <w:sz w:val="24"/>
          <w:szCs w:val="24"/>
        </w:rPr>
        <w:t>Dangerousness</w:t>
      </w:r>
      <w:r w:rsidR="007425DB" w:rsidRPr="009D1F38">
        <w:rPr>
          <w:sz w:val="24"/>
          <w:szCs w:val="24"/>
        </w:rPr>
        <w:t xml:space="preserve"> is a distinct concept relevant for the purposes of restricting the power of </w:t>
      </w:r>
      <w:r w:rsidR="008A7FD7">
        <w:rPr>
          <w:sz w:val="24"/>
          <w:szCs w:val="24"/>
        </w:rPr>
        <w:t>P’s</w:t>
      </w:r>
      <w:r w:rsidR="007425DB" w:rsidRPr="009D1F38">
        <w:rPr>
          <w:sz w:val="24"/>
          <w:szCs w:val="24"/>
        </w:rPr>
        <w:t xml:space="preserve"> nearest relative to discharge him.</w:t>
      </w:r>
      <w:r w:rsidR="007425DB" w:rsidRPr="009D1F38">
        <w:rPr>
          <w:rStyle w:val="FootnoteReference"/>
          <w:sz w:val="24"/>
          <w:szCs w:val="24"/>
        </w:rPr>
        <w:footnoteReference w:id="21"/>
      </w:r>
      <w:r w:rsidR="007425DB" w:rsidRPr="009D1F38">
        <w:rPr>
          <w:sz w:val="24"/>
          <w:szCs w:val="24"/>
        </w:rPr>
        <w:t xml:space="preserve"> </w:t>
      </w:r>
      <w:r w:rsidR="00CD13A3">
        <w:rPr>
          <w:sz w:val="24"/>
          <w:szCs w:val="24"/>
        </w:rPr>
        <w:t>Lady Hale</w:t>
      </w:r>
      <w:r w:rsidR="00F2305B">
        <w:rPr>
          <w:sz w:val="24"/>
          <w:szCs w:val="24"/>
        </w:rPr>
        <w:t xml:space="preserve"> says that</w:t>
      </w:r>
      <w:r w:rsidR="00CD13A3">
        <w:rPr>
          <w:sz w:val="24"/>
          <w:szCs w:val="24"/>
        </w:rPr>
        <w:t xml:space="preserve"> the absence of </w:t>
      </w:r>
      <w:r w:rsidR="00542478">
        <w:rPr>
          <w:sz w:val="24"/>
          <w:szCs w:val="24"/>
        </w:rPr>
        <w:t>‘</w:t>
      </w:r>
      <w:r w:rsidR="00CD13A3">
        <w:rPr>
          <w:sz w:val="24"/>
          <w:szCs w:val="24"/>
        </w:rPr>
        <w:t>danger</w:t>
      </w:r>
      <w:r w:rsidR="00542478">
        <w:rPr>
          <w:sz w:val="24"/>
          <w:szCs w:val="24"/>
        </w:rPr>
        <w:t>’</w:t>
      </w:r>
      <w:r w:rsidR="007425DB" w:rsidRPr="009D1F38">
        <w:rPr>
          <w:sz w:val="24"/>
          <w:szCs w:val="24"/>
        </w:rPr>
        <w:t xml:space="preserve"> from the MHA’s adm</w:t>
      </w:r>
      <w:r w:rsidR="00CD13A3">
        <w:rPr>
          <w:sz w:val="24"/>
          <w:szCs w:val="24"/>
        </w:rPr>
        <w:t xml:space="preserve">ission criteria indicates they </w:t>
      </w:r>
      <w:r w:rsidR="00542478">
        <w:rPr>
          <w:sz w:val="24"/>
          <w:szCs w:val="24"/>
        </w:rPr>
        <w:t>‘</w:t>
      </w:r>
      <w:r w:rsidR="007425DB" w:rsidRPr="009D1F38">
        <w:rPr>
          <w:sz w:val="24"/>
          <w:szCs w:val="24"/>
        </w:rPr>
        <w:t>were meant to be broader than those for keeping him there against the wishes of his family</w:t>
      </w:r>
      <w:r w:rsidR="00542478">
        <w:rPr>
          <w:sz w:val="24"/>
          <w:szCs w:val="24"/>
        </w:rPr>
        <w:t>’</w:t>
      </w:r>
      <w:r w:rsidR="007425DB" w:rsidRPr="009D1F38">
        <w:rPr>
          <w:sz w:val="24"/>
          <w:szCs w:val="24"/>
        </w:rPr>
        <w:t>.</w:t>
      </w:r>
      <w:r w:rsidR="007425DB" w:rsidRPr="009D1F38">
        <w:rPr>
          <w:rStyle w:val="FootnoteReference"/>
          <w:sz w:val="24"/>
          <w:szCs w:val="24"/>
        </w:rPr>
        <w:footnoteReference w:id="22"/>
      </w:r>
      <w:r w:rsidR="007425DB" w:rsidRPr="009D1F38">
        <w:rPr>
          <w:sz w:val="24"/>
          <w:szCs w:val="24"/>
        </w:rPr>
        <w:t xml:space="preserve"> </w:t>
      </w:r>
      <w:r w:rsidR="00542478">
        <w:rPr>
          <w:sz w:val="24"/>
          <w:szCs w:val="24"/>
        </w:rPr>
        <w:t>‘</w:t>
      </w:r>
      <w:r w:rsidR="007425DB" w:rsidRPr="009D1F38">
        <w:rPr>
          <w:sz w:val="24"/>
          <w:szCs w:val="24"/>
        </w:rPr>
        <w:t>Dangerousness</w:t>
      </w:r>
      <w:r w:rsidR="00542478">
        <w:rPr>
          <w:sz w:val="24"/>
          <w:szCs w:val="24"/>
        </w:rPr>
        <w:t>’</w:t>
      </w:r>
      <w:r w:rsidR="007425DB" w:rsidRPr="009D1F38">
        <w:rPr>
          <w:sz w:val="24"/>
          <w:szCs w:val="24"/>
        </w:rPr>
        <w:t xml:space="preserve"> </w:t>
      </w:r>
      <w:r w:rsidR="00CD13A3">
        <w:rPr>
          <w:sz w:val="24"/>
          <w:szCs w:val="24"/>
        </w:rPr>
        <w:t xml:space="preserve">implies a higher </w:t>
      </w:r>
      <w:r w:rsidR="006B5C1C">
        <w:rPr>
          <w:sz w:val="24"/>
          <w:szCs w:val="24"/>
        </w:rPr>
        <w:lastRenderedPageBreak/>
        <w:t xml:space="preserve">threshold </w:t>
      </w:r>
      <w:r w:rsidR="00CD13A3">
        <w:rPr>
          <w:sz w:val="24"/>
          <w:szCs w:val="24"/>
        </w:rPr>
        <w:t xml:space="preserve">than </w:t>
      </w:r>
      <w:r w:rsidR="00542478">
        <w:rPr>
          <w:sz w:val="24"/>
          <w:szCs w:val="24"/>
        </w:rPr>
        <w:t>‘</w:t>
      </w:r>
      <w:r w:rsidR="007425DB" w:rsidRPr="009D1F38">
        <w:rPr>
          <w:sz w:val="24"/>
          <w:szCs w:val="24"/>
        </w:rPr>
        <w:t>risk</w:t>
      </w:r>
      <w:r w:rsidR="00542478">
        <w:rPr>
          <w:sz w:val="24"/>
          <w:szCs w:val="24"/>
        </w:rPr>
        <w:t>’</w:t>
      </w:r>
      <w:r w:rsidR="007425DB" w:rsidRPr="009D1F38">
        <w:rPr>
          <w:sz w:val="24"/>
          <w:szCs w:val="24"/>
        </w:rPr>
        <w:t xml:space="preserve"> under the MHA.</w:t>
      </w:r>
      <w:r w:rsidR="007425DB" w:rsidRPr="009D1F38">
        <w:rPr>
          <w:rStyle w:val="FootnoteReference"/>
          <w:sz w:val="24"/>
          <w:szCs w:val="24"/>
        </w:rPr>
        <w:footnoteReference w:id="23"/>
      </w:r>
      <w:r w:rsidR="007425DB" w:rsidRPr="009D1F38">
        <w:rPr>
          <w:sz w:val="24"/>
          <w:szCs w:val="24"/>
        </w:rPr>
        <w:t xml:space="preserve"> Others have made similar distinctions. Pilgrim and Rogers, for example, argue that the M</w:t>
      </w:r>
      <w:r w:rsidR="00CD13A3">
        <w:rPr>
          <w:sz w:val="24"/>
          <w:szCs w:val="24"/>
        </w:rPr>
        <w:t xml:space="preserve">HA’s references to a patient’s </w:t>
      </w:r>
      <w:r w:rsidR="00542478">
        <w:rPr>
          <w:sz w:val="24"/>
          <w:szCs w:val="24"/>
        </w:rPr>
        <w:t>‘</w:t>
      </w:r>
      <w:r w:rsidR="007425DB" w:rsidRPr="009D1F38">
        <w:rPr>
          <w:sz w:val="24"/>
          <w:szCs w:val="24"/>
        </w:rPr>
        <w:t>health or safety</w:t>
      </w:r>
      <w:r w:rsidR="00542478">
        <w:rPr>
          <w:sz w:val="24"/>
          <w:szCs w:val="24"/>
        </w:rPr>
        <w:t>’</w:t>
      </w:r>
      <w:r w:rsidR="007425DB" w:rsidRPr="009D1F38">
        <w:rPr>
          <w:sz w:val="24"/>
          <w:szCs w:val="24"/>
        </w:rPr>
        <w:t xml:space="preserve"> go further than danger and thereby legitimise the deployment of the </w:t>
      </w:r>
      <w:r w:rsidR="00542478">
        <w:rPr>
          <w:sz w:val="24"/>
          <w:szCs w:val="24"/>
        </w:rPr>
        <w:t>‘</w:t>
      </w:r>
      <w:r w:rsidR="007425DB" w:rsidRPr="009D1F38">
        <w:rPr>
          <w:sz w:val="24"/>
          <w:szCs w:val="24"/>
        </w:rPr>
        <w:t>wide-ranging powers of [mental health] professional</w:t>
      </w:r>
      <w:r w:rsidR="008A4289">
        <w:rPr>
          <w:sz w:val="24"/>
          <w:szCs w:val="24"/>
        </w:rPr>
        <w:t>s</w:t>
      </w:r>
      <w:r w:rsidR="00542478">
        <w:rPr>
          <w:sz w:val="24"/>
          <w:szCs w:val="24"/>
        </w:rPr>
        <w:t>’</w:t>
      </w:r>
      <w:r w:rsidR="007425DB" w:rsidRPr="009D1F38">
        <w:rPr>
          <w:sz w:val="24"/>
          <w:szCs w:val="24"/>
        </w:rPr>
        <w:t>.</w:t>
      </w:r>
      <w:r w:rsidR="007425DB" w:rsidRPr="009D1F38">
        <w:rPr>
          <w:rStyle w:val="FootnoteReference"/>
          <w:sz w:val="24"/>
          <w:szCs w:val="24"/>
        </w:rPr>
        <w:footnoteReference w:id="24"/>
      </w:r>
      <w:r w:rsidR="007425DB" w:rsidRPr="009D1F38">
        <w:rPr>
          <w:sz w:val="24"/>
          <w:szCs w:val="24"/>
        </w:rPr>
        <w:t xml:space="preserve"> </w:t>
      </w:r>
      <w:proofErr w:type="spellStart"/>
      <w:r w:rsidR="007425DB" w:rsidRPr="009D1F38">
        <w:rPr>
          <w:sz w:val="24"/>
          <w:szCs w:val="24"/>
        </w:rPr>
        <w:t>Prins</w:t>
      </w:r>
      <w:proofErr w:type="spellEnd"/>
      <w:r w:rsidR="007425DB" w:rsidRPr="009D1F38">
        <w:rPr>
          <w:sz w:val="24"/>
          <w:szCs w:val="24"/>
        </w:rPr>
        <w:t xml:space="preserve"> draws another </w:t>
      </w:r>
      <w:r w:rsidR="004D2FF1">
        <w:rPr>
          <w:sz w:val="24"/>
          <w:szCs w:val="24"/>
        </w:rPr>
        <w:t>(</w:t>
      </w:r>
      <w:r w:rsidR="007425DB" w:rsidRPr="009D1F38">
        <w:rPr>
          <w:sz w:val="24"/>
          <w:szCs w:val="24"/>
        </w:rPr>
        <w:t>albeit less convincing</w:t>
      </w:r>
      <w:r w:rsidR="004D2FF1">
        <w:rPr>
          <w:sz w:val="24"/>
          <w:szCs w:val="24"/>
        </w:rPr>
        <w:t>)</w:t>
      </w:r>
      <w:r w:rsidR="007425DB" w:rsidRPr="009D1F38">
        <w:rPr>
          <w:sz w:val="24"/>
          <w:szCs w:val="24"/>
        </w:rPr>
        <w:t xml:space="preserve"> distinction between </w:t>
      </w:r>
      <w:r w:rsidR="00542478">
        <w:rPr>
          <w:sz w:val="24"/>
          <w:szCs w:val="24"/>
        </w:rPr>
        <w:t>‘</w:t>
      </w:r>
      <w:r w:rsidR="007425DB" w:rsidRPr="009D1F38">
        <w:rPr>
          <w:sz w:val="24"/>
          <w:szCs w:val="24"/>
        </w:rPr>
        <w:t>risk</w:t>
      </w:r>
      <w:r w:rsidR="00542478">
        <w:rPr>
          <w:sz w:val="24"/>
          <w:szCs w:val="24"/>
        </w:rPr>
        <w:t>’</w:t>
      </w:r>
      <w:r w:rsidR="007425DB" w:rsidRPr="009D1F38">
        <w:rPr>
          <w:sz w:val="24"/>
          <w:szCs w:val="24"/>
        </w:rPr>
        <w:t xml:space="preserve">, which is the likelihood of an event occurring, and </w:t>
      </w:r>
      <w:r w:rsidR="00542478">
        <w:rPr>
          <w:sz w:val="24"/>
          <w:szCs w:val="24"/>
        </w:rPr>
        <w:t>‘</w:t>
      </w:r>
      <w:r w:rsidR="007425DB" w:rsidRPr="009D1F38">
        <w:rPr>
          <w:sz w:val="24"/>
          <w:szCs w:val="24"/>
        </w:rPr>
        <w:t>danger</w:t>
      </w:r>
      <w:r w:rsidR="00542478">
        <w:rPr>
          <w:sz w:val="24"/>
          <w:szCs w:val="24"/>
        </w:rPr>
        <w:t>’</w:t>
      </w:r>
      <w:r w:rsidR="007425DB" w:rsidRPr="009D1F38">
        <w:rPr>
          <w:sz w:val="24"/>
          <w:szCs w:val="24"/>
        </w:rPr>
        <w:t xml:space="preserve">, which is the degree of damage that may </w:t>
      </w:r>
      <w:r w:rsidR="00AB61FE">
        <w:rPr>
          <w:sz w:val="24"/>
          <w:szCs w:val="24"/>
        </w:rPr>
        <w:t>result from it</w:t>
      </w:r>
      <w:r w:rsidR="007425DB" w:rsidRPr="009D1F38">
        <w:rPr>
          <w:sz w:val="24"/>
          <w:szCs w:val="24"/>
        </w:rPr>
        <w:t>.</w:t>
      </w:r>
      <w:r w:rsidR="007425DB" w:rsidRPr="009D1F38">
        <w:rPr>
          <w:rStyle w:val="FootnoteReference"/>
          <w:sz w:val="24"/>
          <w:szCs w:val="24"/>
        </w:rPr>
        <w:footnoteReference w:id="25"/>
      </w:r>
      <w:r w:rsidR="004D2FF1">
        <w:rPr>
          <w:sz w:val="24"/>
          <w:szCs w:val="24"/>
        </w:rPr>
        <w:t xml:space="preserve"> In any case,</w:t>
      </w:r>
      <w:r w:rsidR="007425DB" w:rsidRPr="009D1F38">
        <w:rPr>
          <w:sz w:val="24"/>
          <w:szCs w:val="24"/>
        </w:rPr>
        <w:t xml:space="preserve"> </w:t>
      </w:r>
      <w:r w:rsidR="00542478">
        <w:rPr>
          <w:sz w:val="24"/>
          <w:szCs w:val="24"/>
        </w:rPr>
        <w:t>‘</w:t>
      </w:r>
      <w:r w:rsidR="004D2FF1">
        <w:rPr>
          <w:sz w:val="24"/>
          <w:szCs w:val="24"/>
        </w:rPr>
        <w:t>r</w:t>
      </w:r>
      <w:r w:rsidR="007425DB" w:rsidRPr="009D1F38">
        <w:rPr>
          <w:sz w:val="24"/>
          <w:szCs w:val="24"/>
        </w:rPr>
        <w:t>isk</w:t>
      </w:r>
      <w:r w:rsidR="00542478">
        <w:rPr>
          <w:sz w:val="24"/>
          <w:szCs w:val="24"/>
        </w:rPr>
        <w:t>’</w:t>
      </w:r>
      <w:r w:rsidR="00AB61FE">
        <w:rPr>
          <w:sz w:val="24"/>
          <w:szCs w:val="24"/>
        </w:rPr>
        <w:t xml:space="preserve"> </w:t>
      </w:r>
      <w:r w:rsidR="007425DB" w:rsidRPr="009D1F38">
        <w:rPr>
          <w:sz w:val="24"/>
          <w:szCs w:val="24"/>
        </w:rPr>
        <w:t xml:space="preserve">is not necessarily a synonym for </w:t>
      </w:r>
      <w:r w:rsidR="00542478">
        <w:rPr>
          <w:sz w:val="24"/>
          <w:szCs w:val="24"/>
        </w:rPr>
        <w:t>‘</w:t>
      </w:r>
      <w:r w:rsidR="007425DB" w:rsidRPr="009D1F38">
        <w:rPr>
          <w:sz w:val="24"/>
          <w:szCs w:val="24"/>
        </w:rPr>
        <w:t>dangerousness</w:t>
      </w:r>
      <w:r w:rsidR="00542478">
        <w:rPr>
          <w:sz w:val="24"/>
          <w:szCs w:val="24"/>
        </w:rPr>
        <w:t>’</w:t>
      </w:r>
      <w:r w:rsidR="007425DB" w:rsidRPr="009D1F38">
        <w:rPr>
          <w:sz w:val="24"/>
          <w:szCs w:val="24"/>
        </w:rPr>
        <w:t xml:space="preserve">. </w:t>
      </w:r>
      <w:r w:rsidR="00542478">
        <w:rPr>
          <w:sz w:val="24"/>
          <w:szCs w:val="24"/>
        </w:rPr>
        <w:t>‘</w:t>
      </w:r>
      <w:r w:rsidR="007425DB" w:rsidRPr="009D1F38">
        <w:rPr>
          <w:sz w:val="24"/>
          <w:szCs w:val="24"/>
        </w:rPr>
        <w:t>Danger</w:t>
      </w:r>
      <w:r w:rsidR="00542478">
        <w:rPr>
          <w:sz w:val="24"/>
          <w:szCs w:val="24"/>
        </w:rPr>
        <w:t>’</w:t>
      </w:r>
      <w:r w:rsidR="007425DB" w:rsidRPr="009D1F38">
        <w:rPr>
          <w:sz w:val="24"/>
          <w:szCs w:val="24"/>
        </w:rPr>
        <w:t xml:space="preserve"> suggests a heightened sense of urgency </w:t>
      </w:r>
      <w:r w:rsidR="00B85A0A">
        <w:rPr>
          <w:sz w:val="24"/>
          <w:szCs w:val="24"/>
        </w:rPr>
        <w:t xml:space="preserve">and </w:t>
      </w:r>
      <w:r w:rsidR="007425DB" w:rsidRPr="009D1F38">
        <w:rPr>
          <w:sz w:val="24"/>
          <w:szCs w:val="24"/>
        </w:rPr>
        <w:t xml:space="preserve">tends to </w:t>
      </w:r>
      <w:r w:rsidR="00B85A0A">
        <w:rPr>
          <w:sz w:val="24"/>
          <w:szCs w:val="24"/>
        </w:rPr>
        <w:t>imply</w:t>
      </w:r>
      <w:r w:rsidR="007425DB" w:rsidRPr="009D1F38">
        <w:rPr>
          <w:sz w:val="24"/>
          <w:szCs w:val="24"/>
        </w:rPr>
        <w:t xml:space="preserve"> dangerousness to others</w:t>
      </w:r>
      <w:r w:rsidR="006219AE">
        <w:rPr>
          <w:sz w:val="24"/>
          <w:szCs w:val="24"/>
        </w:rPr>
        <w:t>.</w:t>
      </w:r>
      <w:r w:rsidR="007425DB" w:rsidRPr="009D1F38">
        <w:rPr>
          <w:sz w:val="24"/>
          <w:szCs w:val="24"/>
        </w:rPr>
        <w:t xml:space="preserve"> </w:t>
      </w:r>
      <w:r w:rsidR="00542478">
        <w:rPr>
          <w:sz w:val="24"/>
          <w:szCs w:val="24"/>
        </w:rPr>
        <w:t>‘</w:t>
      </w:r>
      <w:r w:rsidR="007425DB" w:rsidRPr="009D1F38">
        <w:rPr>
          <w:sz w:val="24"/>
          <w:szCs w:val="24"/>
        </w:rPr>
        <w:t>Risk</w:t>
      </w:r>
      <w:r w:rsidR="00542478">
        <w:rPr>
          <w:sz w:val="24"/>
          <w:szCs w:val="24"/>
        </w:rPr>
        <w:t>’</w:t>
      </w:r>
      <w:r w:rsidR="007425DB" w:rsidRPr="009D1F38">
        <w:rPr>
          <w:sz w:val="24"/>
          <w:szCs w:val="24"/>
        </w:rPr>
        <w:t>, by contrast, goes much further</w:t>
      </w:r>
      <w:r w:rsidR="00AA7839">
        <w:rPr>
          <w:sz w:val="24"/>
          <w:szCs w:val="24"/>
        </w:rPr>
        <w:t xml:space="preserve">, encompassing </w:t>
      </w:r>
      <w:r w:rsidR="007425DB" w:rsidRPr="009D1F38">
        <w:rPr>
          <w:sz w:val="24"/>
          <w:szCs w:val="24"/>
        </w:rPr>
        <w:t xml:space="preserve">‘reflexive’ hazards; that is, hazards which coalesce around or within the patient and whose effects will be limited thereto. This unambiguously incorporates more common hazards such as self-harm, self-neglect, abuse, exploitation, and so on, into the purview of the MHA, rendering them as legitimate occasions on which to justify compulsory interventions. By interpreting </w:t>
      </w:r>
      <w:r w:rsidR="00542478">
        <w:rPr>
          <w:sz w:val="24"/>
          <w:szCs w:val="24"/>
        </w:rPr>
        <w:lastRenderedPageBreak/>
        <w:t>‘</w:t>
      </w:r>
      <w:r w:rsidR="007425DB" w:rsidRPr="009D1F38">
        <w:rPr>
          <w:sz w:val="24"/>
          <w:szCs w:val="24"/>
        </w:rPr>
        <w:t>risk</w:t>
      </w:r>
      <w:r w:rsidR="00542478">
        <w:rPr>
          <w:sz w:val="24"/>
          <w:szCs w:val="24"/>
        </w:rPr>
        <w:t>’</w:t>
      </w:r>
      <w:r w:rsidR="007425DB" w:rsidRPr="009D1F38">
        <w:rPr>
          <w:sz w:val="24"/>
          <w:szCs w:val="24"/>
        </w:rPr>
        <w:t xml:space="preserve"> in this way, the</w:t>
      </w:r>
      <w:r w:rsidR="004D2FF1">
        <w:rPr>
          <w:sz w:val="24"/>
          <w:szCs w:val="24"/>
        </w:rPr>
        <w:t xml:space="preserve"> MHA’s underlying</w:t>
      </w:r>
      <w:r w:rsidR="007425DB" w:rsidRPr="009D1F38">
        <w:rPr>
          <w:sz w:val="24"/>
          <w:szCs w:val="24"/>
        </w:rPr>
        <w:t xml:space="preserve"> policy </w:t>
      </w:r>
      <w:r w:rsidR="00D20087">
        <w:rPr>
          <w:sz w:val="24"/>
          <w:szCs w:val="24"/>
        </w:rPr>
        <w:t>is</w:t>
      </w:r>
      <w:r w:rsidR="007425DB" w:rsidRPr="009D1F38">
        <w:rPr>
          <w:sz w:val="24"/>
          <w:szCs w:val="24"/>
        </w:rPr>
        <w:t xml:space="preserve"> about more than public protection. </w:t>
      </w:r>
      <w:r w:rsidR="00600F93">
        <w:rPr>
          <w:sz w:val="24"/>
          <w:szCs w:val="24"/>
        </w:rPr>
        <w:t xml:space="preserve">Considerations of risk and positive health outcomes are </w:t>
      </w:r>
      <w:r w:rsidR="00AA7839">
        <w:rPr>
          <w:sz w:val="24"/>
          <w:szCs w:val="24"/>
        </w:rPr>
        <w:t>therefore</w:t>
      </w:r>
      <w:r w:rsidR="00600F93">
        <w:rPr>
          <w:sz w:val="24"/>
          <w:szCs w:val="24"/>
        </w:rPr>
        <w:t xml:space="preserve"> much more closely linked than </w:t>
      </w:r>
      <w:r w:rsidR="00400956">
        <w:rPr>
          <w:sz w:val="24"/>
          <w:szCs w:val="24"/>
        </w:rPr>
        <w:t xml:space="preserve">conventional wisdom might </w:t>
      </w:r>
      <w:r w:rsidR="00A12705">
        <w:rPr>
          <w:sz w:val="24"/>
          <w:szCs w:val="24"/>
        </w:rPr>
        <w:t>suggest</w:t>
      </w:r>
      <w:r w:rsidR="00400956">
        <w:rPr>
          <w:sz w:val="24"/>
          <w:szCs w:val="24"/>
        </w:rPr>
        <w:t>.</w:t>
      </w:r>
    </w:p>
    <w:p w:rsidR="00447D96" w:rsidRDefault="003E060B" w:rsidP="00DE5530">
      <w:pPr>
        <w:spacing w:line="720" w:lineRule="auto"/>
        <w:ind w:firstLine="720"/>
        <w:jc w:val="both"/>
        <w:rPr>
          <w:rFonts w:cstheme="minorHAnsi"/>
          <w:sz w:val="24"/>
          <w:szCs w:val="24"/>
        </w:rPr>
      </w:pPr>
      <w:r w:rsidRPr="00F224A6">
        <w:rPr>
          <w:sz w:val="24"/>
          <w:szCs w:val="24"/>
        </w:rPr>
        <w:t xml:space="preserve">While various risks of harm will </w:t>
      </w:r>
      <w:r w:rsidR="004B1FB8">
        <w:rPr>
          <w:sz w:val="24"/>
          <w:szCs w:val="24"/>
        </w:rPr>
        <w:t>legitimise</w:t>
      </w:r>
      <w:r w:rsidRPr="00F224A6">
        <w:rPr>
          <w:sz w:val="24"/>
          <w:szCs w:val="24"/>
        </w:rPr>
        <w:t xml:space="preserve"> a mentally-disordered person’s compulsory admission to hospital</w:t>
      </w:r>
      <w:r w:rsidR="007E1123" w:rsidRPr="00F224A6">
        <w:rPr>
          <w:sz w:val="24"/>
          <w:szCs w:val="24"/>
        </w:rPr>
        <w:t xml:space="preserve">, </w:t>
      </w:r>
      <w:r w:rsidR="007E1123" w:rsidRPr="00F224A6">
        <w:rPr>
          <w:i/>
          <w:sz w:val="24"/>
          <w:szCs w:val="24"/>
        </w:rPr>
        <w:t xml:space="preserve">why </w:t>
      </w:r>
      <w:r w:rsidR="007E1123" w:rsidRPr="00F224A6">
        <w:rPr>
          <w:sz w:val="24"/>
          <w:szCs w:val="24"/>
        </w:rPr>
        <w:t xml:space="preserve">the MHA should permit </w:t>
      </w:r>
      <w:r w:rsidR="00E76F41" w:rsidRPr="00F224A6">
        <w:rPr>
          <w:sz w:val="24"/>
          <w:szCs w:val="24"/>
        </w:rPr>
        <w:t>this</w:t>
      </w:r>
      <w:r w:rsidR="00582E02">
        <w:rPr>
          <w:sz w:val="24"/>
          <w:szCs w:val="24"/>
        </w:rPr>
        <w:t xml:space="preserve"> paternalistic exception to the principle of self-determination</w:t>
      </w:r>
      <w:r w:rsidR="009F7860" w:rsidRPr="00F224A6">
        <w:rPr>
          <w:sz w:val="24"/>
          <w:szCs w:val="24"/>
        </w:rPr>
        <w:t xml:space="preserve"> </w:t>
      </w:r>
      <w:r w:rsidR="007E1123" w:rsidRPr="00F224A6">
        <w:rPr>
          <w:sz w:val="24"/>
          <w:szCs w:val="24"/>
        </w:rPr>
        <w:t>is not obvious.</w:t>
      </w:r>
      <w:r w:rsidR="009F7860" w:rsidRPr="00F224A6">
        <w:rPr>
          <w:sz w:val="24"/>
          <w:szCs w:val="24"/>
        </w:rPr>
        <w:t xml:space="preserve"> </w:t>
      </w:r>
      <w:r w:rsidR="00447D96">
        <w:rPr>
          <w:sz w:val="24"/>
          <w:szCs w:val="24"/>
        </w:rPr>
        <w:t>Indeed, t</w:t>
      </w:r>
      <w:r w:rsidR="00175AB9" w:rsidRPr="00F224A6">
        <w:rPr>
          <w:sz w:val="24"/>
          <w:szCs w:val="24"/>
        </w:rPr>
        <w:t>he</w:t>
      </w:r>
      <w:r w:rsidR="00582E02">
        <w:rPr>
          <w:sz w:val="24"/>
          <w:szCs w:val="24"/>
        </w:rPr>
        <w:t xml:space="preserve"> MHA’s risk-centricity </w:t>
      </w:r>
      <w:r w:rsidR="00ED77C9">
        <w:rPr>
          <w:sz w:val="24"/>
          <w:szCs w:val="24"/>
        </w:rPr>
        <w:t>discriminates</w:t>
      </w:r>
      <w:r w:rsidR="00175AB9" w:rsidRPr="00F224A6">
        <w:rPr>
          <w:sz w:val="24"/>
          <w:szCs w:val="24"/>
        </w:rPr>
        <w:t xml:space="preserve"> between physical and mental disorders</w:t>
      </w:r>
      <w:r w:rsidR="00BF34EB">
        <w:rPr>
          <w:sz w:val="24"/>
          <w:szCs w:val="24"/>
        </w:rPr>
        <w:t>:</w:t>
      </w:r>
      <w:r w:rsidR="008469A7" w:rsidRPr="00F224A6">
        <w:rPr>
          <w:sz w:val="24"/>
          <w:szCs w:val="24"/>
        </w:rPr>
        <w:t xml:space="preserve"> </w:t>
      </w:r>
      <w:r w:rsidR="00BF34EB">
        <w:rPr>
          <w:sz w:val="24"/>
          <w:szCs w:val="24"/>
        </w:rPr>
        <w:t>w</w:t>
      </w:r>
      <w:r w:rsidR="005377AB" w:rsidRPr="00F224A6">
        <w:rPr>
          <w:sz w:val="24"/>
          <w:szCs w:val="24"/>
        </w:rPr>
        <w:t xml:space="preserve">hy should doctors </w:t>
      </w:r>
      <w:r w:rsidR="006B6EB1" w:rsidRPr="00F224A6">
        <w:rPr>
          <w:sz w:val="24"/>
          <w:szCs w:val="24"/>
        </w:rPr>
        <w:t xml:space="preserve">be able to </w:t>
      </w:r>
      <w:r w:rsidR="00F224A6" w:rsidRPr="00F224A6">
        <w:rPr>
          <w:sz w:val="24"/>
          <w:szCs w:val="24"/>
        </w:rPr>
        <w:t>treat a person with schizoaffective disorder</w:t>
      </w:r>
      <w:r w:rsidR="00582E02">
        <w:rPr>
          <w:sz w:val="24"/>
          <w:szCs w:val="24"/>
        </w:rPr>
        <w:t xml:space="preserve"> </w:t>
      </w:r>
      <w:r w:rsidR="005D22B7">
        <w:rPr>
          <w:sz w:val="24"/>
          <w:szCs w:val="24"/>
        </w:rPr>
        <w:t xml:space="preserve">on a compulsory basis </w:t>
      </w:r>
      <w:r w:rsidR="00582E02">
        <w:rPr>
          <w:sz w:val="24"/>
          <w:szCs w:val="24"/>
        </w:rPr>
        <w:t>and yet be prevented from</w:t>
      </w:r>
      <w:r w:rsidR="005D22B7">
        <w:rPr>
          <w:sz w:val="24"/>
          <w:szCs w:val="24"/>
        </w:rPr>
        <w:t xml:space="preserve"> doing the same to a person with</w:t>
      </w:r>
      <w:r w:rsidR="00CC2091">
        <w:rPr>
          <w:sz w:val="24"/>
          <w:szCs w:val="24"/>
        </w:rPr>
        <w:t>, say, diabetes?</w:t>
      </w:r>
      <w:r w:rsidR="00F224A6" w:rsidRPr="00F224A6">
        <w:rPr>
          <w:sz w:val="24"/>
          <w:szCs w:val="24"/>
        </w:rPr>
        <w:t xml:space="preserve"> </w:t>
      </w:r>
      <w:r w:rsidR="00521610">
        <w:rPr>
          <w:sz w:val="24"/>
          <w:szCs w:val="24"/>
        </w:rPr>
        <w:t>It is submitted that t</w:t>
      </w:r>
      <w:r w:rsidR="00EF6CBD" w:rsidRPr="00F224A6">
        <w:rPr>
          <w:sz w:val="24"/>
          <w:szCs w:val="24"/>
        </w:rPr>
        <w:t xml:space="preserve">he answer </w:t>
      </w:r>
      <w:r w:rsidR="00C755B9" w:rsidRPr="00F224A6">
        <w:rPr>
          <w:sz w:val="24"/>
          <w:szCs w:val="24"/>
        </w:rPr>
        <w:t xml:space="preserve">lies </w:t>
      </w:r>
      <w:r w:rsidR="004C1B99" w:rsidRPr="00F224A6">
        <w:rPr>
          <w:sz w:val="24"/>
          <w:szCs w:val="24"/>
        </w:rPr>
        <w:t xml:space="preserve">in </w:t>
      </w:r>
      <w:r w:rsidR="00CC2091">
        <w:rPr>
          <w:sz w:val="24"/>
          <w:szCs w:val="24"/>
        </w:rPr>
        <w:t>the</w:t>
      </w:r>
      <w:r w:rsidR="00BE1F4F">
        <w:rPr>
          <w:sz w:val="24"/>
          <w:szCs w:val="24"/>
        </w:rPr>
        <w:t xml:space="preserve"> </w:t>
      </w:r>
      <w:r w:rsidR="004C1B99" w:rsidRPr="00F224A6">
        <w:rPr>
          <w:sz w:val="24"/>
          <w:szCs w:val="24"/>
        </w:rPr>
        <w:t>theoretical construction</w:t>
      </w:r>
      <w:r w:rsidR="00BE1F4F">
        <w:rPr>
          <w:sz w:val="24"/>
          <w:szCs w:val="24"/>
        </w:rPr>
        <w:t>s</w:t>
      </w:r>
      <w:r w:rsidR="004C1B99" w:rsidRPr="00F224A6">
        <w:rPr>
          <w:sz w:val="24"/>
          <w:szCs w:val="24"/>
        </w:rPr>
        <w:t xml:space="preserve"> of risk</w:t>
      </w:r>
      <w:r w:rsidR="00BE1F4F">
        <w:rPr>
          <w:sz w:val="24"/>
          <w:szCs w:val="24"/>
        </w:rPr>
        <w:t xml:space="preserve"> which inform</w:t>
      </w:r>
      <w:r w:rsidR="00977857">
        <w:rPr>
          <w:sz w:val="24"/>
          <w:szCs w:val="24"/>
        </w:rPr>
        <w:t xml:space="preserve"> Michel Foucault’s </w:t>
      </w:r>
      <w:r w:rsidR="00542478">
        <w:rPr>
          <w:sz w:val="24"/>
          <w:szCs w:val="24"/>
        </w:rPr>
        <w:t>‘</w:t>
      </w:r>
      <w:proofErr w:type="spellStart"/>
      <w:r w:rsidR="0006513B">
        <w:rPr>
          <w:sz w:val="24"/>
          <w:szCs w:val="24"/>
        </w:rPr>
        <w:t>g</w:t>
      </w:r>
      <w:r w:rsidR="00977857">
        <w:rPr>
          <w:sz w:val="24"/>
          <w:szCs w:val="24"/>
        </w:rPr>
        <w:t>overnmentality</w:t>
      </w:r>
      <w:proofErr w:type="spellEnd"/>
      <w:r w:rsidR="00542478">
        <w:rPr>
          <w:sz w:val="24"/>
          <w:szCs w:val="24"/>
        </w:rPr>
        <w:t>’</w:t>
      </w:r>
      <w:r w:rsidR="00977857">
        <w:rPr>
          <w:sz w:val="24"/>
          <w:szCs w:val="24"/>
        </w:rPr>
        <w:t xml:space="preserve"> thesis</w:t>
      </w:r>
      <w:r w:rsidR="004C1B99" w:rsidRPr="00F224A6">
        <w:rPr>
          <w:sz w:val="24"/>
          <w:szCs w:val="24"/>
        </w:rPr>
        <w:t>.</w:t>
      </w:r>
      <w:r w:rsidR="0001402A">
        <w:rPr>
          <w:sz w:val="24"/>
          <w:szCs w:val="24"/>
        </w:rPr>
        <w:t xml:space="preserve"> </w:t>
      </w:r>
      <w:r w:rsidR="00542478">
        <w:rPr>
          <w:rFonts w:cstheme="minorHAnsi"/>
          <w:sz w:val="24"/>
          <w:szCs w:val="24"/>
        </w:rPr>
        <w:t>‘</w:t>
      </w:r>
      <w:proofErr w:type="spellStart"/>
      <w:r w:rsidR="00A16BA6">
        <w:rPr>
          <w:rFonts w:cstheme="minorHAnsi"/>
          <w:sz w:val="24"/>
          <w:szCs w:val="24"/>
        </w:rPr>
        <w:t>Governmentality</w:t>
      </w:r>
      <w:proofErr w:type="spellEnd"/>
      <w:r w:rsidR="00542478">
        <w:rPr>
          <w:rFonts w:cstheme="minorHAnsi"/>
          <w:sz w:val="24"/>
          <w:szCs w:val="24"/>
        </w:rPr>
        <w:t>’</w:t>
      </w:r>
      <w:r w:rsidR="00A16BA6">
        <w:rPr>
          <w:rFonts w:cstheme="minorHAnsi"/>
          <w:sz w:val="24"/>
          <w:szCs w:val="24"/>
        </w:rPr>
        <w:t xml:space="preserve"> describes a situation </w:t>
      </w:r>
      <w:r w:rsidR="00542478">
        <w:rPr>
          <w:rFonts w:cstheme="minorHAnsi"/>
          <w:sz w:val="24"/>
          <w:szCs w:val="24"/>
        </w:rPr>
        <w:t>‘</w:t>
      </w:r>
      <w:r w:rsidR="00A16BA6">
        <w:rPr>
          <w:rFonts w:cstheme="minorHAnsi"/>
          <w:sz w:val="24"/>
          <w:szCs w:val="24"/>
        </w:rPr>
        <w:t>in which the state becomes increasingly concerned with the government of</w:t>
      </w:r>
      <w:r w:rsidR="00140C37">
        <w:rPr>
          <w:rFonts w:cstheme="minorHAnsi"/>
          <w:sz w:val="24"/>
          <w:szCs w:val="24"/>
        </w:rPr>
        <w:t xml:space="preserve"> a</w:t>
      </w:r>
      <w:r w:rsidR="00A16BA6">
        <w:rPr>
          <w:rFonts w:cstheme="minorHAnsi"/>
          <w:sz w:val="24"/>
          <w:szCs w:val="24"/>
        </w:rPr>
        <w:t xml:space="preserve"> population as an end in itself rather than the consolidation of state power</w:t>
      </w:r>
      <w:r w:rsidR="00542478">
        <w:rPr>
          <w:rFonts w:cstheme="minorHAnsi"/>
          <w:sz w:val="24"/>
          <w:szCs w:val="24"/>
        </w:rPr>
        <w:t>’</w:t>
      </w:r>
      <w:r w:rsidR="00A16BA6">
        <w:rPr>
          <w:rFonts w:cstheme="minorHAnsi"/>
          <w:sz w:val="24"/>
          <w:szCs w:val="24"/>
        </w:rPr>
        <w:t>.</w:t>
      </w:r>
      <w:bookmarkStart w:id="12" w:name="_Ref447207818"/>
      <w:r w:rsidR="00A16BA6">
        <w:rPr>
          <w:rStyle w:val="FootnoteReference"/>
          <w:rFonts w:cstheme="minorHAnsi"/>
          <w:sz w:val="24"/>
          <w:szCs w:val="24"/>
        </w:rPr>
        <w:footnoteReference w:id="26"/>
      </w:r>
      <w:bookmarkEnd w:id="12"/>
      <w:r w:rsidR="00A16BA6">
        <w:rPr>
          <w:rFonts w:cstheme="minorHAnsi"/>
          <w:sz w:val="24"/>
          <w:szCs w:val="24"/>
        </w:rPr>
        <w:t xml:space="preserve"> </w:t>
      </w:r>
      <w:r w:rsidR="00A33609">
        <w:rPr>
          <w:sz w:val="24"/>
          <w:szCs w:val="24"/>
        </w:rPr>
        <w:t xml:space="preserve">According to Foucault, the modern state </w:t>
      </w:r>
      <w:r w:rsidR="00336213">
        <w:rPr>
          <w:sz w:val="24"/>
          <w:szCs w:val="24"/>
        </w:rPr>
        <w:t>exhibits</w:t>
      </w:r>
      <w:r w:rsidR="00A33609">
        <w:rPr>
          <w:sz w:val="24"/>
          <w:szCs w:val="24"/>
        </w:rPr>
        <w:t xml:space="preserve"> a continuing interest in overseeing </w:t>
      </w:r>
      <w:r w:rsidR="00542478">
        <w:rPr>
          <w:sz w:val="24"/>
          <w:szCs w:val="24"/>
        </w:rPr>
        <w:t>‘</w:t>
      </w:r>
      <w:r w:rsidR="00A33609" w:rsidRPr="008044A5">
        <w:rPr>
          <w:rFonts w:cstheme="minorHAnsi"/>
          <w:sz w:val="24"/>
          <w:szCs w:val="24"/>
        </w:rPr>
        <w:t xml:space="preserve">the welfare of </w:t>
      </w:r>
      <w:r w:rsidR="00A33609">
        <w:rPr>
          <w:rFonts w:cstheme="minorHAnsi"/>
          <w:sz w:val="24"/>
          <w:szCs w:val="24"/>
        </w:rPr>
        <w:t>[its]</w:t>
      </w:r>
      <w:r w:rsidR="00A33609" w:rsidRPr="008044A5">
        <w:rPr>
          <w:rFonts w:cstheme="minorHAnsi"/>
          <w:sz w:val="24"/>
          <w:szCs w:val="24"/>
        </w:rPr>
        <w:t xml:space="preserve"> population, the improvement of its condition, the increase of </w:t>
      </w:r>
      <w:r w:rsidR="00A33609" w:rsidRPr="008044A5">
        <w:rPr>
          <w:rFonts w:cstheme="minorHAnsi"/>
          <w:sz w:val="24"/>
          <w:szCs w:val="24"/>
        </w:rPr>
        <w:lastRenderedPageBreak/>
        <w:t>its</w:t>
      </w:r>
      <w:r w:rsidR="004B1FB8">
        <w:rPr>
          <w:rFonts w:cstheme="minorHAnsi"/>
          <w:sz w:val="24"/>
          <w:szCs w:val="24"/>
        </w:rPr>
        <w:t xml:space="preserve"> wealth, longevity [and] health</w:t>
      </w:r>
      <w:r w:rsidR="00542478">
        <w:rPr>
          <w:rFonts w:cstheme="minorHAnsi"/>
          <w:sz w:val="24"/>
          <w:szCs w:val="24"/>
        </w:rPr>
        <w:t>’</w:t>
      </w:r>
      <w:r w:rsidR="00A33609">
        <w:rPr>
          <w:rFonts w:cstheme="minorHAnsi"/>
          <w:sz w:val="24"/>
          <w:szCs w:val="24"/>
        </w:rPr>
        <w:t>.</w:t>
      </w:r>
      <w:bookmarkStart w:id="13" w:name="_Ref447125095"/>
      <w:r w:rsidR="00097644">
        <w:rPr>
          <w:rStyle w:val="FootnoteReference"/>
          <w:rFonts w:cstheme="minorHAnsi"/>
          <w:sz w:val="24"/>
          <w:szCs w:val="24"/>
        </w:rPr>
        <w:footnoteReference w:id="27"/>
      </w:r>
      <w:bookmarkEnd w:id="13"/>
      <w:r w:rsidR="0001402A">
        <w:rPr>
          <w:rFonts w:cstheme="minorHAnsi"/>
          <w:sz w:val="24"/>
          <w:szCs w:val="24"/>
        </w:rPr>
        <w:t xml:space="preserve"> The state’s </w:t>
      </w:r>
      <w:r w:rsidR="00FE7373">
        <w:rPr>
          <w:rFonts w:cstheme="minorHAnsi"/>
          <w:sz w:val="24"/>
          <w:szCs w:val="24"/>
        </w:rPr>
        <w:t>deployment of</w:t>
      </w:r>
      <w:r w:rsidR="0001402A">
        <w:rPr>
          <w:rFonts w:cstheme="minorHAnsi"/>
          <w:sz w:val="24"/>
          <w:szCs w:val="24"/>
        </w:rPr>
        <w:t xml:space="preserve"> what Foucault called </w:t>
      </w:r>
      <w:r w:rsidR="00542478">
        <w:rPr>
          <w:rFonts w:cstheme="minorHAnsi"/>
          <w:sz w:val="24"/>
          <w:szCs w:val="24"/>
        </w:rPr>
        <w:t>‘</w:t>
      </w:r>
      <w:proofErr w:type="spellStart"/>
      <w:r w:rsidR="0001402A">
        <w:rPr>
          <w:rFonts w:cstheme="minorHAnsi"/>
          <w:sz w:val="24"/>
          <w:szCs w:val="24"/>
        </w:rPr>
        <w:t>biopo</w:t>
      </w:r>
      <w:r w:rsidR="00FE7373">
        <w:rPr>
          <w:rFonts w:cstheme="minorHAnsi"/>
          <w:sz w:val="24"/>
          <w:szCs w:val="24"/>
        </w:rPr>
        <w:t>wer</w:t>
      </w:r>
      <w:proofErr w:type="spellEnd"/>
      <w:r w:rsidR="00542478">
        <w:rPr>
          <w:rFonts w:cstheme="minorHAnsi"/>
          <w:sz w:val="24"/>
          <w:szCs w:val="24"/>
        </w:rPr>
        <w:t>’</w:t>
      </w:r>
      <w:bookmarkStart w:id="14" w:name="_Ref447124027"/>
      <w:r w:rsidR="0001402A">
        <w:rPr>
          <w:rStyle w:val="FootnoteReference"/>
          <w:rFonts w:cstheme="minorHAnsi"/>
          <w:sz w:val="24"/>
          <w:szCs w:val="24"/>
        </w:rPr>
        <w:footnoteReference w:id="28"/>
      </w:r>
      <w:bookmarkEnd w:id="14"/>
      <w:r w:rsidR="0001402A">
        <w:rPr>
          <w:rFonts w:cstheme="minorHAnsi"/>
          <w:sz w:val="24"/>
          <w:szCs w:val="24"/>
        </w:rPr>
        <w:t xml:space="preserve"> </w:t>
      </w:r>
      <w:r w:rsidR="00FE7373">
        <w:rPr>
          <w:rFonts w:cstheme="minorHAnsi"/>
          <w:sz w:val="24"/>
          <w:szCs w:val="24"/>
        </w:rPr>
        <w:t>began</w:t>
      </w:r>
      <w:r w:rsidR="0001402A">
        <w:rPr>
          <w:rFonts w:cstheme="minorHAnsi"/>
          <w:sz w:val="24"/>
          <w:szCs w:val="24"/>
        </w:rPr>
        <w:t xml:space="preserve"> when the </w:t>
      </w:r>
      <w:r w:rsidR="006A6871">
        <w:rPr>
          <w:rFonts w:cstheme="minorHAnsi"/>
          <w:sz w:val="24"/>
          <w:szCs w:val="24"/>
        </w:rPr>
        <w:t>discovery of statistical regularities</w:t>
      </w:r>
      <w:r w:rsidR="00A37A4F">
        <w:rPr>
          <w:rFonts w:cstheme="minorHAnsi"/>
          <w:sz w:val="24"/>
          <w:szCs w:val="24"/>
        </w:rPr>
        <w:t xml:space="preserve"> among populations led to </w:t>
      </w:r>
      <w:r w:rsidR="00542478">
        <w:rPr>
          <w:rFonts w:cstheme="minorHAnsi"/>
          <w:sz w:val="24"/>
          <w:szCs w:val="24"/>
        </w:rPr>
        <w:t>‘</w:t>
      </w:r>
      <w:r w:rsidR="00A37A4F">
        <w:rPr>
          <w:rFonts w:cstheme="minorHAnsi"/>
          <w:sz w:val="24"/>
          <w:szCs w:val="24"/>
        </w:rPr>
        <w:t>a fundamentally quantitative feel for nature, how it is and how it ought to be</w:t>
      </w:r>
      <w:r w:rsidR="00542478">
        <w:rPr>
          <w:rFonts w:cstheme="minorHAnsi"/>
          <w:sz w:val="24"/>
          <w:szCs w:val="24"/>
        </w:rPr>
        <w:t>’</w:t>
      </w:r>
      <w:r w:rsidR="00A37A4F">
        <w:rPr>
          <w:rFonts w:cstheme="minorHAnsi"/>
          <w:sz w:val="24"/>
          <w:szCs w:val="24"/>
        </w:rPr>
        <w:t>.</w:t>
      </w:r>
      <w:r w:rsidR="00A37A4F">
        <w:rPr>
          <w:rStyle w:val="FootnoteReference"/>
          <w:rFonts w:cstheme="minorHAnsi"/>
          <w:sz w:val="24"/>
          <w:szCs w:val="24"/>
        </w:rPr>
        <w:footnoteReference w:id="29"/>
      </w:r>
      <w:r w:rsidR="00137680">
        <w:rPr>
          <w:rFonts w:cstheme="minorHAnsi"/>
          <w:sz w:val="24"/>
          <w:szCs w:val="24"/>
        </w:rPr>
        <w:t xml:space="preserve"> These statistics revealed that populations have their own regularities, their own rates of death and disease, cycles of scarcity, and so on.</w:t>
      </w:r>
      <w:r w:rsidR="00C5062E">
        <w:rPr>
          <w:rStyle w:val="FootnoteReference"/>
          <w:rFonts w:cstheme="minorHAnsi"/>
          <w:sz w:val="24"/>
          <w:szCs w:val="24"/>
        </w:rPr>
        <w:footnoteReference w:id="30"/>
      </w:r>
      <w:r w:rsidR="00E03A3D">
        <w:rPr>
          <w:rFonts w:cstheme="minorHAnsi"/>
          <w:sz w:val="24"/>
          <w:szCs w:val="24"/>
        </w:rPr>
        <w:t xml:space="preserve"> Foucault argued that</w:t>
      </w:r>
      <w:r w:rsidR="0001402A">
        <w:rPr>
          <w:rFonts w:cstheme="minorHAnsi"/>
          <w:sz w:val="24"/>
          <w:szCs w:val="24"/>
        </w:rPr>
        <w:t xml:space="preserve"> state</w:t>
      </w:r>
      <w:r w:rsidR="00E03A3D">
        <w:rPr>
          <w:rFonts w:cstheme="minorHAnsi"/>
          <w:sz w:val="24"/>
          <w:szCs w:val="24"/>
        </w:rPr>
        <w:t>s</w:t>
      </w:r>
      <w:r w:rsidR="00C47539">
        <w:rPr>
          <w:rFonts w:cstheme="minorHAnsi"/>
          <w:sz w:val="24"/>
          <w:szCs w:val="24"/>
        </w:rPr>
        <w:t xml:space="preserve"> seek</w:t>
      </w:r>
      <w:r w:rsidR="00E03A3D">
        <w:rPr>
          <w:rFonts w:cstheme="minorHAnsi"/>
          <w:sz w:val="24"/>
          <w:szCs w:val="24"/>
        </w:rPr>
        <w:t xml:space="preserve"> </w:t>
      </w:r>
      <w:r w:rsidR="0001402A">
        <w:rPr>
          <w:rFonts w:cstheme="minorHAnsi"/>
          <w:sz w:val="24"/>
          <w:szCs w:val="24"/>
        </w:rPr>
        <w:t>to integrate citizens</w:t>
      </w:r>
      <w:r w:rsidR="00797699" w:rsidRPr="008044A5">
        <w:rPr>
          <w:rFonts w:cstheme="minorHAnsi"/>
          <w:sz w:val="24"/>
          <w:szCs w:val="24"/>
        </w:rPr>
        <w:t xml:space="preserve"> </w:t>
      </w:r>
      <w:r w:rsidR="00542478">
        <w:rPr>
          <w:rFonts w:cstheme="minorHAnsi"/>
          <w:sz w:val="24"/>
          <w:szCs w:val="24"/>
        </w:rPr>
        <w:t>‘</w:t>
      </w:r>
      <w:r w:rsidR="00797699" w:rsidRPr="008044A5">
        <w:rPr>
          <w:rFonts w:cstheme="minorHAnsi"/>
          <w:sz w:val="24"/>
          <w:szCs w:val="24"/>
        </w:rPr>
        <w:t>into systems of efficient and economic controls</w:t>
      </w:r>
      <w:r w:rsidR="00542478">
        <w:rPr>
          <w:rFonts w:cstheme="minorHAnsi"/>
          <w:sz w:val="24"/>
          <w:szCs w:val="24"/>
        </w:rPr>
        <w:t>’</w:t>
      </w:r>
      <w:r w:rsidR="00797699" w:rsidRPr="008044A5">
        <w:rPr>
          <w:rFonts w:cstheme="minorHAnsi"/>
          <w:sz w:val="24"/>
          <w:szCs w:val="24"/>
        </w:rPr>
        <w:t xml:space="preserve"> by supervising the populati</w:t>
      </w:r>
      <w:r w:rsidR="00A8009D">
        <w:rPr>
          <w:rFonts w:cstheme="minorHAnsi"/>
          <w:sz w:val="24"/>
          <w:szCs w:val="24"/>
        </w:rPr>
        <w:t xml:space="preserve">on’s regularities </w:t>
      </w:r>
      <w:r w:rsidR="00797699" w:rsidRPr="008044A5">
        <w:rPr>
          <w:rFonts w:cstheme="minorHAnsi"/>
          <w:sz w:val="24"/>
          <w:szCs w:val="24"/>
        </w:rPr>
        <w:t>and disciplin</w:t>
      </w:r>
      <w:r w:rsidR="00E106AD">
        <w:rPr>
          <w:rFonts w:cstheme="minorHAnsi"/>
          <w:sz w:val="24"/>
          <w:szCs w:val="24"/>
        </w:rPr>
        <w:t>ing</w:t>
      </w:r>
      <w:r w:rsidR="00797699" w:rsidRPr="008044A5">
        <w:rPr>
          <w:rFonts w:cstheme="minorHAnsi"/>
          <w:sz w:val="24"/>
          <w:szCs w:val="24"/>
        </w:rPr>
        <w:t xml:space="preserve"> those that deviate from them</w:t>
      </w:r>
      <w:r w:rsidR="00797699">
        <w:rPr>
          <w:rFonts w:cstheme="minorHAnsi"/>
          <w:sz w:val="24"/>
          <w:szCs w:val="24"/>
        </w:rPr>
        <w:t>.</w:t>
      </w:r>
      <w:r w:rsidR="00FD2DEC">
        <w:rPr>
          <w:rStyle w:val="FootnoteReference"/>
          <w:rFonts w:cstheme="minorHAnsi"/>
          <w:sz w:val="24"/>
          <w:szCs w:val="24"/>
        </w:rPr>
        <w:footnoteReference w:id="31"/>
      </w:r>
      <w:r w:rsidR="006B4960">
        <w:rPr>
          <w:rFonts w:cstheme="minorHAnsi"/>
          <w:sz w:val="24"/>
          <w:szCs w:val="24"/>
        </w:rPr>
        <w:t xml:space="preserve"> He believed</w:t>
      </w:r>
      <w:r w:rsidR="00E529CD">
        <w:rPr>
          <w:rFonts w:cstheme="minorHAnsi"/>
          <w:sz w:val="24"/>
          <w:szCs w:val="24"/>
        </w:rPr>
        <w:t xml:space="preserve"> in particular</w:t>
      </w:r>
      <w:r w:rsidR="006B4960">
        <w:rPr>
          <w:rFonts w:cstheme="minorHAnsi"/>
          <w:sz w:val="24"/>
          <w:szCs w:val="24"/>
        </w:rPr>
        <w:t xml:space="preserve"> that mental illness was</w:t>
      </w:r>
      <w:r w:rsidR="00E529CD">
        <w:rPr>
          <w:rFonts w:cstheme="minorHAnsi"/>
          <w:sz w:val="24"/>
          <w:szCs w:val="24"/>
        </w:rPr>
        <w:t xml:space="preserve"> </w:t>
      </w:r>
      <w:r w:rsidR="006B4960">
        <w:rPr>
          <w:rFonts w:cstheme="minorHAnsi"/>
          <w:sz w:val="24"/>
          <w:szCs w:val="24"/>
        </w:rPr>
        <w:t xml:space="preserve">reconstructed as a </w:t>
      </w:r>
      <w:r w:rsidR="00542478">
        <w:rPr>
          <w:rFonts w:cstheme="minorHAnsi"/>
          <w:sz w:val="24"/>
          <w:szCs w:val="24"/>
        </w:rPr>
        <w:t>‘</w:t>
      </w:r>
      <w:r w:rsidR="006B4960">
        <w:rPr>
          <w:rFonts w:cstheme="minorHAnsi"/>
          <w:sz w:val="24"/>
          <w:szCs w:val="24"/>
        </w:rPr>
        <w:t>social danger</w:t>
      </w:r>
      <w:r w:rsidR="00542478">
        <w:rPr>
          <w:rFonts w:cstheme="minorHAnsi"/>
          <w:sz w:val="24"/>
          <w:szCs w:val="24"/>
        </w:rPr>
        <w:t>’</w:t>
      </w:r>
      <w:r w:rsidR="006B4960">
        <w:rPr>
          <w:rFonts w:cstheme="minorHAnsi"/>
          <w:sz w:val="24"/>
          <w:szCs w:val="24"/>
        </w:rPr>
        <w:t xml:space="preserve"> which justified the deployment of coercive power as a method of </w:t>
      </w:r>
      <w:r w:rsidR="00542478">
        <w:rPr>
          <w:rFonts w:cstheme="minorHAnsi"/>
          <w:sz w:val="24"/>
          <w:szCs w:val="24"/>
        </w:rPr>
        <w:t>‘</w:t>
      </w:r>
      <w:r w:rsidR="00E529CD">
        <w:rPr>
          <w:rFonts w:cstheme="minorHAnsi"/>
          <w:sz w:val="24"/>
          <w:szCs w:val="24"/>
        </w:rPr>
        <w:t>medical discipline</w:t>
      </w:r>
      <w:r w:rsidR="00542478">
        <w:rPr>
          <w:rFonts w:cstheme="minorHAnsi"/>
          <w:sz w:val="24"/>
          <w:szCs w:val="24"/>
        </w:rPr>
        <w:t>’</w:t>
      </w:r>
      <w:r w:rsidR="00E529CD">
        <w:rPr>
          <w:rFonts w:cstheme="minorHAnsi"/>
          <w:sz w:val="24"/>
          <w:szCs w:val="24"/>
        </w:rPr>
        <w:t xml:space="preserve"> directed at</w:t>
      </w:r>
      <w:r w:rsidR="006B4960">
        <w:rPr>
          <w:rFonts w:cstheme="minorHAnsi"/>
          <w:sz w:val="24"/>
          <w:szCs w:val="24"/>
        </w:rPr>
        <w:t xml:space="preserve"> </w:t>
      </w:r>
      <w:r w:rsidR="00542478">
        <w:rPr>
          <w:rFonts w:cstheme="minorHAnsi"/>
          <w:sz w:val="24"/>
          <w:szCs w:val="24"/>
        </w:rPr>
        <w:t>‘</w:t>
      </w:r>
      <w:r w:rsidR="006B4960">
        <w:rPr>
          <w:rFonts w:cstheme="minorHAnsi"/>
          <w:sz w:val="24"/>
          <w:szCs w:val="24"/>
        </w:rPr>
        <w:t>transforming the individual</w:t>
      </w:r>
      <w:r w:rsidR="00542478">
        <w:rPr>
          <w:rFonts w:cstheme="minorHAnsi"/>
          <w:sz w:val="24"/>
          <w:szCs w:val="24"/>
        </w:rPr>
        <w:t>’</w:t>
      </w:r>
      <w:r w:rsidR="006B4960">
        <w:rPr>
          <w:rFonts w:cstheme="minorHAnsi"/>
          <w:sz w:val="24"/>
          <w:szCs w:val="24"/>
        </w:rPr>
        <w:t>.</w:t>
      </w:r>
      <w:r w:rsidR="006B4960">
        <w:rPr>
          <w:rStyle w:val="FootnoteReference"/>
          <w:rFonts w:cstheme="minorHAnsi"/>
          <w:sz w:val="24"/>
          <w:szCs w:val="24"/>
        </w:rPr>
        <w:footnoteReference w:id="32"/>
      </w:r>
      <w:r w:rsidR="006B4960">
        <w:rPr>
          <w:rFonts w:cstheme="minorHAnsi"/>
          <w:sz w:val="24"/>
          <w:szCs w:val="24"/>
        </w:rPr>
        <w:t xml:space="preserve"> </w:t>
      </w:r>
      <w:r w:rsidR="008950E4">
        <w:rPr>
          <w:rFonts w:cstheme="minorHAnsi"/>
          <w:sz w:val="24"/>
          <w:szCs w:val="24"/>
        </w:rPr>
        <w:t xml:space="preserve">For Foucault, the </w:t>
      </w:r>
      <w:r w:rsidR="00137680">
        <w:rPr>
          <w:rFonts w:cstheme="minorHAnsi"/>
          <w:sz w:val="24"/>
          <w:szCs w:val="24"/>
        </w:rPr>
        <w:lastRenderedPageBreak/>
        <w:t xml:space="preserve">maintenance of a productive </w:t>
      </w:r>
      <w:r w:rsidR="00F85EDE">
        <w:rPr>
          <w:rFonts w:cstheme="minorHAnsi"/>
          <w:sz w:val="24"/>
          <w:szCs w:val="24"/>
        </w:rPr>
        <w:t>population is, above all else,</w:t>
      </w:r>
      <w:r w:rsidR="00E03A3D">
        <w:rPr>
          <w:rFonts w:cstheme="minorHAnsi"/>
          <w:sz w:val="24"/>
          <w:szCs w:val="24"/>
        </w:rPr>
        <w:t xml:space="preserve"> the </w:t>
      </w:r>
      <w:r w:rsidR="00542478">
        <w:rPr>
          <w:rFonts w:cstheme="minorHAnsi"/>
          <w:sz w:val="24"/>
          <w:szCs w:val="24"/>
        </w:rPr>
        <w:t>‘</w:t>
      </w:r>
      <w:r w:rsidR="00E03A3D">
        <w:rPr>
          <w:rFonts w:cstheme="minorHAnsi"/>
          <w:sz w:val="24"/>
          <w:szCs w:val="24"/>
        </w:rPr>
        <w:t>ultimate end of government</w:t>
      </w:r>
      <w:r w:rsidR="00542478">
        <w:rPr>
          <w:rFonts w:cstheme="minorHAnsi"/>
          <w:sz w:val="24"/>
          <w:szCs w:val="24"/>
        </w:rPr>
        <w:t>’</w:t>
      </w:r>
      <w:r w:rsidR="003A1AAB">
        <w:rPr>
          <w:rFonts w:cstheme="minorHAnsi"/>
          <w:sz w:val="24"/>
          <w:szCs w:val="24"/>
        </w:rPr>
        <w:t>.</w:t>
      </w:r>
      <w:r w:rsidR="00E03A3D">
        <w:rPr>
          <w:rStyle w:val="FootnoteReference"/>
          <w:rFonts w:cstheme="minorHAnsi"/>
          <w:sz w:val="24"/>
          <w:szCs w:val="24"/>
        </w:rPr>
        <w:footnoteReference w:id="33"/>
      </w:r>
      <w:r w:rsidR="00666D35">
        <w:rPr>
          <w:rFonts w:cstheme="minorHAnsi"/>
          <w:sz w:val="24"/>
          <w:szCs w:val="24"/>
        </w:rPr>
        <w:t xml:space="preserve"> </w:t>
      </w:r>
      <w:r w:rsidR="004B1FB8">
        <w:rPr>
          <w:rFonts w:cstheme="minorHAnsi"/>
          <w:sz w:val="24"/>
          <w:szCs w:val="24"/>
        </w:rPr>
        <w:t>C</w:t>
      </w:r>
      <w:r w:rsidR="002315D3">
        <w:rPr>
          <w:rFonts w:cstheme="minorHAnsi"/>
          <w:sz w:val="24"/>
          <w:szCs w:val="24"/>
        </w:rPr>
        <w:t xml:space="preserve">oercive mental health laws </w:t>
      </w:r>
      <w:r w:rsidR="00016C15">
        <w:rPr>
          <w:rFonts w:cstheme="minorHAnsi"/>
          <w:sz w:val="24"/>
          <w:szCs w:val="24"/>
        </w:rPr>
        <w:t>are</w:t>
      </w:r>
      <w:r w:rsidR="002315D3">
        <w:rPr>
          <w:rFonts w:cstheme="minorHAnsi"/>
          <w:sz w:val="24"/>
          <w:szCs w:val="24"/>
        </w:rPr>
        <w:t xml:space="preserve"> a means </w:t>
      </w:r>
      <w:r w:rsidR="00016C15">
        <w:rPr>
          <w:rFonts w:cstheme="minorHAnsi"/>
          <w:sz w:val="24"/>
          <w:szCs w:val="24"/>
        </w:rPr>
        <w:t>to</w:t>
      </w:r>
      <w:r w:rsidR="002315D3">
        <w:rPr>
          <w:rFonts w:cstheme="minorHAnsi"/>
          <w:sz w:val="24"/>
          <w:szCs w:val="24"/>
        </w:rPr>
        <w:t xml:space="preserve"> that end.</w:t>
      </w:r>
    </w:p>
    <w:p w:rsidR="00D56B5F" w:rsidRDefault="00471B0C" w:rsidP="00DE5530">
      <w:pPr>
        <w:spacing w:line="720" w:lineRule="auto"/>
        <w:ind w:firstLine="720"/>
        <w:jc w:val="both"/>
        <w:rPr>
          <w:rFonts w:cstheme="minorHAnsi"/>
          <w:sz w:val="24"/>
          <w:szCs w:val="24"/>
        </w:rPr>
      </w:pPr>
      <w:proofErr w:type="spellStart"/>
      <w:r>
        <w:rPr>
          <w:rFonts w:cstheme="minorHAnsi"/>
          <w:sz w:val="24"/>
          <w:szCs w:val="24"/>
        </w:rPr>
        <w:t>Governmentality’s</w:t>
      </w:r>
      <w:proofErr w:type="spellEnd"/>
      <w:r>
        <w:rPr>
          <w:rFonts w:cstheme="minorHAnsi"/>
          <w:sz w:val="24"/>
          <w:szCs w:val="24"/>
        </w:rPr>
        <w:t xml:space="preserve"> </w:t>
      </w:r>
      <w:r w:rsidR="00542478">
        <w:rPr>
          <w:rFonts w:cstheme="minorHAnsi"/>
          <w:sz w:val="24"/>
          <w:szCs w:val="24"/>
        </w:rPr>
        <w:t>‘</w:t>
      </w:r>
      <w:r w:rsidR="00BF34EB">
        <w:rPr>
          <w:rFonts w:cstheme="minorHAnsi"/>
          <w:sz w:val="24"/>
          <w:szCs w:val="24"/>
        </w:rPr>
        <w:t>constructivis</w:t>
      </w:r>
      <w:r>
        <w:rPr>
          <w:rFonts w:cstheme="minorHAnsi"/>
          <w:sz w:val="24"/>
          <w:szCs w:val="24"/>
        </w:rPr>
        <w:t>m</w:t>
      </w:r>
      <w:r w:rsidR="00542478">
        <w:rPr>
          <w:rFonts w:cstheme="minorHAnsi"/>
          <w:sz w:val="24"/>
          <w:szCs w:val="24"/>
        </w:rPr>
        <w:t>’</w:t>
      </w:r>
      <w:r w:rsidR="00BF34EB">
        <w:rPr>
          <w:rFonts w:cstheme="minorHAnsi"/>
          <w:sz w:val="24"/>
          <w:szCs w:val="24"/>
        </w:rPr>
        <w:t xml:space="preserve"> </w:t>
      </w:r>
      <w:r w:rsidR="00416582">
        <w:rPr>
          <w:rFonts w:cstheme="minorHAnsi"/>
          <w:sz w:val="24"/>
          <w:szCs w:val="24"/>
        </w:rPr>
        <w:t xml:space="preserve">assumes </w:t>
      </w:r>
      <w:r w:rsidR="00DC7CE8">
        <w:rPr>
          <w:rFonts w:cstheme="minorHAnsi"/>
          <w:sz w:val="24"/>
          <w:szCs w:val="24"/>
        </w:rPr>
        <w:t>risks</w:t>
      </w:r>
      <w:r w:rsidR="00416582">
        <w:rPr>
          <w:rFonts w:cstheme="minorHAnsi"/>
          <w:sz w:val="24"/>
          <w:szCs w:val="24"/>
        </w:rPr>
        <w:t xml:space="preserve"> </w:t>
      </w:r>
      <w:r w:rsidR="0094032D">
        <w:rPr>
          <w:rFonts w:cstheme="minorHAnsi"/>
          <w:sz w:val="24"/>
          <w:szCs w:val="24"/>
        </w:rPr>
        <w:t>are defined by</w:t>
      </w:r>
      <w:r w:rsidR="00C75AEA">
        <w:rPr>
          <w:rFonts w:cstheme="minorHAnsi"/>
          <w:sz w:val="24"/>
          <w:szCs w:val="24"/>
        </w:rPr>
        <w:t xml:space="preserve"> </w:t>
      </w:r>
      <w:r w:rsidR="00542478">
        <w:rPr>
          <w:rFonts w:cstheme="minorHAnsi"/>
          <w:sz w:val="24"/>
          <w:szCs w:val="24"/>
        </w:rPr>
        <w:t>‘</w:t>
      </w:r>
      <w:r w:rsidR="00C75AEA">
        <w:rPr>
          <w:rFonts w:cstheme="minorHAnsi"/>
          <w:sz w:val="24"/>
          <w:szCs w:val="24"/>
        </w:rPr>
        <w:t>discourses</w:t>
      </w:r>
      <w:r w:rsidR="00542478">
        <w:rPr>
          <w:rFonts w:cstheme="minorHAnsi"/>
          <w:sz w:val="24"/>
          <w:szCs w:val="24"/>
        </w:rPr>
        <w:t>’</w:t>
      </w:r>
      <w:r w:rsidR="00C75AEA">
        <w:rPr>
          <w:rFonts w:cstheme="minorHAnsi"/>
          <w:sz w:val="24"/>
          <w:szCs w:val="24"/>
        </w:rPr>
        <w:t xml:space="preserve"> through which </w:t>
      </w:r>
      <w:r w:rsidR="00542478">
        <w:rPr>
          <w:rFonts w:cstheme="minorHAnsi"/>
          <w:sz w:val="24"/>
          <w:szCs w:val="24"/>
        </w:rPr>
        <w:t>‘</w:t>
      </w:r>
      <w:r w:rsidR="00C75AEA">
        <w:rPr>
          <w:rFonts w:cstheme="minorHAnsi"/>
          <w:sz w:val="24"/>
          <w:szCs w:val="24"/>
        </w:rPr>
        <w:t>dominant institutions formulate language and information that generates and fuels prevalent ideas</w:t>
      </w:r>
      <w:r w:rsidR="00312E2E">
        <w:rPr>
          <w:rFonts w:cstheme="minorHAnsi"/>
          <w:sz w:val="24"/>
          <w:szCs w:val="24"/>
        </w:rPr>
        <w:t>’.</w:t>
      </w:r>
      <w:bookmarkStart w:id="15" w:name="_Ref447202219"/>
      <w:r w:rsidR="00C75AEA">
        <w:rPr>
          <w:rStyle w:val="FootnoteReference"/>
          <w:rFonts w:cstheme="minorHAnsi"/>
          <w:sz w:val="24"/>
          <w:szCs w:val="24"/>
        </w:rPr>
        <w:footnoteReference w:id="34"/>
      </w:r>
      <w:bookmarkEnd w:id="15"/>
      <w:r w:rsidR="00F169C4">
        <w:rPr>
          <w:rFonts w:cstheme="minorHAnsi"/>
          <w:sz w:val="24"/>
          <w:szCs w:val="24"/>
        </w:rPr>
        <w:t xml:space="preserve"> </w:t>
      </w:r>
      <w:r w:rsidR="001F1860" w:rsidRPr="008044A5">
        <w:rPr>
          <w:rFonts w:cstheme="minorHAnsi"/>
          <w:sz w:val="24"/>
          <w:szCs w:val="24"/>
        </w:rPr>
        <w:t xml:space="preserve">Lupton argues </w:t>
      </w:r>
      <w:r w:rsidR="002F655C">
        <w:rPr>
          <w:rFonts w:cstheme="minorHAnsi"/>
          <w:sz w:val="24"/>
          <w:szCs w:val="24"/>
        </w:rPr>
        <w:t>that i</w:t>
      </w:r>
      <w:r w:rsidR="002F655C" w:rsidRPr="008044A5">
        <w:rPr>
          <w:rFonts w:cstheme="minorHAnsi"/>
          <w:sz w:val="24"/>
          <w:szCs w:val="24"/>
        </w:rPr>
        <w:t>mputations of risk are</w:t>
      </w:r>
      <w:r w:rsidR="002F655C">
        <w:rPr>
          <w:rFonts w:cstheme="minorHAnsi"/>
          <w:sz w:val="24"/>
          <w:szCs w:val="24"/>
        </w:rPr>
        <w:t xml:space="preserve"> invariably</w:t>
      </w:r>
      <w:r w:rsidR="002F655C" w:rsidRPr="008044A5">
        <w:rPr>
          <w:rFonts w:cstheme="minorHAnsi"/>
          <w:sz w:val="24"/>
          <w:szCs w:val="24"/>
        </w:rPr>
        <w:t xml:space="preserve"> levelled against people on the margins of society</w:t>
      </w:r>
      <w:r w:rsidR="001F1860" w:rsidRPr="008044A5">
        <w:rPr>
          <w:rFonts w:cstheme="minorHAnsi"/>
          <w:sz w:val="24"/>
          <w:szCs w:val="24"/>
        </w:rPr>
        <w:t>.</w:t>
      </w:r>
      <w:r w:rsidR="001F1860" w:rsidRPr="008044A5">
        <w:rPr>
          <w:rStyle w:val="FootnoteReference"/>
          <w:rFonts w:cstheme="minorHAnsi"/>
          <w:sz w:val="24"/>
          <w:szCs w:val="24"/>
        </w:rPr>
        <w:footnoteReference w:id="35"/>
      </w:r>
      <w:r w:rsidR="00F60C5C">
        <w:rPr>
          <w:rFonts w:cstheme="minorHAnsi"/>
          <w:sz w:val="24"/>
          <w:szCs w:val="24"/>
        </w:rPr>
        <w:t xml:space="preserve"> She says that modern society values the</w:t>
      </w:r>
      <w:r w:rsidR="00163790">
        <w:rPr>
          <w:rFonts w:cstheme="minorHAnsi"/>
          <w:sz w:val="24"/>
          <w:szCs w:val="24"/>
        </w:rPr>
        <w:t xml:space="preserve"> ‘civilised body’</w:t>
      </w:r>
      <w:r w:rsidR="00F60C5C">
        <w:rPr>
          <w:rFonts w:cstheme="minorHAnsi"/>
          <w:sz w:val="24"/>
          <w:szCs w:val="24"/>
        </w:rPr>
        <w:t xml:space="preserve"> (i.e., that which is white, able-bodied, bourgeois, heterosexual and masculine)</w:t>
      </w:r>
      <w:r w:rsidR="00163790">
        <w:rPr>
          <w:rFonts w:cstheme="minorHAnsi"/>
          <w:sz w:val="24"/>
          <w:szCs w:val="24"/>
        </w:rPr>
        <w:t xml:space="preserve"> </w:t>
      </w:r>
      <w:r w:rsidR="001F1860" w:rsidRPr="008044A5">
        <w:rPr>
          <w:rFonts w:cstheme="minorHAnsi"/>
          <w:sz w:val="24"/>
          <w:szCs w:val="24"/>
        </w:rPr>
        <w:t xml:space="preserve">over ‘The </w:t>
      </w:r>
      <w:proofErr w:type="gramStart"/>
      <w:r w:rsidR="001F1860" w:rsidRPr="008044A5">
        <w:rPr>
          <w:rFonts w:cstheme="minorHAnsi"/>
          <w:sz w:val="24"/>
          <w:szCs w:val="24"/>
        </w:rPr>
        <w:t>Other</w:t>
      </w:r>
      <w:proofErr w:type="gramEnd"/>
      <w:r w:rsidR="001F1860" w:rsidRPr="008044A5">
        <w:rPr>
          <w:rFonts w:cstheme="minorHAnsi"/>
          <w:sz w:val="24"/>
          <w:szCs w:val="24"/>
        </w:rPr>
        <w:t>’</w:t>
      </w:r>
      <w:r w:rsidR="00F60C5C">
        <w:rPr>
          <w:rFonts w:cstheme="minorHAnsi"/>
          <w:sz w:val="24"/>
          <w:szCs w:val="24"/>
        </w:rPr>
        <w:t xml:space="preserve"> (</w:t>
      </w:r>
      <w:r w:rsidR="00F04A98">
        <w:rPr>
          <w:rFonts w:cstheme="minorHAnsi"/>
          <w:sz w:val="24"/>
          <w:szCs w:val="24"/>
        </w:rPr>
        <w:t xml:space="preserve">e.g., </w:t>
      </w:r>
      <w:r w:rsidR="001F1860" w:rsidRPr="008044A5">
        <w:rPr>
          <w:rFonts w:cstheme="minorHAnsi"/>
          <w:sz w:val="24"/>
          <w:szCs w:val="24"/>
        </w:rPr>
        <w:t>women, the working class, non-whites, the disabled,</w:t>
      </w:r>
      <w:r w:rsidR="00314F29">
        <w:rPr>
          <w:rFonts w:cstheme="minorHAnsi"/>
          <w:sz w:val="24"/>
          <w:szCs w:val="24"/>
        </w:rPr>
        <w:t xml:space="preserve"> and</w:t>
      </w:r>
      <w:r w:rsidR="001F1860" w:rsidRPr="008044A5">
        <w:rPr>
          <w:rFonts w:cstheme="minorHAnsi"/>
          <w:sz w:val="24"/>
          <w:szCs w:val="24"/>
        </w:rPr>
        <w:t xml:space="preserve"> gays and lesbians</w:t>
      </w:r>
      <w:r w:rsidR="00F60C5C">
        <w:rPr>
          <w:rFonts w:cstheme="minorHAnsi"/>
          <w:sz w:val="24"/>
          <w:szCs w:val="24"/>
        </w:rPr>
        <w:t xml:space="preserve"> </w:t>
      </w:r>
      <w:r w:rsidR="00314F29">
        <w:rPr>
          <w:rFonts w:cstheme="minorHAnsi"/>
          <w:sz w:val="24"/>
          <w:szCs w:val="24"/>
        </w:rPr>
        <w:t>(</w:t>
      </w:r>
      <w:r w:rsidR="00F60C5C">
        <w:rPr>
          <w:rFonts w:cstheme="minorHAnsi"/>
          <w:sz w:val="24"/>
          <w:szCs w:val="24"/>
        </w:rPr>
        <w:t>and, presumably, the mentally ill</w:t>
      </w:r>
      <w:r w:rsidR="00314F29">
        <w:rPr>
          <w:rFonts w:cstheme="minorHAnsi"/>
          <w:sz w:val="24"/>
          <w:szCs w:val="24"/>
        </w:rPr>
        <w:t>)</w:t>
      </w:r>
      <w:r w:rsidR="00F60C5C">
        <w:rPr>
          <w:rFonts w:cstheme="minorHAnsi"/>
          <w:sz w:val="24"/>
          <w:szCs w:val="24"/>
        </w:rPr>
        <w:t>)</w:t>
      </w:r>
      <w:r w:rsidR="001F1860" w:rsidRPr="008044A5">
        <w:rPr>
          <w:rFonts w:cstheme="minorHAnsi"/>
          <w:sz w:val="24"/>
          <w:szCs w:val="24"/>
        </w:rPr>
        <w:t>.</w:t>
      </w:r>
      <w:r w:rsidR="001F1860" w:rsidRPr="008044A5">
        <w:rPr>
          <w:rStyle w:val="FootnoteReference"/>
          <w:rFonts w:cstheme="minorHAnsi"/>
          <w:sz w:val="24"/>
          <w:szCs w:val="24"/>
        </w:rPr>
        <w:footnoteReference w:id="36"/>
      </w:r>
      <w:r w:rsidR="00F04A98">
        <w:rPr>
          <w:rFonts w:cstheme="minorHAnsi"/>
          <w:sz w:val="24"/>
          <w:szCs w:val="24"/>
        </w:rPr>
        <w:t xml:space="preserve"> </w:t>
      </w:r>
      <w:r w:rsidR="000C7687">
        <w:rPr>
          <w:rFonts w:cstheme="minorHAnsi"/>
          <w:sz w:val="24"/>
          <w:szCs w:val="24"/>
        </w:rPr>
        <w:t xml:space="preserve">‘The </w:t>
      </w:r>
      <w:proofErr w:type="gramStart"/>
      <w:r w:rsidR="000C7687">
        <w:rPr>
          <w:rFonts w:cstheme="minorHAnsi"/>
          <w:sz w:val="24"/>
          <w:szCs w:val="24"/>
        </w:rPr>
        <w:t>Other</w:t>
      </w:r>
      <w:proofErr w:type="gramEnd"/>
      <w:r w:rsidR="000C7687">
        <w:rPr>
          <w:rFonts w:cstheme="minorHAnsi"/>
          <w:sz w:val="24"/>
          <w:szCs w:val="24"/>
        </w:rPr>
        <w:t>’</w:t>
      </w:r>
      <w:r w:rsidR="007363C5">
        <w:rPr>
          <w:rFonts w:cstheme="minorHAnsi"/>
          <w:sz w:val="24"/>
          <w:szCs w:val="24"/>
        </w:rPr>
        <w:t xml:space="preserve"> poses a risk and</w:t>
      </w:r>
      <w:r w:rsidR="000C7687">
        <w:rPr>
          <w:rFonts w:cstheme="minorHAnsi"/>
          <w:sz w:val="24"/>
          <w:szCs w:val="24"/>
        </w:rPr>
        <w:t xml:space="preserve"> is</w:t>
      </w:r>
      <w:r w:rsidR="007363C5">
        <w:rPr>
          <w:rFonts w:cstheme="minorHAnsi"/>
          <w:sz w:val="24"/>
          <w:szCs w:val="24"/>
        </w:rPr>
        <w:t xml:space="preserve"> therefore</w:t>
      </w:r>
      <w:r w:rsidR="000C7687">
        <w:rPr>
          <w:rFonts w:cstheme="minorHAnsi"/>
          <w:sz w:val="24"/>
          <w:szCs w:val="24"/>
        </w:rPr>
        <w:t xml:space="preserve"> deemed</w:t>
      </w:r>
      <w:r w:rsidR="007363C5">
        <w:rPr>
          <w:rFonts w:cstheme="minorHAnsi"/>
          <w:sz w:val="24"/>
          <w:szCs w:val="24"/>
        </w:rPr>
        <w:t xml:space="preserve"> to be</w:t>
      </w:r>
      <w:r w:rsidR="000C7687">
        <w:rPr>
          <w:rFonts w:cstheme="minorHAnsi"/>
          <w:sz w:val="24"/>
          <w:szCs w:val="24"/>
        </w:rPr>
        <w:t xml:space="preserve"> </w:t>
      </w:r>
      <w:r w:rsidR="00542478">
        <w:rPr>
          <w:rFonts w:cstheme="minorHAnsi"/>
          <w:sz w:val="24"/>
          <w:szCs w:val="24"/>
        </w:rPr>
        <w:t>‘</w:t>
      </w:r>
      <w:r w:rsidR="000C7687">
        <w:rPr>
          <w:rFonts w:cstheme="minorHAnsi"/>
          <w:sz w:val="24"/>
          <w:szCs w:val="24"/>
        </w:rPr>
        <w:t>needful of control, surveillance and discipline</w:t>
      </w:r>
      <w:r w:rsidR="00312E2E">
        <w:rPr>
          <w:rFonts w:cstheme="minorHAnsi"/>
          <w:sz w:val="24"/>
          <w:szCs w:val="24"/>
        </w:rPr>
        <w:t>’.</w:t>
      </w:r>
      <w:r w:rsidR="000C7687">
        <w:rPr>
          <w:rStyle w:val="FootnoteReference"/>
          <w:rFonts w:cstheme="minorHAnsi"/>
          <w:sz w:val="24"/>
          <w:szCs w:val="24"/>
        </w:rPr>
        <w:footnoteReference w:id="37"/>
      </w:r>
      <w:r w:rsidR="00163790">
        <w:rPr>
          <w:rFonts w:cstheme="minorHAnsi"/>
          <w:sz w:val="24"/>
          <w:szCs w:val="24"/>
        </w:rPr>
        <w:t xml:space="preserve"> </w:t>
      </w:r>
      <w:r w:rsidR="007C3D56">
        <w:rPr>
          <w:rFonts w:cstheme="minorHAnsi"/>
          <w:sz w:val="24"/>
          <w:szCs w:val="24"/>
        </w:rPr>
        <w:t>This</w:t>
      </w:r>
      <w:r w:rsidR="00F75214">
        <w:rPr>
          <w:rFonts w:cstheme="minorHAnsi"/>
          <w:sz w:val="24"/>
          <w:szCs w:val="24"/>
        </w:rPr>
        <w:t xml:space="preserve"> </w:t>
      </w:r>
      <w:r w:rsidR="00314F29">
        <w:rPr>
          <w:rFonts w:cstheme="minorHAnsi"/>
          <w:sz w:val="24"/>
          <w:szCs w:val="24"/>
        </w:rPr>
        <w:t>socially-constructed</w:t>
      </w:r>
      <w:r w:rsidR="007C3D56">
        <w:rPr>
          <w:rFonts w:cstheme="minorHAnsi"/>
          <w:sz w:val="24"/>
          <w:szCs w:val="24"/>
        </w:rPr>
        <w:t xml:space="preserve"> interpretation</w:t>
      </w:r>
      <w:r w:rsidR="00F75214">
        <w:rPr>
          <w:rFonts w:cstheme="minorHAnsi"/>
          <w:sz w:val="24"/>
          <w:szCs w:val="24"/>
        </w:rPr>
        <w:t xml:space="preserve"> </w:t>
      </w:r>
      <w:r w:rsidR="007C3D56">
        <w:rPr>
          <w:rFonts w:cstheme="minorHAnsi"/>
          <w:sz w:val="24"/>
          <w:szCs w:val="24"/>
        </w:rPr>
        <w:t>contrasts with</w:t>
      </w:r>
      <w:r w:rsidR="00BE6422">
        <w:rPr>
          <w:rFonts w:cstheme="minorHAnsi"/>
          <w:sz w:val="24"/>
          <w:szCs w:val="24"/>
        </w:rPr>
        <w:t xml:space="preserve"> th</w:t>
      </w:r>
      <w:r w:rsidR="00314F29">
        <w:rPr>
          <w:rFonts w:cstheme="minorHAnsi"/>
          <w:sz w:val="24"/>
          <w:szCs w:val="24"/>
        </w:rPr>
        <w:t xml:space="preserve">e realism of </w:t>
      </w:r>
      <w:r w:rsidR="00542478">
        <w:rPr>
          <w:rFonts w:cstheme="minorHAnsi"/>
          <w:sz w:val="24"/>
          <w:szCs w:val="24"/>
        </w:rPr>
        <w:t>‘</w:t>
      </w:r>
      <w:r w:rsidR="00314F29">
        <w:rPr>
          <w:rFonts w:cstheme="minorHAnsi"/>
          <w:sz w:val="24"/>
          <w:szCs w:val="24"/>
        </w:rPr>
        <w:t>risk society</w:t>
      </w:r>
      <w:r w:rsidR="00542478">
        <w:rPr>
          <w:rFonts w:cstheme="minorHAnsi"/>
          <w:sz w:val="24"/>
          <w:szCs w:val="24"/>
        </w:rPr>
        <w:t>’</w:t>
      </w:r>
      <w:r w:rsidR="00314F29">
        <w:rPr>
          <w:rFonts w:cstheme="minorHAnsi"/>
          <w:sz w:val="24"/>
          <w:szCs w:val="24"/>
        </w:rPr>
        <w:t xml:space="preserve"> theory, which </w:t>
      </w:r>
      <w:r w:rsidR="00565148">
        <w:rPr>
          <w:rFonts w:cstheme="minorHAnsi"/>
          <w:sz w:val="24"/>
          <w:szCs w:val="24"/>
        </w:rPr>
        <w:t>defines</w:t>
      </w:r>
      <w:r w:rsidR="00BE6422">
        <w:rPr>
          <w:rFonts w:cstheme="minorHAnsi"/>
          <w:sz w:val="24"/>
          <w:szCs w:val="24"/>
        </w:rPr>
        <w:t xml:space="preserve"> risks as</w:t>
      </w:r>
      <w:r w:rsidR="00FC58D9">
        <w:rPr>
          <w:rFonts w:cstheme="minorHAnsi"/>
          <w:sz w:val="24"/>
          <w:szCs w:val="24"/>
        </w:rPr>
        <w:t xml:space="preserve"> the</w:t>
      </w:r>
      <w:r w:rsidR="00BE6422">
        <w:rPr>
          <w:rFonts w:cstheme="minorHAnsi"/>
          <w:sz w:val="24"/>
          <w:szCs w:val="24"/>
        </w:rPr>
        <w:t xml:space="preserve"> objectively-</w:t>
      </w:r>
      <w:r w:rsidR="00BE6422">
        <w:rPr>
          <w:rFonts w:cstheme="minorHAnsi"/>
          <w:sz w:val="24"/>
          <w:szCs w:val="24"/>
        </w:rPr>
        <w:lastRenderedPageBreak/>
        <w:t>identifiable</w:t>
      </w:r>
      <w:r w:rsidR="00FC58D9">
        <w:rPr>
          <w:rFonts w:cstheme="minorHAnsi"/>
          <w:sz w:val="24"/>
          <w:szCs w:val="24"/>
        </w:rPr>
        <w:t xml:space="preserve">, </w:t>
      </w:r>
      <w:r w:rsidR="00BE6422">
        <w:rPr>
          <w:rFonts w:cstheme="minorHAnsi"/>
          <w:sz w:val="24"/>
          <w:szCs w:val="24"/>
        </w:rPr>
        <w:t>manufactured hazards of modernity.</w:t>
      </w:r>
      <w:r w:rsidR="00FC58D9">
        <w:rPr>
          <w:rStyle w:val="FootnoteReference"/>
          <w:rFonts w:cstheme="minorHAnsi"/>
          <w:sz w:val="24"/>
          <w:szCs w:val="24"/>
        </w:rPr>
        <w:footnoteReference w:id="38"/>
      </w:r>
      <w:r w:rsidR="00C53386">
        <w:rPr>
          <w:rFonts w:cstheme="minorHAnsi"/>
          <w:sz w:val="24"/>
          <w:szCs w:val="24"/>
        </w:rPr>
        <w:t xml:space="preserve"> </w:t>
      </w:r>
      <w:r w:rsidR="00F75214">
        <w:rPr>
          <w:rFonts w:cstheme="minorHAnsi"/>
          <w:sz w:val="24"/>
          <w:szCs w:val="24"/>
        </w:rPr>
        <w:t>Yet t</w:t>
      </w:r>
      <w:r w:rsidR="00C53386">
        <w:rPr>
          <w:rFonts w:cstheme="minorHAnsi"/>
          <w:sz w:val="24"/>
          <w:szCs w:val="24"/>
        </w:rPr>
        <w:t xml:space="preserve">he constructivist interpretation is crucial in </w:t>
      </w:r>
      <w:r w:rsidR="00F75214">
        <w:rPr>
          <w:rFonts w:cstheme="minorHAnsi"/>
          <w:sz w:val="24"/>
          <w:szCs w:val="24"/>
        </w:rPr>
        <w:t>the mental health context</w:t>
      </w:r>
      <w:r w:rsidR="0041263D">
        <w:rPr>
          <w:rFonts w:cstheme="minorHAnsi"/>
          <w:sz w:val="24"/>
          <w:szCs w:val="24"/>
        </w:rPr>
        <w:t xml:space="preserve">, where the risks which justify compulsory </w:t>
      </w:r>
      <w:r w:rsidR="001C078B">
        <w:rPr>
          <w:rFonts w:cstheme="minorHAnsi"/>
          <w:sz w:val="24"/>
          <w:szCs w:val="24"/>
        </w:rPr>
        <w:t xml:space="preserve">care and treatment </w:t>
      </w:r>
      <w:r w:rsidR="004862F7">
        <w:rPr>
          <w:rFonts w:cstheme="minorHAnsi"/>
          <w:sz w:val="24"/>
          <w:szCs w:val="24"/>
        </w:rPr>
        <w:t>may defy objective explication</w:t>
      </w:r>
      <w:r w:rsidR="00C53386">
        <w:rPr>
          <w:rFonts w:cstheme="minorHAnsi"/>
          <w:sz w:val="24"/>
          <w:szCs w:val="24"/>
        </w:rPr>
        <w:t>.</w:t>
      </w:r>
      <w:r w:rsidR="00777A28">
        <w:rPr>
          <w:rFonts w:cstheme="minorHAnsi"/>
          <w:sz w:val="24"/>
          <w:szCs w:val="24"/>
        </w:rPr>
        <w:t xml:space="preserve"> </w:t>
      </w:r>
      <w:r w:rsidR="00027B12">
        <w:rPr>
          <w:rFonts w:cstheme="minorHAnsi"/>
          <w:sz w:val="24"/>
          <w:szCs w:val="24"/>
        </w:rPr>
        <w:t xml:space="preserve">This </w:t>
      </w:r>
      <w:r w:rsidR="00E5739B">
        <w:rPr>
          <w:rFonts w:cstheme="minorHAnsi"/>
          <w:sz w:val="24"/>
          <w:szCs w:val="24"/>
        </w:rPr>
        <w:t xml:space="preserve">may go some way to explaining the </w:t>
      </w:r>
      <w:r w:rsidR="00542478">
        <w:rPr>
          <w:rFonts w:cstheme="minorHAnsi"/>
          <w:sz w:val="24"/>
          <w:szCs w:val="24"/>
        </w:rPr>
        <w:t>‘</w:t>
      </w:r>
      <w:r w:rsidR="00E5739B">
        <w:rPr>
          <w:rFonts w:cstheme="minorHAnsi"/>
          <w:sz w:val="24"/>
          <w:szCs w:val="24"/>
        </w:rPr>
        <w:t>risk exceptionalism</w:t>
      </w:r>
      <w:r w:rsidR="00542478">
        <w:rPr>
          <w:rFonts w:cstheme="minorHAnsi"/>
          <w:sz w:val="24"/>
          <w:szCs w:val="24"/>
        </w:rPr>
        <w:t>’</w:t>
      </w:r>
      <w:r w:rsidR="00474CCB">
        <w:rPr>
          <w:rFonts w:cstheme="minorHAnsi"/>
          <w:sz w:val="24"/>
          <w:szCs w:val="24"/>
        </w:rPr>
        <w:t xml:space="preserve"> of the MHA. Even if the risks flow from other factors </w:t>
      </w:r>
      <w:r w:rsidR="009729F6">
        <w:rPr>
          <w:rFonts w:cstheme="minorHAnsi"/>
          <w:sz w:val="24"/>
          <w:szCs w:val="24"/>
        </w:rPr>
        <w:t xml:space="preserve">(as opposed to </w:t>
      </w:r>
      <w:r w:rsidR="00474CCB">
        <w:rPr>
          <w:rFonts w:cstheme="minorHAnsi"/>
          <w:sz w:val="24"/>
          <w:szCs w:val="24"/>
        </w:rPr>
        <w:t xml:space="preserve">diagnosis </w:t>
      </w:r>
      <w:r w:rsidR="00314F29">
        <w:rPr>
          <w:rFonts w:cstheme="minorHAnsi"/>
          <w:sz w:val="24"/>
          <w:szCs w:val="24"/>
        </w:rPr>
        <w:t>alone</w:t>
      </w:r>
      <w:r w:rsidR="009729F6">
        <w:rPr>
          <w:rFonts w:cstheme="minorHAnsi"/>
          <w:sz w:val="24"/>
          <w:szCs w:val="24"/>
        </w:rPr>
        <w:t>)</w:t>
      </w:r>
      <w:r w:rsidR="00083248">
        <w:rPr>
          <w:rFonts w:cstheme="minorHAnsi"/>
          <w:sz w:val="24"/>
          <w:szCs w:val="24"/>
        </w:rPr>
        <w:t xml:space="preserve"> it is clear that psychiatr</w:t>
      </w:r>
      <w:r w:rsidR="006D6D7A">
        <w:rPr>
          <w:rFonts w:cstheme="minorHAnsi"/>
          <w:sz w:val="24"/>
          <w:szCs w:val="24"/>
        </w:rPr>
        <w:t xml:space="preserve">ic interventions </w:t>
      </w:r>
      <w:r w:rsidR="00B82587">
        <w:rPr>
          <w:rFonts w:cstheme="minorHAnsi"/>
          <w:sz w:val="24"/>
          <w:szCs w:val="24"/>
        </w:rPr>
        <w:t>are contingent on a calculus of risk</w:t>
      </w:r>
      <w:r w:rsidR="00E753DF">
        <w:rPr>
          <w:rFonts w:cstheme="minorHAnsi"/>
          <w:sz w:val="24"/>
          <w:szCs w:val="24"/>
        </w:rPr>
        <w:t>.</w:t>
      </w:r>
      <w:r w:rsidR="00E753DF">
        <w:rPr>
          <w:rStyle w:val="FootnoteReference"/>
          <w:rFonts w:cstheme="minorHAnsi"/>
          <w:sz w:val="24"/>
          <w:szCs w:val="24"/>
        </w:rPr>
        <w:footnoteReference w:id="39"/>
      </w:r>
      <w:r w:rsidR="00083248">
        <w:rPr>
          <w:rFonts w:cstheme="minorHAnsi"/>
          <w:sz w:val="24"/>
          <w:szCs w:val="24"/>
        </w:rPr>
        <w:t xml:space="preserve"> </w:t>
      </w:r>
      <w:r w:rsidR="00B81262">
        <w:rPr>
          <w:rFonts w:cstheme="minorHAnsi"/>
          <w:sz w:val="24"/>
          <w:szCs w:val="24"/>
        </w:rPr>
        <w:t>According to Castel,</w:t>
      </w:r>
      <w:r w:rsidR="00314F29">
        <w:rPr>
          <w:rFonts w:cstheme="minorHAnsi"/>
          <w:sz w:val="24"/>
          <w:szCs w:val="24"/>
        </w:rPr>
        <w:t xml:space="preserve"> </w:t>
      </w:r>
      <w:r w:rsidR="001F55AA">
        <w:rPr>
          <w:rFonts w:cstheme="minorHAnsi"/>
          <w:sz w:val="24"/>
          <w:szCs w:val="24"/>
        </w:rPr>
        <w:t>these</w:t>
      </w:r>
      <w:r w:rsidR="00B81262">
        <w:rPr>
          <w:rFonts w:cstheme="minorHAnsi"/>
          <w:sz w:val="24"/>
          <w:szCs w:val="24"/>
        </w:rPr>
        <w:t xml:space="preserve"> interventions no longer</w:t>
      </w:r>
      <w:r w:rsidR="000415D9">
        <w:rPr>
          <w:rFonts w:cstheme="minorHAnsi"/>
          <w:sz w:val="24"/>
          <w:szCs w:val="24"/>
        </w:rPr>
        <w:t xml:space="preserve"> even</w:t>
      </w:r>
      <w:r w:rsidR="00B81262">
        <w:rPr>
          <w:rFonts w:cstheme="minorHAnsi"/>
          <w:sz w:val="24"/>
          <w:szCs w:val="24"/>
        </w:rPr>
        <w:t xml:space="preserve"> necessarily require a person to manifest symptoms of abnormality: </w:t>
      </w:r>
      <w:r w:rsidR="00542478">
        <w:rPr>
          <w:rFonts w:cstheme="minorHAnsi"/>
          <w:sz w:val="24"/>
          <w:szCs w:val="24"/>
        </w:rPr>
        <w:t>‘</w:t>
      </w:r>
      <w:r w:rsidR="00B81262">
        <w:rPr>
          <w:rFonts w:cstheme="minorHAnsi"/>
          <w:sz w:val="24"/>
          <w:szCs w:val="24"/>
        </w:rPr>
        <w:t xml:space="preserve">it is enough to display whatever </w:t>
      </w:r>
      <w:r w:rsidR="0006025F">
        <w:rPr>
          <w:rFonts w:cstheme="minorHAnsi"/>
          <w:sz w:val="24"/>
          <w:szCs w:val="24"/>
        </w:rPr>
        <w:t>characteristics the specialists…</w:t>
      </w:r>
      <w:r w:rsidR="00B81262">
        <w:rPr>
          <w:rFonts w:cstheme="minorHAnsi"/>
          <w:sz w:val="24"/>
          <w:szCs w:val="24"/>
        </w:rPr>
        <w:t>have constituted as risk factors</w:t>
      </w:r>
      <w:r w:rsidR="00542478">
        <w:rPr>
          <w:rFonts w:cstheme="minorHAnsi"/>
          <w:sz w:val="24"/>
          <w:szCs w:val="24"/>
        </w:rPr>
        <w:t>’</w:t>
      </w:r>
      <w:r w:rsidR="00B81262">
        <w:rPr>
          <w:rFonts w:cstheme="minorHAnsi"/>
          <w:sz w:val="24"/>
          <w:szCs w:val="24"/>
        </w:rPr>
        <w:t>.</w:t>
      </w:r>
      <w:r w:rsidR="00FB0396">
        <w:rPr>
          <w:rStyle w:val="FootnoteReference"/>
          <w:rFonts w:cstheme="minorHAnsi"/>
          <w:sz w:val="24"/>
          <w:szCs w:val="24"/>
        </w:rPr>
        <w:footnoteReference w:id="40"/>
      </w:r>
    </w:p>
    <w:p w:rsidR="00E2269C" w:rsidRDefault="00542478" w:rsidP="00DE5530">
      <w:pPr>
        <w:spacing w:line="720" w:lineRule="auto"/>
        <w:ind w:firstLine="720"/>
        <w:jc w:val="both"/>
        <w:rPr>
          <w:rFonts w:cstheme="minorHAnsi"/>
          <w:sz w:val="24"/>
          <w:szCs w:val="24"/>
        </w:rPr>
      </w:pPr>
      <w:r>
        <w:rPr>
          <w:rFonts w:cstheme="minorHAnsi"/>
          <w:sz w:val="24"/>
          <w:szCs w:val="24"/>
        </w:rPr>
        <w:t>‘</w:t>
      </w:r>
      <w:proofErr w:type="spellStart"/>
      <w:r w:rsidR="005144B2">
        <w:rPr>
          <w:rFonts w:cstheme="minorHAnsi"/>
          <w:sz w:val="24"/>
          <w:szCs w:val="24"/>
        </w:rPr>
        <w:t>G</w:t>
      </w:r>
      <w:r w:rsidR="00BF34EB">
        <w:rPr>
          <w:rFonts w:cstheme="minorHAnsi"/>
          <w:sz w:val="24"/>
          <w:szCs w:val="24"/>
        </w:rPr>
        <w:t>overnmentality</w:t>
      </w:r>
      <w:proofErr w:type="spellEnd"/>
      <w:r>
        <w:rPr>
          <w:rFonts w:cstheme="minorHAnsi"/>
          <w:sz w:val="24"/>
          <w:szCs w:val="24"/>
        </w:rPr>
        <w:t>’</w:t>
      </w:r>
      <w:r w:rsidR="00BF34EB">
        <w:rPr>
          <w:rFonts w:cstheme="minorHAnsi"/>
          <w:sz w:val="24"/>
          <w:szCs w:val="24"/>
        </w:rPr>
        <w:t xml:space="preserve"> </w:t>
      </w:r>
      <w:r w:rsidR="00E4498E">
        <w:rPr>
          <w:rFonts w:cstheme="minorHAnsi"/>
          <w:sz w:val="24"/>
          <w:szCs w:val="24"/>
        </w:rPr>
        <w:t>provides a theoretical context for</w:t>
      </w:r>
      <w:r w:rsidR="00443261">
        <w:rPr>
          <w:rFonts w:cstheme="minorHAnsi"/>
          <w:sz w:val="24"/>
          <w:szCs w:val="24"/>
        </w:rPr>
        <w:t xml:space="preserve"> </w:t>
      </w:r>
      <w:r w:rsidR="000C1ADD">
        <w:rPr>
          <w:rFonts w:cstheme="minorHAnsi"/>
          <w:sz w:val="24"/>
          <w:szCs w:val="24"/>
        </w:rPr>
        <w:t>enduring</w:t>
      </w:r>
      <w:r w:rsidR="00E4498E">
        <w:rPr>
          <w:rFonts w:cstheme="minorHAnsi"/>
          <w:sz w:val="24"/>
          <w:szCs w:val="24"/>
        </w:rPr>
        <w:t xml:space="preserve"> paternalistic </w:t>
      </w:r>
      <w:r w:rsidR="009B4038">
        <w:rPr>
          <w:rFonts w:cstheme="minorHAnsi"/>
          <w:sz w:val="24"/>
          <w:szCs w:val="24"/>
        </w:rPr>
        <w:t>imperatives</w:t>
      </w:r>
      <w:r w:rsidR="00E4498E">
        <w:rPr>
          <w:rFonts w:cstheme="minorHAnsi"/>
          <w:sz w:val="24"/>
          <w:szCs w:val="24"/>
        </w:rPr>
        <w:t xml:space="preserve"> in </w:t>
      </w:r>
      <w:r w:rsidR="00656E85">
        <w:rPr>
          <w:rFonts w:cstheme="minorHAnsi"/>
          <w:sz w:val="24"/>
          <w:szCs w:val="24"/>
        </w:rPr>
        <w:t>medico-legal discour</w:t>
      </w:r>
      <w:r w:rsidR="00B901F7">
        <w:rPr>
          <w:rFonts w:cstheme="minorHAnsi"/>
          <w:sz w:val="24"/>
          <w:szCs w:val="24"/>
        </w:rPr>
        <w:t>se.</w:t>
      </w:r>
      <w:r w:rsidR="00C84A56">
        <w:rPr>
          <w:rFonts w:cstheme="minorHAnsi"/>
          <w:sz w:val="24"/>
          <w:szCs w:val="24"/>
        </w:rPr>
        <w:t xml:space="preserve"> </w:t>
      </w:r>
      <w:r w:rsidR="005B1993">
        <w:rPr>
          <w:rFonts w:cstheme="minorHAnsi"/>
          <w:sz w:val="24"/>
          <w:szCs w:val="24"/>
        </w:rPr>
        <w:t>T</w:t>
      </w:r>
      <w:r w:rsidR="00151341">
        <w:rPr>
          <w:rFonts w:cstheme="minorHAnsi"/>
          <w:sz w:val="24"/>
          <w:szCs w:val="24"/>
        </w:rPr>
        <w:t>he theory</w:t>
      </w:r>
      <w:r w:rsidR="005B1993">
        <w:rPr>
          <w:rFonts w:cstheme="minorHAnsi"/>
          <w:sz w:val="24"/>
          <w:szCs w:val="24"/>
        </w:rPr>
        <w:t xml:space="preserve"> also</w:t>
      </w:r>
      <w:r w:rsidR="00151341">
        <w:rPr>
          <w:rFonts w:cstheme="minorHAnsi"/>
          <w:sz w:val="24"/>
          <w:szCs w:val="24"/>
        </w:rPr>
        <w:t xml:space="preserve"> explains why the concept of risk is fundamental to the mechanics of</w:t>
      </w:r>
      <w:r w:rsidR="000546F7">
        <w:rPr>
          <w:rFonts w:cstheme="minorHAnsi"/>
          <w:sz w:val="24"/>
          <w:szCs w:val="24"/>
        </w:rPr>
        <w:t xml:space="preserve"> the MHA’s civil commitment powers</w:t>
      </w:r>
      <w:r w:rsidR="00853229">
        <w:rPr>
          <w:rFonts w:cstheme="minorHAnsi"/>
          <w:sz w:val="24"/>
          <w:szCs w:val="24"/>
        </w:rPr>
        <w:t>.</w:t>
      </w:r>
      <w:r w:rsidR="005F551F">
        <w:rPr>
          <w:rFonts w:cstheme="minorHAnsi"/>
          <w:sz w:val="24"/>
          <w:szCs w:val="24"/>
        </w:rPr>
        <w:t xml:space="preserve"> The rationale for the </w:t>
      </w:r>
      <w:r w:rsidR="005F551F">
        <w:rPr>
          <w:rFonts w:cstheme="minorHAnsi"/>
          <w:sz w:val="24"/>
          <w:szCs w:val="24"/>
        </w:rPr>
        <w:lastRenderedPageBreak/>
        <w:t>deployment of coercive power is to</w:t>
      </w:r>
      <w:r w:rsidR="000546F7">
        <w:rPr>
          <w:rFonts w:cstheme="minorHAnsi"/>
          <w:sz w:val="24"/>
          <w:szCs w:val="24"/>
        </w:rPr>
        <w:t xml:space="preserve"> </w:t>
      </w:r>
      <w:r w:rsidR="00476024">
        <w:rPr>
          <w:rFonts w:cstheme="minorHAnsi"/>
          <w:sz w:val="24"/>
          <w:szCs w:val="24"/>
        </w:rPr>
        <w:t>reduce or extinguish</w:t>
      </w:r>
      <w:r w:rsidR="000546F7">
        <w:rPr>
          <w:rFonts w:cstheme="minorHAnsi"/>
          <w:sz w:val="24"/>
          <w:szCs w:val="24"/>
        </w:rPr>
        <w:t xml:space="preserve"> the</w:t>
      </w:r>
      <w:r w:rsidR="005F551F">
        <w:rPr>
          <w:rFonts w:cstheme="minorHAnsi"/>
          <w:sz w:val="24"/>
          <w:szCs w:val="24"/>
        </w:rPr>
        <w:t xml:space="preserve"> risks which constitute deviations from the norm</w:t>
      </w:r>
      <w:r w:rsidR="00BD0A46">
        <w:rPr>
          <w:rFonts w:cstheme="minorHAnsi"/>
          <w:sz w:val="24"/>
          <w:szCs w:val="24"/>
        </w:rPr>
        <w:t>. Risk</w:t>
      </w:r>
      <w:r w:rsidR="005F551F">
        <w:rPr>
          <w:rFonts w:cstheme="minorHAnsi"/>
          <w:sz w:val="24"/>
          <w:szCs w:val="24"/>
        </w:rPr>
        <w:t xml:space="preserve"> is therefore</w:t>
      </w:r>
      <w:r w:rsidR="00BD0A46">
        <w:rPr>
          <w:rFonts w:cstheme="minorHAnsi"/>
          <w:sz w:val="24"/>
          <w:szCs w:val="24"/>
        </w:rPr>
        <w:t xml:space="preserve"> the occasion on which compulsory interventions are made</w:t>
      </w:r>
      <w:r w:rsidR="005F551F">
        <w:rPr>
          <w:rFonts w:cstheme="minorHAnsi"/>
          <w:sz w:val="24"/>
          <w:szCs w:val="24"/>
        </w:rPr>
        <w:t xml:space="preserve"> under the MHA</w:t>
      </w:r>
      <w:r w:rsidR="00BD0A46">
        <w:rPr>
          <w:rFonts w:cstheme="minorHAnsi"/>
          <w:sz w:val="24"/>
          <w:szCs w:val="24"/>
        </w:rPr>
        <w:t xml:space="preserve">. </w:t>
      </w:r>
      <w:proofErr w:type="spellStart"/>
      <w:r w:rsidR="007F3D00">
        <w:rPr>
          <w:rFonts w:cstheme="minorHAnsi"/>
          <w:sz w:val="24"/>
          <w:szCs w:val="24"/>
        </w:rPr>
        <w:t>G</w:t>
      </w:r>
      <w:r w:rsidR="00853229">
        <w:rPr>
          <w:rFonts w:cstheme="minorHAnsi"/>
          <w:sz w:val="24"/>
          <w:szCs w:val="24"/>
        </w:rPr>
        <w:t>overnmentality</w:t>
      </w:r>
      <w:proofErr w:type="spellEnd"/>
      <w:r w:rsidR="007F3D00">
        <w:rPr>
          <w:rFonts w:cstheme="minorHAnsi"/>
          <w:sz w:val="24"/>
          <w:szCs w:val="24"/>
        </w:rPr>
        <w:t xml:space="preserve"> also</w:t>
      </w:r>
      <w:r w:rsidR="00853229">
        <w:rPr>
          <w:rFonts w:cstheme="minorHAnsi"/>
          <w:sz w:val="24"/>
          <w:szCs w:val="24"/>
        </w:rPr>
        <w:t xml:space="preserve"> explains</w:t>
      </w:r>
      <w:r w:rsidR="006C6436">
        <w:rPr>
          <w:rFonts w:cstheme="minorHAnsi"/>
          <w:sz w:val="24"/>
          <w:szCs w:val="24"/>
        </w:rPr>
        <w:t xml:space="preserve"> why English law</w:t>
      </w:r>
      <w:r w:rsidR="00425DCD">
        <w:rPr>
          <w:rFonts w:cstheme="minorHAnsi"/>
          <w:sz w:val="24"/>
          <w:szCs w:val="24"/>
        </w:rPr>
        <w:t xml:space="preserve"> discriminates between physical and mental disorders by authorising involuntary treatment </w:t>
      </w:r>
      <w:r w:rsidR="007E6CC2">
        <w:rPr>
          <w:rFonts w:cstheme="minorHAnsi"/>
          <w:sz w:val="24"/>
          <w:szCs w:val="24"/>
        </w:rPr>
        <w:t xml:space="preserve">on the basis of risk </w:t>
      </w:r>
      <w:r w:rsidR="00B46965">
        <w:rPr>
          <w:rFonts w:cstheme="minorHAnsi"/>
          <w:sz w:val="24"/>
          <w:szCs w:val="24"/>
        </w:rPr>
        <w:t>for</w:t>
      </w:r>
      <w:r w:rsidR="00425DCD">
        <w:rPr>
          <w:rFonts w:cstheme="minorHAnsi"/>
          <w:sz w:val="24"/>
          <w:szCs w:val="24"/>
        </w:rPr>
        <w:t xml:space="preserve"> the latter but not the former.</w:t>
      </w:r>
      <w:r w:rsidR="009E691D">
        <w:rPr>
          <w:rFonts w:cstheme="minorHAnsi"/>
          <w:sz w:val="24"/>
          <w:szCs w:val="24"/>
        </w:rPr>
        <w:t xml:space="preserve"> </w:t>
      </w:r>
      <w:r w:rsidR="005105AC">
        <w:rPr>
          <w:rFonts w:cstheme="minorHAnsi"/>
          <w:sz w:val="24"/>
          <w:szCs w:val="24"/>
        </w:rPr>
        <w:t>T</w:t>
      </w:r>
      <w:r w:rsidR="009E691D">
        <w:rPr>
          <w:rFonts w:cstheme="minorHAnsi"/>
          <w:sz w:val="24"/>
          <w:szCs w:val="24"/>
        </w:rPr>
        <w:t>he risks of harm associated with mental disorders are</w:t>
      </w:r>
      <w:r w:rsidR="005105AC">
        <w:rPr>
          <w:rFonts w:cstheme="minorHAnsi"/>
          <w:sz w:val="24"/>
          <w:szCs w:val="24"/>
        </w:rPr>
        <w:t xml:space="preserve"> constructed in such a way that </w:t>
      </w:r>
      <w:r w:rsidR="00BC45F2">
        <w:rPr>
          <w:rFonts w:cstheme="minorHAnsi"/>
          <w:sz w:val="24"/>
          <w:szCs w:val="24"/>
        </w:rPr>
        <w:t>society has customarily</w:t>
      </w:r>
      <w:r w:rsidR="009E691D">
        <w:rPr>
          <w:rFonts w:cstheme="minorHAnsi"/>
          <w:sz w:val="24"/>
          <w:szCs w:val="24"/>
        </w:rPr>
        <w:t xml:space="preserve"> deemed</w:t>
      </w:r>
      <w:r w:rsidR="00BC45F2">
        <w:rPr>
          <w:rFonts w:cstheme="minorHAnsi"/>
          <w:sz w:val="24"/>
          <w:szCs w:val="24"/>
        </w:rPr>
        <w:t xml:space="preserve"> them</w:t>
      </w:r>
      <w:r w:rsidR="009E691D">
        <w:rPr>
          <w:rFonts w:cstheme="minorHAnsi"/>
          <w:sz w:val="24"/>
          <w:szCs w:val="24"/>
        </w:rPr>
        <w:t xml:space="preserve"> to be more d</w:t>
      </w:r>
      <w:r w:rsidR="001A0D10">
        <w:rPr>
          <w:rFonts w:cstheme="minorHAnsi"/>
          <w:sz w:val="24"/>
          <w:szCs w:val="24"/>
        </w:rPr>
        <w:t>eserving of coercive discipline</w:t>
      </w:r>
      <w:r w:rsidR="009E691D">
        <w:rPr>
          <w:rFonts w:cstheme="minorHAnsi"/>
          <w:sz w:val="24"/>
          <w:szCs w:val="24"/>
        </w:rPr>
        <w:t xml:space="preserve"> than those associated with physical disorders.</w:t>
      </w:r>
      <w:r w:rsidR="006948C8">
        <w:rPr>
          <w:rFonts w:cstheme="minorHAnsi"/>
          <w:sz w:val="24"/>
          <w:szCs w:val="24"/>
        </w:rPr>
        <w:t xml:space="preserve"> While this </w:t>
      </w:r>
      <w:r w:rsidR="00BC45F2">
        <w:rPr>
          <w:rFonts w:cstheme="minorHAnsi"/>
          <w:sz w:val="24"/>
          <w:szCs w:val="24"/>
        </w:rPr>
        <w:t xml:space="preserve">distinction is empirically flawed, </w:t>
      </w:r>
      <w:r w:rsidR="000B6238">
        <w:rPr>
          <w:rFonts w:cstheme="minorHAnsi"/>
          <w:sz w:val="24"/>
          <w:szCs w:val="24"/>
        </w:rPr>
        <w:t xml:space="preserve">Foucault’s theory </w:t>
      </w:r>
      <w:r w:rsidR="000546F7">
        <w:rPr>
          <w:rFonts w:cstheme="minorHAnsi"/>
          <w:sz w:val="24"/>
          <w:szCs w:val="24"/>
        </w:rPr>
        <w:t xml:space="preserve">illuminates </w:t>
      </w:r>
      <w:r w:rsidR="00A90357">
        <w:rPr>
          <w:rFonts w:cstheme="minorHAnsi"/>
          <w:sz w:val="24"/>
          <w:szCs w:val="24"/>
        </w:rPr>
        <w:t>the MHA</w:t>
      </w:r>
      <w:r w:rsidR="00A93253">
        <w:rPr>
          <w:rFonts w:cstheme="minorHAnsi"/>
          <w:sz w:val="24"/>
          <w:szCs w:val="24"/>
        </w:rPr>
        <w:t>’s</w:t>
      </w:r>
      <w:r w:rsidR="00A90357">
        <w:rPr>
          <w:rFonts w:cstheme="minorHAnsi"/>
          <w:sz w:val="24"/>
          <w:szCs w:val="24"/>
        </w:rPr>
        <w:t xml:space="preserve"> </w:t>
      </w:r>
      <w:r w:rsidR="00D6346E">
        <w:rPr>
          <w:rFonts w:cstheme="minorHAnsi"/>
          <w:sz w:val="24"/>
          <w:szCs w:val="24"/>
        </w:rPr>
        <w:t>unique place in the corpus of English medical law.</w:t>
      </w:r>
    </w:p>
    <w:p w:rsidR="00AC7CF8" w:rsidRDefault="004E57CC" w:rsidP="004109D7">
      <w:pPr>
        <w:tabs>
          <w:tab w:val="left" w:pos="4646"/>
        </w:tabs>
        <w:spacing w:line="720" w:lineRule="auto"/>
        <w:ind w:firstLine="720"/>
        <w:jc w:val="both"/>
        <w:rPr>
          <w:sz w:val="24"/>
          <w:szCs w:val="24"/>
        </w:rPr>
      </w:pPr>
      <w:r w:rsidRPr="001E21CA">
        <w:rPr>
          <w:rFonts w:cstheme="minorHAnsi"/>
          <w:sz w:val="24"/>
          <w:szCs w:val="24"/>
        </w:rPr>
        <w:t>The contrast between the</w:t>
      </w:r>
      <w:r w:rsidR="00135C40">
        <w:rPr>
          <w:rFonts w:cstheme="minorHAnsi"/>
          <w:sz w:val="24"/>
          <w:szCs w:val="24"/>
        </w:rPr>
        <w:t xml:space="preserve"> </w:t>
      </w:r>
      <w:r w:rsidRPr="001E21CA">
        <w:rPr>
          <w:rFonts w:cstheme="minorHAnsi"/>
          <w:sz w:val="24"/>
          <w:szCs w:val="24"/>
        </w:rPr>
        <w:t xml:space="preserve">MHA and MCA is striking. </w:t>
      </w:r>
      <w:r w:rsidR="0038555C">
        <w:rPr>
          <w:sz w:val="24"/>
          <w:szCs w:val="24"/>
        </w:rPr>
        <w:t>T</w:t>
      </w:r>
      <w:r w:rsidR="001E21CA" w:rsidRPr="001E21CA">
        <w:rPr>
          <w:sz w:val="24"/>
          <w:szCs w:val="24"/>
        </w:rPr>
        <w:t>he MCA generally does not authorise any person to deprive any other person of his liberty</w:t>
      </w:r>
      <w:r w:rsidR="0038555C">
        <w:rPr>
          <w:sz w:val="24"/>
          <w:szCs w:val="24"/>
        </w:rPr>
        <w:t>,</w:t>
      </w:r>
      <w:r w:rsidR="001E21CA" w:rsidRPr="001E21CA">
        <w:rPr>
          <w:rStyle w:val="FootnoteReference"/>
          <w:sz w:val="24"/>
          <w:szCs w:val="24"/>
        </w:rPr>
        <w:footnoteReference w:id="41"/>
      </w:r>
      <w:r w:rsidR="001E21CA" w:rsidRPr="001E21CA">
        <w:rPr>
          <w:sz w:val="24"/>
          <w:szCs w:val="24"/>
        </w:rPr>
        <w:t xml:space="preserve"> emphasises the importance of an individual’s involvement in decisions about his welfare</w:t>
      </w:r>
      <w:r w:rsidR="0038555C">
        <w:rPr>
          <w:sz w:val="24"/>
          <w:szCs w:val="24"/>
        </w:rPr>
        <w:t>,</w:t>
      </w:r>
      <w:r w:rsidR="001E21CA" w:rsidRPr="001E21CA">
        <w:rPr>
          <w:rStyle w:val="FootnoteReference"/>
          <w:sz w:val="24"/>
          <w:szCs w:val="24"/>
        </w:rPr>
        <w:footnoteReference w:id="42"/>
      </w:r>
      <w:r w:rsidR="0038555C">
        <w:rPr>
          <w:sz w:val="24"/>
          <w:szCs w:val="24"/>
        </w:rPr>
        <w:t xml:space="preserve"> and allows</w:t>
      </w:r>
      <w:r w:rsidR="001E21CA" w:rsidRPr="001E21CA">
        <w:rPr>
          <w:sz w:val="24"/>
          <w:szCs w:val="24"/>
        </w:rPr>
        <w:t xml:space="preserve"> the relevant professionals to take decisions </w:t>
      </w:r>
      <w:r w:rsidR="001E21CA" w:rsidRPr="001E21CA">
        <w:rPr>
          <w:i/>
          <w:sz w:val="24"/>
          <w:szCs w:val="24"/>
        </w:rPr>
        <w:t xml:space="preserve">for and on behalf of </w:t>
      </w:r>
      <w:r w:rsidR="001E21CA" w:rsidRPr="001E21CA">
        <w:rPr>
          <w:sz w:val="24"/>
          <w:szCs w:val="24"/>
        </w:rPr>
        <w:t>the patient where appropriate.</w:t>
      </w:r>
      <w:r w:rsidR="00135C40">
        <w:rPr>
          <w:sz w:val="24"/>
          <w:szCs w:val="24"/>
        </w:rPr>
        <w:t xml:space="preserve"> </w:t>
      </w:r>
      <w:r w:rsidR="002E79E3">
        <w:rPr>
          <w:sz w:val="24"/>
          <w:szCs w:val="24"/>
        </w:rPr>
        <w:t xml:space="preserve">After ten years, </w:t>
      </w:r>
      <w:r w:rsidR="00C5060A">
        <w:rPr>
          <w:sz w:val="24"/>
          <w:szCs w:val="24"/>
        </w:rPr>
        <w:t>it might be reasonab</w:t>
      </w:r>
      <w:r w:rsidR="00C1717A">
        <w:rPr>
          <w:sz w:val="24"/>
          <w:szCs w:val="24"/>
        </w:rPr>
        <w:t>le to expect that</w:t>
      </w:r>
      <w:r w:rsidR="009A6B38">
        <w:rPr>
          <w:sz w:val="24"/>
          <w:szCs w:val="24"/>
        </w:rPr>
        <w:t xml:space="preserve"> the 2005 </w:t>
      </w:r>
      <w:r w:rsidR="009A6B38" w:rsidRPr="007E6CC2">
        <w:rPr>
          <w:sz w:val="24"/>
          <w:szCs w:val="24"/>
        </w:rPr>
        <w:t xml:space="preserve">Act </w:t>
      </w:r>
      <w:r w:rsidR="0036519D" w:rsidRPr="007E6CC2">
        <w:rPr>
          <w:sz w:val="24"/>
          <w:szCs w:val="24"/>
        </w:rPr>
        <w:t>has</w:t>
      </w:r>
      <w:r w:rsidR="009A6B38" w:rsidRPr="007E6CC2">
        <w:rPr>
          <w:sz w:val="24"/>
          <w:szCs w:val="24"/>
        </w:rPr>
        <w:t xml:space="preserve"> delimited </w:t>
      </w:r>
      <w:r w:rsidR="00E0519E" w:rsidRPr="007E6CC2">
        <w:rPr>
          <w:sz w:val="24"/>
          <w:szCs w:val="24"/>
        </w:rPr>
        <w:t xml:space="preserve">the domain </w:t>
      </w:r>
      <w:r w:rsidR="00E0519E" w:rsidRPr="007E6CC2">
        <w:rPr>
          <w:sz w:val="24"/>
          <w:szCs w:val="24"/>
        </w:rPr>
        <w:lastRenderedPageBreak/>
        <w:t xml:space="preserve">of risk </w:t>
      </w:r>
      <w:r w:rsidR="001850A1">
        <w:rPr>
          <w:sz w:val="24"/>
          <w:szCs w:val="24"/>
        </w:rPr>
        <w:t>to</w:t>
      </w:r>
      <w:r w:rsidR="007E4B64" w:rsidRPr="007E6CC2">
        <w:rPr>
          <w:sz w:val="24"/>
          <w:szCs w:val="24"/>
        </w:rPr>
        <w:t xml:space="preserve"> the MHA.</w:t>
      </w:r>
      <w:r w:rsidR="00C1717A" w:rsidRPr="007E6CC2">
        <w:rPr>
          <w:sz w:val="24"/>
          <w:szCs w:val="24"/>
        </w:rPr>
        <w:t xml:space="preserve"> </w:t>
      </w:r>
      <w:r w:rsidR="00892DB6" w:rsidRPr="007E6CC2">
        <w:rPr>
          <w:sz w:val="24"/>
          <w:szCs w:val="24"/>
        </w:rPr>
        <w:t>T</w:t>
      </w:r>
      <w:r w:rsidR="00285B22" w:rsidRPr="007E6CC2">
        <w:rPr>
          <w:sz w:val="24"/>
          <w:szCs w:val="24"/>
        </w:rPr>
        <w:t xml:space="preserve">his paper </w:t>
      </w:r>
      <w:r w:rsidR="00892DB6" w:rsidRPr="007E6CC2">
        <w:rPr>
          <w:sz w:val="24"/>
          <w:szCs w:val="24"/>
        </w:rPr>
        <w:t>claims</w:t>
      </w:r>
      <w:r w:rsidR="00285B22" w:rsidRPr="007E6CC2">
        <w:rPr>
          <w:sz w:val="24"/>
          <w:szCs w:val="24"/>
        </w:rPr>
        <w:t xml:space="preserve"> that</w:t>
      </w:r>
      <w:r w:rsidR="00275203" w:rsidRPr="007E6CC2">
        <w:rPr>
          <w:sz w:val="24"/>
          <w:szCs w:val="24"/>
        </w:rPr>
        <w:t xml:space="preserve"> the opposite </w:t>
      </w:r>
      <w:r w:rsidR="00132E1D" w:rsidRPr="007E6CC2">
        <w:rPr>
          <w:sz w:val="24"/>
          <w:szCs w:val="24"/>
        </w:rPr>
        <w:t>is</w:t>
      </w:r>
      <w:r w:rsidR="00275203" w:rsidRPr="007E6CC2">
        <w:rPr>
          <w:sz w:val="24"/>
          <w:szCs w:val="24"/>
        </w:rPr>
        <w:t xml:space="preserve"> true</w:t>
      </w:r>
      <w:r w:rsidR="00132E1D" w:rsidRPr="007E6CC2">
        <w:rPr>
          <w:sz w:val="24"/>
          <w:szCs w:val="24"/>
        </w:rPr>
        <w:t>: risk’s domain is not limited to the MHA proper</w:t>
      </w:r>
      <w:r w:rsidR="00892DB6" w:rsidRPr="007E6CC2">
        <w:rPr>
          <w:sz w:val="24"/>
          <w:szCs w:val="24"/>
        </w:rPr>
        <w:t>; in fact,</w:t>
      </w:r>
      <w:r w:rsidR="004B4092" w:rsidRPr="007E6CC2">
        <w:rPr>
          <w:sz w:val="24"/>
          <w:szCs w:val="24"/>
        </w:rPr>
        <w:t xml:space="preserve"> the concept has </w:t>
      </w:r>
      <w:r w:rsidR="001850A1">
        <w:rPr>
          <w:sz w:val="24"/>
          <w:szCs w:val="24"/>
        </w:rPr>
        <w:t>colonised</w:t>
      </w:r>
      <w:r w:rsidR="004B4092" w:rsidRPr="007E6CC2">
        <w:rPr>
          <w:sz w:val="24"/>
          <w:szCs w:val="24"/>
        </w:rPr>
        <w:t xml:space="preserve"> </w:t>
      </w:r>
      <w:r w:rsidR="002A2DCD" w:rsidRPr="007E6CC2">
        <w:rPr>
          <w:sz w:val="24"/>
          <w:szCs w:val="24"/>
        </w:rPr>
        <w:t>decision-making</w:t>
      </w:r>
      <w:r w:rsidR="00892DB6" w:rsidRPr="007E6CC2">
        <w:rPr>
          <w:sz w:val="24"/>
          <w:szCs w:val="24"/>
        </w:rPr>
        <w:t xml:space="preserve"> processes</w:t>
      </w:r>
      <w:r w:rsidR="002A2DCD" w:rsidRPr="007E6CC2">
        <w:rPr>
          <w:sz w:val="24"/>
          <w:szCs w:val="24"/>
        </w:rPr>
        <w:t xml:space="preserve"> </w:t>
      </w:r>
      <w:r w:rsidR="0036519D" w:rsidRPr="007E6CC2">
        <w:rPr>
          <w:sz w:val="24"/>
          <w:szCs w:val="24"/>
        </w:rPr>
        <w:t>outside</w:t>
      </w:r>
      <w:r w:rsidR="007220C6" w:rsidRPr="007E6CC2">
        <w:rPr>
          <w:sz w:val="24"/>
          <w:szCs w:val="24"/>
        </w:rPr>
        <w:t xml:space="preserve"> the scope of the compulsory powers</w:t>
      </w:r>
      <w:r w:rsidR="00132E1D" w:rsidRPr="007E6CC2">
        <w:rPr>
          <w:sz w:val="24"/>
          <w:szCs w:val="24"/>
        </w:rPr>
        <w:t>.</w:t>
      </w:r>
      <w:r w:rsidR="00285B22" w:rsidRPr="007E6CC2">
        <w:rPr>
          <w:sz w:val="24"/>
          <w:szCs w:val="24"/>
        </w:rPr>
        <w:t xml:space="preserve"> </w:t>
      </w:r>
      <w:r w:rsidR="00FD6342" w:rsidRPr="007E6CC2">
        <w:rPr>
          <w:sz w:val="24"/>
          <w:szCs w:val="24"/>
        </w:rPr>
        <w:t xml:space="preserve">These continuities of risk </w:t>
      </w:r>
      <w:r w:rsidR="00401220">
        <w:rPr>
          <w:sz w:val="24"/>
          <w:szCs w:val="24"/>
        </w:rPr>
        <w:t>are</w:t>
      </w:r>
      <w:r w:rsidR="00892DB6" w:rsidRPr="007E6CC2">
        <w:rPr>
          <w:sz w:val="24"/>
          <w:szCs w:val="24"/>
        </w:rPr>
        <w:t xml:space="preserve"> most evident in the context of</w:t>
      </w:r>
      <w:r w:rsidR="00AB7F7D" w:rsidRPr="007E6CC2">
        <w:rPr>
          <w:sz w:val="24"/>
          <w:szCs w:val="24"/>
        </w:rPr>
        <w:t xml:space="preserve"> the Deprivation of Liberty Safeguards (</w:t>
      </w:r>
      <w:r w:rsidR="00542478">
        <w:rPr>
          <w:sz w:val="24"/>
          <w:szCs w:val="24"/>
        </w:rPr>
        <w:t>‘</w:t>
      </w:r>
      <w:r w:rsidR="00AB7F7D" w:rsidRPr="007E6CC2">
        <w:rPr>
          <w:sz w:val="24"/>
          <w:szCs w:val="24"/>
        </w:rPr>
        <w:t>DOLS</w:t>
      </w:r>
      <w:r w:rsidR="00542478">
        <w:rPr>
          <w:sz w:val="24"/>
          <w:szCs w:val="24"/>
        </w:rPr>
        <w:t>’</w:t>
      </w:r>
      <w:r w:rsidR="00AB7F7D" w:rsidRPr="007E6CC2">
        <w:rPr>
          <w:sz w:val="24"/>
          <w:szCs w:val="24"/>
        </w:rPr>
        <w:t>)</w:t>
      </w:r>
      <w:r w:rsidR="00892DB6" w:rsidRPr="007E6CC2">
        <w:rPr>
          <w:sz w:val="24"/>
          <w:szCs w:val="24"/>
        </w:rPr>
        <w:t>.</w:t>
      </w:r>
      <w:r w:rsidR="00101090" w:rsidRPr="007E6CC2">
        <w:rPr>
          <w:sz w:val="24"/>
          <w:szCs w:val="24"/>
        </w:rPr>
        <w:t xml:space="preserve"> Parliament introduced the DOLS to plug the ‘</w:t>
      </w:r>
      <w:proofErr w:type="spellStart"/>
      <w:r w:rsidR="00101090" w:rsidRPr="007E6CC2">
        <w:rPr>
          <w:i/>
          <w:sz w:val="24"/>
          <w:szCs w:val="24"/>
        </w:rPr>
        <w:t>Bournewood</w:t>
      </w:r>
      <w:proofErr w:type="spellEnd"/>
      <w:r w:rsidR="00101090" w:rsidRPr="007E6CC2">
        <w:rPr>
          <w:i/>
          <w:sz w:val="24"/>
          <w:szCs w:val="24"/>
        </w:rPr>
        <w:t xml:space="preserve"> </w:t>
      </w:r>
      <w:r w:rsidR="00101090" w:rsidRPr="007E6CC2">
        <w:rPr>
          <w:sz w:val="24"/>
          <w:szCs w:val="24"/>
        </w:rPr>
        <w:t>gap’</w:t>
      </w:r>
      <w:r w:rsidR="00EC7225">
        <w:rPr>
          <w:rStyle w:val="FootnoteReference"/>
          <w:sz w:val="24"/>
          <w:szCs w:val="24"/>
        </w:rPr>
        <w:footnoteReference w:id="43"/>
      </w:r>
      <w:r w:rsidR="00101090" w:rsidRPr="007E6CC2">
        <w:rPr>
          <w:sz w:val="24"/>
          <w:szCs w:val="24"/>
        </w:rPr>
        <w:t xml:space="preserve"> – the legal ‘no man’s land’</w:t>
      </w:r>
      <w:bookmarkStart w:id="16" w:name="_Ref430362755"/>
      <w:r w:rsidR="00101090" w:rsidRPr="007E6CC2">
        <w:rPr>
          <w:rStyle w:val="FootnoteReference"/>
          <w:sz w:val="24"/>
          <w:szCs w:val="24"/>
        </w:rPr>
        <w:footnoteReference w:id="44"/>
      </w:r>
      <w:bookmarkEnd w:id="16"/>
      <w:r w:rsidR="00101090" w:rsidRPr="007E6CC2">
        <w:rPr>
          <w:sz w:val="24"/>
          <w:szCs w:val="24"/>
        </w:rPr>
        <w:t xml:space="preserve"> </w:t>
      </w:r>
      <w:r w:rsidR="00772721">
        <w:rPr>
          <w:sz w:val="24"/>
          <w:szCs w:val="24"/>
        </w:rPr>
        <w:t>between</w:t>
      </w:r>
      <w:r w:rsidR="00101090" w:rsidRPr="007E6CC2">
        <w:rPr>
          <w:sz w:val="24"/>
          <w:szCs w:val="24"/>
        </w:rPr>
        <w:t xml:space="preserve"> </w:t>
      </w:r>
      <w:r w:rsidR="00542478">
        <w:rPr>
          <w:sz w:val="24"/>
          <w:szCs w:val="24"/>
        </w:rPr>
        <w:t>‘</w:t>
      </w:r>
      <w:r w:rsidR="00101090" w:rsidRPr="007E6CC2">
        <w:rPr>
          <w:sz w:val="24"/>
          <w:szCs w:val="24"/>
        </w:rPr>
        <w:t>formal</w:t>
      </w:r>
      <w:r w:rsidR="00542478">
        <w:rPr>
          <w:sz w:val="24"/>
          <w:szCs w:val="24"/>
        </w:rPr>
        <w:t>’</w:t>
      </w:r>
      <w:r w:rsidR="0012664E">
        <w:rPr>
          <w:sz w:val="24"/>
          <w:szCs w:val="24"/>
        </w:rPr>
        <w:t xml:space="preserve"> patients</w:t>
      </w:r>
      <w:r w:rsidR="007D0045">
        <w:rPr>
          <w:sz w:val="24"/>
          <w:szCs w:val="24"/>
        </w:rPr>
        <w:t xml:space="preserve"> (that is, </w:t>
      </w:r>
      <w:r w:rsidR="0012664E">
        <w:rPr>
          <w:sz w:val="24"/>
          <w:szCs w:val="24"/>
        </w:rPr>
        <w:t>those</w:t>
      </w:r>
      <w:r w:rsidR="007D0045">
        <w:rPr>
          <w:sz w:val="24"/>
          <w:szCs w:val="24"/>
        </w:rPr>
        <w:t xml:space="preserve"> subject to the MHA)</w:t>
      </w:r>
      <w:r w:rsidR="00101090" w:rsidRPr="007E6CC2">
        <w:rPr>
          <w:sz w:val="24"/>
          <w:szCs w:val="24"/>
        </w:rPr>
        <w:t xml:space="preserve"> and </w:t>
      </w:r>
      <w:r w:rsidR="00542478">
        <w:rPr>
          <w:sz w:val="24"/>
          <w:szCs w:val="24"/>
        </w:rPr>
        <w:t>‘</w:t>
      </w:r>
      <w:r w:rsidR="00101090" w:rsidRPr="007E6CC2">
        <w:rPr>
          <w:sz w:val="24"/>
          <w:szCs w:val="24"/>
        </w:rPr>
        <w:t>voluntary</w:t>
      </w:r>
      <w:r w:rsidR="00542478">
        <w:rPr>
          <w:sz w:val="24"/>
          <w:szCs w:val="24"/>
        </w:rPr>
        <w:t>’</w:t>
      </w:r>
      <w:r w:rsidR="00101090" w:rsidRPr="007E6CC2">
        <w:rPr>
          <w:sz w:val="24"/>
          <w:szCs w:val="24"/>
        </w:rPr>
        <w:t xml:space="preserve"> patients.</w:t>
      </w:r>
      <w:r w:rsidR="00EC7225">
        <w:rPr>
          <w:sz w:val="24"/>
          <w:szCs w:val="24"/>
        </w:rPr>
        <w:t xml:space="preserve"> Following </w:t>
      </w:r>
      <w:r w:rsidR="00EC7225">
        <w:rPr>
          <w:i/>
          <w:sz w:val="24"/>
          <w:szCs w:val="24"/>
        </w:rPr>
        <w:t>HL v United Kingdom</w:t>
      </w:r>
      <w:r w:rsidR="00EC7225">
        <w:rPr>
          <w:sz w:val="24"/>
          <w:szCs w:val="24"/>
        </w:rPr>
        <w:t>,</w:t>
      </w:r>
      <w:r w:rsidR="00EC7225">
        <w:rPr>
          <w:rStyle w:val="FootnoteReference"/>
          <w:sz w:val="24"/>
          <w:szCs w:val="24"/>
        </w:rPr>
        <w:footnoteReference w:id="45"/>
      </w:r>
      <w:r w:rsidR="00101090" w:rsidRPr="007E6CC2">
        <w:rPr>
          <w:sz w:val="24"/>
          <w:szCs w:val="24"/>
        </w:rPr>
        <w:t xml:space="preserve"> any public hospital or care home in England which held patients in </w:t>
      </w:r>
      <w:proofErr w:type="spellStart"/>
      <w:r w:rsidR="00101090" w:rsidRPr="007E6CC2">
        <w:rPr>
          <w:i/>
          <w:sz w:val="24"/>
          <w:szCs w:val="24"/>
        </w:rPr>
        <w:t>Bournewood</w:t>
      </w:r>
      <w:proofErr w:type="spellEnd"/>
      <w:r w:rsidR="00101090" w:rsidRPr="007E6CC2">
        <w:rPr>
          <w:i/>
          <w:sz w:val="24"/>
          <w:szCs w:val="24"/>
        </w:rPr>
        <w:t>-</w:t>
      </w:r>
      <w:r w:rsidR="00101090" w:rsidRPr="007E6CC2">
        <w:rPr>
          <w:sz w:val="24"/>
          <w:szCs w:val="24"/>
        </w:rPr>
        <w:t>style circumstances was responsible for multiple and continuing violations of Article 5</w:t>
      </w:r>
      <w:r w:rsidR="00EC7225">
        <w:rPr>
          <w:sz w:val="24"/>
          <w:szCs w:val="24"/>
        </w:rPr>
        <w:t xml:space="preserve"> of the ECHR</w:t>
      </w:r>
      <w:r w:rsidR="00101090" w:rsidRPr="007E6CC2">
        <w:rPr>
          <w:sz w:val="24"/>
          <w:szCs w:val="24"/>
        </w:rPr>
        <w:t>. To address this, policy-makers designed a conceptually-distinct framework of legal safeguards for people deprived of their liberty in hospital</w:t>
      </w:r>
      <w:r w:rsidR="001850A1">
        <w:rPr>
          <w:sz w:val="24"/>
          <w:szCs w:val="24"/>
        </w:rPr>
        <w:t xml:space="preserve"> but not subject to the MHA</w:t>
      </w:r>
      <w:r w:rsidR="00101090" w:rsidRPr="007E6CC2">
        <w:rPr>
          <w:sz w:val="24"/>
          <w:szCs w:val="24"/>
        </w:rPr>
        <w:t>: the DOLS.</w:t>
      </w:r>
      <w:r w:rsidR="00101090" w:rsidRPr="007E6CC2">
        <w:rPr>
          <w:rStyle w:val="FootnoteReference"/>
          <w:sz w:val="24"/>
          <w:szCs w:val="24"/>
        </w:rPr>
        <w:footnoteReference w:id="46"/>
      </w:r>
    </w:p>
    <w:p w:rsidR="00746259" w:rsidRDefault="007D0045" w:rsidP="004109D7">
      <w:pPr>
        <w:tabs>
          <w:tab w:val="left" w:pos="4646"/>
        </w:tabs>
        <w:spacing w:line="720" w:lineRule="auto"/>
        <w:ind w:firstLine="720"/>
        <w:jc w:val="both"/>
        <w:rPr>
          <w:sz w:val="24"/>
          <w:szCs w:val="24"/>
        </w:rPr>
      </w:pPr>
      <w:r>
        <w:rPr>
          <w:sz w:val="24"/>
          <w:szCs w:val="24"/>
        </w:rPr>
        <w:t>It is submitted that the DOLS have amplified the significance of risk in</w:t>
      </w:r>
      <w:r w:rsidR="009302AD">
        <w:rPr>
          <w:sz w:val="24"/>
          <w:szCs w:val="24"/>
        </w:rPr>
        <w:t xml:space="preserve"> mental health and capacity law</w:t>
      </w:r>
      <w:r w:rsidR="00BD5161" w:rsidRPr="007E6CC2">
        <w:rPr>
          <w:sz w:val="24"/>
          <w:szCs w:val="24"/>
        </w:rPr>
        <w:t>.</w:t>
      </w:r>
      <w:r w:rsidR="001461F7">
        <w:rPr>
          <w:sz w:val="24"/>
          <w:szCs w:val="24"/>
        </w:rPr>
        <w:t xml:space="preserve"> </w:t>
      </w:r>
      <w:r w:rsidR="00695571">
        <w:rPr>
          <w:sz w:val="24"/>
          <w:szCs w:val="24"/>
        </w:rPr>
        <w:t>When viewed through the</w:t>
      </w:r>
      <w:r w:rsidR="0012664E">
        <w:rPr>
          <w:sz w:val="24"/>
          <w:szCs w:val="24"/>
        </w:rPr>
        <w:t xml:space="preserve"> </w:t>
      </w:r>
      <w:proofErr w:type="spellStart"/>
      <w:r w:rsidR="0012664E">
        <w:rPr>
          <w:sz w:val="24"/>
          <w:szCs w:val="24"/>
        </w:rPr>
        <w:t>governmentality</w:t>
      </w:r>
      <w:proofErr w:type="spellEnd"/>
      <w:r w:rsidR="00695571">
        <w:rPr>
          <w:sz w:val="24"/>
          <w:szCs w:val="24"/>
        </w:rPr>
        <w:t xml:space="preserve"> prism</w:t>
      </w:r>
      <w:r w:rsidR="00F82FDE">
        <w:rPr>
          <w:sz w:val="24"/>
          <w:szCs w:val="24"/>
        </w:rPr>
        <w:t>, t</w:t>
      </w:r>
      <w:r w:rsidR="00287137">
        <w:rPr>
          <w:sz w:val="24"/>
          <w:szCs w:val="24"/>
        </w:rPr>
        <w:t xml:space="preserve">he DOLS are part of a </w:t>
      </w:r>
      <w:r w:rsidR="00287137">
        <w:rPr>
          <w:sz w:val="24"/>
          <w:szCs w:val="24"/>
        </w:rPr>
        <w:lastRenderedPageBreak/>
        <w:t xml:space="preserve">continuum </w:t>
      </w:r>
      <w:r w:rsidR="00E7352D">
        <w:rPr>
          <w:sz w:val="24"/>
          <w:szCs w:val="24"/>
        </w:rPr>
        <w:t xml:space="preserve">of legal apparatus </w:t>
      </w:r>
      <w:r w:rsidR="008A32F8">
        <w:rPr>
          <w:sz w:val="24"/>
          <w:szCs w:val="24"/>
        </w:rPr>
        <w:t>concerned with the assessment and management of the risks assoc</w:t>
      </w:r>
      <w:r w:rsidR="004209A6">
        <w:rPr>
          <w:sz w:val="24"/>
          <w:szCs w:val="24"/>
        </w:rPr>
        <w:t xml:space="preserve">iated with mental disorders. Denney argues that a diagnosis of mental illness places a person on a figurative </w:t>
      </w:r>
      <w:r w:rsidR="00542478">
        <w:rPr>
          <w:sz w:val="24"/>
          <w:szCs w:val="24"/>
        </w:rPr>
        <w:t>‘</w:t>
      </w:r>
      <w:r w:rsidR="004209A6">
        <w:rPr>
          <w:sz w:val="24"/>
          <w:szCs w:val="24"/>
        </w:rPr>
        <w:t>escalator of dangerousness</w:t>
      </w:r>
      <w:r w:rsidR="00542478">
        <w:rPr>
          <w:sz w:val="24"/>
          <w:szCs w:val="24"/>
        </w:rPr>
        <w:t>’</w:t>
      </w:r>
      <w:r w:rsidR="004209A6">
        <w:rPr>
          <w:sz w:val="24"/>
          <w:szCs w:val="24"/>
        </w:rPr>
        <w:t>, up and down which he will move at different moments in his life.</w:t>
      </w:r>
      <w:r w:rsidR="004209A6">
        <w:rPr>
          <w:rStyle w:val="FootnoteReference"/>
          <w:sz w:val="24"/>
          <w:szCs w:val="24"/>
        </w:rPr>
        <w:footnoteReference w:id="47"/>
      </w:r>
      <w:r w:rsidR="00E7352D">
        <w:rPr>
          <w:sz w:val="24"/>
          <w:szCs w:val="24"/>
        </w:rPr>
        <w:t xml:space="preserve"> This paper adopts Denney’s </w:t>
      </w:r>
      <w:r w:rsidR="00542478">
        <w:rPr>
          <w:sz w:val="24"/>
          <w:szCs w:val="24"/>
        </w:rPr>
        <w:t>‘</w:t>
      </w:r>
      <w:r w:rsidR="00E7352D">
        <w:rPr>
          <w:sz w:val="24"/>
          <w:szCs w:val="24"/>
        </w:rPr>
        <w:t>escalator</w:t>
      </w:r>
      <w:r w:rsidR="00542478">
        <w:rPr>
          <w:sz w:val="24"/>
          <w:szCs w:val="24"/>
        </w:rPr>
        <w:t>’</w:t>
      </w:r>
      <w:r w:rsidR="00E7352D">
        <w:rPr>
          <w:sz w:val="24"/>
          <w:szCs w:val="24"/>
        </w:rPr>
        <w:t xml:space="preserve"> </w:t>
      </w:r>
      <w:r w:rsidR="005767B2">
        <w:rPr>
          <w:sz w:val="24"/>
          <w:szCs w:val="24"/>
        </w:rPr>
        <w:t>as a</w:t>
      </w:r>
      <w:r w:rsidR="000E683A">
        <w:rPr>
          <w:sz w:val="24"/>
          <w:szCs w:val="24"/>
        </w:rPr>
        <w:t xml:space="preserve"> useful way of locating the DOLS </w:t>
      </w:r>
      <w:r w:rsidR="009313BD">
        <w:rPr>
          <w:sz w:val="24"/>
          <w:szCs w:val="24"/>
        </w:rPr>
        <w:t>o</w:t>
      </w:r>
      <w:r w:rsidR="000E683A">
        <w:rPr>
          <w:sz w:val="24"/>
          <w:szCs w:val="24"/>
        </w:rPr>
        <w:t>n the continuum of legal responses to risk. Wh</w:t>
      </w:r>
      <w:r w:rsidR="00C154EF">
        <w:rPr>
          <w:sz w:val="24"/>
          <w:szCs w:val="24"/>
        </w:rPr>
        <w:t>ile</w:t>
      </w:r>
      <w:r w:rsidR="000E683A">
        <w:rPr>
          <w:sz w:val="24"/>
          <w:szCs w:val="24"/>
        </w:rPr>
        <w:t xml:space="preserve"> the MHA plainly applies in higher-risk situations, it is arguable that the DOLS </w:t>
      </w:r>
      <w:r w:rsidR="00C64224">
        <w:rPr>
          <w:sz w:val="24"/>
          <w:szCs w:val="24"/>
        </w:rPr>
        <w:t>cater for</w:t>
      </w:r>
      <w:r w:rsidR="00C154EF">
        <w:rPr>
          <w:sz w:val="24"/>
          <w:szCs w:val="24"/>
        </w:rPr>
        <w:t xml:space="preserve"> situations of risk which fall lower down the </w:t>
      </w:r>
      <w:r w:rsidR="00712193">
        <w:rPr>
          <w:sz w:val="24"/>
          <w:szCs w:val="24"/>
        </w:rPr>
        <w:t>figurative escalator.</w:t>
      </w:r>
      <w:r w:rsidR="000E683A">
        <w:rPr>
          <w:sz w:val="24"/>
          <w:szCs w:val="24"/>
        </w:rPr>
        <w:t xml:space="preserve"> </w:t>
      </w:r>
    </w:p>
    <w:p w:rsidR="00DB2FCD" w:rsidRPr="006979A8" w:rsidRDefault="006979A8" w:rsidP="006979A8">
      <w:pPr>
        <w:pStyle w:val="ListParagraph"/>
        <w:numPr>
          <w:ilvl w:val="0"/>
          <w:numId w:val="1"/>
        </w:numPr>
        <w:spacing w:line="720" w:lineRule="auto"/>
        <w:jc w:val="center"/>
        <w:rPr>
          <w:rFonts w:asciiTheme="majorHAnsi" w:hAnsiTheme="majorHAnsi"/>
          <w:b/>
          <w:sz w:val="28"/>
          <w:szCs w:val="28"/>
        </w:rPr>
      </w:pPr>
      <w:r>
        <w:rPr>
          <w:rFonts w:asciiTheme="majorHAnsi" w:hAnsiTheme="majorHAnsi"/>
          <w:b/>
          <w:sz w:val="28"/>
          <w:szCs w:val="28"/>
        </w:rPr>
        <w:t>DOLS AND CONTINUITIES OF RISK</w:t>
      </w:r>
    </w:p>
    <w:p w:rsidR="00DB2FCD" w:rsidRPr="00DB2FCD" w:rsidRDefault="00DB2FCD" w:rsidP="00FC114B">
      <w:pPr>
        <w:spacing w:line="720" w:lineRule="auto"/>
        <w:jc w:val="both"/>
        <w:rPr>
          <w:sz w:val="24"/>
          <w:szCs w:val="24"/>
        </w:rPr>
      </w:pPr>
      <w:r w:rsidRPr="00DB2FCD">
        <w:rPr>
          <w:sz w:val="24"/>
          <w:szCs w:val="24"/>
        </w:rPr>
        <w:t>Various commentators have condemned the</w:t>
      </w:r>
      <w:r w:rsidR="0040113F">
        <w:rPr>
          <w:sz w:val="24"/>
          <w:szCs w:val="24"/>
        </w:rPr>
        <w:t xml:space="preserve"> DOLS</w:t>
      </w:r>
      <w:r w:rsidRPr="00DB2FCD">
        <w:rPr>
          <w:sz w:val="24"/>
          <w:szCs w:val="24"/>
        </w:rPr>
        <w:t xml:space="preserve"> as ‘hideous’,</w:t>
      </w:r>
      <w:bookmarkStart w:id="17" w:name="_Ref435618952"/>
      <w:r w:rsidRPr="00DB2FCD">
        <w:rPr>
          <w:rStyle w:val="FootnoteReference"/>
          <w:sz w:val="24"/>
          <w:szCs w:val="24"/>
        </w:rPr>
        <w:footnoteReference w:id="48"/>
      </w:r>
      <w:bookmarkEnd w:id="17"/>
      <w:r w:rsidR="00206DFB">
        <w:rPr>
          <w:sz w:val="24"/>
          <w:szCs w:val="24"/>
        </w:rPr>
        <w:t xml:space="preserve"> ‘obscure’,</w:t>
      </w:r>
      <w:r w:rsidR="00206DFB">
        <w:rPr>
          <w:rStyle w:val="FootnoteReference"/>
          <w:sz w:val="24"/>
          <w:szCs w:val="24"/>
        </w:rPr>
        <w:footnoteReference w:id="49"/>
      </w:r>
      <w:r w:rsidRPr="00DB2FCD">
        <w:rPr>
          <w:sz w:val="24"/>
          <w:szCs w:val="24"/>
        </w:rPr>
        <w:t xml:space="preserve"> ‘overcomplicated’,</w:t>
      </w:r>
      <w:r w:rsidRPr="00DB2FCD">
        <w:rPr>
          <w:rStyle w:val="FootnoteReference"/>
          <w:sz w:val="24"/>
          <w:szCs w:val="24"/>
        </w:rPr>
        <w:footnoteReference w:id="50"/>
      </w:r>
      <w:r w:rsidRPr="00DB2FCD">
        <w:rPr>
          <w:sz w:val="24"/>
          <w:szCs w:val="24"/>
        </w:rPr>
        <w:t xml:space="preserve"> ‘bureaucratic’ and at odds with the ‘elegant simplicity’ of the MCA.</w:t>
      </w:r>
      <w:bookmarkStart w:id="18" w:name="_Ref423614031"/>
      <w:r w:rsidRPr="00DB2FCD">
        <w:rPr>
          <w:rStyle w:val="FootnoteReference"/>
          <w:sz w:val="24"/>
          <w:szCs w:val="24"/>
        </w:rPr>
        <w:footnoteReference w:id="51"/>
      </w:r>
      <w:bookmarkEnd w:id="18"/>
      <w:r w:rsidRPr="00DB2FCD">
        <w:rPr>
          <w:sz w:val="24"/>
          <w:szCs w:val="24"/>
        </w:rPr>
        <w:t xml:space="preserve"> </w:t>
      </w:r>
      <w:r w:rsidRPr="00DB2FCD">
        <w:rPr>
          <w:sz w:val="24"/>
          <w:szCs w:val="24"/>
        </w:rPr>
        <w:lastRenderedPageBreak/>
        <w:t xml:space="preserve">Yet the inter-relationship between the DOLS and the MHA </w:t>
      </w:r>
      <w:r w:rsidR="007254FD">
        <w:rPr>
          <w:sz w:val="24"/>
          <w:szCs w:val="24"/>
        </w:rPr>
        <w:t>reveals</w:t>
      </w:r>
      <w:r w:rsidRPr="00DB2FCD">
        <w:rPr>
          <w:sz w:val="24"/>
          <w:szCs w:val="24"/>
        </w:rPr>
        <w:t xml:space="preserve"> much about the implicit significance of risk to the decision-making process. First, the MHA and the DOLS are mutually exclusive: </w:t>
      </w:r>
      <w:r w:rsidR="00EA0BF3">
        <w:rPr>
          <w:sz w:val="24"/>
          <w:szCs w:val="24"/>
        </w:rPr>
        <w:t>P</w:t>
      </w:r>
      <w:r w:rsidRPr="00DB2FCD">
        <w:rPr>
          <w:sz w:val="24"/>
          <w:szCs w:val="24"/>
        </w:rPr>
        <w:t xml:space="preserve"> cannot be subject to the 1983 Act’s compulsory powers and the safeguards at the same time.</w:t>
      </w:r>
      <w:r w:rsidRPr="00DB2FCD">
        <w:rPr>
          <w:rStyle w:val="FootnoteReference"/>
          <w:sz w:val="24"/>
          <w:szCs w:val="24"/>
        </w:rPr>
        <w:footnoteReference w:id="52"/>
      </w:r>
      <w:r w:rsidRPr="00DB2FCD">
        <w:rPr>
          <w:sz w:val="24"/>
          <w:szCs w:val="24"/>
        </w:rPr>
        <w:t xml:space="preserve"> Secondly, the fact that the DOLS are an exception to the general rule that the MCA cannot authorise deprivation</w:t>
      </w:r>
      <w:r w:rsidR="00D932A3">
        <w:rPr>
          <w:sz w:val="24"/>
          <w:szCs w:val="24"/>
        </w:rPr>
        <w:t>s</w:t>
      </w:r>
      <w:r w:rsidRPr="00DB2FCD">
        <w:rPr>
          <w:sz w:val="24"/>
          <w:szCs w:val="24"/>
        </w:rPr>
        <w:t xml:space="preserve"> of liberty suggests that they </w:t>
      </w:r>
      <w:r w:rsidR="00E23459">
        <w:rPr>
          <w:sz w:val="24"/>
          <w:szCs w:val="24"/>
        </w:rPr>
        <w:t>were</w:t>
      </w:r>
      <w:r w:rsidRPr="00DB2FCD">
        <w:rPr>
          <w:sz w:val="24"/>
          <w:szCs w:val="24"/>
        </w:rPr>
        <w:t xml:space="preserve"> designed to apply </w:t>
      </w:r>
      <w:r w:rsidR="0009598F">
        <w:rPr>
          <w:sz w:val="24"/>
          <w:szCs w:val="24"/>
        </w:rPr>
        <w:t>where there may be</w:t>
      </w:r>
      <w:r w:rsidRPr="00DB2FCD">
        <w:rPr>
          <w:sz w:val="24"/>
          <w:szCs w:val="24"/>
        </w:rPr>
        <w:t xml:space="preserve"> a heightened risk of harm to </w:t>
      </w:r>
      <w:r w:rsidR="003403D0">
        <w:rPr>
          <w:sz w:val="24"/>
          <w:szCs w:val="24"/>
        </w:rPr>
        <w:t>P</w:t>
      </w:r>
      <w:r w:rsidRPr="00DB2FCD">
        <w:rPr>
          <w:sz w:val="24"/>
          <w:szCs w:val="24"/>
        </w:rPr>
        <w:t>.</w:t>
      </w:r>
      <w:r w:rsidRPr="00DB2FCD">
        <w:rPr>
          <w:rStyle w:val="FootnoteReference"/>
          <w:sz w:val="24"/>
          <w:szCs w:val="24"/>
        </w:rPr>
        <w:footnoteReference w:id="53"/>
      </w:r>
      <w:r w:rsidRPr="00DB2FCD">
        <w:rPr>
          <w:sz w:val="24"/>
          <w:szCs w:val="24"/>
        </w:rPr>
        <w:t xml:space="preserve"> While these risks may not warrant </w:t>
      </w:r>
      <w:r w:rsidR="0009598F">
        <w:rPr>
          <w:sz w:val="24"/>
          <w:szCs w:val="24"/>
        </w:rPr>
        <w:t>recourse to</w:t>
      </w:r>
      <w:r w:rsidRPr="00DB2FCD">
        <w:rPr>
          <w:sz w:val="24"/>
          <w:szCs w:val="24"/>
        </w:rPr>
        <w:t xml:space="preserve"> the MHA, they are such that voluntary arrangements alone would be inadequate. </w:t>
      </w:r>
      <w:r w:rsidR="0009598F">
        <w:rPr>
          <w:sz w:val="24"/>
          <w:szCs w:val="24"/>
        </w:rPr>
        <w:t>I</w:t>
      </w:r>
      <w:r w:rsidR="00E23459">
        <w:rPr>
          <w:sz w:val="24"/>
          <w:szCs w:val="24"/>
        </w:rPr>
        <w:t>ndeed, i</w:t>
      </w:r>
      <w:r w:rsidR="0009598F">
        <w:rPr>
          <w:sz w:val="24"/>
          <w:szCs w:val="24"/>
        </w:rPr>
        <w:t>f</w:t>
      </w:r>
      <w:r w:rsidRPr="00DB2FCD">
        <w:rPr>
          <w:sz w:val="24"/>
          <w:szCs w:val="24"/>
        </w:rPr>
        <w:t xml:space="preserve"> ‘deprivation of liberty’ </w:t>
      </w:r>
      <w:r w:rsidR="0009598F">
        <w:rPr>
          <w:sz w:val="24"/>
          <w:szCs w:val="24"/>
        </w:rPr>
        <w:t xml:space="preserve">involves </w:t>
      </w:r>
      <w:r w:rsidRPr="00DB2FCD">
        <w:rPr>
          <w:sz w:val="24"/>
          <w:szCs w:val="24"/>
        </w:rPr>
        <w:t>‘complete supervision and control</w:t>
      </w:r>
      <w:r w:rsidR="0009598F">
        <w:rPr>
          <w:sz w:val="24"/>
          <w:szCs w:val="24"/>
        </w:rPr>
        <w:t>’</w:t>
      </w:r>
      <w:r w:rsidRPr="00DB2FCD">
        <w:rPr>
          <w:sz w:val="24"/>
          <w:szCs w:val="24"/>
        </w:rPr>
        <w:t xml:space="preserve"> and</w:t>
      </w:r>
      <w:r w:rsidR="0009598F">
        <w:rPr>
          <w:sz w:val="24"/>
          <w:szCs w:val="24"/>
        </w:rPr>
        <w:t xml:space="preserve"> the absence of the freedom to leave,</w:t>
      </w:r>
      <w:r w:rsidRPr="00DB2FCD">
        <w:rPr>
          <w:rStyle w:val="FootnoteReference"/>
          <w:sz w:val="24"/>
          <w:szCs w:val="24"/>
        </w:rPr>
        <w:footnoteReference w:id="54"/>
      </w:r>
      <w:r w:rsidRPr="00DB2FCD">
        <w:rPr>
          <w:sz w:val="24"/>
          <w:szCs w:val="24"/>
        </w:rPr>
        <w:t xml:space="preserve"> </w:t>
      </w:r>
      <w:r w:rsidR="0009598F">
        <w:rPr>
          <w:sz w:val="24"/>
          <w:szCs w:val="24"/>
        </w:rPr>
        <w:t>i</w:t>
      </w:r>
      <w:r w:rsidRPr="00DB2FCD">
        <w:rPr>
          <w:sz w:val="24"/>
          <w:szCs w:val="24"/>
        </w:rPr>
        <w:t>t follows that the safeguards</w:t>
      </w:r>
      <w:r w:rsidR="0009598F">
        <w:rPr>
          <w:sz w:val="24"/>
          <w:szCs w:val="24"/>
        </w:rPr>
        <w:t xml:space="preserve"> will</w:t>
      </w:r>
      <w:r w:rsidRPr="00DB2FCD">
        <w:rPr>
          <w:sz w:val="24"/>
          <w:szCs w:val="24"/>
        </w:rPr>
        <w:t xml:space="preserve"> apply in circumstances where mere restrictions on </w:t>
      </w:r>
      <w:r w:rsidR="00C034FF">
        <w:rPr>
          <w:sz w:val="24"/>
          <w:szCs w:val="24"/>
        </w:rPr>
        <w:t>P’s</w:t>
      </w:r>
      <w:r w:rsidRPr="00DB2FCD">
        <w:rPr>
          <w:sz w:val="24"/>
          <w:szCs w:val="24"/>
        </w:rPr>
        <w:t xml:space="preserve"> freedom of movement may not be enough to attenuate the risks </w:t>
      </w:r>
      <w:r w:rsidR="00C034FF">
        <w:rPr>
          <w:sz w:val="24"/>
          <w:szCs w:val="24"/>
        </w:rPr>
        <w:t>associated with her mental disorder</w:t>
      </w:r>
      <w:r w:rsidRPr="00DB2FCD">
        <w:rPr>
          <w:sz w:val="24"/>
          <w:szCs w:val="24"/>
        </w:rPr>
        <w:t>.</w:t>
      </w:r>
    </w:p>
    <w:p w:rsidR="00DB2FCD" w:rsidRPr="007B4FFC" w:rsidRDefault="00E53E9D" w:rsidP="007B4FFC">
      <w:pPr>
        <w:pStyle w:val="ListParagraph"/>
        <w:numPr>
          <w:ilvl w:val="0"/>
          <w:numId w:val="3"/>
        </w:numPr>
        <w:tabs>
          <w:tab w:val="left" w:pos="7175"/>
        </w:tabs>
        <w:spacing w:line="720" w:lineRule="auto"/>
        <w:jc w:val="center"/>
        <w:rPr>
          <w:i/>
          <w:sz w:val="24"/>
          <w:szCs w:val="24"/>
        </w:rPr>
      </w:pPr>
      <w:r w:rsidRPr="007B4FFC">
        <w:rPr>
          <w:rFonts w:asciiTheme="majorHAnsi" w:hAnsiTheme="majorHAnsi"/>
          <w:i/>
          <w:sz w:val="24"/>
          <w:szCs w:val="24"/>
        </w:rPr>
        <w:t xml:space="preserve">DOLS, </w:t>
      </w:r>
      <w:r w:rsidR="007B4FFC" w:rsidRPr="007B4FFC">
        <w:rPr>
          <w:rFonts w:asciiTheme="majorHAnsi" w:hAnsiTheme="majorHAnsi"/>
          <w:i/>
          <w:sz w:val="24"/>
          <w:szCs w:val="24"/>
        </w:rPr>
        <w:t>R</w:t>
      </w:r>
      <w:r w:rsidRPr="007B4FFC">
        <w:rPr>
          <w:rFonts w:asciiTheme="majorHAnsi" w:hAnsiTheme="majorHAnsi"/>
          <w:i/>
          <w:sz w:val="24"/>
          <w:szCs w:val="24"/>
        </w:rPr>
        <w:t>isk</w:t>
      </w:r>
      <w:r w:rsidR="004F28C7" w:rsidRPr="007B4FFC">
        <w:rPr>
          <w:rFonts w:asciiTheme="majorHAnsi" w:hAnsiTheme="majorHAnsi"/>
          <w:i/>
          <w:sz w:val="24"/>
          <w:szCs w:val="24"/>
        </w:rPr>
        <w:t xml:space="preserve"> and </w:t>
      </w:r>
      <w:r w:rsidR="007B4FFC" w:rsidRPr="007B4FFC">
        <w:rPr>
          <w:rFonts w:asciiTheme="majorHAnsi" w:hAnsiTheme="majorHAnsi"/>
          <w:i/>
          <w:sz w:val="24"/>
          <w:szCs w:val="24"/>
        </w:rPr>
        <w:t>B</w:t>
      </w:r>
      <w:r w:rsidR="004F28C7" w:rsidRPr="007B4FFC">
        <w:rPr>
          <w:rFonts w:asciiTheme="majorHAnsi" w:hAnsiTheme="majorHAnsi"/>
          <w:i/>
          <w:sz w:val="24"/>
          <w:szCs w:val="24"/>
        </w:rPr>
        <w:t xml:space="preserve">est </w:t>
      </w:r>
      <w:r w:rsidR="007B4FFC" w:rsidRPr="007B4FFC">
        <w:rPr>
          <w:rFonts w:asciiTheme="majorHAnsi" w:hAnsiTheme="majorHAnsi"/>
          <w:i/>
          <w:sz w:val="24"/>
          <w:szCs w:val="24"/>
        </w:rPr>
        <w:t>I</w:t>
      </w:r>
      <w:r w:rsidR="004F28C7" w:rsidRPr="007B4FFC">
        <w:rPr>
          <w:rFonts w:asciiTheme="majorHAnsi" w:hAnsiTheme="majorHAnsi"/>
          <w:i/>
          <w:sz w:val="24"/>
          <w:szCs w:val="24"/>
        </w:rPr>
        <w:t>nterests</w:t>
      </w:r>
    </w:p>
    <w:p w:rsidR="00DB2FCD" w:rsidRPr="00DB2FCD" w:rsidRDefault="00DB2FCD" w:rsidP="00DE5530">
      <w:pPr>
        <w:spacing w:line="720" w:lineRule="auto"/>
        <w:ind w:firstLine="720"/>
        <w:jc w:val="both"/>
        <w:rPr>
          <w:sz w:val="24"/>
          <w:szCs w:val="24"/>
        </w:rPr>
      </w:pPr>
      <w:r w:rsidRPr="00DB2FCD">
        <w:rPr>
          <w:sz w:val="24"/>
          <w:szCs w:val="24"/>
        </w:rPr>
        <w:lastRenderedPageBreak/>
        <w:t>If a hospital wishes to deprive P of his liberty, it must apply for a ‘standard authorisation’</w:t>
      </w:r>
      <w:r w:rsidRPr="00DB2FCD">
        <w:rPr>
          <w:rStyle w:val="FootnoteReference"/>
          <w:sz w:val="24"/>
          <w:szCs w:val="24"/>
        </w:rPr>
        <w:footnoteReference w:id="55"/>
      </w:r>
      <w:r w:rsidRPr="00DB2FCD">
        <w:rPr>
          <w:sz w:val="24"/>
          <w:szCs w:val="24"/>
        </w:rPr>
        <w:t xml:space="preserve"> in accordance with Schedule A1 to the </w:t>
      </w:r>
      <w:bookmarkStart w:id="20" w:name="aMCA2005SchA1"/>
      <w:bookmarkEnd w:id="20"/>
      <w:r w:rsidRPr="00DB2FCD">
        <w:rPr>
          <w:sz w:val="24"/>
          <w:szCs w:val="24"/>
        </w:rPr>
        <w:t>MCA.</w:t>
      </w:r>
      <w:r w:rsidRPr="00DB2FCD">
        <w:rPr>
          <w:rStyle w:val="FootnoteReference"/>
          <w:sz w:val="24"/>
          <w:szCs w:val="24"/>
        </w:rPr>
        <w:footnoteReference w:id="56"/>
      </w:r>
      <w:r w:rsidRPr="00DB2FCD">
        <w:rPr>
          <w:sz w:val="24"/>
          <w:szCs w:val="24"/>
        </w:rPr>
        <w:t xml:space="preserve"> This process must take place where P is (</w:t>
      </w:r>
      <w:proofErr w:type="spellStart"/>
      <w:r w:rsidRPr="00DB2FCD">
        <w:rPr>
          <w:sz w:val="24"/>
          <w:szCs w:val="24"/>
        </w:rPr>
        <w:t>i</w:t>
      </w:r>
      <w:proofErr w:type="spellEnd"/>
      <w:r w:rsidRPr="00DB2FCD">
        <w:rPr>
          <w:sz w:val="24"/>
          <w:szCs w:val="24"/>
        </w:rPr>
        <w:t>) about to be or is already accommodated in a hospital or care home, (ii) likely to be a detained resident within the next twenty-eight days, and (iii) likely to meet all of the</w:t>
      </w:r>
      <w:r w:rsidR="000824BB">
        <w:rPr>
          <w:sz w:val="24"/>
          <w:szCs w:val="24"/>
        </w:rPr>
        <w:t xml:space="preserve"> six</w:t>
      </w:r>
      <w:r w:rsidRPr="00DB2FCD">
        <w:rPr>
          <w:sz w:val="24"/>
          <w:szCs w:val="24"/>
        </w:rPr>
        <w:t xml:space="preserve"> qualifying requirements</w:t>
      </w:r>
      <w:r w:rsidR="00DA1E28" w:rsidRPr="00DB2FCD">
        <w:rPr>
          <w:rStyle w:val="FootnoteReference"/>
          <w:sz w:val="24"/>
          <w:szCs w:val="24"/>
        </w:rPr>
        <w:footnoteReference w:id="57"/>
      </w:r>
      <w:r w:rsidRPr="00DB2FCD">
        <w:rPr>
          <w:sz w:val="24"/>
          <w:szCs w:val="24"/>
        </w:rPr>
        <w:t xml:space="preserve"> in Part 3 of Schedule A1 to the MCA</w:t>
      </w:r>
      <w:r w:rsidR="00645407">
        <w:rPr>
          <w:sz w:val="24"/>
          <w:szCs w:val="24"/>
        </w:rPr>
        <w:t>;</w:t>
      </w:r>
      <w:r w:rsidR="00DA1E28">
        <w:rPr>
          <w:sz w:val="24"/>
          <w:szCs w:val="24"/>
        </w:rPr>
        <w:t xml:space="preserve"> namely </w:t>
      </w:r>
      <w:r w:rsidRPr="00DB2FCD">
        <w:rPr>
          <w:sz w:val="24"/>
          <w:szCs w:val="24"/>
        </w:rPr>
        <w:t>age,</w:t>
      </w:r>
      <w:r w:rsidRPr="00DB2FCD">
        <w:rPr>
          <w:rStyle w:val="FootnoteReference"/>
          <w:sz w:val="24"/>
          <w:szCs w:val="24"/>
        </w:rPr>
        <w:footnoteReference w:id="58"/>
      </w:r>
      <w:r w:rsidRPr="00DB2FCD">
        <w:rPr>
          <w:sz w:val="24"/>
          <w:szCs w:val="24"/>
        </w:rPr>
        <w:t xml:space="preserve"> mental health,</w:t>
      </w:r>
      <w:r w:rsidRPr="00DB2FCD">
        <w:rPr>
          <w:rStyle w:val="FootnoteReference"/>
          <w:sz w:val="24"/>
          <w:szCs w:val="24"/>
        </w:rPr>
        <w:footnoteReference w:id="59"/>
      </w:r>
      <w:r w:rsidRPr="00DB2FCD">
        <w:rPr>
          <w:sz w:val="24"/>
          <w:szCs w:val="24"/>
        </w:rPr>
        <w:t xml:space="preserve"> mental capacity,</w:t>
      </w:r>
      <w:r w:rsidRPr="00DB2FCD">
        <w:rPr>
          <w:rStyle w:val="FootnoteReference"/>
          <w:sz w:val="24"/>
          <w:szCs w:val="24"/>
        </w:rPr>
        <w:footnoteReference w:id="60"/>
      </w:r>
      <w:r w:rsidRPr="00DB2FCD">
        <w:rPr>
          <w:sz w:val="24"/>
          <w:szCs w:val="24"/>
        </w:rPr>
        <w:t xml:space="preserve"> best interests,</w:t>
      </w:r>
      <w:r w:rsidRPr="00DB2FCD">
        <w:rPr>
          <w:rStyle w:val="FootnoteReference"/>
          <w:sz w:val="24"/>
          <w:szCs w:val="24"/>
        </w:rPr>
        <w:footnoteReference w:id="61"/>
      </w:r>
      <w:r w:rsidRPr="00DB2FCD">
        <w:rPr>
          <w:sz w:val="24"/>
          <w:szCs w:val="24"/>
        </w:rPr>
        <w:t xml:space="preserve"> eligibility,</w:t>
      </w:r>
      <w:r w:rsidRPr="00DB2FCD">
        <w:rPr>
          <w:rStyle w:val="FootnoteReference"/>
          <w:sz w:val="24"/>
          <w:szCs w:val="24"/>
        </w:rPr>
        <w:footnoteReference w:id="62"/>
      </w:r>
      <w:r w:rsidRPr="00DB2FCD">
        <w:rPr>
          <w:sz w:val="24"/>
          <w:szCs w:val="24"/>
        </w:rPr>
        <w:t xml:space="preserve"> and no refusals.</w:t>
      </w:r>
      <w:r w:rsidRPr="00DB2FCD">
        <w:rPr>
          <w:rStyle w:val="FootnoteReference"/>
          <w:sz w:val="24"/>
          <w:szCs w:val="24"/>
        </w:rPr>
        <w:footnoteReference w:id="63"/>
      </w:r>
    </w:p>
    <w:p w:rsidR="002A075E" w:rsidRDefault="00DB2FCD" w:rsidP="00DE5530">
      <w:pPr>
        <w:spacing w:line="720" w:lineRule="auto"/>
        <w:ind w:firstLine="720"/>
        <w:jc w:val="both"/>
        <w:rPr>
          <w:sz w:val="24"/>
          <w:szCs w:val="24"/>
        </w:rPr>
      </w:pPr>
      <w:r w:rsidRPr="00DB2FCD">
        <w:rPr>
          <w:sz w:val="24"/>
          <w:szCs w:val="24"/>
        </w:rPr>
        <w:t>Some of the criteria are easier to assess than others. P must be</w:t>
      </w:r>
      <w:r w:rsidR="009313BD">
        <w:rPr>
          <w:sz w:val="24"/>
          <w:szCs w:val="24"/>
        </w:rPr>
        <w:t xml:space="preserve"> at</w:t>
      </w:r>
      <w:r w:rsidRPr="00DB2FCD">
        <w:rPr>
          <w:sz w:val="24"/>
          <w:szCs w:val="24"/>
        </w:rPr>
        <w:t xml:space="preserve"> least eighteen years of age to satisfy the age requirement,</w:t>
      </w:r>
      <w:r w:rsidRPr="00DB2FCD">
        <w:rPr>
          <w:rStyle w:val="FootnoteReference"/>
          <w:sz w:val="24"/>
          <w:szCs w:val="24"/>
        </w:rPr>
        <w:footnoteReference w:id="64"/>
      </w:r>
      <w:r w:rsidRPr="00DB2FCD">
        <w:rPr>
          <w:sz w:val="24"/>
          <w:szCs w:val="24"/>
        </w:rPr>
        <w:t xml:space="preserve"> and the ‘no refusals’ criterion precludes an authorisation where P has refused some or all of the proposed treatment in an applicable </w:t>
      </w:r>
      <w:r w:rsidRPr="00DB2FCD">
        <w:rPr>
          <w:sz w:val="24"/>
          <w:szCs w:val="24"/>
        </w:rPr>
        <w:lastRenderedPageBreak/>
        <w:t>advance decision</w:t>
      </w:r>
      <w:r w:rsidRPr="00DB2FCD">
        <w:rPr>
          <w:rStyle w:val="FootnoteReference"/>
          <w:sz w:val="24"/>
          <w:szCs w:val="24"/>
        </w:rPr>
        <w:footnoteReference w:id="65"/>
      </w:r>
      <w:r w:rsidRPr="00DB2FCD">
        <w:rPr>
          <w:sz w:val="24"/>
          <w:szCs w:val="24"/>
        </w:rPr>
        <w:t xml:space="preserve"> or where his admission will conflict with a valid decision of a </w:t>
      </w:r>
      <w:proofErr w:type="spellStart"/>
      <w:r w:rsidRPr="00DB2FCD">
        <w:rPr>
          <w:sz w:val="24"/>
          <w:szCs w:val="24"/>
        </w:rPr>
        <w:t>donee</w:t>
      </w:r>
      <w:proofErr w:type="spellEnd"/>
      <w:r w:rsidRPr="00DB2FCD">
        <w:rPr>
          <w:sz w:val="24"/>
          <w:szCs w:val="24"/>
        </w:rPr>
        <w:t xml:space="preserve"> of a lasting power of attorney or a deputy appointed by the court.</w:t>
      </w:r>
      <w:r w:rsidRPr="00DB2FCD">
        <w:rPr>
          <w:rStyle w:val="FootnoteReference"/>
          <w:sz w:val="24"/>
          <w:szCs w:val="24"/>
        </w:rPr>
        <w:footnoteReference w:id="66"/>
      </w:r>
      <w:r w:rsidRPr="00DB2FCD">
        <w:rPr>
          <w:sz w:val="24"/>
          <w:szCs w:val="24"/>
        </w:rPr>
        <w:t xml:space="preserve"> The mental health and mental capacity requirements are similarly straightforward: P must be suffering from a mental disorder within the meaning of section 1</w:t>
      </w:r>
      <w:bookmarkStart w:id="22" w:name="a1983Acts12"/>
      <w:bookmarkEnd w:id="22"/>
      <w:r w:rsidRPr="00DB2FCD">
        <w:rPr>
          <w:sz w:val="24"/>
          <w:szCs w:val="24"/>
        </w:rPr>
        <w:t>(2) of the MHA</w:t>
      </w:r>
      <w:r w:rsidRPr="00DB2FCD">
        <w:rPr>
          <w:rStyle w:val="FootnoteReference"/>
          <w:sz w:val="24"/>
          <w:szCs w:val="24"/>
        </w:rPr>
        <w:footnoteReference w:id="67"/>
      </w:r>
      <w:r w:rsidRPr="00DB2FCD">
        <w:rPr>
          <w:sz w:val="24"/>
          <w:szCs w:val="24"/>
        </w:rPr>
        <w:t xml:space="preserve"> and must lack capacity to decide whether he should be accommodated in the relevant hospital or care home.</w:t>
      </w:r>
      <w:r w:rsidRPr="00DB2FCD">
        <w:rPr>
          <w:rStyle w:val="FootnoteReference"/>
          <w:sz w:val="24"/>
          <w:szCs w:val="24"/>
        </w:rPr>
        <w:footnoteReference w:id="68"/>
      </w:r>
      <w:r w:rsidRPr="00DB2FCD">
        <w:rPr>
          <w:sz w:val="24"/>
          <w:szCs w:val="24"/>
        </w:rPr>
        <w:t xml:space="preserve"> Things get trickier when it comes to the best interests requirement. Here, the assessor must be satisfied that it is (</w:t>
      </w:r>
      <w:proofErr w:type="spellStart"/>
      <w:r w:rsidRPr="00DB2FCD">
        <w:rPr>
          <w:sz w:val="24"/>
          <w:szCs w:val="24"/>
        </w:rPr>
        <w:t>i</w:t>
      </w:r>
      <w:proofErr w:type="spellEnd"/>
      <w:r w:rsidRPr="00DB2FCD">
        <w:rPr>
          <w:sz w:val="24"/>
          <w:szCs w:val="24"/>
        </w:rPr>
        <w:t>) in P’s best interests for him to be deprived of his liberty, (ii) necessary for P to be detained in order to prevent harm to him, and (iii) a proportionate response to the likelihood of P suffering harm and the seriousness of that harm.</w:t>
      </w:r>
      <w:r w:rsidRPr="00DB2FCD">
        <w:rPr>
          <w:rStyle w:val="FootnoteReference"/>
          <w:sz w:val="24"/>
          <w:szCs w:val="24"/>
        </w:rPr>
        <w:footnoteReference w:id="69"/>
      </w:r>
      <w:r w:rsidRPr="00DB2FCD">
        <w:rPr>
          <w:sz w:val="24"/>
          <w:szCs w:val="24"/>
        </w:rPr>
        <w:t xml:space="preserve"> The wording here bears a striking similarity to the MHA’s risk formula. </w:t>
      </w:r>
      <w:r w:rsidR="00A35C13">
        <w:rPr>
          <w:sz w:val="24"/>
          <w:szCs w:val="24"/>
        </w:rPr>
        <w:t>T</w:t>
      </w:r>
      <w:r w:rsidRPr="00DB2FCD">
        <w:rPr>
          <w:sz w:val="24"/>
          <w:szCs w:val="24"/>
        </w:rPr>
        <w:t>he DOLS provisions</w:t>
      </w:r>
      <w:r w:rsidR="00A35C13">
        <w:rPr>
          <w:sz w:val="24"/>
          <w:szCs w:val="24"/>
        </w:rPr>
        <w:t xml:space="preserve"> therefore</w:t>
      </w:r>
      <w:r w:rsidRPr="00DB2FCD">
        <w:rPr>
          <w:sz w:val="24"/>
          <w:szCs w:val="24"/>
        </w:rPr>
        <w:t xml:space="preserve"> require at least </w:t>
      </w:r>
      <w:r w:rsidRPr="00DB2FCD">
        <w:rPr>
          <w:i/>
          <w:sz w:val="24"/>
          <w:szCs w:val="24"/>
        </w:rPr>
        <w:t xml:space="preserve">some </w:t>
      </w:r>
      <w:r w:rsidRPr="00DB2FCD">
        <w:rPr>
          <w:sz w:val="24"/>
          <w:szCs w:val="24"/>
        </w:rPr>
        <w:t xml:space="preserve">degree of risk of harm before a standard authorisation can be granted. </w:t>
      </w:r>
      <w:r w:rsidR="00A1322A">
        <w:rPr>
          <w:sz w:val="24"/>
          <w:szCs w:val="24"/>
        </w:rPr>
        <w:t>T</w:t>
      </w:r>
      <w:r w:rsidRPr="00DB2FCD">
        <w:rPr>
          <w:sz w:val="24"/>
          <w:szCs w:val="24"/>
        </w:rPr>
        <w:t>his is</w:t>
      </w:r>
      <w:r w:rsidR="00A1322A">
        <w:rPr>
          <w:sz w:val="24"/>
          <w:szCs w:val="24"/>
        </w:rPr>
        <w:t xml:space="preserve"> presumably</w:t>
      </w:r>
      <w:r w:rsidRPr="00DB2FCD">
        <w:rPr>
          <w:sz w:val="24"/>
          <w:szCs w:val="24"/>
        </w:rPr>
        <w:t xml:space="preserve"> not the same level of risk as that </w:t>
      </w:r>
      <w:r w:rsidR="007B0F99">
        <w:rPr>
          <w:sz w:val="24"/>
          <w:szCs w:val="24"/>
        </w:rPr>
        <w:t xml:space="preserve">which is </w:t>
      </w:r>
      <w:r w:rsidRPr="00DB2FCD">
        <w:rPr>
          <w:sz w:val="24"/>
          <w:szCs w:val="24"/>
        </w:rPr>
        <w:t xml:space="preserve">implied by the MHA. First, Schedule </w:t>
      </w:r>
      <w:r w:rsidRPr="00DB2FCD">
        <w:rPr>
          <w:sz w:val="24"/>
          <w:szCs w:val="24"/>
        </w:rPr>
        <w:lastRenderedPageBreak/>
        <w:t>A1 to the MCA refers only to detention which is necessary to prevent harm</w:t>
      </w:r>
      <w:r w:rsidRPr="00DB2FCD">
        <w:rPr>
          <w:i/>
          <w:sz w:val="24"/>
          <w:szCs w:val="24"/>
        </w:rPr>
        <w:t xml:space="preserve"> to the relevant person</w:t>
      </w:r>
      <w:r w:rsidRPr="00DB2FCD">
        <w:rPr>
          <w:sz w:val="24"/>
          <w:szCs w:val="24"/>
        </w:rPr>
        <w:t>. This is clearly a narrower and</w:t>
      </w:r>
      <w:r w:rsidR="009C787D">
        <w:rPr>
          <w:sz w:val="24"/>
          <w:szCs w:val="24"/>
        </w:rPr>
        <w:t xml:space="preserve"> perhaps</w:t>
      </w:r>
      <w:r w:rsidRPr="00DB2FCD">
        <w:rPr>
          <w:sz w:val="24"/>
          <w:szCs w:val="24"/>
        </w:rPr>
        <w:t xml:space="preserve"> less urgent conception of risk than that which applies under the MHA, which impels decision-makers to take risks to the wider community into account too. Secondly, the DOLS provisions seem specifically to incorporate considerations of risk </w:t>
      </w:r>
      <w:r w:rsidRPr="00DB2FCD">
        <w:rPr>
          <w:i/>
          <w:sz w:val="24"/>
          <w:szCs w:val="24"/>
        </w:rPr>
        <w:t>into</w:t>
      </w:r>
      <w:r w:rsidRPr="00DB2FCD">
        <w:rPr>
          <w:sz w:val="24"/>
          <w:szCs w:val="24"/>
        </w:rPr>
        <w:t xml:space="preserve"> the assessment of P’s best interests. To some extent, this is unsurprising: the MCA provides that where P lacks capacity the decision-maker should consider, </w:t>
      </w:r>
      <w:r w:rsidRPr="00312E2E">
        <w:rPr>
          <w:sz w:val="24"/>
          <w:szCs w:val="24"/>
        </w:rPr>
        <w:t>inter alia</w:t>
      </w:r>
      <w:r w:rsidRPr="00DB2FCD">
        <w:rPr>
          <w:sz w:val="24"/>
          <w:szCs w:val="24"/>
        </w:rPr>
        <w:t xml:space="preserve">, </w:t>
      </w:r>
      <w:r w:rsidRPr="001221D7">
        <w:rPr>
          <w:sz w:val="24"/>
          <w:szCs w:val="24"/>
        </w:rPr>
        <w:t>any factors that would likely influence his decision in order to give effect to his best interests</w:t>
      </w:r>
      <w:r w:rsidRPr="00DB2FCD">
        <w:rPr>
          <w:sz w:val="24"/>
          <w:szCs w:val="24"/>
        </w:rPr>
        <w:t>.</w:t>
      </w:r>
      <w:r w:rsidRPr="00DB2FCD">
        <w:rPr>
          <w:rStyle w:val="FootnoteReference"/>
          <w:sz w:val="24"/>
          <w:szCs w:val="24"/>
        </w:rPr>
        <w:footnoteReference w:id="70"/>
      </w:r>
      <w:r w:rsidRPr="00DB2FCD">
        <w:rPr>
          <w:sz w:val="24"/>
          <w:szCs w:val="24"/>
        </w:rPr>
        <w:t xml:space="preserve"> The decision-maker should therefore take a decision that is broadly commensurate with what P might decide in the</w:t>
      </w:r>
      <w:r w:rsidR="0035735E">
        <w:rPr>
          <w:sz w:val="24"/>
          <w:szCs w:val="24"/>
        </w:rPr>
        <w:t xml:space="preserve"> same</w:t>
      </w:r>
      <w:r w:rsidRPr="00DB2FCD">
        <w:rPr>
          <w:sz w:val="24"/>
          <w:szCs w:val="24"/>
        </w:rPr>
        <w:t xml:space="preserve"> circumstances</w:t>
      </w:r>
      <w:r w:rsidR="0035735E">
        <w:rPr>
          <w:sz w:val="24"/>
          <w:szCs w:val="24"/>
        </w:rPr>
        <w:t>.</w:t>
      </w:r>
      <w:r w:rsidRPr="00DB2FCD">
        <w:rPr>
          <w:sz w:val="24"/>
          <w:szCs w:val="24"/>
        </w:rPr>
        <w:t xml:space="preserve"> The safeguards thus draw an inextricable link between reducing risks of harm to P and enhancing his best interests.</w:t>
      </w:r>
      <w:r w:rsidRPr="00DB2FCD">
        <w:rPr>
          <w:rStyle w:val="FootnoteReference"/>
          <w:sz w:val="24"/>
          <w:szCs w:val="24"/>
        </w:rPr>
        <w:footnoteReference w:id="71"/>
      </w:r>
      <w:r w:rsidRPr="00DB2FCD">
        <w:rPr>
          <w:sz w:val="24"/>
          <w:szCs w:val="24"/>
        </w:rPr>
        <w:t xml:space="preserve"> No such link exists in the MHA. Through these two differences we can see how the DOLS framework further reinforces the niche for the MHA’s compulsory powers, which </w:t>
      </w:r>
      <w:r w:rsidRPr="00DB2FCD">
        <w:rPr>
          <w:sz w:val="24"/>
          <w:szCs w:val="24"/>
        </w:rPr>
        <w:lastRenderedPageBreak/>
        <w:t>apply (</w:t>
      </w:r>
      <w:proofErr w:type="spellStart"/>
      <w:r w:rsidRPr="00DB2FCD">
        <w:rPr>
          <w:sz w:val="24"/>
          <w:szCs w:val="24"/>
        </w:rPr>
        <w:t>i</w:t>
      </w:r>
      <w:proofErr w:type="spellEnd"/>
      <w:r w:rsidRPr="00DB2FCD">
        <w:rPr>
          <w:sz w:val="24"/>
          <w:szCs w:val="24"/>
        </w:rPr>
        <w:t>) where P poses</w:t>
      </w:r>
      <w:r w:rsidR="003D121E">
        <w:rPr>
          <w:sz w:val="24"/>
          <w:szCs w:val="24"/>
        </w:rPr>
        <w:t xml:space="preserve"> or faces</w:t>
      </w:r>
      <w:r w:rsidRPr="00DB2FCD">
        <w:rPr>
          <w:sz w:val="24"/>
          <w:szCs w:val="24"/>
        </w:rPr>
        <w:t xml:space="preserve"> graver risks of harm, and (ii) according to a paternalistic imperative.</w:t>
      </w:r>
    </w:p>
    <w:p w:rsidR="002A075E" w:rsidRPr="004C4F83" w:rsidRDefault="002A075E" w:rsidP="004C4F83">
      <w:pPr>
        <w:pStyle w:val="ListParagraph"/>
        <w:numPr>
          <w:ilvl w:val="0"/>
          <w:numId w:val="3"/>
        </w:numPr>
        <w:tabs>
          <w:tab w:val="left" w:pos="7175"/>
        </w:tabs>
        <w:spacing w:line="720" w:lineRule="auto"/>
        <w:jc w:val="center"/>
        <w:rPr>
          <w:i/>
          <w:sz w:val="24"/>
          <w:szCs w:val="24"/>
        </w:rPr>
      </w:pPr>
      <w:r w:rsidRPr="004C4F83">
        <w:rPr>
          <w:rFonts w:asciiTheme="majorHAnsi" w:hAnsiTheme="majorHAnsi"/>
          <w:i/>
          <w:sz w:val="24"/>
          <w:szCs w:val="24"/>
        </w:rPr>
        <w:t xml:space="preserve">DOLS, </w:t>
      </w:r>
      <w:r w:rsidR="004C4F83" w:rsidRPr="004C4F83">
        <w:rPr>
          <w:rFonts w:asciiTheme="majorHAnsi" w:hAnsiTheme="majorHAnsi"/>
          <w:i/>
          <w:sz w:val="24"/>
          <w:szCs w:val="24"/>
        </w:rPr>
        <w:t>R</w:t>
      </w:r>
      <w:r w:rsidRPr="004C4F83">
        <w:rPr>
          <w:rFonts w:asciiTheme="majorHAnsi" w:hAnsiTheme="majorHAnsi"/>
          <w:i/>
          <w:sz w:val="24"/>
          <w:szCs w:val="24"/>
        </w:rPr>
        <w:t xml:space="preserve">isk and </w:t>
      </w:r>
      <w:r w:rsidR="004C4F83" w:rsidRPr="004C4F83">
        <w:rPr>
          <w:rFonts w:asciiTheme="majorHAnsi" w:hAnsiTheme="majorHAnsi"/>
          <w:i/>
          <w:sz w:val="24"/>
          <w:szCs w:val="24"/>
        </w:rPr>
        <w:t>E</w:t>
      </w:r>
      <w:r w:rsidRPr="004C4F83">
        <w:rPr>
          <w:rFonts w:asciiTheme="majorHAnsi" w:hAnsiTheme="majorHAnsi"/>
          <w:i/>
          <w:sz w:val="24"/>
          <w:szCs w:val="24"/>
        </w:rPr>
        <w:t>ligibility</w:t>
      </w:r>
    </w:p>
    <w:p w:rsidR="00DB2FCD" w:rsidRPr="00DB2FCD" w:rsidRDefault="00DB2FCD" w:rsidP="00DE5530">
      <w:pPr>
        <w:spacing w:line="720" w:lineRule="auto"/>
        <w:ind w:firstLine="720"/>
        <w:jc w:val="both"/>
        <w:rPr>
          <w:sz w:val="24"/>
          <w:szCs w:val="24"/>
        </w:rPr>
      </w:pPr>
      <w:r w:rsidRPr="00DB2FCD">
        <w:rPr>
          <w:sz w:val="24"/>
          <w:szCs w:val="24"/>
        </w:rPr>
        <w:t xml:space="preserve">The DOLS’ eligibility requirement further amplifies the significance of risk. According to paragraph 17(1) of Part 3 of Schedule A1 to the MCA, ‘the relevant person meets the eligibility requirement </w:t>
      </w:r>
      <w:r w:rsidRPr="00DB2FCD">
        <w:rPr>
          <w:i/>
          <w:sz w:val="24"/>
          <w:szCs w:val="24"/>
        </w:rPr>
        <w:t>unless</w:t>
      </w:r>
      <w:r w:rsidRPr="00DB2FCD">
        <w:rPr>
          <w:sz w:val="24"/>
          <w:szCs w:val="24"/>
        </w:rPr>
        <w:t xml:space="preserve"> he is ineligible to be deprived of his liberty..</w:t>
      </w:r>
      <w:r w:rsidR="00312E2E">
        <w:rPr>
          <w:sz w:val="24"/>
          <w:szCs w:val="24"/>
        </w:rPr>
        <w:t>.</w:t>
      </w:r>
      <w:r w:rsidR="00122185">
        <w:rPr>
          <w:sz w:val="24"/>
          <w:szCs w:val="24"/>
        </w:rPr>
        <w:t>’</w:t>
      </w:r>
      <w:r w:rsidRPr="00DB2FCD">
        <w:rPr>
          <w:rStyle w:val="FootnoteReference"/>
          <w:sz w:val="24"/>
          <w:szCs w:val="24"/>
        </w:rPr>
        <w:footnoteReference w:id="72"/>
      </w:r>
      <w:r w:rsidRPr="00DB2FCD">
        <w:rPr>
          <w:sz w:val="24"/>
          <w:szCs w:val="24"/>
        </w:rPr>
        <w:t xml:space="preserve"> The simplest way in which P will be rendered ineligible is where, as we have seen, he is (a) subject to a hospital treatment regime, and (b) detained in a hospital under that regime.</w:t>
      </w:r>
      <w:r w:rsidRPr="00DB2FCD">
        <w:rPr>
          <w:rStyle w:val="FootnoteReference"/>
          <w:sz w:val="24"/>
          <w:szCs w:val="24"/>
        </w:rPr>
        <w:footnoteReference w:id="73"/>
      </w:r>
      <w:r w:rsidRPr="00DB2FCD">
        <w:rPr>
          <w:sz w:val="24"/>
          <w:szCs w:val="24"/>
        </w:rPr>
        <w:t xml:space="preserve"> The eligibility question becomes more complex where </w:t>
      </w:r>
      <w:r w:rsidR="002D3027">
        <w:rPr>
          <w:sz w:val="24"/>
          <w:szCs w:val="24"/>
        </w:rPr>
        <w:t>P</w:t>
      </w:r>
      <w:r w:rsidRPr="00DB2FCD">
        <w:rPr>
          <w:sz w:val="24"/>
          <w:szCs w:val="24"/>
        </w:rPr>
        <w:t xml:space="preserve"> is (a) within the scope of the MHA, but (b) not subject to any of its provisions at the material time.</w:t>
      </w:r>
      <w:bookmarkStart w:id="26" w:name="_Ref427683508"/>
      <w:r w:rsidRPr="00DB2FCD">
        <w:rPr>
          <w:rStyle w:val="FootnoteReference"/>
          <w:sz w:val="24"/>
          <w:szCs w:val="24"/>
        </w:rPr>
        <w:footnoteReference w:id="74"/>
      </w:r>
      <w:bookmarkEnd w:id="26"/>
      <w:r w:rsidRPr="00DB2FCD">
        <w:rPr>
          <w:sz w:val="24"/>
          <w:szCs w:val="24"/>
        </w:rPr>
        <w:t xml:space="preserve"> P will be ‘within the scope’ of the MHA if (a) an application could be made in respect of him under sections </w:t>
      </w:r>
      <w:bookmarkStart w:id="27" w:name="a1983Acts2_3"/>
      <w:bookmarkEnd w:id="27"/>
      <w:r w:rsidRPr="00DB2FCD">
        <w:rPr>
          <w:sz w:val="24"/>
          <w:szCs w:val="24"/>
        </w:rPr>
        <w:t>2 or 3</w:t>
      </w:r>
      <w:bookmarkStart w:id="28" w:name="a1983Acts3_3"/>
      <w:bookmarkEnd w:id="28"/>
      <w:r w:rsidRPr="00DB2FCD">
        <w:rPr>
          <w:sz w:val="24"/>
          <w:szCs w:val="24"/>
        </w:rPr>
        <w:t xml:space="preserve"> of the 1983 Act, and (b) he could be detained in hospital pursuant to such an application were one made.</w:t>
      </w:r>
      <w:r w:rsidRPr="00DB2FCD">
        <w:rPr>
          <w:rStyle w:val="FootnoteReference"/>
          <w:sz w:val="24"/>
          <w:szCs w:val="24"/>
        </w:rPr>
        <w:footnoteReference w:id="75"/>
      </w:r>
      <w:r w:rsidRPr="00DB2FCD">
        <w:rPr>
          <w:sz w:val="24"/>
          <w:szCs w:val="24"/>
        </w:rPr>
        <w:t xml:space="preserve"> In these circumstances, P will be ineligible under the DOLS framework where (</w:t>
      </w:r>
      <w:proofErr w:type="spellStart"/>
      <w:r w:rsidRPr="00DB2FCD">
        <w:rPr>
          <w:sz w:val="24"/>
          <w:szCs w:val="24"/>
        </w:rPr>
        <w:t>i</w:t>
      </w:r>
      <w:proofErr w:type="spellEnd"/>
      <w:r w:rsidRPr="00DB2FCD">
        <w:rPr>
          <w:sz w:val="24"/>
          <w:szCs w:val="24"/>
        </w:rPr>
        <w:t xml:space="preserve">) the </w:t>
      </w:r>
      <w:r w:rsidRPr="00DB2FCD">
        <w:rPr>
          <w:sz w:val="24"/>
          <w:szCs w:val="24"/>
        </w:rPr>
        <w:lastRenderedPageBreak/>
        <w:t xml:space="preserve">standard authorisation would authorise him to be a mental health patient, (ii) P objects either to being a mental health patient or to being given some or all of the </w:t>
      </w:r>
      <w:r w:rsidR="00BD28AE">
        <w:rPr>
          <w:sz w:val="24"/>
          <w:szCs w:val="24"/>
        </w:rPr>
        <w:t>relevant</w:t>
      </w:r>
      <w:r w:rsidRPr="00DB2FCD">
        <w:rPr>
          <w:sz w:val="24"/>
          <w:szCs w:val="24"/>
        </w:rPr>
        <w:t xml:space="preserve"> treatment, and (iii) a </w:t>
      </w:r>
      <w:proofErr w:type="spellStart"/>
      <w:r w:rsidRPr="00DB2FCD">
        <w:rPr>
          <w:sz w:val="24"/>
          <w:szCs w:val="24"/>
        </w:rPr>
        <w:t>donee</w:t>
      </w:r>
      <w:proofErr w:type="spellEnd"/>
      <w:r w:rsidRPr="00DB2FCD">
        <w:rPr>
          <w:sz w:val="24"/>
          <w:szCs w:val="24"/>
        </w:rPr>
        <w:t xml:space="preserve"> or deputy has not made a valid decision to consent to each matter to which P objects.</w:t>
      </w:r>
      <w:r w:rsidRPr="00DB2FCD">
        <w:rPr>
          <w:rStyle w:val="FootnoteReference"/>
          <w:sz w:val="24"/>
          <w:szCs w:val="24"/>
        </w:rPr>
        <w:footnoteReference w:id="76"/>
      </w:r>
      <w:r w:rsidRPr="00DB2FCD">
        <w:rPr>
          <w:sz w:val="24"/>
          <w:szCs w:val="24"/>
        </w:rPr>
        <w:t xml:space="preserve"> This means that a patient who is within the scope of the MHA but does not object to his admission to hospital or to an aspect of his treatment therein can notionally be the subject of </w:t>
      </w:r>
      <w:r w:rsidR="0072595C">
        <w:rPr>
          <w:sz w:val="24"/>
          <w:szCs w:val="24"/>
        </w:rPr>
        <w:t>the DOLS</w:t>
      </w:r>
      <w:r w:rsidRPr="00DB2FCD">
        <w:rPr>
          <w:sz w:val="24"/>
          <w:szCs w:val="24"/>
        </w:rPr>
        <w:t xml:space="preserve"> </w:t>
      </w:r>
      <w:r w:rsidRPr="00DB2FCD">
        <w:rPr>
          <w:i/>
          <w:sz w:val="24"/>
          <w:szCs w:val="24"/>
        </w:rPr>
        <w:t>or</w:t>
      </w:r>
      <w:r w:rsidRPr="00DB2FCD">
        <w:rPr>
          <w:sz w:val="24"/>
          <w:szCs w:val="24"/>
        </w:rPr>
        <w:t xml:space="preserve"> the compulsory powers. </w:t>
      </w:r>
      <w:r w:rsidR="0072595C">
        <w:rPr>
          <w:sz w:val="24"/>
          <w:szCs w:val="24"/>
        </w:rPr>
        <w:t>I</w:t>
      </w:r>
      <w:r w:rsidRPr="00DB2FCD">
        <w:rPr>
          <w:sz w:val="24"/>
          <w:szCs w:val="24"/>
        </w:rPr>
        <w:t>t may be that the chosen regime is simply a matter of preference for the decision-maker.</w:t>
      </w:r>
      <w:r w:rsidRPr="00DB2FCD">
        <w:rPr>
          <w:rStyle w:val="FootnoteReference"/>
          <w:sz w:val="24"/>
          <w:szCs w:val="24"/>
        </w:rPr>
        <w:footnoteReference w:id="77"/>
      </w:r>
      <w:r w:rsidRPr="00DB2FCD">
        <w:rPr>
          <w:sz w:val="24"/>
          <w:szCs w:val="24"/>
        </w:rPr>
        <w:t xml:space="preserve"> The presence of some form of objection, however, tips the scales in favour of the MHA.</w:t>
      </w:r>
      <w:r w:rsidRPr="00DB2FCD">
        <w:rPr>
          <w:rStyle w:val="FootnoteReference"/>
          <w:sz w:val="24"/>
          <w:szCs w:val="24"/>
        </w:rPr>
        <w:footnoteReference w:id="78"/>
      </w:r>
      <w:r w:rsidRPr="00DB2FCD">
        <w:rPr>
          <w:sz w:val="24"/>
          <w:szCs w:val="24"/>
        </w:rPr>
        <w:t xml:space="preserve"> </w:t>
      </w:r>
    </w:p>
    <w:p w:rsidR="00DB2FCD" w:rsidRPr="00DB2FCD" w:rsidRDefault="00DB2FCD" w:rsidP="00DE5530">
      <w:pPr>
        <w:spacing w:line="720" w:lineRule="auto"/>
        <w:ind w:firstLine="720"/>
        <w:jc w:val="both"/>
        <w:rPr>
          <w:sz w:val="24"/>
          <w:szCs w:val="24"/>
        </w:rPr>
      </w:pPr>
      <w:r w:rsidRPr="00DB2FCD">
        <w:rPr>
          <w:sz w:val="24"/>
          <w:szCs w:val="24"/>
        </w:rPr>
        <w:t xml:space="preserve">Here again </w:t>
      </w:r>
      <w:r w:rsidR="00C2190B">
        <w:rPr>
          <w:sz w:val="24"/>
          <w:szCs w:val="24"/>
        </w:rPr>
        <w:t>it may be that</w:t>
      </w:r>
      <w:r w:rsidR="00831497">
        <w:rPr>
          <w:sz w:val="24"/>
          <w:szCs w:val="24"/>
        </w:rPr>
        <w:t xml:space="preserve"> considerations of risk</w:t>
      </w:r>
      <w:r w:rsidRPr="00DB2FCD">
        <w:rPr>
          <w:sz w:val="24"/>
          <w:szCs w:val="24"/>
        </w:rPr>
        <w:t xml:space="preserve"> determine which side of the </w:t>
      </w:r>
      <w:r w:rsidR="0000303F">
        <w:rPr>
          <w:sz w:val="24"/>
          <w:szCs w:val="24"/>
        </w:rPr>
        <w:t>line</w:t>
      </w:r>
      <w:r w:rsidRPr="00DB2FCD">
        <w:rPr>
          <w:sz w:val="24"/>
          <w:szCs w:val="24"/>
        </w:rPr>
        <w:t xml:space="preserve"> P falls. Where P objects, the risks of harm presumably exceed the level at which he can comfortably remain ‘informal’. Charles J confirmed this dynamic in </w:t>
      </w:r>
      <w:r w:rsidRPr="00DB2FCD">
        <w:rPr>
          <w:i/>
          <w:sz w:val="24"/>
          <w:szCs w:val="24"/>
        </w:rPr>
        <w:t>J v The Foundation Trust</w:t>
      </w:r>
      <w:bookmarkStart w:id="30" w:name="JvTheFoundationTrust"/>
      <w:bookmarkEnd w:id="30"/>
      <w:r w:rsidRPr="00DB2FCD">
        <w:rPr>
          <w:sz w:val="24"/>
          <w:szCs w:val="24"/>
        </w:rPr>
        <w:t>,</w:t>
      </w:r>
      <w:r w:rsidRPr="00DB2FCD">
        <w:rPr>
          <w:rStyle w:val="FootnoteReference"/>
          <w:sz w:val="24"/>
          <w:szCs w:val="24"/>
        </w:rPr>
        <w:footnoteReference w:id="79"/>
      </w:r>
      <w:r w:rsidRPr="00DB2FCD">
        <w:rPr>
          <w:sz w:val="24"/>
          <w:szCs w:val="24"/>
        </w:rPr>
        <w:t xml:space="preserve"> although His Lordship overstated the MHA’s superiority somewhat. Charles J said </w:t>
      </w:r>
      <w:r w:rsidRPr="00DB2FCD">
        <w:rPr>
          <w:sz w:val="24"/>
          <w:szCs w:val="24"/>
        </w:rPr>
        <w:lastRenderedPageBreak/>
        <w:t>that the original purpose of the DOLS was to ‘leave the existing regime under the 19</w:t>
      </w:r>
      <w:bookmarkStart w:id="31" w:name="a1983Act"/>
      <w:bookmarkEnd w:id="31"/>
      <w:r w:rsidRPr="00DB2FCD">
        <w:rPr>
          <w:sz w:val="24"/>
          <w:szCs w:val="24"/>
        </w:rPr>
        <w:t>83 Act in place with primacy and to fill a gap left by it and the common law</w:t>
      </w:r>
      <w:r w:rsidR="00312E2E">
        <w:rPr>
          <w:sz w:val="24"/>
          <w:szCs w:val="24"/>
        </w:rPr>
        <w:t>’.</w:t>
      </w:r>
      <w:r w:rsidRPr="00DB2FCD">
        <w:rPr>
          <w:rStyle w:val="FootnoteReference"/>
          <w:sz w:val="24"/>
          <w:szCs w:val="24"/>
        </w:rPr>
        <w:footnoteReference w:id="80"/>
      </w:r>
      <w:r w:rsidRPr="00DB2FCD">
        <w:rPr>
          <w:sz w:val="24"/>
          <w:szCs w:val="24"/>
        </w:rPr>
        <w:t xml:space="preserve"> In </w:t>
      </w:r>
      <w:r w:rsidRPr="00DB2FCD">
        <w:rPr>
          <w:i/>
          <w:sz w:val="24"/>
          <w:szCs w:val="24"/>
        </w:rPr>
        <w:t>DN v Northumberland Tyne and Wear NHS Foundation Trust</w:t>
      </w:r>
      <w:r w:rsidRPr="00DB2FCD">
        <w:rPr>
          <w:sz w:val="24"/>
          <w:szCs w:val="24"/>
        </w:rPr>
        <w:t>,</w:t>
      </w:r>
      <w:r w:rsidRPr="00DB2FCD">
        <w:rPr>
          <w:rStyle w:val="FootnoteReference"/>
          <w:sz w:val="24"/>
          <w:szCs w:val="24"/>
        </w:rPr>
        <w:footnoteReference w:id="81"/>
      </w:r>
      <w:r w:rsidRPr="00DB2FCD">
        <w:rPr>
          <w:sz w:val="24"/>
          <w:szCs w:val="24"/>
        </w:rPr>
        <w:t xml:space="preserve"> Jacobs J said that it is not possible to say in the abstract which of the </w:t>
      </w:r>
      <w:r w:rsidR="006F012C">
        <w:rPr>
          <w:sz w:val="24"/>
          <w:szCs w:val="24"/>
        </w:rPr>
        <w:t>DOLS</w:t>
      </w:r>
      <w:r w:rsidRPr="00DB2FCD">
        <w:rPr>
          <w:sz w:val="24"/>
          <w:szCs w:val="24"/>
        </w:rPr>
        <w:t xml:space="preserve"> and the MHA has priority over the other ‘without reference to the circumstances of the particular case</w:t>
      </w:r>
      <w:r w:rsidR="00312E2E">
        <w:rPr>
          <w:sz w:val="24"/>
          <w:szCs w:val="24"/>
        </w:rPr>
        <w:t>’.</w:t>
      </w:r>
      <w:r w:rsidRPr="00DB2FCD">
        <w:rPr>
          <w:rStyle w:val="FootnoteReference"/>
          <w:sz w:val="24"/>
          <w:szCs w:val="24"/>
        </w:rPr>
        <w:footnoteReference w:id="82"/>
      </w:r>
      <w:r w:rsidRPr="00DB2FCD">
        <w:rPr>
          <w:sz w:val="24"/>
          <w:szCs w:val="24"/>
        </w:rPr>
        <w:t xml:space="preserve"> While the MHA will have primacy over the </w:t>
      </w:r>
      <w:r w:rsidR="006F012C">
        <w:rPr>
          <w:sz w:val="24"/>
          <w:szCs w:val="24"/>
        </w:rPr>
        <w:t>DOLS</w:t>
      </w:r>
      <w:r w:rsidRPr="00DB2FCD">
        <w:rPr>
          <w:sz w:val="24"/>
          <w:szCs w:val="24"/>
        </w:rPr>
        <w:t xml:space="preserve"> where it applies, Jacobs J said that it is not true that the former will</w:t>
      </w:r>
      <w:r w:rsidRPr="00DB2FCD">
        <w:rPr>
          <w:i/>
          <w:sz w:val="24"/>
          <w:szCs w:val="24"/>
        </w:rPr>
        <w:t xml:space="preserve"> always </w:t>
      </w:r>
      <w:r w:rsidRPr="00DB2FCD">
        <w:rPr>
          <w:sz w:val="24"/>
          <w:szCs w:val="24"/>
        </w:rPr>
        <w:t xml:space="preserve">take precedence. In this case, DN suffered from Alcohol Dependency Syndrome and was detained under section 3 of the MHA. He argued that he should instead be subject to the DOLS because it was not necessary for the purposes of section 3 to detain him for treatment. DN’s carers were using diversion and distraction techniques to prevent him drinking alcohol. Jacobs J held that this was not ‘specialist mental health care’ within the meaning of section 145(1) of the MHA and therefore it was neither appropriate nor necessary to detain DN under section 3. On the facts of DN’s case, the MHA did not have primacy over the MCA. Charles J reached a similar conclusion in </w:t>
      </w:r>
      <w:r w:rsidRPr="00DB2FCD">
        <w:rPr>
          <w:i/>
          <w:sz w:val="24"/>
          <w:szCs w:val="24"/>
        </w:rPr>
        <w:t xml:space="preserve">AM v South London and </w:t>
      </w:r>
      <w:proofErr w:type="spellStart"/>
      <w:r w:rsidRPr="00DB2FCD">
        <w:rPr>
          <w:i/>
          <w:sz w:val="24"/>
          <w:szCs w:val="24"/>
        </w:rPr>
        <w:lastRenderedPageBreak/>
        <w:t>Maudsley</w:t>
      </w:r>
      <w:proofErr w:type="spellEnd"/>
      <w:r w:rsidRPr="00DB2FCD">
        <w:rPr>
          <w:i/>
          <w:sz w:val="24"/>
          <w:szCs w:val="24"/>
        </w:rPr>
        <w:t xml:space="preserve"> NHS Foundation Trust</w:t>
      </w:r>
      <w:r w:rsidRPr="00DB2FCD">
        <w:rPr>
          <w:sz w:val="24"/>
          <w:szCs w:val="24"/>
        </w:rPr>
        <w:t>,</w:t>
      </w:r>
      <w:r w:rsidRPr="00DB2FCD">
        <w:rPr>
          <w:rStyle w:val="FootnoteReference"/>
          <w:sz w:val="24"/>
          <w:szCs w:val="24"/>
        </w:rPr>
        <w:footnoteReference w:id="83"/>
      </w:r>
      <w:r w:rsidRPr="00DB2FCD">
        <w:rPr>
          <w:sz w:val="24"/>
          <w:szCs w:val="24"/>
        </w:rPr>
        <w:t xml:space="preserve"> where he revisited the ‘primacy’ principle he had set out in </w:t>
      </w:r>
      <w:r w:rsidRPr="00DB2FCD">
        <w:rPr>
          <w:i/>
          <w:sz w:val="24"/>
          <w:szCs w:val="24"/>
        </w:rPr>
        <w:t>J v Foundation Trust</w:t>
      </w:r>
      <w:r w:rsidRPr="00DB2FCD">
        <w:rPr>
          <w:sz w:val="24"/>
          <w:szCs w:val="24"/>
        </w:rPr>
        <w:t>. Here, His Lordship said that general propositions concerning the relationship between the MHA and the MCA are ‘dangerous’.</w:t>
      </w:r>
      <w:r w:rsidRPr="00DB2FCD">
        <w:rPr>
          <w:rStyle w:val="FootnoteReference"/>
          <w:sz w:val="24"/>
          <w:szCs w:val="24"/>
        </w:rPr>
        <w:footnoteReference w:id="84"/>
      </w:r>
      <w:r w:rsidRPr="00DB2FCD">
        <w:rPr>
          <w:sz w:val="24"/>
          <w:szCs w:val="24"/>
        </w:rPr>
        <w:t xml:space="preserve"> Charles J acknowledged that the MHA’s primacy only arises as a matter of course where P is within the scope of the MHA but not subject to any of its provisions at the material time.</w:t>
      </w:r>
      <w:r w:rsidRPr="00DB2FCD">
        <w:rPr>
          <w:rStyle w:val="FootnoteReference"/>
          <w:sz w:val="24"/>
          <w:szCs w:val="24"/>
        </w:rPr>
        <w:footnoteReference w:id="85"/>
      </w:r>
    </w:p>
    <w:p w:rsidR="00DB2FCD" w:rsidRDefault="00F20DED" w:rsidP="00DE5530">
      <w:pPr>
        <w:tabs>
          <w:tab w:val="left" w:pos="4646"/>
        </w:tabs>
        <w:spacing w:line="720" w:lineRule="auto"/>
        <w:ind w:firstLine="720"/>
        <w:jc w:val="both"/>
        <w:rPr>
          <w:sz w:val="24"/>
          <w:szCs w:val="24"/>
        </w:rPr>
      </w:pPr>
      <w:r>
        <w:rPr>
          <w:sz w:val="24"/>
          <w:szCs w:val="24"/>
        </w:rPr>
        <w:t>I</w:t>
      </w:r>
      <w:r w:rsidR="00DB2FCD" w:rsidRPr="00DB2FCD">
        <w:rPr>
          <w:sz w:val="24"/>
          <w:szCs w:val="24"/>
        </w:rPr>
        <w:t xml:space="preserve">f the choice between the DOLS and the MHA is a matter of fact then the </w:t>
      </w:r>
      <w:r w:rsidR="00DB2FCD" w:rsidRPr="00DB2FCD">
        <w:rPr>
          <w:i/>
          <w:sz w:val="24"/>
          <w:szCs w:val="24"/>
        </w:rPr>
        <w:t>risks</w:t>
      </w:r>
      <w:r w:rsidR="00DB2FCD" w:rsidRPr="00DB2FCD">
        <w:rPr>
          <w:sz w:val="24"/>
          <w:szCs w:val="24"/>
        </w:rPr>
        <w:t xml:space="preserve"> </w:t>
      </w:r>
      <w:r w:rsidR="00DB2FCD" w:rsidRPr="00DB2FCD">
        <w:rPr>
          <w:i/>
          <w:sz w:val="24"/>
          <w:szCs w:val="24"/>
        </w:rPr>
        <w:t xml:space="preserve">inherent in the circumstances </w:t>
      </w:r>
      <w:r w:rsidR="004251A1">
        <w:rPr>
          <w:sz w:val="24"/>
          <w:szCs w:val="24"/>
        </w:rPr>
        <w:t>may</w:t>
      </w:r>
      <w:r w:rsidR="00DB2FCD" w:rsidRPr="00DB2FCD">
        <w:rPr>
          <w:sz w:val="24"/>
          <w:szCs w:val="24"/>
        </w:rPr>
        <w:t xml:space="preserve"> determine which regime will apply. In </w:t>
      </w:r>
      <w:r w:rsidR="00DB2FCD" w:rsidRPr="00DB2FCD">
        <w:rPr>
          <w:i/>
          <w:sz w:val="24"/>
          <w:szCs w:val="24"/>
        </w:rPr>
        <w:t>NM v Kent County Council</w:t>
      </w:r>
      <w:r w:rsidR="00DB2FCD" w:rsidRPr="00DB2FCD">
        <w:rPr>
          <w:sz w:val="24"/>
          <w:szCs w:val="24"/>
        </w:rPr>
        <w:t>,</w:t>
      </w:r>
      <w:r w:rsidR="00DB2FCD" w:rsidRPr="00DB2FCD">
        <w:rPr>
          <w:rStyle w:val="FootnoteReference"/>
          <w:sz w:val="24"/>
          <w:szCs w:val="24"/>
        </w:rPr>
        <w:footnoteReference w:id="86"/>
      </w:r>
      <w:r w:rsidR="00DB2FCD" w:rsidRPr="00DB2FCD">
        <w:rPr>
          <w:sz w:val="24"/>
          <w:szCs w:val="24"/>
        </w:rPr>
        <w:t xml:space="preserve"> the patient had a mild learning disability, behavioural difficulties, and a sexual interest in children. The dispute here arose over whether the First-tier Tribunal’s decision to continue NM’s guardianship arrangement under the MHA had been correct in law. Jacobs J held that the tribunal had acted within the jurisdiction conferred upon it by section 72(4) of the MHA. Significantly, His Lordship explained that the </w:t>
      </w:r>
      <w:r w:rsidR="005A1A03">
        <w:rPr>
          <w:sz w:val="24"/>
          <w:szCs w:val="24"/>
        </w:rPr>
        <w:t>tribunal’s</w:t>
      </w:r>
      <w:r w:rsidR="00DB2FCD" w:rsidRPr="00DB2FCD">
        <w:rPr>
          <w:sz w:val="24"/>
          <w:szCs w:val="24"/>
        </w:rPr>
        <w:t xml:space="preserve"> analysis justified the need for guardianship in NM’s case despite the</w:t>
      </w:r>
      <w:r w:rsidR="003534F9">
        <w:rPr>
          <w:sz w:val="24"/>
          <w:szCs w:val="24"/>
        </w:rPr>
        <w:t xml:space="preserve"> notional</w:t>
      </w:r>
      <w:r w:rsidR="00DB2FCD" w:rsidRPr="00DB2FCD">
        <w:rPr>
          <w:sz w:val="24"/>
          <w:szCs w:val="24"/>
        </w:rPr>
        <w:t xml:space="preserve"> availability of the DOLS as an </w:t>
      </w:r>
      <w:r w:rsidR="00DB2FCD" w:rsidRPr="00DB2FCD">
        <w:rPr>
          <w:sz w:val="24"/>
          <w:szCs w:val="24"/>
        </w:rPr>
        <w:lastRenderedPageBreak/>
        <w:t>alternative.</w:t>
      </w:r>
      <w:r w:rsidR="00DB2FCD" w:rsidRPr="00DB2FCD">
        <w:rPr>
          <w:rStyle w:val="FootnoteReference"/>
          <w:sz w:val="24"/>
          <w:szCs w:val="24"/>
        </w:rPr>
        <w:footnoteReference w:id="87"/>
      </w:r>
      <w:r w:rsidR="00DB2FCD" w:rsidRPr="00DB2FCD">
        <w:rPr>
          <w:sz w:val="24"/>
          <w:szCs w:val="24"/>
        </w:rPr>
        <w:t xml:space="preserve"> Without the strictures of a guardianship order, NM would not remain in the home in which he was resident. This would have a detrimental effect on the continuity of his treatment which would, in turn, </w:t>
      </w:r>
      <w:r w:rsidR="00DB2FCD" w:rsidRPr="00DB2FCD">
        <w:rPr>
          <w:i/>
          <w:sz w:val="24"/>
          <w:szCs w:val="24"/>
        </w:rPr>
        <w:t>increase the risks of harm</w:t>
      </w:r>
      <w:r w:rsidR="00DB2FCD" w:rsidRPr="00DB2FCD">
        <w:rPr>
          <w:sz w:val="24"/>
          <w:szCs w:val="24"/>
        </w:rPr>
        <w:t xml:space="preserve"> to children and to NM. The decision to continue NM’s guardianship arrangements was therefore justified </w:t>
      </w:r>
      <w:r w:rsidR="00DB2FCD" w:rsidRPr="00DB2FCD">
        <w:rPr>
          <w:i/>
          <w:sz w:val="24"/>
          <w:szCs w:val="24"/>
        </w:rPr>
        <w:t>by the risks posed to and by him</w:t>
      </w:r>
      <w:r w:rsidR="00DB2FCD" w:rsidRPr="00DB2FCD">
        <w:rPr>
          <w:sz w:val="24"/>
          <w:szCs w:val="24"/>
        </w:rPr>
        <w:t xml:space="preserve">. NM was higher up the figurative escalator of risk and therefore warranted the closer degree of oversight and supervision conferred by the MHA. A similar dynamic is discernible in </w:t>
      </w:r>
      <w:r w:rsidR="00DB2FCD" w:rsidRPr="00DB2FCD">
        <w:rPr>
          <w:i/>
          <w:sz w:val="24"/>
          <w:szCs w:val="24"/>
        </w:rPr>
        <w:t xml:space="preserve">Hillingdon LBC v </w:t>
      </w:r>
      <w:proofErr w:type="spellStart"/>
      <w:r w:rsidR="00DB2FCD" w:rsidRPr="00DB2FCD">
        <w:rPr>
          <w:i/>
          <w:sz w:val="24"/>
          <w:szCs w:val="24"/>
        </w:rPr>
        <w:t>Neary</w:t>
      </w:r>
      <w:proofErr w:type="spellEnd"/>
      <w:r w:rsidR="00DB2FCD" w:rsidRPr="00DB2FCD">
        <w:rPr>
          <w:i/>
          <w:sz w:val="24"/>
          <w:szCs w:val="24"/>
        </w:rPr>
        <w:t>,</w:t>
      </w:r>
      <w:r w:rsidR="00DB2FCD" w:rsidRPr="00DB2FCD">
        <w:rPr>
          <w:rStyle w:val="FootnoteReference"/>
          <w:sz w:val="24"/>
          <w:szCs w:val="24"/>
        </w:rPr>
        <w:footnoteReference w:id="88"/>
      </w:r>
      <w:r w:rsidR="00DB2FCD" w:rsidRPr="00DB2FCD">
        <w:rPr>
          <w:i/>
          <w:sz w:val="24"/>
          <w:szCs w:val="24"/>
        </w:rPr>
        <w:t xml:space="preserve"> </w:t>
      </w:r>
      <w:r w:rsidR="00DB2FCD" w:rsidRPr="00DB2FCD">
        <w:rPr>
          <w:sz w:val="24"/>
          <w:szCs w:val="24"/>
        </w:rPr>
        <w:t>albeit obliquely and at the lower end of the escalator. Here, a local authority deprived Steven, a 21 year-old man with severe autism, of his liberty in a residential support unit, despite evidence which suggested that it was in his best interests to remain at home. The court held that the local authority’s assessment of Steven’s best interests was flawed: it had not taken into account Steven’s wish to go home or his father’s request that he return to his care.</w:t>
      </w:r>
      <w:r w:rsidR="00DB2FCD" w:rsidRPr="00DB2FCD">
        <w:rPr>
          <w:rStyle w:val="FootnoteReference"/>
          <w:sz w:val="24"/>
          <w:szCs w:val="24"/>
        </w:rPr>
        <w:footnoteReference w:id="89"/>
      </w:r>
      <w:r w:rsidR="00DB2FCD" w:rsidRPr="00DB2FCD">
        <w:rPr>
          <w:sz w:val="24"/>
          <w:szCs w:val="24"/>
        </w:rPr>
        <w:t xml:space="preserve"> Although the court did not express it in this way, it is difficult to escape the conclusion that the risks in Steven’s case did not warrant close supervision and control.</w:t>
      </w:r>
    </w:p>
    <w:p w:rsidR="00960DE4" w:rsidRPr="004C4F83" w:rsidRDefault="004C4F83" w:rsidP="004C4F83">
      <w:pPr>
        <w:pStyle w:val="ListParagraph"/>
        <w:numPr>
          <w:ilvl w:val="0"/>
          <w:numId w:val="1"/>
        </w:numPr>
        <w:spacing w:line="720" w:lineRule="auto"/>
        <w:jc w:val="center"/>
        <w:rPr>
          <w:rFonts w:asciiTheme="majorHAnsi" w:hAnsiTheme="majorHAnsi"/>
          <w:b/>
          <w:sz w:val="28"/>
          <w:szCs w:val="28"/>
        </w:rPr>
      </w:pPr>
      <w:r>
        <w:rPr>
          <w:rFonts w:asciiTheme="majorHAnsi" w:hAnsiTheme="majorHAnsi"/>
          <w:b/>
          <w:sz w:val="28"/>
          <w:szCs w:val="28"/>
        </w:rPr>
        <w:lastRenderedPageBreak/>
        <w:t>REFORMING DOLS, REHABILITATING RISK?</w:t>
      </w:r>
    </w:p>
    <w:p w:rsidR="00CB22A3" w:rsidRDefault="00CB22A3" w:rsidP="00AE5641">
      <w:pPr>
        <w:spacing w:line="720" w:lineRule="auto"/>
        <w:jc w:val="both"/>
        <w:rPr>
          <w:sz w:val="24"/>
        </w:rPr>
      </w:pPr>
      <w:r w:rsidRPr="00CB22A3">
        <w:rPr>
          <w:sz w:val="24"/>
        </w:rPr>
        <w:t>The House of Lords Select Committee which carried out post-legislative scrutiny of the MCA concluded in 2014 that the DOLS were ‘not fit for purpose’.</w:t>
      </w:r>
      <w:r w:rsidRPr="00CB22A3">
        <w:rPr>
          <w:rStyle w:val="FootnoteReference"/>
          <w:sz w:val="24"/>
        </w:rPr>
        <w:footnoteReference w:id="90"/>
      </w:r>
      <w:r w:rsidR="00214310">
        <w:rPr>
          <w:sz w:val="24"/>
        </w:rPr>
        <w:t xml:space="preserve"> </w:t>
      </w:r>
      <w:r w:rsidR="00632ED6">
        <w:rPr>
          <w:sz w:val="24"/>
        </w:rPr>
        <w:t>T</w:t>
      </w:r>
      <w:r w:rsidR="00214310">
        <w:rPr>
          <w:sz w:val="24"/>
        </w:rPr>
        <w:t>he Law Commission</w:t>
      </w:r>
      <w:r w:rsidR="00632ED6">
        <w:rPr>
          <w:sz w:val="24"/>
        </w:rPr>
        <w:t xml:space="preserve"> has recently</w:t>
      </w:r>
      <w:r w:rsidR="00214310">
        <w:rPr>
          <w:sz w:val="24"/>
        </w:rPr>
        <w:t xml:space="preserve"> </w:t>
      </w:r>
      <w:r w:rsidR="003341A7">
        <w:rPr>
          <w:sz w:val="24"/>
        </w:rPr>
        <w:t xml:space="preserve">declared that there is a </w:t>
      </w:r>
      <w:r w:rsidR="00542478">
        <w:rPr>
          <w:sz w:val="24"/>
        </w:rPr>
        <w:t>‘</w:t>
      </w:r>
      <w:r w:rsidR="003341A7">
        <w:rPr>
          <w:sz w:val="24"/>
        </w:rPr>
        <w:t>compelling case</w:t>
      </w:r>
      <w:r w:rsidR="00542478">
        <w:rPr>
          <w:sz w:val="24"/>
        </w:rPr>
        <w:t>’</w:t>
      </w:r>
      <w:r w:rsidR="003341A7">
        <w:rPr>
          <w:sz w:val="24"/>
        </w:rPr>
        <w:t xml:space="preserve"> for replacing the DOLS</w:t>
      </w:r>
      <w:r w:rsidRPr="00CB22A3">
        <w:rPr>
          <w:sz w:val="24"/>
        </w:rPr>
        <w:t>.</w:t>
      </w:r>
      <w:bookmarkStart w:id="32" w:name="_Ref430616023"/>
      <w:r w:rsidRPr="00CB22A3">
        <w:rPr>
          <w:rStyle w:val="FootnoteReference"/>
          <w:sz w:val="24"/>
        </w:rPr>
        <w:footnoteReference w:id="91"/>
      </w:r>
      <w:bookmarkEnd w:id="32"/>
      <w:r w:rsidRPr="00CB22A3">
        <w:rPr>
          <w:sz w:val="24"/>
        </w:rPr>
        <w:t xml:space="preserve"> Yet, as Bartlett has observed, talk of DOLS reform raises an important question: ‘What is it exactly that we want?’</w:t>
      </w:r>
      <w:r w:rsidRPr="00CB22A3">
        <w:rPr>
          <w:rStyle w:val="FootnoteReference"/>
          <w:sz w:val="24"/>
        </w:rPr>
        <w:footnoteReference w:id="92"/>
      </w:r>
      <w:r w:rsidRPr="00CB22A3">
        <w:rPr>
          <w:sz w:val="24"/>
        </w:rPr>
        <w:t xml:space="preserve"> There is very little agreement about this.</w:t>
      </w:r>
      <w:r w:rsidR="002F14D6">
        <w:rPr>
          <w:sz w:val="24"/>
        </w:rPr>
        <w:t xml:space="preserve"> </w:t>
      </w:r>
      <w:r w:rsidR="002F14D6" w:rsidRPr="00CB22A3">
        <w:rPr>
          <w:sz w:val="24"/>
        </w:rPr>
        <w:t>While the prevailing view may be that Parliament must reform the DOLS</w:t>
      </w:r>
      <w:r w:rsidR="002F14D6">
        <w:rPr>
          <w:sz w:val="24"/>
        </w:rPr>
        <w:t>, there has up to now been</w:t>
      </w:r>
      <w:r w:rsidR="002F14D6" w:rsidRPr="00CB22A3">
        <w:rPr>
          <w:sz w:val="24"/>
        </w:rPr>
        <w:t xml:space="preserve"> no consensus about what a ‘post-DOLS’ framework might look like.</w:t>
      </w:r>
      <w:r w:rsidRPr="00CB22A3">
        <w:rPr>
          <w:sz w:val="24"/>
        </w:rPr>
        <w:t xml:space="preserve"> One option is to focus first on what the safeguards are intended to achieve and then to design new provisions accordingly.</w:t>
      </w:r>
      <w:r w:rsidRPr="00CB22A3">
        <w:rPr>
          <w:rStyle w:val="FootnoteReference"/>
          <w:sz w:val="24"/>
        </w:rPr>
        <w:footnoteReference w:id="93"/>
      </w:r>
      <w:r w:rsidRPr="00CB22A3">
        <w:rPr>
          <w:sz w:val="24"/>
        </w:rPr>
        <w:t xml:space="preserve"> Another solution is to bring informal patients within the ambit of the MHA’s guardianship provisions.</w:t>
      </w:r>
      <w:r w:rsidRPr="00CB22A3">
        <w:rPr>
          <w:rStyle w:val="FootnoteReference"/>
          <w:sz w:val="24"/>
        </w:rPr>
        <w:footnoteReference w:id="94"/>
      </w:r>
      <w:r w:rsidRPr="00CB22A3">
        <w:rPr>
          <w:sz w:val="24"/>
        </w:rPr>
        <w:t xml:space="preserve"> </w:t>
      </w:r>
      <w:proofErr w:type="spellStart"/>
      <w:r w:rsidRPr="00CB22A3">
        <w:rPr>
          <w:sz w:val="24"/>
        </w:rPr>
        <w:t>Szerletics</w:t>
      </w:r>
      <w:proofErr w:type="spellEnd"/>
      <w:r w:rsidRPr="00CB22A3">
        <w:rPr>
          <w:sz w:val="24"/>
        </w:rPr>
        <w:t xml:space="preserve"> and O’Shea propose the introduction of a new First-tier Tribunal for Mental </w:t>
      </w:r>
      <w:r w:rsidRPr="00CB22A3">
        <w:rPr>
          <w:sz w:val="24"/>
        </w:rPr>
        <w:lastRenderedPageBreak/>
        <w:t>Capacity as a means of fulfilling the core functions of the DOLS.</w:t>
      </w:r>
      <w:r w:rsidRPr="00CB22A3">
        <w:rPr>
          <w:rStyle w:val="FootnoteReference"/>
          <w:sz w:val="24"/>
        </w:rPr>
        <w:footnoteReference w:id="95"/>
      </w:r>
      <w:r w:rsidRPr="00CB22A3">
        <w:rPr>
          <w:sz w:val="24"/>
        </w:rPr>
        <w:t xml:space="preserve"> A less onerous reform would involve redrafting the Mental Health Act Code of Practice to clarify the mechanics of the DOLS.</w:t>
      </w:r>
      <w:r w:rsidRPr="00CB22A3">
        <w:rPr>
          <w:rStyle w:val="FootnoteReference"/>
          <w:sz w:val="24"/>
        </w:rPr>
        <w:footnoteReference w:id="96"/>
      </w:r>
    </w:p>
    <w:p w:rsidR="002834D9" w:rsidRDefault="003F1ABC" w:rsidP="00DE5530">
      <w:pPr>
        <w:spacing w:line="720" w:lineRule="auto"/>
        <w:ind w:firstLine="720"/>
        <w:jc w:val="both"/>
        <w:rPr>
          <w:sz w:val="24"/>
          <w:szCs w:val="24"/>
        </w:rPr>
      </w:pPr>
      <w:r>
        <w:rPr>
          <w:sz w:val="24"/>
        </w:rPr>
        <w:t>In 2015</w:t>
      </w:r>
      <w:r w:rsidR="00C81966">
        <w:rPr>
          <w:sz w:val="24"/>
        </w:rPr>
        <w:t xml:space="preserve">, the Law Commission proposed </w:t>
      </w:r>
      <w:r w:rsidR="00EF020F">
        <w:rPr>
          <w:sz w:val="24"/>
        </w:rPr>
        <w:t xml:space="preserve">a </w:t>
      </w:r>
      <w:r w:rsidR="00542478">
        <w:rPr>
          <w:sz w:val="24"/>
        </w:rPr>
        <w:t>‘</w:t>
      </w:r>
      <w:r w:rsidR="00EF020F">
        <w:rPr>
          <w:sz w:val="24"/>
        </w:rPr>
        <w:t>protective care</w:t>
      </w:r>
      <w:r w:rsidR="00542478">
        <w:rPr>
          <w:sz w:val="24"/>
        </w:rPr>
        <w:t>’</w:t>
      </w:r>
      <w:r w:rsidR="00EF020F">
        <w:rPr>
          <w:sz w:val="24"/>
        </w:rPr>
        <w:t xml:space="preserve"> scheme.</w:t>
      </w:r>
      <w:r w:rsidR="00D67DFC">
        <w:rPr>
          <w:rStyle w:val="FootnoteReference"/>
          <w:sz w:val="24"/>
        </w:rPr>
        <w:footnoteReference w:id="97"/>
      </w:r>
      <w:r w:rsidR="0091388F">
        <w:rPr>
          <w:sz w:val="24"/>
        </w:rPr>
        <w:t xml:space="preserve"> </w:t>
      </w:r>
      <w:r w:rsidR="00332C09">
        <w:rPr>
          <w:sz w:val="24"/>
        </w:rPr>
        <w:t>The essence</w:t>
      </w:r>
      <w:r w:rsidR="0090732C">
        <w:rPr>
          <w:sz w:val="24"/>
        </w:rPr>
        <w:t xml:space="preserve"> of this</w:t>
      </w:r>
      <w:r w:rsidR="005447DA">
        <w:rPr>
          <w:sz w:val="24"/>
        </w:rPr>
        <w:t xml:space="preserve"> </w:t>
      </w:r>
      <w:r w:rsidR="0090732C">
        <w:rPr>
          <w:sz w:val="24"/>
        </w:rPr>
        <w:t>scheme</w:t>
      </w:r>
      <w:r w:rsidR="001F257B">
        <w:rPr>
          <w:sz w:val="24"/>
        </w:rPr>
        <w:t xml:space="preserve"> </w:t>
      </w:r>
      <w:r>
        <w:rPr>
          <w:sz w:val="24"/>
        </w:rPr>
        <w:t>wa</w:t>
      </w:r>
      <w:r w:rsidR="001F257B">
        <w:rPr>
          <w:sz w:val="24"/>
        </w:rPr>
        <w:t>s that</w:t>
      </w:r>
      <w:r w:rsidR="00D41058">
        <w:rPr>
          <w:sz w:val="24"/>
        </w:rPr>
        <w:t xml:space="preserve"> </w:t>
      </w:r>
      <w:r w:rsidR="00EF020F">
        <w:rPr>
          <w:sz w:val="24"/>
        </w:rPr>
        <w:t xml:space="preserve">it </w:t>
      </w:r>
      <w:r w:rsidR="00326F88">
        <w:rPr>
          <w:sz w:val="24"/>
        </w:rPr>
        <w:t xml:space="preserve">would </w:t>
      </w:r>
      <w:r w:rsidR="0075098B">
        <w:rPr>
          <w:sz w:val="24"/>
        </w:rPr>
        <w:t>adapt</w:t>
      </w:r>
      <w:r w:rsidR="00FE4E5E">
        <w:rPr>
          <w:sz w:val="24"/>
        </w:rPr>
        <w:t xml:space="preserve"> </w:t>
      </w:r>
      <w:r w:rsidR="005447DA">
        <w:rPr>
          <w:sz w:val="24"/>
        </w:rPr>
        <w:t xml:space="preserve">to </w:t>
      </w:r>
      <w:r w:rsidR="00FF0E0F">
        <w:rPr>
          <w:sz w:val="24"/>
        </w:rPr>
        <w:t>the locus of</w:t>
      </w:r>
      <w:r w:rsidR="00851D93">
        <w:rPr>
          <w:sz w:val="24"/>
        </w:rPr>
        <w:t xml:space="preserve"> </w:t>
      </w:r>
      <w:r w:rsidR="00371664">
        <w:rPr>
          <w:sz w:val="24"/>
        </w:rPr>
        <w:t>P</w:t>
      </w:r>
      <w:r w:rsidR="00851D93">
        <w:rPr>
          <w:sz w:val="24"/>
        </w:rPr>
        <w:t>’s</w:t>
      </w:r>
      <w:r w:rsidR="00FF0E0F">
        <w:rPr>
          <w:sz w:val="24"/>
        </w:rPr>
        <w:t xml:space="preserve"> care</w:t>
      </w:r>
      <w:r w:rsidR="00B32569">
        <w:rPr>
          <w:sz w:val="24"/>
        </w:rPr>
        <w:t xml:space="preserve"> arrangements</w:t>
      </w:r>
      <w:r w:rsidR="00326F88">
        <w:rPr>
          <w:sz w:val="24"/>
        </w:rPr>
        <w:t>,</w:t>
      </w:r>
      <w:r w:rsidR="00206832">
        <w:rPr>
          <w:sz w:val="24"/>
        </w:rPr>
        <w:t xml:space="preserve"> thereby </w:t>
      </w:r>
      <w:r w:rsidR="00326F88">
        <w:rPr>
          <w:sz w:val="24"/>
        </w:rPr>
        <w:t>departing from</w:t>
      </w:r>
      <w:r w:rsidR="00206832">
        <w:rPr>
          <w:sz w:val="24"/>
        </w:rPr>
        <w:t xml:space="preserve"> the </w:t>
      </w:r>
      <w:r w:rsidR="00542478">
        <w:rPr>
          <w:sz w:val="24"/>
        </w:rPr>
        <w:t>‘</w:t>
      </w:r>
      <w:r w:rsidR="00206832">
        <w:rPr>
          <w:sz w:val="24"/>
        </w:rPr>
        <w:t>one-size-fits-all</w:t>
      </w:r>
      <w:r w:rsidR="00542478">
        <w:rPr>
          <w:sz w:val="24"/>
        </w:rPr>
        <w:t>’</w:t>
      </w:r>
      <w:r w:rsidR="00206832">
        <w:rPr>
          <w:sz w:val="24"/>
        </w:rPr>
        <w:t xml:space="preserve"> rigidity of the DOLS</w:t>
      </w:r>
      <w:r w:rsidR="00FF0E0F">
        <w:rPr>
          <w:sz w:val="24"/>
        </w:rPr>
        <w:t>.</w:t>
      </w:r>
      <w:r w:rsidR="00C517C8">
        <w:rPr>
          <w:rStyle w:val="FootnoteReference"/>
          <w:sz w:val="24"/>
        </w:rPr>
        <w:footnoteReference w:id="98"/>
      </w:r>
      <w:r w:rsidR="003D331A">
        <w:rPr>
          <w:sz w:val="24"/>
        </w:rPr>
        <w:t xml:space="preserve"> </w:t>
      </w:r>
      <w:r w:rsidR="001D1CB3">
        <w:rPr>
          <w:sz w:val="24"/>
        </w:rPr>
        <w:t>It</w:t>
      </w:r>
      <w:r w:rsidR="003D331A">
        <w:rPr>
          <w:sz w:val="24"/>
        </w:rPr>
        <w:t xml:space="preserve"> would comprise three mechanisms</w:t>
      </w:r>
      <w:r w:rsidR="00D8430B">
        <w:rPr>
          <w:sz w:val="24"/>
        </w:rPr>
        <w:t xml:space="preserve"> –</w:t>
      </w:r>
      <w:r w:rsidR="00FE4E5E">
        <w:rPr>
          <w:sz w:val="24"/>
        </w:rPr>
        <w:t xml:space="preserve"> namely</w:t>
      </w:r>
      <w:r w:rsidR="00823DA7">
        <w:rPr>
          <w:sz w:val="24"/>
        </w:rPr>
        <w:t xml:space="preserve"> </w:t>
      </w:r>
      <w:r w:rsidR="00542478">
        <w:rPr>
          <w:sz w:val="24"/>
        </w:rPr>
        <w:t>‘</w:t>
      </w:r>
      <w:r w:rsidR="00823DA7">
        <w:rPr>
          <w:sz w:val="24"/>
        </w:rPr>
        <w:t>supportive care</w:t>
      </w:r>
      <w:r w:rsidR="00542478">
        <w:rPr>
          <w:sz w:val="24"/>
        </w:rPr>
        <w:t>’</w:t>
      </w:r>
      <w:r w:rsidR="00823DA7">
        <w:rPr>
          <w:sz w:val="24"/>
        </w:rPr>
        <w:t xml:space="preserve">, </w:t>
      </w:r>
      <w:r w:rsidR="00542478">
        <w:rPr>
          <w:sz w:val="24"/>
        </w:rPr>
        <w:t>‘</w:t>
      </w:r>
      <w:r w:rsidR="00823DA7">
        <w:rPr>
          <w:sz w:val="24"/>
        </w:rPr>
        <w:t>restrictive care and treatment</w:t>
      </w:r>
      <w:r w:rsidR="00542478">
        <w:rPr>
          <w:sz w:val="24"/>
        </w:rPr>
        <w:t>’</w:t>
      </w:r>
      <w:r w:rsidR="00823DA7">
        <w:rPr>
          <w:sz w:val="24"/>
        </w:rPr>
        <w:t xml:space="preserve"> and</w:t>
      </w:r>
      <w:r w:rsidR="00FE4E5E">
        <w:rPr>
          <w:sz w:val="24"/>
        </w:rPr>
        <w:t xml:space="preserve"> a</w:t>
      </w:r>
      <w:r w:rsidR="005841D1">
        <w:rPr>
          <w:sz w:val="24"/>
        </w:rPr>
        <w:t xml:space="preserve"> separate</w:t>
      </w:r>
      <w:r w:rsidR="00823DA7">
        <w:rPr>
          <w:sz w:val="24"/>
        </w:rPr>
        <w:t xml:space="preserve"> hospital</w:t>
      </w:r>
      <w:r w:rsidR="00FE4E5E">
        <w:rPr>
          <w:sz w:val="24"/>
        </w:rPr>
        <w:t>-based</w:t>
      </w:r>
      <w:r w:rsidR="00823DA7">
        <w:rPr>
          <w:sz w:val="24"/>
        </w:rPr>
        <w:t xml:space="preserve"> scheme</w:t>
      </w:r>
      <w:r w:rsidR="00D8430B">
        <w:rPr>
          <w:sz w:val="24"/>
        </w:rPr>
        <w:t xml:space="preserve"> – and</w:t>
      </w:r>
      <w:r w:rsidR="00FE4E5E">
        <w:rPr>
          <w:sz w:val="24"/>
        </w:rPr>
        <w:t xml:space="preserve"> allow decision-makers to tailor </w:t>
      </w:r>
      <w:r w:rsidR="00EC65D3">
        <w:rPr>
          <w:sz w:val="24"/>
        </w:rPr>
        <w:t>their patients’ care arrangements</w:t>
      </w:r>
      <w:r w:rsidR="00D8430B">
        <w:rPr>
          <w:sz w:val="24"/>
        </w:rPr>
        <w:t xml:space="preserve"> according to their needs</w:t>
      </w:r>
      <w:r w:rsidR="00823DA7">
        <w:rPr>
          <w:sz w:val="24"/>
        </w:rPr>
        <w:t>.</w:t>
      </w:r>
      <w:r w:rsidR="00E95B24">
        <w:rPr>
          <w:sz w:val="24"/>
        </w:rPr>
        <w:t xml:space="preserve"> </w:t>
      </w:r>
      <w:r>
        <w:rPr>
          <w:sz w:val="24"/>
        </w:rPr>
        <w:t>In the first instance</w:t>
      </w:r>
      <w:r w:rsidR="00E95B24">
        <w:rPr>
          <w:sz w:val="24"/>
        </w:rPr>
        <w:t>,</w:t>
      </w:r>
      <w:r w:rsidR="00D8430B">
        <w:rPr>
          <w:sz w:val="24"/>
        </w:rPr>
        <w:t xml:space="preserve"> all</w:t>
      </w:r>
      <w:r w:rsidR="00BE3226">
        <w:rPr>
          <w:sz w:val="24"/>
        </w:rPr>
        <w:t xml:space="preserve"> </w:t>
      </w:r>
      <w:r w:rsidR="00371664">
        <w:rPr>
          <w:sz w:val="24"/>
        </w:rPr>
        <w:t>patients</w:t>
      </w:r>
      <w:r w:rsidR="00530938">
        <w:rPr>
          <w:sz w:val="24"/>
        </w:rPr>
        <w:t xml:space="preserve"> who lack capacity and live in care homes, supported living and shared lives accommodation would be subject to </w:t>
      </w:r>
      <w:r w:rsidR="00542478">
        <w:rPr>
          <w:sz w:val="24"/>
        </w:rPr>
        <w:t>‘</w:t>
      </w:r>
      <w:r w:rsidR="00530938">
        <w:rPr>
          <w:sz w:val="24"/>
        </w:rPr>
        <w:t>supportive care</w:t>
      </w:r>
      <w:r w:rsidR="00542478">
        <w:rPr>
          <w:sz w:val="24"/>
        </w:rPr>
        <w:t>’</w:t>
      </w:r>
      <w:r w:rsidR="00530938">
        <w:rPr>
          <w:sz w:val="24"/>
        </w:rPr>
        <w:t>.</w:t>
      </w:r>
      <w:r w:rsidR="00516086">
        <w:rPr>
          <w:rStyle w:val="FootnoteReference"/>
          <w:sz w:val="24"/>
        </w:rPr>
        <w:footnoteReference w:id="99"/>
      </w:r>
      <w:r w:rsidR="00BA017C">
        <w:rPr>
          <w:sz w:val="24"/>
        </w:rPr>
        <w:t xml:space="preserve"> </w:t>
      </w:r>
      <w:r w:rsidR="002F14D6">
        <w:rPr>
          <w:sz w:val="24"/>
        </w:rPr>
        <w:t>The principal function of this</w:t>
      </w:r>
      <w:r w:rsidR="00C0150B">
        <w:rPr>
          <w:sz w:val="24"/>
        </w:rPr>
        <w:t xml:space="preserve"> </w:t>
      </w:r>
      <w:r w:rsidR="00542478">
        <w:rPr>
          <w:sz w:val="24"/>
        </w:rPr>
        <w:t>‘</w:t>
      </w:r>
      <w:r w:rsidR="00C0150B">
        <w:rPr>
          <w:sz w:val="24"/>
        </w:rPr>
        <w:t>protective outer layer</w:t>
      </w:r>
      <w:r w:rsidR="00542478">
        <w:rPr>
          <w:sz w:val="24"/>
        </w:rPr>
        <w:t>’</w:t>
      </w:r>
      <w:r w:rsidR="00020F6A">
        <w:rPr>
          <w:sz w:val="24"/>
        </w:rPr>
        <w:t xml:space="preserve"> </w:t>
      </w:r>
      <w:r w:rsidR="003804D9">
        <w:rPr>
          <w:sz w:val="24"/>
        </w:rPr>
        <w:t xml:space="preserve">would be to </w:t>
      </w:r>
      <w:r w:rsidR="003804D9">
        <w:rPr>
          <w:sz w:val="24"/>
        </w:rPr>
        <w:lastRenderedPageBreak/>
        <w:t>reinforce existing support mechanisms without creating new legal machinery.</w:t>
      </w:r>
      <w:r w:rsidR="00ED3608">
        <w:rPr>
          <w:rStyle w:val="FootnoteReference"/>
          <w:sz w:val="24"/>
        </w:rPr>
        <w:footnoteReference w:id="100"/>
      </w:r>
      <w:r w:rsidR="00A4709D">
        <w:rPr>
          <w:sz w:val="24"/>
        </w:rPr>
        <w:t xml:space="preserve"> </w:t>
      </w:r>
      <w:r w:rsidR="00CF3F53">
        <w:rPr>
          <w:sz w:val="24"/>
        </w:rPr>
        <w:t>Next</w:t>
      </w:r>
      <w:r w:rsidR="00A4709D">
        <w:rPr>
          <w:sz w:val="24"/>
        </w:rPr>
        <w:t>,</w:t>
      </w:r>
      <w:r w:rsidR="00857508">
        <w:rPr>
          <w:sz w:val="24"/>
        </w:rPr>
        <w:t xml:space="preserve"> </w:t>
      </w:r>
      <w:r w:rsidR="00A4709D">
        <w:rPr>
          <w:sz w:val="24"/>
        </w:rPr>
        <w:t>i</w:t>
      </w:r>
      <w:r w:rsidR="00857508">
        <w:rPr>
          <w:sz w:val="24"/>
        </w:rPr>
        <w:t xml:space="preserve">f </w:t>
      </w:r>
      <w:r w:rsidR="001D1CB3">
        <w:rPr>
          <w:sz w:val="24"/>
        </w:rPr>
        <w:t>P</w:t>
      </w:r>
      <w:r w:rsidR="00A9550F">
        <w:rPr>
          <w:sz w:val="24"/>
        </w:rPr>
        <w:t xml:space="preserve"> require</w:t>
      </w:r>
      <w:r w:rsidR="00F4712E">
        <w:rPr>
          <w:sz w:val="24"/>
        </w:rPr>
        <w:t>d</w:t>
      </w:r>
      <w:r w:rsidR="00857508">
        <w:rPr>
          <w:sz w:val="24"/>
        </w:rPr>
        <w:t xml:space="preserve"> more intrus</w:t>
      </w:r>
      <w:r w:rsidR="00562450">
        <w:rPr>
          <w:sz w:val="24"/>
        </w:rPr>
        <w:t xml:space="preserve">ive care or treatment </w:t>
      </w:r>
      <w:r w:rsidR="00857508">
        <w:rPr>
          <w:sz w:val="24"/>
        </w:rPr>
        <w:t xml:space="preserve">then she would be subject to </w:t>
      </w:r>
      <w:r w:rsidR="00542478">
        <w:rPr>
          <w:sz w:val="24"/>
        </w:rPr>
        <w:t>‘</w:t>
      </w:r>
      <w:r w:rsidR="00857508">
        <w:rPr>
          <w:sz w:val="24"/>
        </w:rPr>
        <w:t>restrictive care and treatment</w:t>
      </w:r>
      <w:r w:rsidR="00542478">
        <w:rPr>
          <w:sz w:val="24"/>
        </w:rPr>
        <w:t>’</w:t>
      </w:r>
      <w:r w:rsidR="00D8430B">
        <w:rPr>
          <w:sz w:val="24"/>
        </w:rPr>
        <w:t>.</w:t>
      </w:r>
      <w:r w:rsidR="00EB7D44">
        <w:rPr>
          <w:rStyle w:val="FootnoteReference"/>
          <w:sz w:val="24"/>
        </w:rPr>
        <w:footnoteReference w:id="101"/>
      </w:r>
      <w:r w:rsidR="00CB7B20">
        <w:rPr>
          <w:sz w:val="24"/>
        </w:rPr>
        <w:t xml:space="preserve"> </w:t>
      </w:r>
      <w:r w:rsidR="00D21938" w:rsidRPr="00FC07EE">
        <w:rPr>
          <w:sz w:val="24"/>
          <w:szCs w:val="24"/>
        </w:rPr>
        <w:t>This component of the Law Commission’s proposals would</w:t>
      </w:r>
      <w:r>
        <w:rPr>
          <w:sz w:val="24"/>
          <w:szCs w:val="24"/>
        </w:rPr>
        <w:t xml:space="preserve"> have</w:t>
      </w:r>
      <w:r w:rsidR="00D21938" w:rsidRPr="00FC07EE">
        <w:rPr>
          <w:sz w:val="24"/>
          <w:szCs w:val="24"/>
        </w:rPr>
        <w:t xml:space="preserve"> directly replace</w:t>
      </w:r>
      <w:r>
        <w:rPr>
          <w:sz w:val="24"/>
          <w:szCs w:val="24"/>
        </w:rPr>
        <w:t>d</w:t>
      </w:r>
      <w:r w:rsidR="00D21938" w:rsidRPr="00FC07EE">
        <w:rPr>
          <w:sz w:val="24"/>
          <w:szCs w:val="24"/>
        </w:rPr>
        <w:t xml:space="preserve"> the DOLS</w:t>
      </w:r>
      <w:r w:rsidR="00FC07EE" w:rsidRPr="00FC07EE">
        <w:rPr>
          <w:sz w:val="24"/>
          <w:szCs w:val="24"/>
        </w:rPr>
        <w:t>.</w:t>
      </w:r>
      <w:r w:rsidR="00FC07EE" w:rsidRPr="00FC07EE">
        <w:rPr>
          <w:rStyle w:val="FootnoteReference"/>
          <w:sz w:val="24"/>
          <w:szCs w:val="24"/>
        </w:rPr>
        <w:footnoteReference w:id="102"/>
      </w:r>
      <w:r w:rsidR="00596A22">
        <w:rPr>
          <w:sz w:val="24"/>
          <w:szCs w:val="24"/>
        </w:rPr>
        <w:t xml:space="preserve"> </w:t>
      </w:r>
      <w:r w:rsidR="00F507E0">
        <w:rPr>
          <w:sz w:val="24"/>
          <w:szCs w:val="24"/>
        </w:rPr>
        <w:t xml:space="preserve">If </w:t>
      </w:r>
      <w:r w:rsidR="00371664">
        <w:rPr>
          <w:sz w:val="24"/>
          <w:szCs w:val="24"/>
        </w:rPr>
        <w:t>P</w:t>
      </w:r>
      <w:r w:rsidR="00F507E0">
        <w:rPr>
          <w:sz w:val="24"/>
          <w:szCs w:val="24"/>
        </w:rPr>
        <w:t>’s carers propose</w:t>
      </w:r>
      <w:r w:rsidR="001C57FF">
        <w:rPr>
          <w:sz w:val="24"/>
          <w:szCs w:val="24"/>
        </w:rPr>
        <w:t>d</w:t>
      </w:r>
      <w:r w:rsidR="00F507E0">
        <w:rPr>
          <w:sz w:val="24"/>
          <w:szCs w:val="24"/>
        </w:rPr>
        <w:t xml:space="preserve"> any form of restrictive care and treatment </w:t>
      </w:r>
      <w:r w:rsidR="004A2DAF">
        <w:rPr>
          <w:sz w:val="24"/>
          <w:szCs w:val="24"/>
        </w:rPr>
        <w:t xml:space="preserve">then the relevant local authority </w:t>
      </w:r>
      <w:r w:rsidR="001C57FF">
        <w:rPr>
          <w:sz w:val="24"/>
          <w:szCs w:val="24"/>
        </w:rPr>
        <w:t>would</w:t>
      </w:r>
      <w:r w:rsidR="004A2DAF">
        <w:rPr>
          <w:sz w:val="24"/>
          <w:szCs w:val="24"/>
        </w:rPr>
        <w:t xml:space="preserve"> initiate an assessment to determine that she lacks capacity to consent to </w:t>
      </w:r>
      <w:r w:rsidR="00F01823">
        <w:rPr>
          <w:sz w:val="24"/>
          <w:szCs w:val="24"/>
        </w:rPr>
        <w:t>it and that the treatment is in her best interests</w:t>
      </w:r>
      <w:r w:rsidR="004A2DAF">
        <w:rPr>
          <w:sz w:val="24"/>
          <w:szCs w:val="24"/>
        </w:rPr>
        <w:t>.</w:t>
      </w:r>
      <w:r w:rsidR="00F01823">
        <w:rPr>
          <w:sz w:val="24"/>
          <w:szCs w:val="24"/>
        </w:rPr>
        <w:t xml:space="preserve"> Crucially, this assessment should also </w:t>
      </w:r>
      <w:r w:rsidR="001C57FF">
        <w:rPr>
          <w:sz w:val="24"/>
          <w:szCs w:val="24"/>
        </w:rPr>
        <w:t>establish that</w:t>
      </w:r>
      <w:r w:rsidR="00F01823">
        <w:rPr>
          <w:sz w:val="24"/>
          <w:szCs w:val="24"/>
        </w:rPr>
        <w:t xml:space="preserve"> the relevant restrictions</w:t>
      </w:r>
      <w:r w:rsidR="00CE26BE">
        <w:rPr>
          <w:sz w:val="24"/>
          <w:szCs w:val="24"/>
        </w:rPr>
        <w:t xml:space="preserve"> represent the least restrictive option and</w:t>
      </w:r>
      <w:r w:rsidR="0034551D">
        <w:rPr>
          <w:sz w:val="24"/>
          <w:szCs w:val="24"/>
        </w:rPr>
        <w:t xml:space="preserve"> that they</w:t>
      </w:r>
      <w:r w:rsidR="00F01823">
        <w:rPr>
          <w:sz w:val="24"/>
          <w:szCs w:val="24"/>
        </w:rPr>
        <w:t xml:space="preserve"> are </w:t>
      </w:r>
      <w:r w:rsidR="00542478">
        <w:rPr>
          <w:sz w:val="24"/>
          <w:szCs w:val="24"/>
        </w:rPr>
        <w:t>‘</w:t>
      </w:r>
      <w:r w:rsidR="00F01823">
        <w:rPr>
          <w:sz w:val="24"/>
          <w:szCs w:val="24"/>
        </w:rPr>
        <w:t>necessary to prevent harm</w:t>
      </w:r>
      <w:r w:rsidR="00542478">
        <w:rPr>
          <w:sz w:val="24"/>
          <w:szCs w:val="24"/>
        </w:rPr>
        <w:t>’</w:t>
      </w:r>
      <w:r w:rsidR="00F01823">
        <w:rPr>
          <w:sz w:val="24"/>
          <w:szCs w:val="24"/>
        </w:rPr>
        <w:t>.</w:t>
      </w:r>
      <w:r w:rsidR="00C71935">
        <w:rPr>
          <w:rStyle w:val="FootnoteReference"/>
          <w:sz w:val="24"/>
          <w:szCs w:val="24"/>
        </w:rPr>
        <w:footnoteReference w:id="103"/>
      </w:r>
      <w:r w:rsidR="00697D9C">
        <w:rPr>
          <w:sz w:val="24"/>
          <w:szCs w:val="24"/>
        </w:rPr>
        <w:t xml:space="preserve"> If the </w:t>
      </w:r>
      <w:r w:rsidR="00542478">
        <w:rPr>
          <w:sz w:val="24"/>
          <w:szCs w:val="24"/>
        </w:rPr>
        <w:t>‘</w:t>
      </w:r>
      <w:r w:rsidR="00697D9C">
        <w:rPr>
          <w:sz w:val="24"/>
          <w:szCs w:val="24"/>
        </w:rPr>
        <w:t>Approved Mental Capacity Professional</w:t>
      </w:r>
      <w:r w:rsidR="00542478">
        <w:rPr>
          <w:sz w:val="24"/>
          <w:szCs w:val="24"/>
        </w:rPr>
        <w:t>’</w:t>
      </w:r>
      <w:r w:rsidR="0081446F">
        <w:rPr>
          <w:rStyle w:val="FootnoteReference"/>
          <w:sz w:val="24"/>
          <w:szCs w:val="24"/>
        </w:rPr>
        <w:footnoteReference w:id="104"/>
      </w:r>
      <w:r w:rsidR="009C032B">
        <w:rPr>
          <w:sz w:val="24"/>
          <w:szCs w:val="24"/>
        </w:rPr>
        <w:t xml:space="preserve"> were to</w:t>
      </w:r>
      <w:r w:rsidR="00697D9C">
        <w:rPr>
          <w:sz w:val="24"/>
          <w:szCs w:val="24"/>
        </w:rPr>
        <w:t xml:space="preserve"> </w:t>
      </w:r>
      <w:r w:rsidR="009C032B">
        <w:rPr>
          <w:sz w:val="24"/>
          <w:szCs w:val="24"/>
        </w:rPr>
        <w:t>decide</w:t>
      </w:r>
      <w:r w:rsidR="00697D9C">
        <w:rPr>
          <w:sz w:val="24"/>
          <w:szCs w:val="24"/>
        </w:rPr>
        <w:t xml:space="preserve"> that the basis for restrictive care and treatment ha</w:t>
      </w:r>
      <w:r w:rsidR="009C032B">
        <w:rPr>
          <w:sz w:val="24"/>
          <w:szCs w:val="24"/>
        </w:rPr>
        <w:t>s</w:t>
      </w:r>
      <w:r w:rsidR="00697D9C">
        <w:rPr>
          <w:sz w:val="24"/>
          <w:szCs w:val="24"/>
        </w:rPr>
        <w:t xml:space="preserve"> been met then she would be able to </w:t>
      </w:r>
      <w:r w:rsidR="00ED74C5">
        <w:rPr>
          <w:sz w:val="24"/>
          <w:szCs w:val="24"/>
        </w:rPr>
        <w:t>approve the arrangements for up to 12 months at a time.</w:t>
      </w:r>
      <w:r w:rsidR="0081446F">
        <w:rPr>
          <w:rStyle w:val="FootnoteReference"/>
          <w:sz w:val="24"/>
          <w:szCs w:val="24"/>
        </w:rPr>
        <w:footnoteReference w:id="105"/>
      </w:r>
    </w:p>
    <w:p w:rsidR="00D14F9A" w:rsidRDefault="00AC245B" w:rsidP="00DE5530">
      <w:pPr>
        <w:spacing w:line="720" w:lineRule="auto"/>
        <w:ind w:firstLine="720"/>
        <w:jc w:val="both"/>
        <w:rPr>
          <w:sz w:val="24"/>
        </w:rPr>
      </w:pPr>
      <w:r>
        <w:rPr>
          <w:sz w:val="24"/>
          <w:szCs w:val="24"/>
        </w:rPr>
        <w:lastRenderedPageBreak/>
        <w:t>Where hospital-based care and treatment is concerned, the Law Commission proposed a</w:t>
      </w:r>
      <w:r w:rsidR="00427145">
        <w:rPr>
          <w:sz w:val="24"/>
          <w:szCs w:val="24"/>
        </w:rPr>
        <w:t>n entirely</w:t>
      </w:r>
      <w:r>
        <w:rPr>
          <w:sz w:val="24"/>
          <w:szCs w:val="24"/>
        </w:rPr>
        <w:t xml:space="preserve"> separate scheme.</w:t>
      </w:r>
      <w:r w:rsidR="00F07C0A">
        <w:rPr>
          <w:rStyle w:val="FootnoteReference"/>
          <w:sz w:val="24"/>
          <w:szCs w:val="24"/>
        </w:rPr>
        <w:footnoteReference w:id="106"/>
      </w:r>
      <w:r w:rsidR="00D96DD5">
        <w:rPr>
          <w:sz w:val="24"/>
          <w:szCs w:val="24"/>
        </w:rPr>
        <w:t xml:space="preserve"> </w:t>
      </w:r>
      <w:r w:rsidR="00304F8F">
        <w:rPr>
          <w:sz w:val="24"/>
          <w:szCs w:val="24"/>
        </w:rPr>
        <w:t>In contrast to the arrangements which it proposed for care homes</w:t>
      </w:r>
      <w:r w:rsidR="00304F8F">
        <w:rPr>
          <w:sz w:val="24"/>
        </w:rPr>
        <w:t xml:space="preserve">, supported living </w:t>
      </w:r>
      <w:r w:rsidR="00B21D14">
        <w:rPr>
          <w:sz w:val="24"/>
        </w:rPr>
        <w:t>and so on</w:t>
      </w:r>
      <w:r w:rsidR="00304F8F">
        <w:rPr>
          <w:sz w:val="24"/>
        </w:rPr>
        <w:t>, this hospital scheme would be organised around the concept of deprivation of liberty.</w:t>
      </w:r>
      <w:r w:rsidR="00FF0551">
        <w:rPr>
          <w:rStyle w:val="FootnoteReference"/>
          <w:sz w:val="24"/>
        </w:rPr>
        <w:footnoteReference w:id="107"/>
      </w:r>
      <w:r w:rsidR="006A2755">
        <w:rPr>
          <w:sz w:val="24"/>
        </w:rPr>
        <w:t xml:space="preserve"> The</w:t>
      </w:r>
      <w:r w:rsidR="00C65F8A">
        <w:rPr>
          <w:sz w:val="24"/>
        </w:rPr>
        <w:t xml:space="preserve"> </w:t>
      </w:r>
      <w:r w:rsidR="001D1CB3">
        <w:rPr>
          <w:sz w:val="24"/>
        </w:rPr>
        <w:t>justification</w:t>
      </w:r>
      <w:r w:rsidR="006A2755">
        <w:rPr>
          <w:sz w:val="24"/>
        </w:rPr>
        <w:t xml:space="preserve"> for</w:t>
      </w:r>
      <w:r w:rsidR="00D952CD">
        <w:rPr>
          <w:sz w:val="24"/>
        </w:rPr>
        <w:t xml:space="preserve"> this distinct arrangement is that decision-making in hospitals is fundamentally different from that which occurs in the social care setting.</w:t>
      </w:r>
      <w:r w:rsidR="00D952CD">
        <w:rPr>
          <w:rStyle w:val="FootnoteReference"/>
          <w:sz w:val="24"/>
        </w:rPr>
        <w:footnoteReference w:id="108"/>
      </w:r>
      <w:r w:rsidR="00232257">
        <w:rPr>
          <w:sz w:val="24"/>
        </w:rPr>
        <w:t xml:space="preserve"> Decisions in the social care context are </w:t>
      </w:r>
      <w:r w:rsidR="0013647F">
        <w:rPr>
          <w:sz w:val="24"/>
        </w:rPr>
        <w:t>‘</w:t>
      </w:r>
      <w:r w:rsidR="00232257">
        <w:rPr>
          <w:sz w:val="24"/>
        </w:rPr>
        <w:t>often made by teams in advance and over a period of time</w:t>
      </w:r>
      <w:r w:rsidR="00542478">
        <w:rPr>
          <w:sz w:val="24"/>
        </w:rPr>
        <w:t>’</w:t>
      </w:r>
      <w:r w:rsidR="0013647F">
        <w:rPr>
          <w:sz w:val="24"/>
        </w:rPr>
        <w:t>;</w:t>
      </w:r>
      <w:r w:rsidR="00232257">
        <w:rPr>
          <w:sz w:val="24"/>
        </w:rPr>
        <w:t xml:space="preserve"> whereas in hospitals </w:t>
      </w:r>
      <w:r w:rsidR="00542478">
        <w:rPr>
          <w:sz w:val="24"/>
        </w:rPr>
        <w:t>‘</w:t>
      </w:r>
      <w:r w:rsidR="00232257">
        <w:rPr>
          <w:sz w:val="24"/>
        </w:rPr>
        <w:t>decisions need to be made immediately, sometimes by a single clinician</w:t>
      </w:r>
      <w:r w:rsidR="00542478">
        <w:rPr>
          <w:sz w:val="24"/>
        </w:rPr>
        <w:t>’</w:t>
      </w:r>
      <w:r w:rsidR="00232257">
        <w:rPr>
          <w:sz w:val="24"/>
        </w:rPr>
        <w:t>.</w:t>
      </w:r>
      <w:r w:rsidR="00232257">
        <w:rPr>
          <w:rStyle w:val="FootnoteReference"/>
          <w:sz w:val="24"/>
        </w:rPr>
        <w:footnoteReference w:id="109"/>
      </w:r>
      <w:r w:rsidR="00D92DF6">
        <w:rPr>
          <w:sz w:val="24"/>
        </w:rPr>
        <w:t xml:space="preserve"> Furthermore, the Law Commission contend</w:t>
      </w:r>
      <w:r w:rsidR="0013647F">
        <w:rPr>
          <w:sz w:val="24"/>
        </w:rPr>
        <w:t>ed</w:t>
      </w:r>
      <w:r w:rsidR="00D92DF6">
        <w:rPr>
          <w:sz w:val="24"/>
        </w:rPr>
        <w:t xml:space="preserve"> that the implications of hospital-based decisions can be different</w:t>
      </w:r>
      <w:r w:rsidR="00B21D14">
        <w:rPr>
          <w:sz w:val="24"/>
        </w:rPr>
        <w:t xml:space="preserve"> from those taken in the social care setting. For example, </w:t>
      </w:r>
      <w:r w:rsidR="00D92DF6">
        <w:rPr>
          <w:sz w:val="24"/>
        </w:rPr>
        <w:t xml:space="preserve">deprivations of liberty in care homes </w:t>
      </w:r>
      <w:r w:rsidR="00542478">
        <w:rPr>
          <w:sz w:val="24"/>
        </w:rPr>
        <w:t>‘</w:t>
      </w:r>
      <w:r w:rsidR="00D92DF6">
        <w:rPr>
          <w:sz w:val="24"/>
        </w:rPr>
        <w:t>may have permanent implications</w:t>
      </w:r>
      <w:r w:rsidR="00542478">
        <w:rPr>
          <w:sz w:val="24"/>
        </w:rPr>
        <w:t>’</w:t>
      </w:r>
      <w:r w:rsidR="003C4F8C">
        <w:rPr>
          <w:sz w:val="24"/>
        </w:rPr>
        <w:t xml:space="preserve">, whereas those which take place in hospital settings are </w:t>
      </w:r>
      <w:r w:rsidR="00542478">
        <w:rPr>
          <w:sz w:val="24"/>
        </w:rPr>
        <w:t>‘</w:t>
      </w:r>
      <w:r w:rsidR="003C4F8C">
        <w:rPr>
          <w:sz w:val="24"/>
        </w:rPr>
        <w:t>more likely to be of shorter duration and may have less irreversible effects</w:t>
      </w:r>
      <w:r w:rsidR="00312E2E">
        <w:rPr>
          <w:sz w:val="24"/>
        </w:rPr>
        <w:t>’.</w:t>
      </w:r>
      <w:r w:rsidR="003C4F8C">
        <w:rPr>
          <w:rStyle w:val="FootnoteReference"/>
          <w:sz w:val="24"/>
        </w:rPr>
        <w:footnoteReference w:id="110"/>
      </w:r>
      <w:r w:rsidR="00E259CD">
        <w:rPr>
          <w:sz w:val="24"/>
        </w:rPr>
        <w:t xml:space="preserve"> </w:t>
      </w:r>
    </w:p>
    <w:p w:rsidR="00C81966" w:rsidRDefault="00143424" w:rsidP="00DE5530">
      <w:pPr>
        <w:spacing w:line="720" w:lineRule="auto"/>
        <w:ind w:firstLine="720"/>
        <w:jc w:val="both"/>
        <w:rPr>
          <w:sz w:val="24"/>
        </w:rPr>
      </w:pPr>
      <w:r>
        <w:rPr>
          <w:sz w:val="24"/>
        </w:rPr>
        <w:lastRenderedPageBreak/>
        <w:t xml:space="preserve">Where patients lacking capacity </w:t>
      </w:r>
      <w:r w:rsidR="007C3CC8">
        <w:rPr>
          <w:sz w:val="24"/>
        </w:rPr>
        <w:t>and suffering from mental disorders are concerned, the Law Commission’s provisionally preferred solution</w:t>
      </w:r>
      <w:r w:rsidR="0013647F">
        <w:rPr>
          <w:sz w:val="24"/>
        </w:rPr>
        <w:t xml:space="preserve"> was</w:t>
      </w:r>
      <w:r w:rsidR="007C3CC8">
        <w:rPr>
          <w:sz w:val="24"/>
        </w:rPr>
        <w:t xml:space="preserve"> </w:t>
      </w:r>
      <w:r w:rsidR="0013647F">
        <w:rPr>
          <w:sz w:val="24"/>
        </w:rPr>
        <w:t>‘</w:t>
      </w:r>
      <w:r w:rsidR="007C3CC8">
        <w:rPr>
          <w:sz w:val="24"/>
        </w:rPr>
        <w:t>to construct a solution based in the Mental Health Act</w:t>
      </w:r>
      <w:r w:rsidR="00312E2E">
        <w:rPr>
          <w:sz w:val="24"/>
        </w:rPr>
        <w:t>’.</w:t>
      </w:r>
      <w:r w:rsidR="007C3CC8">
        <w:rPr>
          <w:rStyle w:val="FootnoteReference"/>
          <w:sz w:val="24"/>
        </w:rPr>
        <w:footnoteReference w:id="111"/>
      </w:r>
      <w:r w:rsidR="00C063A8">
        <w:rPr>
          <w:sz w:val="24"/>
        </w:rPr>
        <w:t xml:space="preserve"> In other words, the Law Commission </w:t>
      </w:r>
      <w:r w:rsidR="0013647F">
        <w:rPr>
          <w:sz w:val="24"/>
        </w:rPr>
        <w:t xml:space="preserve">proposed </w:t>
      </w:r>
      <w:r w:rsidR="00C063A8">
        <w:rPr>
          <w:sz w:val="24"/>
        </w:rPr>
        <w:t>to extend the MHA</w:t>
      </w:r>
      <w:r w:rsidR="00525753">
        <w:rPr>
          <w:sz w:val="24"/>
        </w:rPr>
        <w:t xml:space="preserve"> specifically</w:t>
      </w:r>
      <w:r w:rsidR="00C063A8">
        <w:rPr>
          <w:sz w:val="24"/>
        </w:rPr>
        <w:t xml:space="preserve"> to incorporate </w:t>
      </w:r>
      <w:r w:rsidR="00542478">
        <w:rPr>
          <w:sz w:val="24"/>
        </w:rPr>
        <w:t>‘</w:t>
      </w:r>
      <w:r w:rsidR="00C063A8">
        <w:rPr>
          <w:sz w:val="24"/>
        </w:rPr>
        <w:t>informal</w:t>
      </w:r>
      <w:r w:rsidR="00542478">
        <w:rPr>
          <w:sz w:val="24"/>
        </w:rPr>
        <w:t>’</w:t>
      </w:r>
      <w:r w:rsidR="00C063A8">
        <w:rPr>
          <w:sz w:val="24"/>
        </w:rPr>
        <w:t xml:space="preserve"> patients</w:t>
      </w:r>
      <w:r w:rsidR="00525753">
        <w:rPr>
          <w:sz w:val="24"/>
        </w:rPr>
        <w:t>.</w:t>
      </w:r>
      <w:r w:rsidR="002810F7">
        <w:rPr>
          <w:rStyle w:val="FootnoteReference"/>
          <w:sz w:val="24"/>
        </w:rPr>
        <w:footnoteReference w:id="112"/>
      </w:r>
      <w:r w:rsidR="00C063A8">
        <w:rPr>
          <w:sz w:val="24"/>
        </w:rPr>
        <w:t xml:space="preserve"> </w:t>
      </w:r>
      <w:r w:rsidR="00FA7E2C">
        <w:rPr>
          <w:sz w:val="24"/>
        </w:rPr>
        <w:t>It</w:t>
      </w:r>
      <w:r w:rsidR="00AD02B7">
        <w:rPr>
          <w:sz w:val="24"/>
        </w:rPr>
        <w:t xml:space="preserve"> contend</w:t>
      </w:r>
      <w:r w:rsidR="0013647F">
        <w:rPr>
          <w:sz w:val="24"/>
        </w:rPr>
        <w:t>ed</w:t>
      </w:r>
      <w:r w:rsidR="00AD02B7">
        <w:rPr>
          <w:sz w:val="24"/>
        </w:rPr>
        <w:t xml:space="preserve"> that this would </w:t>
      </w:r>
      <w:r w:rsidR="00542478">
        <w:rPr>
          <w:sz w:val="24"/>
        </w:rPr>
        <w:t>‘</w:t>
      </w:r>
      <w:r w:rsidR="00AD02B7">
        <w:rPr>
          <w:sz w:val="24"/>
        </w:rPr>
        <w:t>hopefully establish a clear-cut interface</w:t>
      </w:r>
      <w:r w:rsidR="00542478">
        <w:rPr>
          <w:sz w:val="24"/>
        </w:rPr>
        <w:t>’</w:t>
      </w:r>
      <w:r w:rsidR="00AD02B7">
        <w:rPr>
          <w:sz w:val="24"/>
        </w:rPr>
        <w:t xml:space="preserve"> between the MCA and the MHA</w:t>
      </w:r>
      <w:r w:rsidR="008245CF">
        <w:rPr>
          <w:sz w:val="24"/>
        </w:rPr>
        <w:t xml:space="preserve"> and </w:t>
      </w:r>
      <w:r w:rsidR="00542478">
        <w:rPr>
          <w:sz w:val="24"/>
        </w:rPr>
        <w:t>‘</w:t>
      </w:r>
      <w:r w:rsidR="008245CF">
        <w:rPr>
          <w:sz w:val="24"/>
        </w:rPr>
        <w:t>remove the issues [surrounding] objection and treatment and the purpose of…admission</w:t>
      </w:r>
      <w:r w:rsidR="00542478">
        <w:rPr>
          <w:sz w:val="24"/>
        </w:rPr>
        <w:t>’</w:t>
      </w:r>
      <w:r w:rsidR="00AD02B7">
        <w:rPr>
          <w:sz w:val="24"/>
        </w:rPr>
        <w:t>.</w:t>
      </w:r>
      <w:r w:rsidR="00E06ECB">
        <w:rPr>
          <w:rStyle w:val="FootnoteReference"/>
          <w:sz w:val="24"/>
        </w:rPr>
        <w:footnoteReference w:id="113"/>
      </w:r>
    </w:p>
    <w:p w:rsidR="008B4426" w:rsidRDefault="000E15FF" w:rsidP="00DE5530">
      <w:pPr>
        <w:spacing w:line="720" w:lineRule="auto"/>
        <w:ind w:firstLine="720"/>
        <w:jc w:val="both"/>
        <w:rPr>
          <w:sz w:val="24"/>
        </w:rPr>
      </w:pPr>
      <w:r>
        <w:rPr>
          <w:sz w:val="24"/>
        </w:rPr>
        <w:t>The Law Commission’s</w:t>
      </w:r>
      <w:r w:rsidR="0013647F">
        <w:rPr>
          <w:sz w:val="24"/>
        </w:rPr>
        <w:t xml:space="preserve"> original</w:t>
      </w:r>
      <w:r>
        <w:rPr>
          <w:sz w:val="24"/>
        </w:rPr>
        <w:t xml:space="preserve"> proposals </w:t>
      </w:r>
      <w:r w:rsidR="0013647F">
        <w:rPr>
          <w:sz w:val="24"/>
        </w:rPr>
        <w:t>we</w:t>
      </w:r>
      <w:r>
        <w:rPr>
          <w:sz w:val="24"/>
        </w:rPr>
        <w:t xml:space="preserve">re striking for two reasons. First, </w:t>
      </w:r>
      <w:r w:rsidR="00650C60">
        <w:rPr>
          <w:sz w:val="24"/>
        </w:rPr>
        <w:t>the</w:t>
      </w:r>
      <w:r w:rsidR="004A5256">
        <w:rPr>
          <w:sz w:val="24"/>
        </w:rPr>
        <w:t>y</w:t>
      </w:r>
      <w:r w:rsidR="000B3A36">
        <w:rPr>
          <w:sz w:val="24"/>
        </w:rPr>
        <w:t xml:space="preserve"> appear</w:t>
      </w:r>
      <w:r w:rsidR="0013647F">
        <w:rPr>
          <w:sz w:val="24"/>
        </w:rPr>
        <w:t>ed</w:t>
      </w:r>
      <w:r w:rsidR="000B3A36">
        <w:rPr>
          <w:sz w:val="24"/>
        </w:rPr>
        <w:t xml:space="preserve"> to</w:t>
      </w:r>
      <w:r w:rsidR="004A5256">
        <w:rPr>
          <w:sz w:val="24"/>
        </w:rPr>
        <w:t xml:space="preserve"> </w:t>
      </w:r>
      <w:r w:rsidR="00B91245">
        <w:rPr>
          <w:sz w:val="24"/>
        </w:rPr>
        <w:t>anticipate that the</w:t>
      </w:r>
      <w:r w:rsidR="00F804E8">
        <w:rPr>
          <w:sz w:val="24"/>
        </w:rPr>
        <w:t xml:space="preserve"> int</w:t>
      </w:r>
      <w:r w:rsidR="00D1666A">
        <w:rPr>
          <w:sz w:val="24"/>
        </w:rPr>
        <w:t>rusiveness and intensity</w:t>
      </w:r>
      <w:r w:rsidR="00F804E8">
        <w:rPr>
          <w:sz w:val="24"/>
        </w:rPr>
        <w:t xml:space="preserve"> of the</w:t>
      </w:r>
      <w:r w:rsidR="00B1136F">
        <w:rPr>
          <w:sz w:val="24"/>
        </w:rPr>
        <w:t xml:space="preserve"> </w:t>
      </w:r>
      <w:r w:rsidR="00542478">
        <w:rPr>
          <w:sz w:val="24"/>
        </w:rPr>
        <w:t>‘</w:t>
      </w:r>
      <w:r w:rsidR="00B91245">
        <w:rPr>
          <w:sz w:val="24"/>
        </w:rPr>
        <w:t>protective care</w:t>
      </w:r>
      <w:r w:rsidR="00542478">
        <w:rPr>
          <w:sz w:val="24"/>
        </w:rPr>
        <w:t>’</w:t>
      </w:r>
      <w:r w:rsidR="00B91245">
        <w:rPr>
          <w:sz w:val="24"/>
        </w:rPr>
        <w:t xml:space="preserve"> scheme</w:t>
      </w:r>
      <w:r w:rsidR="00F804E8">
        <w:rPr>
          <w:sz w:val="24"/>
        </w:rPr>
        <w:t xml:space="preserve"> </w:t>
      </w:r>
      <w:r w:rsidR="0013647F">
        <w:rPr>
          <w:sz w:val="24"/>
        </w:rPr>
        <w:t>w</w:t>
      </w:r>
      <w:r w:rsidR="00F804E8">
        <w:rPr>
          <w:sz w:val="24"/>
        </w:rPr>
        <w:t>ould</w:t>
      </w:r>
      <w:r w:rsidR="005531BB">
        <w:rPr>
          <w:sz w:val="24"/>
        </w:rPr>
        <w:t xml:space="preserve"> depend on </w:t>
      </w:r>
      <w:r w:rsidR="00343830">
        <w:rPr>
          <w:sz w:val="24"/>
        </w:rPr>
        <w:t>assessments</w:t>
      </w:r>
      <w:r w:rsidR="005531BB">
        <w:rPr>
          <w:sz w:val="24"/>
        </w:rPr>
        <w:t xml:space="preserve"> of risk</w:t>
      </w:r>
      <w:r w:rsidR="00B2038B">
        <w:rPr>
          <w:sz w:val="24"/>
        </w:rPr>
        <w:t>, amongst other things.</w:t>
      </w:r>
      <w:r w:rsidR="00910EE6">
        <w:rPr>
          <w:sz w:val="24"/>
        </w:rPr>
        <w:t xml:space="preserve"> The Law Commission</w:t>
      </w:r>
      <w:r w:rsidR="009B3832">
        <w:rPr>
          <w:sz w:val="24"/>
        </w:rPr>
        <w:t xml:space="preserve"> </w:t>
      </w:r>
      <w:r w:rsidR="005C4B42">
        <w:rPr>
          <w:sz w:val="24"/>
        </w:rPr>
        <w:t>state</w:t>
      </w:r>
      <w:r w:rsidR="009B3832">
        <w:rPr>
          <w:sz w:val="24"/>
        </w:rPr>
        <w:t>d</w:t>
      </w:r>
      <w:r w:rsidR="005C4B42">
        <w:rPr>
          <w:sz w:val="24"/>
        </w:rPr>
        <w:t xml:space="preserve"> that</w:t>
      </w:r>
      <w:r w:rsidR="00FE46DB">
        <w:rPr>
          <w:sz w:val="24"/>
        </w:rPr>
        <w:t xml:space="preserve"> deciding</w:t>
      </w:r>
      <w:r w:rsidR="005C4B42">
        <w:rPr>
          <w:sz w:val="24"/>
        </w:rPr>
        <w:t xml:space="preserve"> whether the </w:t>
      </w:r>
      <w:r w:rsidR="00542478">
        <w:rPr>
          <w:sz w:val="24"/>
        </w:rPr>
        <w:t>‘</w:t>
      </w:r>
      <w:r w:rsidR="005C4B42">
        <w:rPr>
          <w:sz w:val="24"/>
        </w:rPr>
        <w:t>relevant restrictions are necessary to prevent harm</w:t>
      </w:r>
      <w:r w:rsidR="00542478">
        <w:rPr>
          <w:sz w:val="24"/>
        </w:rPr>
        <w:t>’</w:t>
      </w:r>
      <w:r w:rsidR="005C4B42">
        <w:rPr>
          <w:sz w:val="24"/>
        </w:rPr>
        <w:t xml:space="preserve"> should</w:t>
      </w:r>
      <w:r w:rsidR="00FE46DB">
        <w:rPr>
          <w:sz w:val="24"/>
        </w:rPr>
        <w:t xml:space="preserve"> </w:t>
      </w:r>
      <w:r w:rsidR="009B3832">
        <w:rPr>
          <w:sz w:val="24"/>
        </w:rPr>
        <w:t>be</w:t>
      </w:r>
      <w:r w:rsidR="00DC330C">
        <w:rPr>
          <w:sz w:val="24"/>
        </w:rPr>
        <w:t xml:space="preserve"> part</w:t>
      </w:r>
      <w:r w:rsidR="009B3832">
        <w:rPr>
          <w:sz w:val="24"/>
        </w:rPr>
        <w:t xml:space="preserve"> </w:t>
      </w:r>
      <w:r w:rsidR="009E3DD7">
        <w:rPr>
          <w:sz w:val="24"/>
        </w:rPr>
        <w:t>of an assessment of a patient’s best interests.</w:t>
      </w:r>
      <w:r w:rsidR="00A93F4B">
        <w:rPr>
          <w:rStyle w:val="FootnoteReference"/>
          <w:sz w:val="24"/>
        </w:rPr>
        <w:footnoteReference w:id="114"/>
      </w:r>
      <w:r w:rsidR="002C5436">
        <w:rPr>
          <w:sz w:val="24"/>
        </w:rPr>
        <w:t xml:space="preserve"> </w:t>
      </w:r>
      <w:r w:rsidR="007F3B9D">
        <w:rPr>
          <w:sz w:val="24"/>
        </w:rPr>
        <w:t>It also left open the possibility that an evaluation of the risks of harm a person</w:t>
      </w:r>
      <w:r w:rsidR="008E2273">
        <w:rPr>
          <w:sz w:val="24"/>
        </w:rPr>
        <w:t xml:space="preserve"> may</w:t>
      </w:r>
      <w:r w:rsidR="007F3B9D">
        <w:rPr>
          <w:sz w:val="24"/>
        </w:rPr>
        <w:t xml:space="preserve"> pose to others</w:t>
      </w:r>
      <w:r w:rsidR="00DC330C">
        <w:rPr>
          <w:sz w:val="24"/>
        </w:rPr>
        <w:t xml:space="preserve"> </w:t>
      </w:r>
      <w:r w:rsidR="007F3B9D">
        <w:rPr>
          <w:sz w:val="24"/>
        </w:rPr>
        <w:t xml:space="preserve">should become a core </w:t>
      </w:r>
      <w:r w:rsidR="007F3B9D">
        <w:rPr>
          <w:sz w:val="24"/>
        </w:rPr>
        <w:lastRenderedPageBreak/>
        <w:t xml:space="preserve">component of the </w:t>
      </w:r>
      <w:r w:rsidR="00542478">
        <w:rPr>
          <w:sz w:val="24"/>
        </w:rPr>
        <w:t>‘</w:t>
      </w:r>
      <w:r w:rsidR="007F3B9D">
        <w:rPr>
          <w:sz w:val="24"/>
        </w:rPr>
        <w:t>best interests</w:t>
      </w:r>
      <w:r w:rsidR="00542478">
        <w:rPr>
          <w:sz w:val="24"/>
        </w:rPr>
        <w:t>’</w:t>
      </w:r>
      <w:r w:rsidR="007F3B9D">
        <w:rPr>
          <w:sz w:val="24"/>
        </w:rPr>
        <w:t xml:space="preserve"> assessment.</w:t>
      </w:r>
      <w:r w:rsidR="007F3B9D">
        <w:rPr>
          <w:rStyle w:val="FootnoteReference"/>
          <w:sz w:val="24"/>
        </w:rPr>
        <w:footnoteReference w:id="115"/>
      </w:r>
      <w:r w:rsidR="006C0ED9">
        <w:rPr>
          <w:sz w:val="24"/>
        </w:rPr>
        <w:t xml:space="preserve"> </w:t>
      </w:r>
      <w:r w:rsidR="00F479C8">
        <w:rPr>
          <w:sz w:val="24"/>
        </w:rPr>
        <w:t>Where a person lacks capacity and the relevant risks</w:t>
      </w:r>
      <w:r w:rsidR="005531BB">
        <w:rPr>
          <w:sz w:val="24"/>
        </w:rPr>
        <w:t xml:space="preserve"> of harm</w:t>
      </w:r>
      <w:r w:rsidR="00F479C8">
        <w:rPr>
          <w:sz w:val="24"/>
        </w:rPr>
        <w:t xml:space="preserve"> are low,</w:t>
      </w:r>
      <w:r w:rsidR="002D50E2">
        <w:rPr>
          <w:sz w:val="24"/>
        </w:rPr>
        <w:t xml:space="preserve"> the scheme </w:t>
      </w:r>
      <w:r w:rsidR="0013647F">
        <w:rPr>
          <w:sz w:val="24"/>
        </w:rPr>
        <w:t xml:space="preserve">would </w:t>
      </w:r>
      <w:r w:rsidR="00DF0BCB">
        <w:rPr>
          <w:sz w:val="24"/>
        </w:rPr>
        <w:t>subject</w:t>
      </w:r>
      <w:r w:rsidR="002D50E2">
        <w:rPr>
          <w:sz w:val="24"/>
        </w:rPr>
        <w:t xml:space="preserve"> her to</w:t>
      </w:r>
      <w:r w:rsidR="00664648">
        <w:rPr>
          <w:sz w:val="24"/>
        </w:rPr>
        <w:t xml:space="preserve"> basic</w:t>
      </w:r>
      <w:r w:rsidR="002D50E2">
        <w:rPr>
          <w:sz w:val="24"/>
        </w:rPr>
        <w:t xml:space="preserve"> </w:t>
      </w:r>
      <w:r w:rsidR="00542478">
        <w:rPr>
          <w:sz w:val="24"/>
        </w:rPr>
        <w:t>‘</w:t>
      </w:r>
      <w:r w:rsidR="00A61D3D">
        <w:rPr>
          <w:sz w:val="24"/>
        </w:rPr>
        <w:t>supportive care</w:t>
      </w:r>
      <w:r w:rsidR="00542478">
        <w:rPr>
          <w:sz w:val="24"/>
        </w:rPr>
        <w:t>’</w:t>
      </w:r>
      <w:r w:rsidR="00A61D3D">
        <w:rPr>
          <w:sz w:val="24"/>
        </w:rPr>
        <w:t xml:space="preserve"> arrangements</w:t>
      </w:r>
      <w:r w:rsidR="002A1C72">
        <w:rPr>
          <w:sz w:val="24"/>
        </w:rPr>
        <w:t>.</w:t>
      </w:r>
      <w:r w:rsidR="00A61D3D">
        <w:rPr>
          <w:sz w:val="24"/>
        </w:rPr>
        <w:t xml:space="preserve"> </w:t>
      </w:r>
      <w:r w:rsidR="00664648">
        <w:rPr>
          <w:sz w:val="24"/>
        </w:rPr>
        <w:t>Where the risks may be</w:t>
      </w:r>
      <w:r w:rsidR="00044B12">
        <w:rPr>
          <w:sz w:val="24"/>
        </w:rPr>
        <w:t xml:space="preserve"> greater,</w:t>
      </w:r>
      <w:r w:rsidR="00664648">
        <w:rPr>
          <w:sz w:val="24"/>
        </w:rPr>
        <w:t xml:space="preserve"> an Approved Mental Capacity Professional </w:t>
      </w:r>
      <w:r w:rsidR="008B0BDA">
        <w:rPr>
          <w:sz w:val="24"/>
        </w:rPr>
        <w:t>m</w:t>
      </w:r>
      <w:r w:rsidR="0013647F">
        <w:rPr>
          <w:sz w:val="24"/>
        </w:rPr>
        <w:t>ight</w:t>
      </w:r>
      <w:r w:rsidR="008B0BDA">
        <w:rPr>
          <w:sz w:val="24"/>
        </w:rPr>
        <w:t xml:space="preserve"> </w:t>
      </w:r>
      <w:r w:rsidR="006075FF">
        <w:rPr>
          <w:sz w:val="24"/>
        </w:rPr>
        <w:t xml:space="preserve">opt for a </w:t>
      </w:r>
      <w:r w:rsidR="00542478">
        <w:rPr>
          <w:sz w:val="24"/>
        </w:rPr>
        <w:t>‘</w:t>
      </w:r>
      <w:r w:rsidR="006075FF">
        <w:rPr>
          <w:sz w:val="24"/>
        </w:rPr>
        <w:t>restrictive care and treatment</w:t>
      </w:r>
      <w:r w:rsidR="00542478">
        <w:rPr>
          <w:sz w:val="24"/>
        </w:rPr>
        <w:t>’</w:t>
      </w:r>
      <w:r w:rsidR="006075FF">
        <w:rPr>
          <w:sz w:val="24"/>
        </w:rPr>
        <w:t xml:space="preserve"> arrangement. This might include continuous or c</w:t>
      </w:r>
      <w:r w:rsidR="00905428">
        <w:rPr>
          <w:sz w:val="24"/>
        </w:rPr>
        <w:t>omplete supervision and control;</w:t>
      </w:r>
      <w:r w:rsidR="006075FF">
        <w:rPr>
          <w:sz w:val="24"/>
        </w:rPr>
        <w:t xml:space="preserve"> significant restrictions over the person’s diet, clothing or access to and contact with his relatives, carers and friends</w:t>
      </w:r>
      <w:r w:rsidR="00E74B84">
        <w:rPr>
          <w:sz w:val="24"/>
        </w:rPr>
        <w:t>; or restrictions on the patient’s freedom of movement.</w:t>
      </w:r>
      <w:r w:rsidR="00E138BA">
        <w:rPr>
          <w:rStyle w:val="FootnoteReference"/>
          <w:sz w:val="24"/>
        </w:rPr>
        <w:footnoteReference w:id="116"/>
      </w:r>
      <w:r w:rsidR="00E74B84">
        <w:rPr>
          <w:sz w:val="24"/>
        </w:rPr>
        <w:t xml:space="preserve"> </w:t>
      </w:r>
      <w:r w:rsidR="007D6320">
        <w:rPr>
          <w:sz w:val="24"/>
        </w:rPr>
        <w:t>It is difficult to see how consideration</w:t>
      </w:r>
      <w:r w:rsidR="00A8763E">
        <w:rPr>
          <w:sz w:val="24"/>
        </w:rPr>
        <w:t xml:space="preserve">s of risk </w:t>
      </w:r>
      <w:r w:rsidR="00C253D6">
        <w:rPr>
          <w:sz w:val="24"/>
        </w:rPr>
        <w:t>w</w:t>
      </w:r>
      <w:r w:rsidR="00A8763E">
        <w:rPr>
          <w:sz w:val="24"/>
        </w:rPr>
        <w:t xml:space="preserve">ould not </w:t>
      </w:r>
      <w:r w:rsidR="00E74B84">
        <w:rPr>
          <w:sz w:val="24"/>
        </w:rPr>
        <w:t xml:space="preserve">figure in determining the level of supervision and control that </w:t>
      </w:r>
      <w:r w:rsidR="0013647F">
        <w:rPr>
          <w:sz w:val="24"/>
        </w:rPr>
        <w:t xml:space="preserve">might </w:t>
      </w:r>
      <w:r w:rsidR="00E74B84">
        <w:rPr>
          <w:sz w:val="24"/>
        </w:rPr>
        <w:t>be required.</w:t>
      </w:r>
      <w:r w:rsidR="00B50F4A">
        <w:rPr>
          <w:sz w:val="24"/>
        </w:rPr>
        <w:t xml:space="preserve"> </w:t>
      </w:r>
      <w:r w:rsidR="002A1C72">
        <w:rPr>
          <w:sz w:val="24"/>
        </w:rPr>
        <w:t xml:space="preserve">The </w:t>
      </w:r>
      <w:r w:rsidR="00542478">
        <w:rPr>
          <w:sz w:val="24"/>
        </w:rPr>
        <w:t>‘</w:t>
      </w:r>
      <w:r w:rsidR="002A1C72">
        <w:rPr>
          <w:sz w:val="24"/>
        </w:rPr>
        <w:t>escalator of risk</w:t>
      </w:r>
      <w:r w:rsidR="00542478">
        <w:rPr>
          <w:sz w:val="24"/>
        </w:rPr>
        <w:t>’</w:t>
      </w:r>
      <w:r w:rsidR="00292AED">
        <w:rPr>
          <w:sz w:val="24"/>
        </w:rPr>
        <w:t xml:space="preserve"> analogy</w:t>
      </w:r>
      <w:r w:rsidR="002A1C72">
        <w:rPr>
          <w:sz w:val="24"/>
        </w:rPr>
        <w:t xml:space="preserve"> therefore seems </w:t>
      </w:r>
      <w:r w:rsidR="006740FF">
        <w:rPr>
          <w:sz w:val="24"/>
        </w:rPr>
        <w:t>quite</w:t>
      </w:r>
      <w:r w:rsidR="002A1C72">
        <w:rPr>
          <w:sz w:val="24"/>
        </w:rPr>
        <w:t xml:space="preserve"> apposite</w:t>
      </w:r>
      <w:r w:rsidR="0055480E">
        <w:rPr>
          <w:sz w:val="24"/>
        </w:rPr>
        <w:t>.</w:t>
      </w:r>
    </w:p>
    <w:p w:rsidR="00F623D7" w:rsidRDefault="008B603C" w:rsidP="00DE5530">
      <w:pPr>
        <w:spacing w:line="720" w:lineRule="auto"/>
        <w:ind w:firstLine="720"/>
        <w:jc w:val="both"/>
        <w:rPr>
          <w:sz w:val="24"/>
          <w:szCs w:val="24"/>
        </w:rPr>
      </w:pPr>
      <w:r>
        <w:rPr>
          <w:sz w:val="24"/>
        </w:rPr>
        <w:t>Secondly,</w:t>
      </w:r>
      <w:r w:rsidR="00EB383A">
        <w:rPr>
          <w:sz w:val="24"/>
        </w:rPr>
        <w:t xml:space="preserve"> </w:t>
      </w:r>
      <w:r w:rsidR="0013647F">
        <w:rPr>
          <w:sz w:val="24"/>
        </w:rPr>
        <w:t xml:space="preserve">the proposal to amend </w:t>
      </w:r>
      <w:r w:rsidR="0025513A">
        <w:rPr>
          <w:sz w:val="24"/>
        </w:rPr>
        <w:t>the 1983 Act so that</w:t>
      </w:r>
      <w:r w:rsidR="004E5B8B">
        <w:rPr>
          <w:sz w:val="24"/>
        </w:rPr>
        <w:t xml:space="preserve"> it</w:t>
      </w:r>
      <w:r w:rsidR="0013647F">
        <w:rPr>
          <w:sz w:val="24"/>
        </w:rPr>
        <w:t xml:space="preserve"> would</w:t>
      </w:r>
      <w:r w:rsidR="0025513A">
        <w:rPr>
          <w:sz w:val="24"/>
        </w:rPr>
        <w:t xml:space="preserve"> provide a legal mechanism for</w:t>
      </w:r>
      <w:r>
        <w:rPr>
          <w:sz w:val="24"/>
        </w:rPr>
        <w:t xml:space="preserve"> depriving </w:t>
      </w:r>
      <w:r w:rsidR="00542478">
        <w:rPr>
          <w:sz w:val="24"/>
        </w:rPr>
        <w:t>‘</w:t>
      </w:r>
      <w:r>
        <w:rPr>
          <w:sz w:val="24"/>
        </w:rPr>
        <w:t>informal</w:t>
      </w:r>
      <w:r w:rsidR="00542478">
        <w:rPr>
          <w:sz w:val="24"/>
        </w:rPr>
        <w:t>’</w:t>
      </w:r>
      <w:r>
        <w:rPr>
          <w:sz w:val="24"/>
        </w:rPr>
        <w:t xml:space="preserve"> patients of their liberty in hospital would </w:t>
      </w:r>
      <w:r w:rsidR="00AD3911">
        <w:rPr>
          <w:sz w:val="24"/>
        </w:rPr>
        <w:t>bring</w:t>
      </w:r>
      <w:r w:rsidR="0025513A">
        <w:rPr>
          <w:sz w:val="24"/>
        </w:rPr>
        <w:t xml:space="preserve"> </w:t>
      </w:r>
      <w:r>
        <w:rPr>
          <w:sz w:val="24"/>
        </w:rPr>
        <w:t>an entirely</w:t>
      </w:r>
      <w:r w:rsidR="005F4151">
        <w:rPr>
          <w:sz w:val="24"/>
        </w:rPr>
        <w:t xml:space="preserve"> new constituency</w:t>
      </w:r>
      <w:r w:rsidR="0096295F">
        <w:rPr>
          <w:sz w:val="24"/>
        </w:rPr>
        <w:t xml:space="preserve"> of patients</w:t>
      </w:r>
      <w:r w:rsidR="005F4151">
        <w:rPr>
          <w:sz w:val="24"/>
        </w:rPr>
        <w:t xml:space="preserve"> within the scope of the MHA</w:t>
      </w:r>
      <w:r w:rsidR="00AD3911">
        <w:rPr>
          <w:sz w:val="24"/>
        </w:rPr>
        <w:t>.</w:t>
      </w:r>
      <w:r w:rsidR="0096295F">
        <w:rPr>
          <w:sz w:val="24"/>
        </w:rPr>
        <w:t xml:space="preserve"> </w:t>
      </w:r>
      <w:r w:rsidR="00D63973">
        <w:rPr>
          <w:sz w:val="24"/>
        </w:rPr>
        <w:t>I</w:t>
      </w:r>
      <w:r w:rsidR="000D6CC6">
        <w:rPr>
          <w:sz w:val="24"/>
        </w:rPr>
        <w:t xml:space="preserve">n order to differentiate between the civil commitment powers </w:t>
      </w:r>
      <w:r w:rsidR="006E29E7">
        <w:rPr>
          <w:sz w:val="24"/>
        </w:rPr>
        <w:t>and the proposed hospital-based scheme</w:t>
      </w:r>
      <w:r w:rsidR="000D6CC6">
        <w:rPr>
          <w:sz w:val="24"/>
        </w:rPr>
        <w:t xml:space="preserve">, </w:t>
      </w:r>
      <w:r w:rsidR="0013647F">
        <w:rPr>
          <w:sz w:val="24"/>
        </w:rPr>
        <w:t xml:space="preserve">an </w:t>
      </w:r>
      <w:r w:rsidR="006E29E7">
        <w:rPr>
          <w:sz w:val="24"/>
        </w:rPr>
        <w:t>amended MHA</w:t>
      </w:r>
      <w:r w:rsidR="00BA6BFE">
        <w:rPr>
          <w:sz w:val="24"/>
        </w:rPr>
        <w:t xml:space="preserve"> </w:t>
      </w:r>
      <w:r w:rsidR="00361F00">
        <w:rPr>
          <w:sz w:val="24"/>
        </w:rPr>
        <w:t xml:space="preserve">would presumably have to </w:t>
      </w:r>
      <w:r w:rsidR="00AD3911">
        <w:rPr>
          <w:sz w:val="24"/>
        </w:rPr>
        <w:t>incorporate</w:t>
      </w:r>
      <w:r w:rsidR="00361F00">
        <w:rPr>
          <w:sz w:val="24"/>
        </w:rPr>
        <w:t xml:space="preserve"> a lower</w:t>
      </w:r>
      <w:r w:rsidR="00D2198E">
        <w:rPr>
          <w:sz w:val="24"/>
        </w:rPr>
        <w:t xml:space="preserve"> risk</w:t>
      </w:r>
      <w:r w:rsidR="00361F00">
        <w:rPr>
          <w:sz w:val="24"/>
        </w:rPr>
        <w:t xml:space="preserve"> threshold</w:t>
      </w:r>
      <w:r w:rsidR="00D2198E">
        <w:rPr>
          <w:sz w:val="24"/>
        </w:rPr>
        <w:t xml:space="preserve">. </w:t>
      </w:r>
      <w:r w:rsidR="00D2198E" w:rsidRPr="00691483">
        <w:rPr>
          <w:sz w:val="24"/>
          <w:szCs w:val="24"/>
        </w:rPr>
        <w:t xml:space="preserve">For example, </w:t>
      </w:r>
      <w:r w:rsidR="00091506">
        <w:rPr>
          <w:sz w:val="24"/>
          <w:szCs w:val="24"/>
        </w:rPr>
        <w:lastRenderedPageBreak/>
        <w:t>an</w:t>
      </w:r>
      <w:r w:rsidR="00091506" w:rsidRPr="00691483">
        <w:rPr>
          <w:sz w:val="24"/>
          <w:szCs w:val="24"/>
        </w:rPr>
        <w:t xml:space="preserve"> </w:t>
      </w:r>
      <w:r w:rsidR="001B41A4" w:rsidRPr="00691483">
        <w:rPr>
          <w:sz w:val="24"/>
          <w:szCs w:val="24"/>
        </w:rPr>
        <w:t xml:space="preserve">amended MHA might incorporate welfare considerations </w:t>
      </w:r>
      <w:r w:rsidR="00D63973">
        <w:rPr>
          <w:sz w:val="24"/>
          <w:szCs w:val="24"/>
        </w:rPr>
        <w:t>where informal patients are concerned</w:t>
      </w:r>
      <w:r w:rsidR="001B41A4" w:rsidRPr="00691483">
        <w:rPr>
          <w:sz w:val="24"/>
          <w:szCs w:val="24"/>
        </w:rPr>
        <w:t xml:space="preserve">, thereby echoing </w:t>
      </w:r>
      <w:r w:rsidR="007A41CD" w:rsidRPr="00691483">
        <w:rPr>
          <w:sz w:val="24"/>
          <w:szCs w:val="24"/>
        </w:rPr>
        <w:t>the guardianship provisions</w:t>
      </w:r>
      <w:r w:rsidR="007A41CD" w:rsidRPr="00691483">
        <w:rPr>
          <w:rStyle w:val="FootnoteReference"/>
          <w:sz w:val="24"/>
          <w:szCs w:val="24"/>
        </w:rPr>
        <w:footnoteReference w:id="117"/>
      </w:r>
      <w:r w:rsidR="007A41CD" w:rsidRPr="00691483">
        <w:rPr>
          <w:sz w:val="24"/>
          <w:szCs w:val="24"/>
        </w:rPr>
        <w:t xml:space="preserve"> and expressly </w:t>
      </w:r>
      <w:r w:rsidR="00D63973">
        <w:rPr>
          <w:sz w:val="24"/>
          <w:szCs w:val="24"/>
        </w:rPr>
        <w:t>legitimising</w:t>
      </w:r>
      <w:r w:rsidR="007A41CD" w:rsidRPr="00691483">
        <w:rPr>
          <w:sz w:val="24"/>
          <w:szCs w:val="24"/>
        </w:rPr>
        <w:t xml:space="preserve"> deprivations of liberty intended to tackle or prevent</w:t>
      </w:r>
      <w:r w:rsidR="00D63973">
        <w:rPr>
          <w:sz w:val="24"/>
          <w:szCs w:val="24"/>
        </w:rPr>
        <w:t xml:space="preserve"> the risks of</w:t>
      </w:r>
      <w:r w:rsidR="007A41CD" w:rsidRPr="00691483">
        <w:rPr>
          <w:sz w:val="24"/>
          <w:szCs w:val="24"/>
        </w:rPr>
        <w:t xml:space="preserve"> self-neglect, abuse, exploitation, self-harm, and so on.</w:t>
      </w:r>
      <w:r w:rsidR="008272A2">
        <w:rPr>
          <w:sz w:val="24"/>
          <w:szCs w:val="24"/>
        </w:rPr>
        <w:t xml:space="preserve"> </w:t>
      </w:r>
      <w:r w:rsidR="003C0241">
        <w:rPr>
          <w:sz w:val="24"/>
          <w:szCs w:val="24"/>
        </w:rPr>
        <w:t xml:space="preserve">This expansion in the domain of risk </w:t>
      </w:r>
      <w:r w:rsidR="00B1369B">
        <w:rPr>
          <w:sz w:val="24"/>
          <w:szCs w:val="24"/>
        </w:rPr>
        <w:t xml:space="preserve">would surely retrench </w:t>
      </w:r>
      <w:r w:rsidR="00271814">
        <w:rPr>
          <w:sz w:val="24"/>
          <w:szCs w:val="24"/>
        </w:rPr>
        <w:t xml:space="preserve">the </w:t>
      </w:r>
      <w:r w:rsidR="002D186E">
        <w:rPr>
          <w:sz w:val="24"/>
          <w:szCs w:val="24"/>
        </w:rPr>
        <w:t>principle</w:t>
      </w:r>
      <w:r w:rsidR="00E36821">
        <w:rPr>
          <w:sz w:val="24"/>
          <w:szCs w:val="24"/>
        </w:rPr>
        <w:t>s</w:t>
      </w:r>
      <w:r w:rsidR="002D186E">
        <w:rPr>
          <w:sz w:val="24"/>
          <w:szCs w:val="24"/>
        </w:rPr>
        <w:t xml:space="preserve"> of autonomy</w:t>
      </w:r>
      <w:r w:rsidR="00E36821">
        <w:rPr>
          <w:sz w:val="24"/>
          <w:szCs w:val="24"/>
        </w:rPr>
        <w:t xml:space="preserve"> and non-discrimination</w:t>
      </w:r>
      <w:r w:rsidR="00DF6730">
        <w:rPr>
          <w:sz w:val="24"/>
          <w:szCs w:val="24"/>
        </w:rPr>
        <w:t xml:space="preserve">, effectively </w:t>
      </w:r>
      <w:r w:rsidR="00451F8D">
        <w:rPr>
          <w:sz w:val="24"/>
          <w:szCs w:val="24"/>
        </w:rPr>
        <w:t>reversing the trends which have informed medico-legal debates in recent years</w:t>
      </w:r>
      <w:r w:rsidR="002D186E">
        <w:rPr>
          <w:sz w:val="24"/>
          <w:szCs w:val="24"/>
        </w:rPr>
        <w:t>.</w:t>
      </w:r>
    </w:p>
    <w:p w:rsidR="00451F8D" w:rsidRDefault="005613A9" w:rsidP="00DE5530">
      <w:pPr>
        <w:spacing w:line="720" w:lineRule="auto"/>
        <w:ind w:firstLine="720"/>
        <w:jc w:val="both"/>
        <w:rPr>
          <w:sz w:val="24"/>
          <w:szCs w:val="24"/>
        </w:rPr>
      </w:pPr>
      <w:r>
        <w:rPr>
          <w:sz w:val="24"/>
          <w:szCs w:val="24"/>
        </w:rPr>
        <w:t>The Law Commission’</w:t>
      </w:r>
      <w:r w:rsidR="00694A70">
        <w:rPr>
          <w:sz w:val="24"/>
          <w:szCs w:val="24"/>
        </w:rPr>
        <w:t xml:space="preserve">s proposals for a </w:t>
      </w:r>
      <w:r w:rsidR="00542478">
        <w:rPr>
          <w:sz w:val="24"/>
          <w:szCs w:val="24"/>
        </w:rPr>
        <w:t>‘</w:t>
      </w:r>
      <w:r w:rsidR="00694A70">
        <w:rPr>
          <w:sz w:val="24"/>
          <w:szCs w:val="24"/>
        </w:rPr>
        <w:t>protective care</w:t>
      </w:r>
      <w:r w:rsidR="00542478">
        <w:rPr>
          <w:sz w:val="24"/>
          <w:szCs w:val="24"/>
        </w:rPr>
        <w:t>’</w:t>
      </w:r>
      <w:r w:rsidR="00694A70">
        <w:rPr>
          <w:sz w:val="24"/>
          <w:szCs w:val="24"/>
        </w:rPr>
        <w:t xml:space="preserve"> sc</w:t>
      </w:r>
      <w:r w:rsidR="005F637B">
        <w:rPr>
          <w:sz w:val="24"/>
          <w:szCs w:val="24"/>
        </w:rPr>
        <w:t>heme</w:t>
      </w:r>
      <w:r w:rsidR="00091506">
        <w:rPr>
          <w:sz w:val="24"/>
          <w:szCs w:val="24"/>
        </w:rPr>
        <w:t xml:space="preserve"> would have done</w:t>
      </w:r>
      <w:r w:rsidR="007B7312">
        <w:rPr>
          <w:sz w:val="24"/>
          <w:szCs w:val="24"/>
        </w:rPr>
        <w:t xml:space="preserve"> </w:t>
      </w:r>
      <w:r w:rsidR="00CD25C4">
        <w:rPr>
          <w:sz w:val="24"/>
          <w:szCs w:val="24"/>
        </w:rPr>
        <w:t>little to curtail the continuities of risk which characterise the current legal framework</w:t>
      </w:r>
      <w:r w:rsidR="00E82127">
        <w:rPr>
          <w:sz w:val="24"/>
          <w:szCs w:val="24"/>
        </w:rPr>
        <w:t>.</w:t>
      </w:r>
      <w:r w:rsidR="00CD25C4">
        <w:rPr>
          <w:sz w:val="24"/>
          <w:szCs w:val="24"/>
        </w:rPr>
        <w:t xml:space="preserve"> Indeed, </w:t>
      </w:r>
      <w:r w:rsidR="00542478">
        <w:rPr>
          <w:sz w:val="24"/>
          <w:szCs w:val="24"/>
        </w:rPr>
        <w:t>‘</w:t>
      </w:r>
      <w:r w:rsidR="00CD25C4">
        <w:rPr>
          <w:sz w:val="24"/>
          <w:szCs w:val="24"/>
        </w:rPr>
        <w:t>protective care</w:t>
      </w:r>
      <w:r w:rsidR="00542478">
        <w:rPr>
          <w:sz w:val="24"/>
          <w:szCs w:val="24"/>
        </w:rPr>
        <w:t>’</w:t>
      </w:r>
      <w:r w:rsidR="00CD25C4">
        <w:rPr>
          <w:sz w:val="24"/>
          <w:szCs w:val="24"/>
        </w:rPr>
        <w:t xml:space="preserve"> </w:t>
      </w:r>
      <w:r w:rsidR="00536BC4">
        <w:rPr>
          <w:sz w:val="24"/>
          <w:szCs w:val="24"/>
        </w:rPr>
        <w:t>would</w:t>
      </w:r>
      <w:r w:rsidR="00091506">
        <w:rPr>
          <w:sz w:val="24"/>
          <w:szCs w:val="24"/>
        </w:rPr>
        <w:t xml:space="preserve"> have</w:t>
      </w:r>
      <w:r w:rsidR="00F817BE">
        <w:rPr>
          <w:sz w:val="24"/>
          <w:szCs w:val="24"/>
        </w:rPr>
        <w:t xml:space="preserve"> expand</w:t>
      </w:r>
      <w:r w:rsidR="00091506">
        <w:rPr>
          <w:sz w:val="24"/>
          <w:szCs w:val="24"/>
        </w:rPr>
        <w:t>ed</w:t>
      </w:r>
      <w:r w:rsidR="00F817BE">
        <w:rPr>
          <w:sz w:val="24"/>
          <w:szCs w:val="24"/>
        </w:rPr>
        <w:t xml:space="preserve"> the domain of risk</w:t>
      </w:r>
      <w:r w:rsidR="00CD25C4">
        <w:rPr>
          <w:sz w:val="24"/>
          <w:szCs w:val="24"/>
        </w:rPr>
        <w:t xml:space="preserve">. </w:t>
      </w:r>
      <w:r w:rsidR="00E20F19">
        <w:rPr>
          <w:sz w:val="24"/>
          <w:szCs w:val="24"/>
        </w:rPr>
        <w:t>In this way, the</w:t>
      </w:r>
      <w:r w:rsidR="00F817BE">
        <w:rPr>
          <w:sz w:val="24"/>
          <w:szCs w:val="24"/>
        </w:rPr>
        <w:t xml:space="preserve"> </w:t>
      </w:r>
      <w:r w:rsidR="00E20F19">
        <w:rPr>
          <w:sz w:val="24"/>
          <w:szCs w:val="24"/>
        </w:rPr>
        <w:t>scheme chime</w:t>
      </w:r>
      <w:r w:rsidR="00091506">
        <w:rPr>
          <w:sz w:val="24"/>
          <w:szCs w:val="24"/>
        </w:rPr>
        <w:t>d</w:t>
      </w:r>
      <w:r w:rsidR="00E20F19">
        <w:rPr>
          <w:sz w:val="24"/>
          <w:szCs w:val="24"/>
        </w:rPr>
        <w:t xml:space="preserve"> with the </w:t>
      </w:r>
      <w:proofErr w:type="spellStart"/>
      <w:r w:rsidR="00E20F19">
        <w:rPr>
          <w:sz w:val="24"/>
          <w:szCs w:val="24"/>
        </w:rPr>
        <w:t>governmentality</w:t>
      </w:r>
      <w:proofErr w:type="spellEnd"/>
      <w:r w:rsidR="00E20F19">
        <w:rPr>
          <w:sz w:val="24"/>
          <w:szCs w:val="24"/>
        </w:rPr>
        <w:t xml:space="preserve"> theory, in that it </w:t>
      </w:r>
      <w:r w:rsidR="00605B72">
        <w:rPr>
          <w:sz w:val="24"/>
          <w:szCs w:val="24"/>
        </w:rPr>
        <w:t xml:space="preserve">ultimately </w:t>
      </w:r>
      <w:r w:rsidR="00E20F19">
        <w:rPr>
          <w:sz w:val="24"/>
          <w:szCs w:val="24"/>
        </w:rPr>
        <w:t>relie</w:t>
      </w:r>
      <w:r w:rsidR="00091506">
        <w:rPr>
          <w:sz w:val="24"/>
          <w:szCs w:val="24"/>
        </w:rPr>
        <w:t>d</w:t>
      </w:r>
      <w:r w:rsidR="00E20F19">
        <w:rPr>
          <w:sz w:val="24"/>
          <w:szCs w:val="24"/>
        </w:rPr>
        <w:t xml:space="preserve"> on </w:t>
      </w:r>
      <w:r w:rsidR="007C69D8">
        <w:rPr>
          <w:sz w:val="24"/>
          <w:szCs w:val="24"/>
        </w:rPr>
        <w:t>similar</w:t>
      </w:r>
      <w:r w:rsidR="00E20F19">
        <w:rPr>
          <w:sz w:val="24"/>
          <w:szCs w:val="24"/>
        </w:rPr>
        <w:t xml:space="preserve"> conceptual foundations </w:t>
      </w:r>
      <w:r w:rsidR="00E72249">
        <w:rPr>
          <w:sz w:val="24"/>
          <w:szCs w:val="24"/>
        </w:rPr>
        <w:t>to</w:t>
      </w:r>
      <w:r w:rsidR="00E20F19">
        <w:rPr>
          <w:sz w:val="24"/>
          <w:szCs w:val="24"/>
        </w:rPr>
        <w:t xml:space="preserve"> the MHA to </w:t>
      </w:r>
      <w:proofErr w:type="gramStart"/>
      <w:r w:rsidR="00E20F19">
        <w:rPr>
          <w:sz w:val="24"/>
          <w:szCs w:val="24"/>
        </w:rPr>
        <w:t>effect</w:t>
      </w:r>
      <w:proofErr w:type="gramEnd"/>
      <w:r w:rsidR="00E20F19">
        <w:rPr>
          <w:sz w:val="24"/>
          <w:szCs w:val="24"/>
        </w:rPr>
        <w:t xml:space="preserve"> a form of </w:t>
      </w:r>
      <w:r w:rsidR="00542478">
        <w:rPr>
          <w:sz w:val="24"/>
          <w:szCs w:val="24"/>
        </w:rPr>
        <w:t>‘</w:t>
      </w:r>
      <w:r w:rsidR="00E20F19">
        <w:rPr>
          <w:sz w:val="24"/>
          <w:szCs w:val="24"/>
        </w:rPr>
        <w:t>discipline</w:t>
      </w:r>
      <w:r w:rsidR="00542478">
        <w:rPr>
          <w:sz w:val="24"/>
          <w:szCs w:val="24"/>
        </w:rPr>
        <w:t>’</w:t>
      </w:r>
      <w:r w:rsidR="00A139D3">
        <w:rPr>
          <w:sz w:val="24"/>
          <w:szCs w:val="24"/>
        </w:rPr>
        <w:t>.</w:t>
      </w:r>
      <w:r w:rsidR="00091506">
        <w:rPr>
          <w:sz w:val="24"/>
          <w:szCs w:val="24"/>
        </w:rPr>
        <w:t xml:space="preserve"> </w:t>
      </w:r>
      <w:r w:rsidR="00F012BB">
        <w:rPr>
          <w:sz w:val="24"/>
          <w:szCs w:val="24"/>
        </w:rPr>
        <w:t>In its recent ‘Interim Statement’</w:t>
      </w:r>
      <w:r w:rsidR="0086499C">
        <w:rPr>
          <w:sz w:val="24"/>
          <w:szCs w:val="24"/>
        </w:rPr>
        <w:t xml:space="preserve">, published following an extensive consultation exercise involving hundreds of stakeholders, </w:t>
      </w:r>
      <w:r w:rsidR="00F012BB">
        <w:rPr>
          <w:sz w:val="24"/>
          <w:szCs w:val="24"/>
        </w:rPr>
        <w:t>the Law Commission</w:t>
      </w:r>
      <w:r w:rsidR="005924B2">
        <w:rPr>
          <w:sz w:val="24"/>
          <w:szCs w:val="24"/>
        </w:rPr>
        <w:t xml:space="preserve"> has revised</w:t>
      </w:r>
      <w:r w:rsidR="00D83541">
        <w:rPr>
          <w:sz w:val="24"/>
          <w:szCs w:val="24"/>
        </w:rPr>
        <w:t xml:space="preserve"> its proposals.</w:t>
      </w:r>
      <w:r w:rsidR="00564AF0">
        <w:rPr>
          <w:sz w:val="24"/>
          <w:szCs w:val="24"/>
        </w:rPr>
        <w:t xml:space="preserve"> </w:t>
      </w:r>
      <w:r w:rsidR="008A2F05">
        <w:rPr>
          <w:sz w:val="24"/>
          <w:szCs w:val="24"/>
        </w:rPr>
        <w:t xml:space="preserve">First, it has decided to narrow the focus of any new statutory scheme ‘on ensuring that those deprived of their liberty have appropriate </w:t>
      </w:r>
      <w:r w:rsidR="008A2F05">
        <w:rPr>
          <w:sz w:val="24"/>
          <w:szCs w:val="24"/>
        </w:rPr>
        <w:lastRenderedPageBreak/>
        <w:t>and proportionate safeguards’.</w:t>
      </w:r>
      <w:r w:rsidR="00C6235A">
        <w:rPr>
          <w:rStyle w:val="FootnoteReference"/>
          <w:sz w:val="24"/>
          <w:szCs w:val="24"/>
        </w:rPr>
        <w:footnoteReference w:id="118"/>
      </w:r>
      <w:r w:rsidR="00FA79C5">
        <w:rPr>
          <w:sz w:val="24"/>
          <w:szCs w:val="24"/>
        </w:rPr>
        <w:t xml:space="preserve"> The </w:t>
      </w:r>
      <w:r w:rsidR="00214235">
        <w:rPr>
          <w:sz w:val="24"/>
          <w:szCs w:val="24"/>
        </w:rPr>
        <w:t>scheme</w:t>
      </w:r>
      <w:r w:rsidR="00FA79C5">
        <w:rPr>
          <w:sz w:val="24"/>
          <w:szCs w:val="24"/>
        </w:rPr>
        <w:t xml:space="preserve"> would therefore not go as far as the ‘protective care’ </w:t>
      </w:r>
      <w:r w:rsidR="00214235">
        <w:rPr>
          <w:sz w:val="24"/>
          <w:szCs w:val="24"/>
        </w:rPr>
        <w:t>regime</w:t>
      </w:r>
      <w:r w:rsidR="00FA79C5">
        <w:rPr>
          <w:sz w:val="24"/>
          <w:szCs w:val="24"/>
        </w:rPr>
        <w:t xml:space="preserve"> </w:t>
      </w:r>
      <w:r w:rsidR="00902921">
        <w:rPr>
          <w:sz w:val="24"/>
          <w:szCs w:val="24"/>
        </w:rPr>
        <w:t>the Law Commission</w:t>
      </w:r>
      <w:r w:rsidR="00FA79C5">
        <w:rPr>
          <w:sz w:val="24"/>
          <w:szCs w:val="24"/>
        </w:rPr>
        <w:t xml:space="preserve"> originally put forward. Secondly, </w:t>
      </w:r>
      <w:r w:rsidR="00FA2C5B">
        <w:rPr>
          <w:sz w:val="24"/>
          <w:szCs w:val="24"/>
        </w:rPr>
        <w:t xml:space="preserve">the Law Commission appears to have rowed back </w:t>
      </w:r>
      <w:r w:rsidR="0015671F">
        <w:rPr>
          <w:sz w:val="24"/>
          <w:szCs w:val="24"/>
        </w:rPr>
        <w:t>from</w:t>
      </w:r>
      <w:r w:rsidR="00FA2C5B">
        <w:rPr>
          <w:sz w:val="24"/>
          <w:szCs w:val="24"/>
        </w:rPr>
        <w:t xml:space="preserve"> </w:t>
      </w:r>
      <w:r w:rsidR="003E71B2">
        <w:rPr>
          <w:sz w:val="24"/>
          <w:szCs w:val="24"/>
        </w:rPr>
        <w:t>its</w:t>
      </w:r>
      <w:r w:rsidR="00FE724D">
        <w:rPr>
          <w:sz w:val="24"/>
          <w:szCs w:val="24"/>
        </w:rPr>
        <w:t xml:space="preserve"> original</w:t>
      </w:r>
      <w:r w:rsidR="003E71B2">
        <w:rPr>
          <w:sz w:val="24"/>
          <w:szCs w:val="24"/>
        </w:rPr>
        <w:t xml:space="preserve"> proposal to insert a new mechanism into the MHA which would cater for</w:t>
      </w:r>
      <w:r w:rsidR="00FE724D">
        <w:rPr>
          <w:sz w:val="24"/>
          <w:szCs w:val="24"/>
        </w:rPr>
        <w:t xml:space="preserve"> the admission</w:t>
      </w:r>
      <w:r w:rsidR="008D6AAC">
        <w:rPr>
          <w:sz w:val="24"/>
          <w:szCs w:val="24"/>
        </w:rPr>
        <w:t xml:space="preserve"> to hospital</w:t>
      </w:r>
      <w:r w:rsidR="00FE724D">
        <w:rPr>
          <w:sz w:val="24"/>
          <w:szCs w:val="24"/>
        </w:rPr>
        <w:t xml:space="preserve"> of</w:t>
      </w:r>
      <w:r w:rsidR="003E71B2">
        <w:rPr>
          <w:sz w:val="24"/>
          <w:szCs w:val="24"/>
        </w:rPr>
        <w:t xml:space="preserve"> compliant, incapacitated patients.</w:t>
      </w:r>
      <w:r w:rsidR="0015671F">
        <w:rPr>
          <w:rStyle w:val="FootnoteReference"/>
          <w:sz w:val="24"/>
          <w:szCs w:val="24"/>
        </w:rPr>
        <w:footnoteReference w:id="119"/>
      </w:r>
      <w:r w:rsidR="009D3CA5">
        <w:rPr>
          <w:sz w:val="24"/>
          <w:szCs w:val="24"/>
        </w:rPr>
        <w:t xml:space="preserve"> </w:t>
      </w:r>
      <w:r w:rsidR="005155A7">
        <w:rPr>
          <w:sz w:val="24"/>
          <w:szCs w:val="24"/>
        </w:rPr>
        <w:t>Yet</w:t>
      </w:r>
      <w:r w:rsidR="00173552">
        <w:rPr>
          <w:sz w:val="24"/>
          <w:szCs w:val="24"/>
        </w:rPr>
        <w:t xml:space="preserve"> </w:t>
      </w:r>
      <w:r w:rsidR="006E73D4">
        <w:rPr>
          <w:sz w:val="24"/>
          <w:szCs w:val="24"/>
        </w:rPr>
        <w:t xml:space="preserve">the </w:t>
      </w:r>
      <w:r w:rsidR="0076511D">
        <w:rPr>
          <w:sz w:val="24"/>
          <w:szCs w:val="24"/>
        </w:rPr>
        <w:t>‘</w:t>
      </w:r>
      <w:r w:rsidR="006E73D4">
        <w:rPr>
          <w:sz w:val="24"/>
          <w:szCs w:val="24"/>
        </w:rPr>
        <w:t>Interim Statement</w:t>
      </w:r>
      <w:r w:rsidR="0076511D">
        <w:rPr>
          <w:sz w:val="24"/>
          <w:szCs w:val="24"/>
        </w:rPr>
        <w:t xml:space="preserve">’ still appears to anticipate </w:t>
      </w:r>
      <w:r w:rsidR="007B293A">
        <w:rPr>
          <w:sz w:val="24"/>
          <w:szCs w:val="24"/>
        </w:rPr>
        <w:t xml:space="preserve">that assessments </w:t>
      </w:r>
      <w:r w:rsidR="00F12826">
        <w:rPr>
          <w:sz w:val="24"/>
          <w:szCs w:val="24"/>
        </w:rPr>
        <w:t xml:space="preserve">of risk </w:t>
      </w:r>
      <w:r w:rsidR="00222195">
        <w:rPr>
          <w:sz w:val="24"/>
          <w:szCs w:val="24"/>
        </w:rPr>
        <w:t xml:space="preserve">will play a determinative role; for example, </w:t>
      </w:r>
      <w:r w:rsidR="00794471">
        <w:rPr>
          <w:sz w:val="24"/>
          <w:szCs w:val="24"/>
        </w:rPr>
        <w:t>it expects that</w:t>
      </w:r>
      <w:r w:rsidR="007B293A">
        <w:rPr>
          <w:sz w:val="24"/>
          <w:szCs w:val="24"/>
        </w:rPr>
        <w:t xml:space="preserve"> the relevant decision-makers should give proper consideration to ‘the necessity of removing individuals from their own home and placing them in institutional care in the name of their best interests’.</w:t>
      </w:r>
      <w:r w:rsidR="002018AC">
        <w:rPr>
          <w:rStyle w:val="FootnoteReference"/>
          <w:sz w:val="24"/>
          <w:szCs w:val="24"/>
        </w:rPr>
        <w:footnoteReference w:id="120"/>
      </w:r>
      <w:r w:rsidR="0076511D">
        <w:rPr>
          <w:sz w:val="24"/>
          <w:szCs w:val="24"/>
        </w:rPr>
        <w:t xml:space="preserve"> </w:t>
      </w:r>
      <w:r w:rsidR="00B5232E">
        <w:rPr>
          <w:sz w:val="24"/>
          <w:szCs w:val="24"/>
        </w:rPr>
        <w:t>This raises an important question:</w:t>
      </w:r>
      <w:r w:rsidR="00861419">
        <w:rPr>
          <w:sz w:val="24"/>
          <w:szCs w:val="24"/>
        </w:rPr>
        <w:t xml:space="preserve"> should risk</w:t>
      </w:r>
      <w:r w:rsidR="0094241F">
        <w:rPr>
          <w:sz w:val="24"/>
          <w:szCs w:val="24"/>
        </w:rPr>
        <w:t xml:space="preserve"> continue to function as </w:t>
      </w:r>
      <w:r w:rsidR="008A6DDC">
        <w:rPr>
          <w:sz w:val="24"/>
          <w:szCs w:val="24"/>
        </w:rPr>
        <w:t>a core component of the legal framework?</w:t>
      </w:r>
    </w:p>
    <w:p w:rsidR="00F817BE" w:rsidRPr="00A76881" w:rsidRDefault="00E72249" w:rsidP="00A76881">
      <w:pPr>
        <w:pStyle w:val="ListParagraph"/>
        <w:numPr>
          <w:ilvl w:val="0"/>
          <w:numId w:val="4"/>
        </w:numPr>
        <w:spacing w:line="720" w:lineRule="auto"/>
        <w:jc w:val="center"/>
        <w:rPr>
          <w:i/>
          <w:sz w:val="24"/>
          <w:szCs w:val="24"/>
        </w:rPr>
      </w:pPr>
      <w:r w:rsidRPr="00A76881">
        <w:rPr>
          <w:i/>
          <w:sz w:val="24"/>
          <w:szCs w:val="24"/>
        </w:rPr>
        <w:t>T</w:t>
      </w:r>
      <w:r w:rsidR="00D078E7" w:rsidRPr="00A76881">
        <w:rPr>
          <w:i/>
          <w:sz w:val="24"/>
          <w:szCs w:val="24"/>
        </w:rPr>
        <w:t>he</w:t>
      </w:r>
      <w:r w:rsidRPr="00A76881">
        <w:rPr>
          <w:i/>
          <w:sz w:val="24"/>
          <w:szCs w:val="24"/>
        </w:rPr>
        <w:t xml:space="preserve"> </w:t>
      </w:r>
      <w:r w:rsidR="00A76881" w:rsidRPr="00A76881">
        <w:rPr>
          <w:i/>
          <w:sz w:val="24"/>
          <w:szCs w:val="24"/>
        </w:rPr>
        <w:t>P</w:t>
      </w:r>
      <w:r w:rsidRPr="00A76881">
        <w:rPr>
          <w:i/>
          <w:sz w:val="24"/>
          <w:szCs w:val="24"/>
        </w:rPr>
        <w:t>ragmatic</w:t>
      </w:r>
      <w:r w:rsidR="00D078E7" w:rsidRPr="00A76881">
        <w:rPr>
          <w:i/>
          <w:sz w:val="24"/>
          <w:szCs w:val="24"/>
        </w:rPr>
        <w:t xml:space="preserve"> </w:t>
      </w:r>
      <w:r w:rsidR="00A76881" w:rsidRPr="00A76881">
        <w:rPr>
          <w:i/>
          <w:sz w:val="24"/>
          <w:szCs w:val="24"/>
        </w:rPr>
        <w:t>C</w:t>
      </w:r>
      <w:r w:rsidR="00D078E7" w:rsidRPr="00A76881">
        <w:rPr>
          <w:i/>
          <w:sz w:val="24"/>
          <w:szCs w:val="24"/>
        </w:rPr>
        <w:t xml:space="preserve">ase for </w:t>
      </w:r>
      <w:r w:rsidR="00A76881" w:rsidRPr="00A76881">
        <w:rPr>
          <w:i/>
          <w:sz w:val="24"/>
          <w:szCs w:val="24"/>
        </w:rPr>
        <w:t>R</w:t>
      </w:r>
      <w:r w:rsidR="00D078E7" w:rsidRPr="00A76881">
        <w:rPr>
          <w:i/>
          <w:sz w:val="24"/>
          <w:szCs w:val="24"/>
        </w:rPr>
        <w:t>isk</w:t>
      </w:r>
    </w:p>
    <w:p w:rsidR="009E649D" w:rsidRPr="009E649D" w:rsidRDefault="002A08F5" w:rsidP="00DE5530">
      <w:pPr>
        <w:spacing w:line="720" w:lineRule="auto"/>
        <w:ind w:firstLine="720"/>
        <w:jc w:val="both"/>
        <w:rPr>
          <w:sz w:val="24"/>
          <w:szCs w:val="24"/>
        </w:rPr>
      </w:pPr>
      <w:r>
        <w:rPr>
          <w:sz w:val="24"/>
          <w:szCs w:val="24"/>
        </w:rPr>
        <w:t>T</w:t>
      </w:r>
      <w:r w:rsidR="000F347D" w:rsidRPr="009E649D">
        <w:rPr>
          <w:sz w:val="24"/>
          <w:szCs w:val="24"/>
        </w:rPr>
        <w:t>he concept of risk</w:t>
      </w:r>
      <w:r>
        <w:rPr>
          <w:sz w:val="24"/>
          <w:szCs w:val="24"/>
        </w:rPr>
        <w:t xml:space="preserve"> could</w:t>
      </w:r>
      <w:r w:rsidR="000F347D" w:rsidRPr="009E649D">
        <w:rPr>
          <w:sz w:val="24"/>
          <w:szCs w:val="24"/>
        </w:rPr>
        <w:t xml:space="preserve"> </w:t>
      </w:r>
      <w:r>
        <w:rPr>
          <w:sz w:val="24"/>
          <w:szCs w:val="24"/>
        </w:rPr>
        <w:t>play</w:t>
      </w:r>
      <w:r w:rsidR="000F347D" w:rsidRPr="009E649D">
        <w:rPr>
          <w:sz w:val="24"/>
          <w:szCs w:val="24"/>
        </w:rPr>
        <w:t xml:space="preserve"> an important role in allocating patients with mental disorders to suitable care and treatment</w:t>
      </w:r>
      <w:r w:rsidR="009E649D" w:rsidRPr="009E649D">
        <w:rPr>
          <w:sz w:val="24"/>
          <w:szCs w:val="24"/>
        </w:rPr>
        <w:t xml:space="preserve"> arrangements. </w:t>
      </w:r>
      <w:r w:rsidR="009E649D">
        <w:rPr>
          <w:sz w:val="24"/>
          <w:szCs w:val="24"/>
        </w:rPr>
        <w:t xml:space="preserve">Informal </w:t>
      </w:r>
      <w:r w:rsidR="009E649D" w:rsidRPr="009E649D">
        <w:rPr>
          <w:sz w:val="24"/>
          <w:szCs w:val="24"/>
        </w:rPr>
        <w:t>patients</w:t>
      </w:r>
      <w:r w:rsidR="009C3B40">
        <w:rPr>
          <w:sz w:val="24"/>
          <w:szCs w:val="24"/>
        </w:rPr>
        <w:t xml:space="preserve"> are</w:t>
      </w:r>
      <w:r w:rsidR="009E649D" w:rsidRPr="009E649D">
        <w:rPr>
          <w:sz w:val="24"/>
          <w:szCs w:val="24"/>
        </w:rPr>
        <w:t xml:space="preserve"> already typically at a lower risk of harm than formal patients. According to the Care Quality </w:t>
      </w:r>
      <w:r w:rsidR="009E649D" w:rsidRPr="009E649D">
        <w:rPr>
          <w:sz w:val="24"/>
          <w:szCs w:val="24"/>
        </w:rPr>
        <w:lastRenderedPageBreak/>
        <w:t>Commission (CQC), the highest number of applications for standard authorisations in 201</w:t>
      </w:r>
      <w:r w:rsidR="00F156A9">
        <w:rPr>
          <w:sz w:val="24"/>
          <w:szCs w:val="24"/>
        </w:rPr>
        <w:t>4-15 came from care homes (80</w:t>
      </w:r>
      <w:r w:rsidR="009E649D" w:rsidRPr="009E649D">
        <w:rPr>
          <w:sz w:val="24"/>
          <w:szCs w:val="24"/>
        </w:rPr>
        <w:t xml:space="preserve"> </w:t>
      </w:r>
      <w:r w:rsidR="009E649D" w:rsidRPr="009E649D">
        <w:rPr>
          <w:i/>
          <w:sz w:val="24"/>
          <w:szCs w:val="24"/>
        </w:rPr>
        <w:t>per cent</w:t>
      </w:r>
      <w:r w:rsidR="009E649D" w:rsidRPr="009E649D">
        <w:rPr>
          <w:sz w:val="24"/>
          <w:szCs w:val="24"/>
        </w:rPr>
        <w:t xml:space="preserve">), while the lowest came from specialist mental health hospitals (10 </w:t>
      </w:r>
      <w:r w:rsidR="009E649D" w:rsidRPr="009E649D">
        <w:rPr>
          <w:i/>
          <w:sz w:val="24"/>
          <w:szCs w:val="24"/>
        </w:rPr>
        <w:t>per cent</w:t>
      </w:r>
      <w:r w:rsidR="009E649D" w:rsidRPr="009E649D">
        <w:rPr>
          <w:sz w:val="24"/>
          <w:szCs w:val="24"/>
        </w:rPr>
        <w:t>).</w:t>
      </w:r>
      <w:bookmarkStart w:id="33" w:name="_Ref426476578"/>
      <w:r w:rsidR="009E649D" w:rsidRPr="009E649D">
        <w:rPr>
          <w:rStyle w:val="FootnoteReference"/>
          <w:sz w:val="24"/>
          <w:szCs w:val="24"/>
        </w:rPr>
        <w:footnoteReference w:id="121"/>
      </w:r>
      <w:bookmarkEnd w:id="33"/>
      <w:r w:rsidR="009E649D" w:rsidRPr="009E649D">
        <w:rPr>
          <w:sz w:val="24"/>
          <w:szCs w:val="24"/>
        </w:rPr>
        <w:t xml:space="preserve"> Recent data from the Health and Social Care Information Centre (</w:t>
      </w:r>
      <w:r w:rsidR="00581E19">
        <w:rPr>
          <w:sz w:val="24"/>
          <w:szCs w:val="24"/>
        </w:rPr>
        <w:t>‘</w:t>
      </w:r>
      <w:r w:rsidR="009E649D" w:rsidRPr="009E649D">
        <w:rPr>
          <w:sz w:val="24"/>
          <w:szCs w:val="24"/>
        </w:rPr>
        <w:t>HSCIC</w:t>
      </w:r>
      <w:r w:rsidR="00581E19">
        <w:rPr>
          <w:sz w:val="24"/>
          <w:szCs w:val="24"/>
        </w:rPr>
        <w:t>’</w:t>
      </w:r>
      <w:r w:rsidR="009E649D" w:rsidRPr="009E649D">
        <w:rPr>
          <w:sz w:val="24"/>
          <w:szCs w:val="24"/>
        </w:rPr>
        <w:t>) show that dementia accounted for more than half of all DOLS authorisations in England in 2014</w:t>
      </w:r>
      <w:r w:rsidR="00781E32">
        <w:rPr>
          <w:sz w:val="24"/>
          <w:szCs w:val="24"/>
        </w:rPr>
        <w:t>-15</w:t>
      </w:r>
      <w:r w:rsidR="009E649D" w:rsidRPr="009E649D">
        <w:rPr>
          <w:sz w:val="24"/>
          <w:szCs w:val="24"/>
        </w:rPr>
        <w:t>.</w:t>
      </w:r>
      <w:bookmarkStart w:id="34" w:name="_Ref427683558"/>
      <w:r w:rsidR="009E649D" w:rsidRPr="009E649D">
        <w:rPr>
          <w:rStyle w:val="FootnoteReference"/>
          <w:sz w:val="24"/>
          <w:szCs w:val="24"/>
        </w:rPr>
        <w:footnoteReference w:id="122"/>
      </w:r>
      <w:bookmarkEnd w:id="34"/>
      <w:r w:rsidR="009E649D" w:rsidRPr="009E649D">
        <w:rPr>
          <w:sz w:val="24"/>
          <w:szCs w:val="24"/>
        </w:rPr>
        <w:t xml:space="preserve"> Older people are therefore much more likely than younger people to be subject to the DOLS, with the rate of applications for people aged 85 years and over nearly doubling since 2009.</w:t>
      </w:r>
      <w:r w:rsidR="009E649D" w:rsidRPr="009E649D">
        <w:rPr>
          <w:rStyle w:val="FootnoteReference"/>
          <w:sz w:val="24"/>
          <w:szCs w:val="24"/>
        </w:rPr>
        <w:footnoteReference w:id="123"/>
      </w:r>
      <w:r w:rsidR="009E649D" w:rsidRPr="009E649D">
        <w:rPr>
          <w:sz w:val="24"/>
          <w:szCs w:val="24"/>
        </w:rPr>
        <w:t xml:space="preserve"> According to Clare’s research, mental health professionals tend to distinguish between ‘active’ medical treatment, which they see as a matter for the MHA, and ‘care’, which is one for the DOLS.</w:t>
      </w:r>
      <w:r w:rsidR="009E649D" w:rsidRPr="009E649D">
        <w:rPr>
          <w:rStyle w:val="FootnoteReference"/>
          <w:sz w:val="24"/>
          <w:szCs w:val="24"/>
        </w:rPr>
        <w:footnoteReference w:id="124"/>
      </w:r>
      <w:r w:rsidR="009E649D" w:rsidRPr="009E649D">
        <w:rPr>
          <w:sz w:val="24"/>
          <w:szCs w:val="24"/>
        </w:rPr>
        <w:t xml:space="preserve"> It is obvious why this dichotomy exists: DOLS patients tend to have conditions which require long-term care, constitute a lower risk</w:t>
      </w:r>
      <w:r w:rsidR="009A57E2">
        <w:rPr>
          <w:sz w:val="24"/>
          <w:szCs w:val="24"/>
        </w:rPr>
        <w:t xml:space="preserve"> of harm</w:t>
      </w:r>
      <w:r w:rsidR="009E649D" w:rsidRPr="009E649D">
        <w:rPr>
          <w:sz w:val="24"/>
          <w:szCs w:val="24"/>
        </w:rPr>
        <w:t xml:space="preserve">, and which affect their cognitive functions. A typical DOLS </w:t>
      </w:r>
      <w:r w:rsidR="009E649D" w:rsidRPr="009E649D">
        <w:rPr>
          <w:sz w:val="24"/>
          <w:szCs w:val="24"/>
        </w:rPr>
        <w:lastRenderedPageBreak/>
        <w:t>patient is likely therefore to be older, resident in a care or nursing home, and suffering from dementia. She is also more likely to be female.</w:t>
      </w:r>
      <w:r w:rsidR="009E649D" w:rsidRPr="009E649D">
        <w:rPr>
          <w:rStyle w:val="FootnoteReference"/>
          <w:sz w:val="24"/>
          <w:szCs w:val="24"/>
        </w:rPr>
        <w:footnoteReference w:id="125"/>
      </w:r>
      <w:r w:rsidR="009E649D" w:rsidRPr="009E649D">
        <w:rPr>
          <w:sz w:val="24"/>
          <w:szCs w:val="24"/>
        </w:rPr>
        <w:t xml:space="preserve"> These characteristics are not readily associated with </w:t>
      </w:r>
      <w:r w:rsidR="009F54D7">
        <w:rPr>
          <w:sz w:val="24"/>
          <w:szCs w:val="24"/>
        </w:rPr>
        <w:t xml:space="preserve">high risks warranting </w:t>
      </w:r>
      <w:r w:rsidR="009E649D" w:rsidRPr="009E649D">
        <w:rPr>
          <w:sz w:val="24"/>
          <w:szCs w:val="24"/>
        </w:rPr>
        <w:t>compulsory admission to hospital under the MHA. By contrast, the archetypal MHA patient tends to be younger and is more likely to be male. He is by definition more likely than a DOLS patient to suffer from an acute psychiatric illness, such as depression or schizophrenia. Data from the HSCIC show that around two-thirds of patients detained under the MHA on 31</w:t>
      </w:r>
      <w:r w:rsidR="009E649D" w:rsidRPr="009E649D">
        <w:rPr>
          <w:sz w:val="24"/>
          <w:szCs w:val="24"/>
          <w:vertAlign w:val="superscript"/>
        </w:rPr>
        <w:t>st</w:t>
      </w:r>
      <w:r w:rsidR="009E649D" w:rsidRPr="009E649D">
        <w:rPr>
          <w:sz w:val="24"/>
          <w:szCs w:val="24"/>
        </w:rPr>
        <w:t xml:space="preserve"> March 2014 were male</w:t>
      </w:r>
      <w:r w:rsidR="009E649D" w:rsidRPr="009E649D">
        <w:rPr>
          <w:rStyle w:val="FootnoteReference"/>
          <w:sz w:val="24"/>
          <w:szCs w:val="24"/>
        </w:rPr>
        <w:footnoteReference w:id="126"/>
      </w:r>
      <w:r w:rsidR="009E649D" w:rsidRPr="009E649D">
        <w:rPr>
          <w:sz w:val="24"/>
          <w:szCs w:val="24"/>
        </w:rPr>
        <w:t xml:space="preserve"> and that fully 56 </w:t>
      </w:r>
      <w:r w:rsidR="009E649D" w:rsidRPr="009E649D">
        <w:rPr>
          <w:i/>
          <w:sz w:val="24"/>
          <w:szCs w:val="24"/>
        </w:rPr>
        <w:t xml:space="preserve">per cent </w:t>
      </w:r>
      <w:r w:rsidR="009E649D" w:rsidRPr="009E649D">
        <w:rPr>
          <w:sz w:val="24"/>
          <w:szCs w:val="24"/>
        </w:rPr>
        <w:t>of all compulsory detentions in 2013-14 affected patients aged between 25 and 54 years.</w:t>
      </w:r>
      <w:r w:rsidR="009E649D" w:rsidRPr="009E649D">
        <w:rPr>
          <w:rStyle w:val="FootnoteReference"/>
          <w:sz w:val="24"/>
          <w:szCs w:val="24"/>
        </w:rPr>
        <w:footnoteReference w:id="127"/>
      </w:r>
      <w:r w:rsidR="009E649D" w:rsidRPr="009E649D">
        <w:rPr>
          <w:sz w:val="24"/>
          <w:szCs w:val="24"/>
        </w:rPr>
        <w:t xml:space="preserve"> The typical MHA patient is more likely to display the sort of characteristics which are associated with higher levels of risk.</w:t>
      </w:r>
      <w:r w:rsidR="009E649D" w:rsidRPr="009E649D">
        <w:rPr>
          <w:rStyle w:val="FootnoteReference"/>
          <w:sz w:val="24"/>
          <w:szCs w:val="24"/>
        </w:rPr>
        <w:footnoteReference w:id="128"/>
      </w:r>
      <w:r w:rsidR="009E649D" w:rsidRPr="009E649D">
        <w:rPr>
          <w:sz w:val="24"/>
          <w:szCs w:val="24"/>
        </w:rPr>
        <w:t xml:space="preserve"> According to guidance issued by the Department of Health in 2007, for example, young men with mental disorders were considered more likely to perpetrate violence than those with different demographic characteristics or clinical </w:t>
      </w:r>
      <w:r w:rsidR="009E649D" w:rsidRPr="009E649D">
        <w:rPr>
          <w:sz w:val="24"/>
          <w:szCs w:val="24"/>
        </w:rPr>
        <w:lastRenderedPageBreak/>
        <w:t>histories.</w:t>
      </w:r>
      <w:bookmarkStart w:id="35" w:name="_Ref423965444"/>
      <w:r w:rsidR="009E649D" w:rsidRPr="009E649D">
        <w:rPr>
          <w:rStyle w:val="FootnoteReference"/>
          <w:sz w:val="24"/>
          <w:szCs w:val="24"/>
        </w:rPr>
        <w:footnoteReference w:id="129"/>
      </w:r>
      <w:bookmarkEnd w:id="35"/>
      <w:r w:rsidR="009E649D" w:rsidRPr="009E649D">
        <w:rPr>
          <w:sz w:val="24"/>
          <w:szCs w:val="24"/>
        </w:rPr>
        <w:t xml:space="preserve"> Similar configurations of factors may also prompt patients to commit suicide or self-harm.</w:t>
      </w:r>
      <w:r w:rsidR="009E649D" w:rsidRPr="009E649D">
        <w:rPr>
          <w:rStyle w:val="FootnoteReference"/>
          <w:sz w:val="24"/>
          <w:szCs w:val="24"/>
        </w:rPr>
        <w:footnoteReference w:id="130"/>
      </w:r>
    </w:p>
    <w:p w:rsidR="008A6DDC" w:rsidRPr="008D736E" w:rsidRDefault="009E649D" w:rsidP="00DE5530">
      <w:pPr>
        <w:spacing w:line="720" w:lineRule="auto"/>
        <w:ind w:firstLine="720"/>
        <w:jc w:val="both"/>
        <w:rPr>
          <w:sz w:val="24"/>
          <w:szCs w:val="24"/>
        </w:rPr>
      </w:pPr>
      <w:r w:rsidRPr="009E649D">
        <w:rPr>
          <w:sz w:val="24"/>
          <w:szCs w:val="24"/>
        </w:rPr>
        <w:t xml:space="preserve">This is not to say that there are </w:t>
      </w:r>
      <w:r w:rsidRPr="009E649D">
        <w:rPr>
          <w:i/>
          <w:sz w:val="24"/>
          <w:szCs w:val="24"/>
        </w:rPr>
        <w:t xml:space="preserve">no </w:t>
      </w:r>
      <w:r w:rsidRPr="009E649D">
        <w:rPr>
          <w:sz w:val="24"/>
          <w:szCs w:val="24"/>
        </w:rPr>
        <w:t>risks for decision-makers to take into account</w:t>
      </w:r>
      <w:r w:rsidR="002642D2">
        <w:rPr>
          <w:sz w:val="24"/>
          <w:szCs w:val="24"/>
        </w:rPr>
        <w:t xml:space="preserve"> when assessing informal patients</w:t>
      </w:r>
      <w:r w:rsidRPr="009E649D">
        <w:rPr>
          <w:sz w:val="24"/>
          <w:szCs w:val="24"/>
        </w:rPr>
        <w:t>. It seems, however, that these risks are much less urgent and are therefore unworthy of detention and forcible treatment.</w:t>
      </w:r>
      <w:r w:rsidR="009A57E2">
        <w:rPr>
          <w:sz w:val="24"/>
          <w:szCs w:val="24"/>
        </w:rPr>
        <w:t xml:space="preserve"> A care scheme which escalates according to considerations of risk (amongst other things)</w:t>
      </w:r>
      <w:r w:rsidRPr="009E649D">
        <w:rPr>
          <w:sz w:val="24"/>
          <w:szCs w:val="24"/>
        </w:rPr>
        <w:t xml:space="preserve"> would allow decision-makers to tailor the clinical responses to their patient’s needs. To a certain extent, of course, the interface between the MHA and the DOLS already achieves this; we have already seen the way risk implicitly acts as an organising principle in the decision-making process. Yet it does so imperfectly, creating a degree of overlap between the two regimes which causes unnecessary confusion and complexity. </w:t>
      </w:r>
      <w:r w:rsidR="00EC4380">
        <w:rPr>
          <w:sz w:val="24"/>
          <w:szCs w:val="24"/>
        </w:rPr>
        <w:t>T</w:t>
      </w:r>
      <w:r w:rsidR="009A57E2">
        <w:rPr>
          <w:sz w:val="24"/>
          <w:szCs w:val="24"/>
        </w:rPr>
        <w:t xml:space="preserve">he Law Commission’s proposals </w:t>
      </w:r>
      <w:r w:rsidRPr="008D736E">
        <w:rPr>
          <w:sz w:val="24"/>
          <w:szCs w:val="24"/>
        </w:rPr>
        <w:t>would make it much easier for practitioners to</w:t>
      </w:r>
      <w:r w:rsidR="00EC64C5">
        <w:rPr>
          <w:sz w:val="24"/>
          <w:szCs w:val="24"/>
        </w:rPr>
        <w:t xml:space="preserve"> </w:t>
      </w:r>
      <w:r w:rsidRPr="008D736E">
        <w:rPr>
          <w:sz w:val="24"/>
          <w:szCs w:val="24"/>
        </w:rPr>
        <w:t>navigate the legal landscape.</w:t>
      </w:r>
    </w:p>
    <w:p w:rsidR="008D736E" w:rsidRPr="008D736E" w:rsidRDefault="008D736E" w:rsidP="00DE5530">
      <w:pPr>
        <w:spacing w:line="720" w:lineRule="auto"/>
        <w:ind w:firstLine="720"/>
        <w:jc w:val="both"/>
        <w:rPr>
          <w:sz w:val="24"/>
          <w:szCs w:val="24"/>
        </w:rPr>
      </w:pPr>
      <w:r w:rsidRPr="008D736E">
        <w:rPr>
          <w:sz w:val="24"/>
          <w:szCs w:val="24"/>
        </w:rPr>
        <w:lastRenderedPageBreak/>
        <w:t>The second argument</w:t>
      </w:r>
      <w:r>
        <w:rPr>
          <w:sz w:val="24"/>
          <w:szCs w:val="24"/>
        </w:rPr>
        <w:t xml:space="preserve"> in favour of</w:t>
      </w:r>
      <w:r w:rsidR="00EC64C5">
        <w:rPr>
          <w:sz w:val="24"/>
          <w:szCs w:val="24"/>
        </w:rPr>
        <w:t xml:space="preserve"> a</w:t>
      </w:r>
      <w:r w:rsidR="002D5733">
        <w:rPr>
          <w:sz w:val="24"/>
          <w:szCs w:val="24"/>
        </w:rPr>
        <w:t xml:space="preserve"> </w:t>
      </w:r>
      <w:r w:rsidR="00EC64C5">
        <w:rPr>
          <w:sz w:val="24"/>
          <w:szCs w:val="24"/>
        </w:rPr>
        <w:t>‘</w:t>
      </w:r>
      <w:r w:rsidR="002D5733">
        <w:rPr>
          <w:sz w:val="24"/>
          <w:szCs w:val="24"/>
        </w:rPr>
        <w:t>protective care</w:t>
      </w:r>
      <w:r w:rsidR="00EC64C5">
        <w:rPr>
          <w:sz w:val="24"/>
          <w:szCs w:val="24"/>
        </w:rPr>
        <w:t>’ scheme</w:t>
      </w:r>
      <w:r w:rsidRPr="008D736E">
        <w:rPr>
          <w:sz w:val="24"/>
          <w:szCs w:val="24"/>
        </w:rPr>
        <w:t xml:space="preserve"> is that it would </w:t>
      </w:r>
      <w:r>
        <w:rPr>
          <w:sz w:val="24"/>
          <w:szCs w:val="24"/>
        </w:rPr>
        <w:t xml:space="preserve">effectively </w:t>
      </w:r>
      <w:r w:rsidRPr="008D736E">
        <w:rPr>
          <w:sz w:val="24"/>
          <w:szCs w:val="24"/>
        </w:rPr>
        <w:t>abolish the confusing interface between the MHA</w:t>
      </w:r>
      <w:r w:rsidR="002D5733">
        <w:rPr>
          <w:sz w:val="24"/>
          <w:szCs w:val="24"/>
        </w:rPr>
        <w:t xml:space="preserve"> and the DOLS</w:t>
      </w:r>
      <w:r w:rsidRPr="008D736E">
        <w:rPr>
          <w:sz w:val="24"/>
          <w:szCs w:val="24"/>
        </w:rPr>
        <w:t xml:space="preserve"> whilst still ensuring compliance with Article 5 ECHR</w:t>
      </w:r>
      <w:r w:rsidR="00305B60">
        <w:rPr>
          <w:sz w:val="24"/>
          <w:szCs w:val="24"/>
        </w:rPr>
        <w:t>.</w:t>
      </w:r>
      <w:r>
        <w:rPr>
          <w:sz w:val="24"/>
          <w:szCs w:val="24"/>
        </w:rPr>
        <w:t xml:space="preserve"> </w:t>
      </w:r>
      <w:r w:rsidRPr="008D736E">
        <w:rPr>
          <w:sz w:val="24"/>
          <w:szCs w:val="24"/>
        </w:rPr>
        <w:t>As we have seen, whether or not a patient ‘objects’ is key. Yet ‘objection’ has proved to be a problematic concept. According to the MHA Code of Practice, whether a patient is objecting must be considered ‘in the round, taking into account all the circumstances, so far as they are reasonably ascertainable’.</w:t>
      </w:r>
      <w:r w:rsidRPr="008D736E">
        <w:rPr>
          <w:rStyle w:val="FootnoteReference"/>
          <w:sz w:val="24"/>
          <w:szCs w:val="24"/>
        </w:rPr>
        <w:footnoteReference w:id="131"/>
      </w:r>
      <w:r w:rsidRPr="008D736E">
        <w:rPr>
          <w:sz w:val="24"/>
          <w:szCs w:val="24"/>
        </w:rPr>
        <w:t xml:space="preserve"> This raises more questions than it answers: How will decision-makers determine whether a patient, who lacks capacity, is objecting? Should they interpret ‘objection’ narrowly so that it applies only to plainly articulated refusals? If so, what about patients whose refusals may be fleeting or unpredictable?</w:t>
      </w:r>
      <w:r w:rsidRPr="008D736E">
        <w:rPr>
          <w:rStyle w:val="FootnoteReference"/>
          <w:sz w:val="24"/>
          <w:szCs w:val="24"/>
        </w:rPr>
        <w:footnoteReference w:id="132"/>
      </w:r>
      <w:r w:rsidRPr="008D736E">
        <w:rPr>
          <w:sz w:val="24"/>
          <w:szCs w:val="24"/>
        </w:rPr>
        <w:t xml:space="preserve"> </w:t>
      </w:r>
      <w:r w:rsidR="00EC64C5">
        <w:rPr>
          <w:sz w:val="24"/>
          <w:szCs w:val="24"/>
        </w:rPr>
        <w:t>W</w:t>
      </w:r>
      <w:r w:rsidRPr="008D736E">
        <w:rPr>
          <w:sz w:val="24"/>
          <w:szCs w:val="24"/>
        </w:rPr>
        <w:t>hat about patients who lack the faculties of speech or movement?</w:t>
      </w:r>
      <w:r w:rsidRPr="008D736E">
        <w:rPr>
          <w:rStyle w:val="FootnoteReference"/>
          <w:sz w:val="24"/>
          <w:szCs w:val="24"/>
        </w:rPr>
        <w:footnoteReference w:id="133"/>
      </w:r>
      <w:r w:rsidRPr="008D736E">
        <w:rPr>
          <w:sz w:val="24"/>
          <w:szCs w:val="24"/>
        </w:rPr>
        <w:t xml:space="preserve"> Alternatively, should decision-makers view anything less than passive acquiescence as an objection? If so, would there be any meaningful distinction between the </w:t>
      </w:r>
      <w:r w:rsidRPr="008D736E">
        <w:rPr>
          <w:sz w:val="24"/>
          <w:szCs w:val="24"/>
        </w:rPr>
        <w:lastRenderedPageBreak/>
        <w:t>absence of capacity and objection?</w:t>
      </w:r>
      <w:r w:rsidRPr="008D736E">
        <w:rPr>
          <w:rStyle w:val="FootnoteReference"/>
          <w:sz w:val="24"/>
          <w:szCs w:val="24"/>
        </w:rPr>
        <w:footnoteReference w:id="134"/>
      </w:r>
      <w:r w:rsidRPr="008D736E">
        <w:rPr>
          <w:sz w:val="24"/>
          <w:szCs w:val="24"/>
        </w:rPr>
        <w:t xml:space="preserve"> As Richardson has written, ‘objection’ without further definition do</w:t>
      </w:r>
      <w:r w:rsidR="00AD266D">
        <w:rPr>
          <w:sz w:val="24"/>
          <w:szCs w:val="24"/>
        </w:rPr>
        <w:t>es</w:t>
      </w:r>
      <w:r w:rsidRPr="008D736E">
        <w:rPr>
          <w:sz w:val="24"/>
          <w:szCs w:val="24"/>
        </w:rPr>
        <w:t xml:space="preserve"> not provide ‘an adequate basis on which to allocate vulnerable individuals to very different legal regimes</w:t>
      </w:r>
      <w:r w:rsidR="00312E2E">
        <w:rPr>
          <w:sz w:val="24"/>
          <w:szCs w:val="24"/>
        </w:rPr>
        <w:t>’.</w:t>
      </w:r>
      <w:r w:rsidRPr="008D736E">
        <w:rPr>
          <w:rStyle w:val="FootnoteReference"/>
          <w:sz w:val="24"/>
          <w:szCs w:val="24"/>
        </w:rPr>
        <w:footnoteReference w:id="135"/>
      </w:r>
      <w:r w:rsidRPr="008D736E">
        <w:rPr>
          <w:sz w:val="24"/>
          <w:szCs w:val="24"/>
        </w:rPr>
        <w:t xml:space="preserve"> Perhaps to cater for this, the Code of Practice states that if there is any doubt then the relevant decision-makers must conclude that </w:t>
      </w:r>
      <w:r w:rsidR="00AD266D">
        <w:rPr>
          <w:sz w:val="24"/>
          <w:szCs w:val="24"/>
        </w:rPr>
        <w:t>P</w:t>
      </w:r>
      <w:r w:rsidRPr="008D736E">
        <w:rPr>
          <w:sz w:val="24"/>
          <w:szCs w:val="24"/>
        </w:rPr>
        <w:t xml:space="preserve"> is objecting.</w:t>
      </w:r>
      <w:r w:rsidRPr="008D736E">
        <w:rPr>
          <w:rStyle w:val="FootnoteReference"/>
          <w:sz w:val="24"/>
          <w:szCs w:val="24"/>
        </w:rPr>
        <w:footnoteReference w:id="136"/>
      </w:r>
      <w:r w:rsidRPr="008D736E">
        <w:rPr>
          <w:sz w:val="24"/>
          <w:szCs w:val="24"/>
        </w:rPr>
        <w:t xml:space="preserve"> Brindle and </w:t>
      </w:r>
      <w:proofErr w:type="spellStart"/>
      <w:r w:rsidRPr="008D736E">
        <w:rPr>
          <w:sz w:val="24"/>
          <w:szCs w:val="24"/>
        </w:rPr>
        <w:t>Branton</w:t>
      </w:r>
      <w:proofErr w:type="spellEnd"/>
      <w:r w:rsidRPr="008D736E">
        <w:rPr>
          <w:sz w:val="24"/>
          <w:szCs w:val="24"/>
        </w:rPr>
        <w:t xml:space="preserve"> suggest that this bias in favour of the MHA may already exist among mental health practitioners.</w:t>
      </w:r>
      <w:r w:rsidRPr="008D736E">
        <w:rPr>
          <w:rStyle w:val="FootnoteReference"/>
          <w:sz w:val="24"/>
          <w:szCs w:val="24"/>
        </w:rPr>
        <w:footnoteReference w:id="137"/>
      </w:r>
      <w:r w:rsidRPr="008D736E">
        <w:rPr>
          <w:sz w:val="24"/>
          <w:szCs w:val="24"/>
        </w:rPr>
        <w:t xml:space="preserve"> No doubt many practitioners are drawn to the more-familiar provisions of the MHA for pragmatic reasons.</w:t>
      </w:r>
      <w:r w:rsidRPr="008D736E">
        <w:rPr>
          <w:rStyle w:val="FootnoteReference"/>
          <w:sz w:val="24"/>
          <w:szCs w:val="24"/>
        </w:rPr>
        <w:footnoteReference w:id="138"/>
      </w:r>
    </w:p>
    <w:p w:rsidR="008D736E" w:rsidRDefault="00C8508A" w:rsidP="00DE5530">
      <w:pPr>
        <w:spacing w:line="720" w:lineRule="auto"/>
        <w:ind w:firstLine="720"/>
        <w:jc w:val="both"/>
        <w:rPr>
          <w:sz w:val="24"/>
          <w:szCs w:val="24"/>
        </w:rPr>
      </w:pPr>
      <w:r>
        <w:rPr>
          <w:sz w:val="24"/>
          <w:szCs w:val="24"/>
        </w:rPr>
        <w:t>Escalating protective interventions according to</w:t>
      </w:r>
      <w:r w:rsidR="00815CF8">
        <w:rPr>
          <w:sz w:val="24"/>
          <w:szCs w:val="24"/>
        </w:rPr>
        <w:t xml:space="preserve"> assessments of</w:t>
      </w:r>
      <w:r>
        <w:rPr>
          <w:sz w:val="24"/>
          <w:szCs w:val="24"/>
        </w:rPr>
        <w:t xml:space="preserve"> risk may make the interface between the MHA and the MCA easier to navigate</w:t>
      </w:r>
      <w:r w:rsidR="008D736E" w:rsidRPr="008D736E">
        <w:rPr>
          <w:sz w:val="24"/>
          <w:szCs w:val="24"/>
        </w:rPr>
        <w:t xml:space="preserve">. Take the </w:t>
      </w:r>
      <w:proofErr w:type="spellStart"/>
      <w:r w:rsidR="008D736E" w:rsidRPr="008D736E">
        <w:rPr>
          <w:i/>
          <w:sz w:val="24"/>
          <w:szCs w:val="24"/>
        </w:rPr>
        <w:t>Bournewood</w:t>
      </w:r>
      <w:proofErr w:type="spellEnd"/>
      <w:r w:rsidR="008D736E" w:rsidRPr="008D736E">
        <w:rPr>
          <w:i/>
          <w:sz w:val="24"/>
          <w:szCs w:val="24"/>
        </w:rPr>
        <w:t xml:space="preserve"> </w:t>
      </w:r>
      <w:r w:rsidR="008D736E" w:rsidRPr="008D736E">
        <w:rPr>
          <w:sz w:val="24"/>
          <w:szCs w:val="24"/>
        </w:rPr>
        <w:t xml:space="preserve">case as an example. Allen questions whether L would even have been eligible for a standard </w:t>
      </w:r>
      <w:r w:rsidR="008D736E" w:rsidRPr="008D736E">
        <w:rPr>
          <w:sz w:val="24"/>
          <w:szCs w:val="24"/>
        </w:rPr>
        <w:lastRenderedPageBreak/>
        <w:t>authorisation under the DOLS had they existed at the material time.</w:t>
      </w:r>
      <w:r w:rsidR="008D736E" w:rsidRPr="008D736E">
        <w:rPr>
          <w:rStyle w:val="FootnoteReference"/>
          <w:sz w:val="24"/>
          <w:szCs w:val="24"/>
        </w:rPr>
        <w:footnoteReference w:id="139"/>
      </w:r>
      <w:r w:rsidR="008D736E" w:rsidRPr="008D736E">
        <w:rPr>
          <w:sz w:val="24"/>
          <w:szCs w:val="24"/>
        </w:rPr>
        <w:t xml:space="preserve"> He suggests that having regard to all of the reasonably ascertainable circumstances in the </w:t>
      </w:r>
      <w:proofErr w:type="spellStart"/>
      <w:r w:rsidR="008D736E" w:rsidRPr="008D736E">
        <w:rPr>
          <w:i/>
          <w:sz w:val="24"/>
          <w:szCs w:val="24"/>
        </w:rPr>
        <w:t>Bournewood</w:t>
      </w:r>
      <w:proofErr w:type="spellEnd"/>
      <w:r w:rsidR="008D736E" w:rsidRPr="008D736E">
        <w:rPr>
          <w:i/>
          <w:sz w:val="24"/>
          <w:szCs w:val="24"/>
        </w:rPr>
        <w:t xml:space="preserve"> </w:t>
      </w:r>
      <w:r w:rsidR="008D736E" w:rsidRPr="008D736E">
        <w:rPr>
          <w:sz w:val="24"/>
          <w:szCs w:val="24"/>
        </w:rPr>
        <w:t xml:space="preserve">case, it may be difficult to conclude that L was doing anything other than manifesting his objections. Yet, </w:t>
      </w:r>
      <w:r w:rsidR="00140877">
        <w:rPr>
          <w:sz w:val="24"/>
          <w:szCs w:val="24"/>
        </w:rPr>
        <w:t>t</w:t>
      </w:r>
      <w:r w:rsidR="008D736E" w:rsidRPr="008D736E">
        <w:rPr>
          <w:sz w:val="24"/>
          <w:szCs w:val="24"/>
        </w:rPr>
        <w:t>he risks that L may have posed</w:t>
      </w:r>
      <w:r w:rsidR="00140877">
        <w:rPr>
          <w:sz w:val="24"/>
          <w:szCs w:val="24"/>
        </w:rPr>
        <w:t xml:space="preserve"> or which he may have faced</w:t>
      </w:r>
      <w:r w:rsidR="008D736E" w:rsidRPr="008D736E">
        <w:rPr>
          <w:sz w:val="24"/>
          <w:szCs w:val="24"/>
        </w:rPr>
        <w:t xml:space="preserve"> were</w:t>
      </w:r>
      <w:r w:rsidR="004540EE">
        <w:rPr>
          <w:sz w:val="24"/>
          <w:szCs w:val="24"/>
        </w:rPr>
        <w:t xml:space="preserve"> apparently</w:t>
      </w:r>
      <w:r w:rsidR="008D736E" w:rsidRPr="008D736E">
        <w:rPr>
          <w:sz w:val="24"/>
          <w:szCs w:val="24"/>
        </w:rPr>
        <w:t xml:space="preserve"> not</w:t>
      </w:r>
      <w:r w:rsidR="003D525D">
        <w:rPr>
          <w:sz w:val="24"/>
          <w:szCs w:val="24"/>
        </w:rPr>
        <w:t xml:space="preserve"> deemed to be</w:t>
      </w:r>
      <w:r w:rsidR="008D736E" w:rsidRPr="008D736E">
        <w:rPr>
          <w:sz w:val="24"/>
          <w:szCs w:val="24"/>
        </w:rPr>
        <w:t xml:space="preserve"> sufficient to justify his compulsory</w:t>
      </w:r>
      <w:r w:rsidR="00EC64C5">
        <w:rPr>
          <w:sz w:val="24"/>
          <w:szCs w:val="24"/>
        </w:rPr>
        <w:t xml:space="preserve"> admission</w:t>
      </w:r>
      <w:r w:rsidR="008D736E" w:rsidRPr="008D736E">
        <w:rPr>
          <w:sz w:val="24"/>
          <w:szCs w:val="24"/>
        </w:rPr>
        <w:t xml:space="preserve"> under the MHA: he did not resist his admission to the hospital, made no attempt to leave, and was compliant. A framework of safeguards designed around risk would have accommodated L much more readily than perhaps even the DOLS would have done. By determining how to care and treat </w:t>
      </w:r>
      <w:r w:rsidR="00AD266D">
        <w:rPr>
          <w:sz w:val="24"/>
          <w:szCs w:val="24"/>
        </w:rPr>
        <w:t>P</w:t>
      </w:r>
      <w:r w:rsidR="008D736E" w:rsidRPr="008D736E">
        <w:rPr>
          <w:sz w:val="24"/>
          <w:szCs w:val="24"/>
        </w:rPr>
        <w:t xml:space="preserve"> using a</w:t>
      </w:r>
      <w:r w:rsidR="001333AF">
        <w:rPr>
          <w:sz w:val="24"/>
          <w:szCs w:val="24"/>
        </w:rPr>
        <w:t>n escalator of risk</w:t>
      </w:r>
      <w:r w:rsidR="008D736E" w:rsidRPr="008D736E">
        <w:rPr>
          <w:sz w:val="24"/>
          <w:szCs w:val="24"/>
        </w:rPr>
        <w:t>, doctors would no longer</w:t>
      </w:r>
      <w:r w:rsidR="00AD266D">
        <w:rPr>
          <w:sz w:val="24"/>
          <w:szCs w:val="24"/>
        </w:rPr>
        <w:t xml:space="preserve"> have to work out whether</w:t>
      </w:r>
      <w:r w:rsidR="008D736E" w:rsidRPr="008D736E">
        <w:rPr>
          <w:sz w:val="24"/>
          <w:szCs w:val="24"/>
        </w:rPr>
        <w:t xml:space="preserve"> </w:t>
      </w:r>
      <w:r w:rsidR="00AD266D">
        <w:rPr>
          <w:sz w:val="24"/>
          <w:szCs w:val="24"/>
        </w:rPr>
        <w:t>P</w:t>
      </w:r>
      <w:r w:rsidR="008D736E" w:rsidRPr="008D736E">
        <w:rPr>
          <w:sz w:val="24"/>
          <w:szCs w:val="24"/>
        </w:rPr>
        <w:t xml:space="preserve"> objects to his </w:t>
      </w:r>
      <w:r w:rsidR="00140877">
        <w:rPr>
          <w:sz w:val="24"/>
          <w:szCs w:val="24"/>
        </w:rPr>
        <w:t>care and treatment arrangement.</w:t>
      </w:r>
    </w:p>
    <w:p w:rsidR="00140877" w:rsidRPr="00A76881" w:rsidRDefault="00C832D1" w:rsidP="00A76881">
      <w:pPr>
        <w:pStyle w:val="ListParagraph"/>
        <w:numPr>
          <w:ilvl w:val="0"/>
          <w:numId w:val="4"/>
        </w:numPr>
        <w:spacing w:line="720" w:lineRule="auto"/>
        <w:jc w:val="center"/>
        <w:rPr>
          <w:i/>
          <w:sz w:val="24"/>
          <w:szCs w:val="24"/>
        </w:rPr>
      </w:pPr>
      <w:r w:rsidRPr="00A76881">
        <w:rPr>
          <w:i/>
          <w:sz w:val="24"/>
          <w:szCs w:val="24"/>
        </w:rPr>
        <w:t xml:space="preserve">The </w:t>
      </w:r>
      <w:r w:rsidR="00A76881" w:rsidRPr="00A76881">
        <w:rPr>
          <w:i/>
          <w:sz w:val="24"/>
          <w:szCs w:val="24"/>
        </w:rPr>
        <w:t>P</w:t>
      </w:r>
      <w:r w:rsidRPr="00A76881">
        <w:rPr>
          <w:i/>
          <w:sz w:val="24"/>
          <w:szCs w:val="24"/>
        </w:rPr>
        <w:t xml:space="preserve">roblem with </w:t>
      </w:r>
      <w:r w:rsidR="00A76881" w:rsidRPr="00A76881">
        <w:rPr>
          <w:i/>
          <w:sz w:val="24"/>
          <w:szCs w:val="24"/>
        </w:rPr>
        <w:t>R</w:t>
      </w:r>
      <w:r w:rsidRPr="00A76881">
        <w:rPr>
          <w:i/>
          <w:sz w:val="24"/>
          <w:szCs w:val="24"/>
        </w:rPr>
        <w:t>isk</w:t>
      </w:r>
    </w:p>
    <w:p w:rsidR="0038562C" w:rsidRDefault="008B2A8B" w:rsidP="00DE5530">
      <w:pPr>
        <w:spacing w:line="720" w:lineRule="auto"/>
        <w:ind w:firstLine="720"/>
        <w:jc w:val="both"/>
        <w:rPr>
          <w:sz w:val="24"/>
          <w:szCs w:val="24"/>
        </w:rPr>
      </w:pPr>
      <w:r>
        <w:rPr>
          <w:sz w:val="24"/>
          <w:szCs w:val="24"/>
        </w:rPr>
        <w:t>A</w:t>
      </w:r>
      <w:r w:rsidR="00B1264A">
        <w:rPr>
          <w:sz w:val="24"/>
          <w:szCs w:val="24"/>
        </w:rPr>
        <w:t xml:space="preserve"> framework which replaces the DOLS</w:t>
      </w:r>
      <w:r w:rsidR="00715725">
        <w:rPr>
          <w:sz w:val="24"/>
          <w:szCs w:val="24"/>
        </w:rPr>
        <w:t xml:space="preserve"> by expanding the reach of the MHA</w:t>
      </w:r>
      <w:r w:rsidR="00B1264A">
        <w:rPr>
          <w:sz w:val="24"/>
          <w:szCs w:val="24"/>
        </w:rPr>
        <w:t xml:space="preserve"> </w:t>
      </w:r>
      <w:r w:rsidR="000575A5">
        <w:rPr>
          <w:sz w:val="24"/>
          <w:szCs w:val="24"/>
        </w:rPr>
        <w:t>or</w:t>
      </w:r>
      <w:r w:rsidR="00B1264A">
        <w:rPr>
          <w:sz w:val="24"/>
          <w:szCs w:val="24"/>
        </w:rPr>
        <w:t xml:space="preserve"> which</w:t>
      </w:r>
      <w:r w:rsidR="003841E0">
        <w:rPr>
          <w:sz w:val="24"/>
          <w:szCs w:val="24"/>
        </w:rPr>
        <w:t xml:space="preserve"> </w:t>
      </w:r>
      <w:r w:rsidR="0038562C">
        <w:rPr>
          <w:sz w:val="24"/>
          <w:szCs w:val="24"/>
        </w:rPr>
        <w:t>tolerates continuities of risk</w:t>
      </w:r>
      <w:r w:rsidR="000575A5">
        <w:rPr>
          <w:sz w:val="24"/>
          <w:szCs w:val="24"/>
        </w:rPr>
        <w:t xml:space="preserve"> </w:t>
      </w:r>
      <w:r w:rsidR="000F2C8B">
        <w:rPr>
          <w:sz w:val="24"/>
          <w:szCs w:val="24"/>
        </w:rPr>
        <w:t>will</w:t>
      </w:r>
      <w:r w:rsidR="00FF0546">
        <w:rPr>
          <w:sz w:val="24"/>
          <w:szCs w:val="24"/>
        </w:rPr>
        <w:t xml:space="preserve"> inevitably</w:t>
      </w:r>
      <w:r w:rsidR="000F2C8B">
        <w:rPr>
          <w:sz w:val="24"/>
          <w:szCs w:val="24"/>
        </w:rPr>
        <w:t xml:space="preserve"> be problematic.</w:t>
      </w:r>
      <w:r w:rsidR="00F76433">
        <w:rPr>
          <w:sz w:val="24"/>
          <w:szCs w:val="24"/>
        </w:rPr>
        <w:t xml:space="preserve"> There are three reasons for this. First,</w:t>
      </w:r>
      <w:r w:rsidR="0038562C">
        <w:rPr>
          <w:sz w:val="24"/>
          <w:szCs w:val="24"/>
        </w:rPr>
        <w:t xml:space="preserve"> </w:t>
      </w:r>
      <w:r w:rsidR="006155CA">
        <w:rPr>
          <w:sz w:val="24"/>
          <w:szCs w:val="24"/>
        </w:rPr>
        <w:t>the concept of risk is</w:t>
      </w:r>
      <w:r w:rsidR="0038562C">
        <w:rPr>
          <w:sz w:val="24"/>
          <w:szCs w:val="24"/>
        </w:rPr>
        <w:t xml:space="preserve"> inherently stigmatising.</w:t>
      </w:r>
      <w:r w:rsidR="006D04A5">
        <w:rPr>
          <w:sz w:val="24"/>
          <w:szCs w:val="24"/>
        </w:rPr>
        <w:t xml:space="preserve"> B</w:t>
      </w:r>
      <w:r w:rsidR="00F646F2">
        <w:rPr>
          <w:sz w:val="24"/>
          <w:szCs w:val="24"/>
        </w:rPr>
        <w:t xml:space="preserve">ecause considerations of </w:t>
      </w:r>
      <w:r w:rsidR="006155CA">
        <w:rPr>
          <w:sz w:val="24"/>
          <w:szCs w:val="24"/>
        </w:rPr>
        <w:t>risk</w:t>
      </w:r>
      <w:r w:rsidR="000575A5">
        <w:rPr>
          <w:sz w:val="24"/>
          <w:szCs w:val="24"/>
        </w:rPr>
        <w:t xml:space="preserve"> </w:t>
      </w:r>
      <w:r w:rsidR="00F646F2">
        <w:rPr>
          <w:sz w:val="24"/>
          <w:szCs w:val="24"/>
        </w:rPr>
        <w:t>are</w:t>
      </w:r>
      <w:r w:rsidR="006155CA">
        <w:rPr>
          <w:sz w:val="24"/>
          <w:szCs w:val="24"/>
        </w:rPr>
        <w:t xml:space="preserve"> the </w:t>
      </w:r>
      <w:r w:rsidR="006155CA">
        <w:rPr>
          <w:sz w:val="24"/>
          <w:szCs w:val="24"/>
        </w:rPr>
        <w:lastRenderedPageBreak/>
        <w:t xml:space="preserve">principal trigger to compulsory admission </w:t>
      </w:r>
      <w:r w:rsidR="0024131C">
        <w:rPr>
          <w:sz w:val="24"/>
          <w:szCs w:val="24"/>
        </w:rPr>
        <w:t>to hospital</w:t>
      </w:r>
      <w:r w:rsidR="00F646F2">
        <w:rPr>
          <w:sz w:val="24"/>
          <w:szCs w:val="24"/>
        </w:rPr>
        <w:t xml:space="preserve"> under the MHA</w:t>
      </w:r>
      <w:r w:rsidR="006D04A5">
        <w:rPr>
          <w:sz w:val="24"/>
          <w:szCs w:val="24"/>
        </w:rPr>
        <w:t>,</w:t>
      </w:r>
      <w:r w:rsidR="006155CA">
        <w:rPr>
          <w:sz w:val="24"/>
          <w:szCs w:val="24"/>
        </w:rPr>
        <w:t xml:space="preserve"> the</w:t>
      </w:r>
      <w:r w:rsidR="00F646F2">
        <w:rPr>
          <w:sz w:val="24"/>
          <w:szCs w:val="24"/>
        </w:rPr>
        <w:t>re</w:t>
      </w:r>
      <w:r w:rsidR="006155CA">
        <w:rPr>
          <w:sz w:val="24"/>
          <w:szCs w:val="24"/>
        </w:rPr>
        <w:t xml:space="preserve"> </w:t>
      </w:r>
      <w:r w:rsidR="00F646F2">
        <w:rPr>
          <w:sz w:val="24"/>
          <w:szCs w:val="24"/>
        </w:rPr>
        <w:t>is</w:t>
      </w:r>
      <w:r w:rsidR="0027492B">
        <w:rPr>
          <w:sz w:val="24"/>
          <w:szCs w:val="24"/>
        </w:rPr>
        <w:t xml:space="preserve"> an </w:t>
      </w:r>
      <w:r w:rsidR="005C491D">
        <w:rPr>
          <w:sz w:val="24"/>
          <w:szCs w:val="24"/>
        </w:rPr>
        <w:t>enduring</w:t>
      </w:r>
      <w:r w:rsidR="0027492B">
        <w:rPr>
          <w:sz w:val="24"/>
          <w:szCs w:val="24"/>
        </w:rPr>
        <w:t xml:space="preserve"> link between mental illness</w:t>
      </w:r>
      <w:r w:rsidR="0024131C">
        <w:rPr>
          <w:sz w:val="24"/>
          <w:szCs w:val="24"/>
        </w:rPr>
        <w:t>es</w:t>
      </w:r>
      <w:r w:rsidR="0027492B">
        <w:rPr>
          <w:sz w:val="24"/>
          <w:szCs w:val="24"/>
        </w:rPr>
        <w:t xml:space="preserve"> </w:t>
      </w:r>
      <w:r w:rsidR="00682803">
        <w:rPr>
          <w:sz w:val="24"/>
          <w:szCs w:val="24"/>
        </w:rPr>
        <w:t>and adverse outcomes.</w:t>
      </w:r>
      <w:r w:rsidR="008E2ED2">
        <w:rPr>
          <w:sz w:val="24"/>
          <w:szCs w:val="24"/>
        </w:rPr>
        <w:t xml:space="preserve"> </w:t>
      </w:r>
      <w:r w:rsidR="00D91B74">
        <w:rPr>
          <w:sz w:val="24"/>
          <w:szCs w:val="24"/>
        </w:rPr>
        <w:t>An expansion of the operational domain of the MHA</w:t>
      </w:r>
      <w:r w:rsidR="00070D75">
        <w:rPr>
          <w:sz w:val="24"/>
          <w:szCs w:val="24"/>
        </w:rPr>
        <w:t xml:space="preserve"> </w:t>
      </w:r>
      <w:r w:rsidR="00920911">
        <w:rPr>
          <w:sz w:val="24"/>
          <w:szCs w:val="24"/>
        </w:rPr>
        <w:t xml:space="preserve">would </w:t>
      </w:r>
      <w:r w:rsidR="00D91B74">
        <w:rPr>
          <w:sz w:val="24"/>
          <w:szCs w:val="24"/>
        </w:rPr>
        <w:t xml:space="preserve">therefore </w:t>
      </w:r>
      <w:r w:rsidR="00BD622F">
        <w:rPr>
          <w:sz w:val="24"/>
          <w:szCs w:val="24"/>
        </w:rPr>
        <w:t>do very little to de-stigmatise mental illness</w:t>
      </w:r>
      <w:r w:rsidR="0095781C">
        <w:rPr>
          <w:sz w:val="24"/>
          <w:szCs w:val="24"/>
        </w:rPr>
        <w:t>, a point which the Government has recognised in its preliminary response to the Law Commission’s consultation paper.</w:t>
      </w:r>
      <w:r w:rsidR="0095781C">
        <w:rPr>
          <w:rStyle w:val="FootnoteReference"/>
          <w:sz w:val="24"/>
          <w:szCs w:val="24"/>
        </w:rPr>
        <w:footnoteReference w:id="140"/>
      </w:r>
      <w:r w:rsidR="00BC0EF4">
        <w:rPr>
          <w:sz w:val="24"/>
          <w:szCs w:val="24"/>
        </w:rPr>
        <w:t xml:space="preserve"> In fact,</w:t>
      </w:r>
      <w:r w:rsidR="0095781C">
        <w:rPr>
          <w:sz w:val="24"/>
          <w:szCs w:val="24"/>
        </w:rPr>
        <w:t xml:space="preserve"> such an expansion </w:t>
      </w:r>
      <w:r w:rsidR="00BC0EF4">
        <w:rPr>
          <w:sz w:val="24"/>
          <w:szCs w:val="24"/>
        </w:rPr>
        <w:t>may serve to stigmatise</w:t>
      </w:r>
      <w:r w:rsidR="0095781C">
        <w:rPr>
          <w:sz w:val="24"/>
          <w:szCs w:val="24"/>
        </w:rPr>
        <w:t xml:space="preserve"> a larger number of people, including those </w:t>
      </w:r>
      <w:r w:rsidR="00542478">
        <w:rPr>
          <w:sz w:val="24"/>
          <w:szCs w:val="24"/>
        </w:rPr>
        <w:t>‘</w:t>
      </w:r>
      <w:r w:rsidR="0095781C">
        <w:rPr>
          <w:sz w:val="24"/>
          <w:szCs w:val="24"/>
        </w:rPr>
        <w:t>informal</w:t>
      </w:r>
      <w:r w:rsidR="00542478">
        <w:rPr>
          <w:sz w:val="24"/>
          <w:szCs w:val="24"/>
        </w:rPr>
        <w:t>’</w:t>
      </w:r>
      <w:r w:rsidR="0095781C">
        <w:rPr>
          <w:sz w:val="24"/>
          <w:szCs w:val="24"/>
        </w:rPr>
        <w:t xml:space="preserve"> patients who have</w:t>
      </w:r>
      <w:r w:rsidR="00297A45">
        <w:rPr>
          <w:sz w:val="24"/>
          <w:szCs w:val="24"/>
        </w:rPr>
        <w:t xml:space="preserve"> hitherto</w:t>
      </w:r>
      <w:r w:rsidR="0095781C">
        <w:rPr>
          <w:sz w:val="24"/>
          <w:szCs w:val="24"/>
        </w:rPr>
        <w:t xml:space="preserve"> fallen outside the scope of the 1983 Act. </w:t>
      </w:r>
      <w:r w:rsidR="007464BB">
        <w:rPr>
          <w:sz w:val="24"/>
          <w:szCs w:val="24"/>
        </w:rPr>
        <w:t>A</w:t>
      </w:r>
      <w:r w:rsidR="0096133A">
        <w:rPr>
          <w:sz w:val="24"/>
          <w:szCs w:val="24"/>
        </w:rPr>
        <w:t xml:space="preserve">ny attempt to </w:t>
      </w:r>
      <w:r w:rsidR="00542478">
        <w:rPr>
          <w:sz w:val="24"/>
          <w:szCs w:val="24"/>
        </w:rPr>
        <w:t>‘</w:t>
      </w:r>
      <w:r w:rsidR="0096133A">
        <w:rPr>
          <w:sz w:val="24"/>
          <w:szCs w:val="24"/>
        </w:rPr>
        <w:t>rehabilitate</w:t>
      </w:r>
      <w:r w:rsidR="00542478">
        <w:rPr>
          <w:sz w:val="24"/>
          <w:szCs w:val="24"/>
        </w:rPr>
        <w:t>’</w:t>
      </w:r>
      <w:r w:rsidR="0096133A">
        <w:rPr>
          <w:sz w:val="24"/>
          <w:szCs w:val="24"/>
        </w:rPr>
        <w:t xml:space="preserve"> risk as a structurally significant consideration in mental health law </w:t>
      </w:r>
      <w:r w:rsidR="008769E2">
        <w:rPr>
          <w:sz w:val="24"/>
          <w:szCs w:val="24"/>
        </w:rPr>
        <w:t xml:space="preserve">must confront </w:t>
      </w:r>
      <w:r w:rsidR="00A54756">
        <w:rPr>
          <w:sz w:val="24"/>
          <w:szCs w:val="24"/>
        </w:rPr>
        <w:t>this reality.</w:t>
      </w:r>
      <w:r w:rsidR="00393100">
        <w:rPr>
          <w:sz w:val="24"/>
          <w:szCs w:val="24"/>
        </w:rPr>
        <w:t xml:space="preserve"> </w:t>
      </w:r>
      <w:r w:rsidR="00A54756">
        <w:rPr>
          <w:sz w:val="24"/>
          <w:szCs w:val="24"/>
        </w:rPr>
        <w:t xml:space="preserve">It is doubtful </w:t>
      </w:r>
      <w:r w:rsidR="00A766D0">
        <w:rPr>
          <w:sz w:val="24"/>
          <w:szCs w:val="24"/>
        </w:rPr>
        <w:t>whether</w:t>
      </w:r>
      <w:r w:rsidR="00F23EFC">
        <w:rPr>
          <w:sz w:val="24"/>
          <w:szCs w:val="24"/>
        </w:rPr>
        <w:t xml:space="preserve"> it is</w:t>
      </w:r>
      <w:r w:rsidR="004B3E91">
        <w:rPr>
          <w:sz w:val="24"/>
          <w:szCs w:val="24"/>
        </w:rPr>
        <w:t xml:space="preserve"> even</w:t>
      </w:r>
      <w:r w:rsidR="00F23EFC">
        <w:rPr>
          <w:sz w:val="24"/>
          <w:szCs w:val="24"/>
        </w:rPr>
        <w:t xml:space="preserve"> possible</w:t>
      </w:r>
      <w:r w:rsidR="00A54756">
        <w:rPr>
          <w:sz w:val="24"/>
          <w:szCs w:val="24"/>
        </w:rPr>
        <w:t xml:space="preserve"> </w:t>
      </w:r>
      <w:r w:rsidR="00F23EFC">
        <w:rPr>
          <w:sz w:val="24"/>
          <w:szCs w:val="24"/>
        </w:rPr>
        <w:t>to</w:t>
      </w:r>
      <w:r w:rsidR="00A54756">
        <w:rPr>
          <w:sz w:val="24"/>
          <w:szCs w:val="24"/>
        </w:rPr>
        <w:t xml:space="preserve"> divest the concept </w:t>
      </w:r>
      <w:r w:rsidR="00274B99">
        <w:rPr>
          <w:sz w:val="24"/>
          <w:szCs w:val="24"/>
        </w:rPr>
        <w:t>of</w:t>
      </w:r>
      <w:r w:rsidR="00A54756">
        <w:rPr>
          <w:sz w:val="24"/>
          <w:szCs w:val="24"/>
        </w:rPr>
        <w:t xml:space="preserve"> its stigmatising connotations whilst</w:t>
      </w:r>
      <w:r w:rsidR="00F23EFC">
        <w:rPr>
          <w:sz w:val="24"/>
          <w:szCs w:val="24"/>
        </w:rPr>
        <w:t xml:space="preserve"> simultaneously</w:t>
      </w:r>
      <w:r w:rsidR="00A54756">
        <w:rPr>
          <w:sz w:val="24"/>
          <w:szCs w:val="24"/>
        </w:rPr>
        <w:t xml:space="preserve"> utilising it as a central organising component of mental health law.</w:t>
      </w:r>
      <w:r w:rsidR="003841E0">
        <w:rPr>
          <w:sz w:val="24"/>
          <w:szCs w:val="24"/>
        </w:rPr>
        <w:t xml:space="preserve"> Consequently, the Law Commission’s decision not to </w:t>
      </w:r>
      <w:r w:rsidR="00DF20CC">
        <w:rPr>
          <w:sz w:val="24"/>
          <w:szCs w:val="24"/>
        </w:rPr>
        <w:t>proceed with an expansion of the MHA’s remit should be welcomed.</w:t>
      </w:r>
    </w:p>
    <w:p w:rsidR="00350120" w:rsidRDefault="004B3957" w:rsidP="00DE5530">
      <w:pPr>
        <w:spacing w:line="720" w:lineRule="auto"/>
        <w:ind w:firstLine="720"/>
        <w:jc w:val="both"/>
        <w:rPr>
          <w:sz w:val="24"/>
          <w:szCs w:val="24"/>
        </w:rPr>
      </w:pPr>
      <w:r>
        <w:rPr>
          <w:sz w:val="24"/>
          <w:szCs w:val="24"/>
        </w:rPr>
        <w:t>Secondly,</w:t>
      </w:r>
      <w:r w:rsidR="00393100">
        <w:rPr>
          <w:sz w:val="24"/>
          <w:szCs w:val="24"/>
        </w:rPr>
        <w:t xml:space="preserve"> the</w:t>
      </w:r>
      <w:r w:rsidR="00A30227">
        <w:rPr>
          <w:sz w:val="24"/>
          <w:szCs w:val="24"/>
        </w:rPr>
        <w:t xml:space="preserve"> absence of a definition of </w:t>
      </w:r>
      <w:r w:rsidR="00542478">
        <w:rPr>
          <w:sz w:val="24"/>
          <w:szCs w:val="24"/>
        </w:rPr>
        <w:t>‘</w:t>
      </w:r>
      <w:r w:rsidR="00A30227">
        <w:rPr>
          <w:sz w:val="24"/>
          <w:szCs w:val="24"/>
        </w:rPr>
        <w:t>risk</w:t>
      </w:r>
      <w:r w:rsidR="00542478">
        <w:rPr>
          <w:sz w:val="24"/>
          <w:szCs w:val="24"/>
        </w:rPr>
        <w:t>’</w:t>
      </w:r>
      <w:r w:rsidR="00A30227">
        <w:rPr>
          <w:sz w:val="24"/>
          <w:szCs w:val="24"/>
        </w:rPr>
        <w:t xml:space="preserve"> means that the</w:t>
      </w:r>
      <w:r w:rsidR="00393100">
        <w:rPr>
          <w:sz w:val="24"/>
          <w:szCs w:val="24"/>
        </w:rPr>
        <w:t xml:space="preserve"> concept is afflicted by a crippling lack</w:t>
      </w:r>
      <w:r w:rsidR="00BF05C3">
        <w:rPr>
          <w:sz w:val="24"/>
          <w:szCs w:val="24"/>
        </w:rPr>
        <w:t xml:space="preserve"> of certainty. </w:t>
      </w:r>
      <w:r w:rsidR="000F1FD4">
        <w:rPr>
          <w:sz w:val="24"/>
          <w:szCs w:val="24"/>
        </w:rPr>
        <w:t>How we define risk or, more accurately,</w:t>
      </w:r>
      <w:r w:rsidR="00332F80">
        <w:rPr>
          <w:sz w:val="24"/>
          <w:szCs w:val="24"/>
        </w:rPr>
        <w:t xml:space="preserve"> </w:t>
      </w:r>
      <w:r w:rsidR="001146C2">
        <w:rPr>
          <w:sz w:val="24"/>
          <w:szCs w:val="24"/>
        </w:rPr>
        <w:t xml:space="preserve">how we frame </w:t>
      </w:r>
      <w:r w:rsidR="00332F80">
        <w:rPr>
          <w:sz w:val="24"/>
          <w:szCs w:val="24"/>
        </w:rPr>
        <w:t xml:space="preserve">the risks </w:t>
      </w:r>
      <w:r w:rsidR="00332F80">
        <w:rPr>
          <w:sz w:val="24"/>
          <w:szCs w:val="24"/>
        </w:rPr>
        <w:lastRenderedPageBreak/>
        <w:t>with which we are concerned,</w:t>
      </w:r>
      <w:r w:rsidR="000F1FD4">
        <w:rPr>
          <w:sz w:val="24"/>
          <w:szCs w:val="24"/>
        </w:rPr>
        <w:t xml:space="preserve"> </w:t>
      </w:r>
      <w:r w:rsidR="00367C81">
        <w:rPr>
          <w:sz w:val="24"/>
          <w:szCs w:val="24"/>
        </w:rPr>
        <w:t>will surely have a bearing on how the law operates</w:t>
      </w:r>
      <w:r w:rsidR="000F1FD4">
        <w:rPr>
          <w:sz w:val="24"/>
          <w:szCs w:val="24"/>
        </w:rPr>
        <w:t>.</w:t>
      </w:r>
      <w:r w:rsidR="008A7511">
        <w:rPr>
          <w:sz w:val="24"/>
          <w:szCs w:val="24"/>
        </w:rPr>
        <w:t xml:space="preserve"> If we interpret </w:t>
      </w:r>
      <w:r w:rsidR="00542478">
        <w:rPr>
          <w:sz w:val="24"/>
          <w:szCs w:val="24"/>
        </w:rPr>
        <w:t>‘</w:t>
      </w:r>
      <w:r w:rsidR="008A7511">
        <w:rPr>
          <w:sz w:val="24"/>
          <w:szCs w:val="24"/>
        </w:rPr>
        <w:t>risk</w:t>
      </w:r>
      <w:r w:rsidR="00542478">
        <w:rPr>
          <w:sz w:val="24"/>
          <w:szCs w:val="24"/>
        </w:rPr>
        <w:t>’</w:t>
      </w:r>
      <w:r w:rsidR="008A7511">
        <w:rPr>
          <w:sz w:val="24"/>
          <w:szCs w:val="24"/>
        </w:rPr>
        <w:t xml:space="preserve"> to mean </w:t>
      </w:r>
      <w:r w:rsidR="00542478">
        <w:rPr>
          <w:sz w:val="24"/>
          <w:szCs w:val="24"/>
        </w:rPr>
        <w:t>‘</w:t>
      </w:r>
      <w:r w:rsidR="008A7511">
        <w:rPr>
          <w:sz w:val="24"/>
          <w:szCs w:val="24"/>
        </w:rPr>
        <w:t>the chance that</w:t>
      </w:r>
      <w:r w:rsidR="000F2D08">
        <w:rPr>
          <w:sz w:val="24"/>
          <w:szCs w:val="24"/>
        </w:rPr>
        <w:t xml:space="preserve"> </w:t>
      </w:r>
      <w:r w:rsidR="008A7511">
        <w:rPr>
          <w:sz w:val="24"/>
          <w:szCs w:val="24"/>
        </w:rPr>
        <w:t xml:space="preserve">P </w:t>
      </w:r>
      <w:r w:rsidR="001146C2">
        <w:rPr>
          <w:sz w:val="24"/>
          <w:szCs w:val="24"/>
        </w:rPr>
        <w:t>will</w:t>
      </w:r>
      <w:r w:rsidR="008A7511">
        <w:rPr>
          <w:sz w:val="24"/>
          <w:szCs w:val="24"/>
        </w:rPr>
        <w:t xml:space="preserve"> exhibit violence towards others</w:t>
      </w:r>
      <w:r w:rsidR="00281696">
        <w:rPr>
          <w:sz w:val="24"/>
          <w:szCs w:val="24"/>
        </w:rPr>
        <w:t xml:space="preserve"> or self-harm</w:t>
      </w:r>
      <w:r w:rsidR="00542478">
        <w:rPr>
          <w:sz w:val="24"/>
          <w:szCs w:val="24"/>
        </w:rPr>
        <w:t>’</w:t>
      </w:r>
      <w:r w:rsidR="00332F80">
        <w:rPr>
          <w:sz w:val="24"/>
          <w:szCs w:val="24"/>
        </w:rPr>
        <w:t xml:space="preserve"> then the </w:t>
      </w:r>
      <w:r w:rsidR="00F12DD2">
        <w:rPr>
          <w:sz w:val="24"/>
          <w:szCs w:val="24"/>
        </w:rPr>
        <w:t xml:space="preserve">deployment of the </w:t>
      </w:r>
      <w:r w:rsidR="00332F80">
        <w:rPr>
          <w:sz w:val="24"/>
          <w:szCs w:val="24"/>
        </w:rPr>
        <w:t>compulso</w:t>
      </w:r>
      <w:r w:rsidR="007F7763">
        <w:rPr>
          <w:sz w:val="24"/>
          <w:szCs w:val="24"/>
        </w:rPr>
        <w:t>ry powers will be con</w:t>
      </w:r>
      <w:r w:rsidR="00F81540">
        <w:rPr>
          <w:sz w:val="24"/>
          <w:szCs w:val="24"/>
        </w:rPr>
        <w:t>t</w:t>
      </w:r>
      <w:r w:rsidR="008E295D">
        <w:rPr>
          <w:sz w:val="24"/>
          <w:szCs w:val="24"/>
        </w:rPr>
        <w:t>ingent</w:t>
      </w:r>
      <w:r w:rsidR="007502E1">
        <w:rPr>
          <w:sz w:val="24"/>
          <w:szCs w:val="24"/>
        </w:rPr>
        <w:t xml:space="preserve"> solely</w:t>
      </w:r>
      <w:r w:rsidR="008E295D">
        <w:rPr>
          <w:sz w:val="24"/>
          <w:szCs w:val="24"/>
        </w:rPr>
        <w:t xml:space="preserve"> on</w:t>
      </w:r>
      <w:r w:rsidR="00C75264">
        <w:rPr>
          <w:sz w:val="24"/>
          <w:szCs w:val="24"/>
        </w:rPr>
        <w:t xml:space="preserve"> the grave risks that the </w:t>
      </w:r>
      <w:r w:rsidR="00C75264" w:rsidRPr="00C75264">
        <w:rPr>
          <w:i/>
          <w:sz w:val="24"/>
          <w:szCs w:val="24"/>
        </w:rPr>
        <w:t>patient</w:t>
      </w:r>
      <w:r w:rsidR="00C75264">
        <w:rPr>
          <w:sz w:val="24"/>
          <w:szCs w:val="24"/>
        </w:rPr>
        <w:t xml:space="preserve"> poses</w:t>
      </w:r>
      <w:r w:rsidR="00281696">
        <w:rPr>
          <w:sz w:val="24"/>
          <w:szCs w:val="24"/>
        </w:rPr>
        <w:t>.</w:t>
      </w:r>
      <w:r w:rsidR="00766A04">
        <w:rPr>
          <w:sz w:val="24"/>
          <w:szCs w:val="24"/>
        </w:rPr>
        <w:t xml:space="preserve"> </w:t>
      </w:r>
      <w:r w:rsidR="000F2D08">
        <w:rPr>
          <w:sz w:val="24"/>
          <w:szCs w:val="24"/>
        </w:rPr>
        <w:t>Yet, as we have seen,</w:t>
      </w:r>
      <w:r w:rsidR="005009E2">
        <w:rPr>
          <w:sz w:val="24"/>
          <w:szCs w:val="24"/>
        </w:rPr>
        <w:t xml:space="preserve"> considerations of risk can also relate to the chance that a person with a mental disorder </w:t>
      </w:r>
      <w:r w:rsidR="00FA315A">
        <w:rPr>
          <w:sz w:val="24"/>
          <w:szCs w:val="24"/>
        </w:rPr>
        <w:t>might be unable to care for himself</w:t>
      </w:r>
      <w:r w:rsidR="005009E2">
        <w:rPr>
          <w:sz w:val="24"/>
          <w:szCs w:val="24"/>
        </w:rPr>
        <w:t xml:space="preserve">, suffer abuse, </w:t>
      </w:r>
      <w:proofErr w:type="gramStart"/>
      <w:r w:rsidR="003A2216">
        <w:rPr>
          <w:sz w:val="24"/>
          <w:szCs w:val="24"/>
        </w:rPr>
        <w:t>face</w:t>
      </w:r>
      <w:proofErr w:type="gramEnd"/>
      <w:r w:rsidR="005009E2">
        <w:rPr>
          <w:sz w:val="24"/>
          <w:szCs w:val="24"/>
        </w:rPr>
        <w:t xml:space="preserve"> exploitation</w:t>
      </w:r>
      <w:r w:rsidR="003A2216">
        <w:rPr>
          <w:sz w:val="24"/>
          <w:szCs w:val="24"/>
        </w:rPr>
        <w:t>,</w:t>
      </w:r>
      <w:r w:rsidR="005009E2">
        <w:rPr>
          <w:sz w:val="24"/>
          <w:szCs w:val="24"/>
        </w:rPr>
        <w:t xml:space="preserve"> and so on.</w:t>
      </w:r>
      <w:r w:rsidR="00C75264">
        <w:rPr>
          <w:sz w:val="24"/>
          <w:szCs w:val="24"/>
        </w:rPr>
        <w:t xml:space="preserve"> </w:t>
      </w:r>
      <w:r w:rsidR="000570A2">
        <w:rPr>
          <w:sz w:val="24"/>
          <w:szCs w:val="24"/>
        </w:rPr>
        <w:t xml:space="preserve">If </w:t>
      </w:r>
      <w:r w:rsidR="00542478">
        <w:rPr>
          <w:sz w:val="24"/>
          <w:szCs w:val="24"/>
        </w:rPr>
        <w:t>‘</w:t>
      </w:r>
      <w:r w:rsidR="000570A2">
        <w:rPr>
          <w:sz w:val="24"/>
          <w:szCs w:val="24"/>
        </w:rPr>
        <w:t>risk</w:t>
      </w:r>
      <w:r w:rsidR="00542478">
        <w:rPr>
          <w:sz w:val="24"/>
          <w:szCs w:val="24"/>
        </w:rPr>
        <w:t>’</w:t>
      </w:r>
      <w:r w:rsidR="000570A2">
        <w:rPr>
          <w:sz w:val="24"/>
          <w:szCs w:val="24"/>
        </w:rPr>
        <w:t xml:space="preserve"> is framed in this way then</w:t>
      </w:r>
      <w:r w:rsidR="00C75264">
        <w:rPr>
          <w:sz w:val="24"/>
          <w:szCs w:val="24"/>
        </w:rPr>
        <w:t xml:space="preserve"> the deployment of the compulsory powers might also</w:t>
      </w:r>
      <w:r w:rsidR="00515C4D">
        <w:rPr>
          <w:sz w:val="24"/>
          <w:szCs w:val="24"/>
        </w:rPr>
        <w:t>, or alternatively,</w:t>
      </w:r>
      <w:r w:rsidR="00C75264">
        <w:rPr>
          <w:sz w:val="24"/>
          <w:szCs w:val="24"/>
        </w:rPr>
        <w:t xml:space="preserve"> depend on the risks which others pose </w:t>
      </w:r>
      <w:r w:rsidR="00C75264">
        <w:rPr>
          <w:i/>
          <w:sz w:val="24"/>
          <w:szCs w:val="24"/>
        </w:rPr>
        <w:t>to the patient</w:t>
      </w:r>
      <w:r w:rsidR="00C75264">
        <w:rPr>
          <w:sz w:val="24"/>
          <w:szCs w:val="24"/>
        </w:rPr>
        <w:t>.</w:t>
      </w:r>
      <w:r w:rsidR="007D445B">
        <w:rPr>
          <w:sz w:val="24"/>
          <w:szCs w:val="24"/>
        </w:rPr>
        <w:t xml:space="preserve"> Furthermore, the chance that the patient’s mental health might deteriorate, that his medication might cause him to suffer side-effects, that </w:t>
      </w:r>
      <w:r w:rsidR="00FA315A">
        <w:rPr>
          <w:sz w:val="24"/>
          <w:szCs w:val="24"/>
        </w:rPr>
        <w:t>his</w:t>
      </w:r>
      <w:r w:rsidR="007D445B">
        <w:rPr>
          <w:sz w:val="24"/>
          <w:szCs w:val="24"/>
        </w:rPr>
        <w:t xml:space="preserve"> therapeutic relationship with his clinical team might collapse</w:t>
      </w:r>
      <w:r w:rsidR="00FA315A">
        <w:rPr>
          <w:sz w:val="24"/>
          <w:szCs w:val="24"/>
        </w:rPr>
        <w:t>, and so on, could all easily be articulated using the language of risk</w:t>
      </w:r>
      <w:r w:rsidR="00E42D7D">
        <w:rPr>
          <w:sz w:val="24"/>
          <w:szCs w:val="24"/>
        </w:rPr>
        <w:t>.</w:t>
      </w:r>
      <w:r w:rsidR="00F97C77">
        <w:rPr>
          <w:sz w:val="24"/>
          <w:szCs w:val="24"/>
        </w:rPr>
        <w:t xml:space="preserve"> Without defining </w:t>
      </w:r>
      <w:r w:rsidR="00542478">
        <w:rPr>
          <w:sz w:val="24"/>
          <w:szCs w:val="24"/>
        </w:rPr>
        <w:t>‘</w:t>
      </w:r>
      <w:r w:rsidR="00F97C77">
        <w:rPr>
          <w:sz w:val="24"/>
          <w:szCs w:val="24"/>
        </w:rPr>
        <w:t>risk</w:t>
      </w:r>
      <w:r w:rsidR="00542478">
        <w:rPr>
          <w:sz w:val="24"/>
          <w:szCs w:val="24"/>
        </w:rPr>
        <w:t>’</w:t>
      </w:r>
      <w:r w:rsidR="00F97C77">
        <w:rPr>
          <w:sz w:val="24"/>
          <w:szCs w:val="24"/>
        </w:rPr>
        <w:t xml:space="preserve">, or at least specifying which risks have primacy, the MHA and other risk-based frameworks create the potential for </w:t>
      </w:r>
      <w:r w:rsidR="00542478">
        <w:rPr>
          <w:sz w:val="24"/>
          <w:szCs w:val="24"/>
        </w:rPr>
        <w:t>‘</w:t>
      </w:r>
      <w:r w:rsidR="00F97C77">
        <w:rPr>
          <w:sz w:val="24"/>
          <w:szCs w:val="24"/>
        </w:rPr>
        <w:t>conflict</w:t>
      </w:r>
      <w:r w:rsidR="00F54BCC">
        <w:rPr>
          <w:sz w:val="24"/>
          <w:szCs w:val="24"/>
        </w:rPr>
        <w:t>s</w:t>
      </w:r>
      <w:r w:rsidR="00F97C77">
        <w:rPr>
          <w:sz w:val="24"/>
          <w:szCs w:val="24"/>
        </w:rPr>
        <w:t xml:space="preserve"> of risk</w:t>
      </w:r>
      <w:r w:rsidR="00542478">
        <w:rPr>
          <w:sz w:val="24"/>
          <w:szCs w:val="24"/>
        </w:rPr>
        <w:t>’</w:t>
      </w:r>
      <w:r w:rsidR="00F97C77">
        <w:rPr>
          <w:sz w:val="24"/>
          <w:szCs w:val="24"/>
        </w:rPr>
        <w:t xml:space="preserve">. For example, </w:t>
      </w:r>
      <w:r w:rsidR="00AC2FB9">
        <w:rPr>
          <w:sz w:val="24"/>
          <w:szCs w:val="24"/>
        </w:rPr>
        <w:t xml:space="preserve">imagine that P has a mental disorder </w:t>
      </w:r>
      <w:r w:rsidR="005962BE">
        <w:rPr>
          <w:sz w:val="24"/>
          <w:szCs w:val="24"/>
        </w:rPr>
        <w:t xml:space="preserve">which may warrant admission for treatment under section 3 of the MHA. </w:t>
      </w:r>
      <w:r w:rsidR="00DC72E7">
        <w:rPr>
          <w:sz w:val="24"/>
          <w:szCs w:val="24"/>
        </w:rPr>
        <w:t xml:space="preserve">His clinical team </w:t>
      </w:r>
      <w:r w:rsidR="001B290E">
        <w:rPr>
          <w:sz w:val="24"/>
          <w:szCs w:val="24"/>
        </w:rPr>
        <w:t>believes that were P to be admitted to hospital on a compulsory basis there is a risk that his mental health will deteriorate further.</w:t>
      </w:r>
      <w:r w:rsidR="001020E1">
        <w:rPr>
          <w:sz w:val="24"/>
          <w:szCs w:val="24"/>
        </w:rPr>
        <w:t xml:space="preserve"> It also recognises that P’s mental disorder means that he poses a risk of harm to other people. </w:t>
      </w:r>
      <w:r w:rsidR="001020E1">
        <w:rPr>
          <w:sz w:val="24"/>
          <w:szCs w:val="24"/>
        </w:rPr>
        <w:lastRenderedPageBreak/>
        <w:t xml:space="preserve">How should P’s clinical team resolve this conflict of risk? </w:t>
      </w:r>
      <w:r w:rsidR="00253B84">
        <w:rPr>
          <w:sz w:val="24"/>
          <w:szCs w:val="24"/>
        </w:rPr>
        <w:t xml:space="preserve">There is nothing in the MHA </w:t>
      </w:r>
      <w:r w:rsidR="00DA1858">
        <w:rPr>
          <w:sz w:val="24"/>
          <w:szCs w:val="24"/>
        </w:rPr>
        <w:t>to suggest that some risks are more worthy of compulsory intervention than others</w:t>
      </w:r>
      <w:r w:rsidR="0053269D">
        <w:rPr>
          <w:sz w:val="24"/>
          <w:szCs w:val="24"/>
        </w:rPr>
        <w:t xml:space="preserve"> and P’s doctors</w:t>
      </w:r>
      <w:r w:rsidR="0018056B">
        <w:rPr>
          <w:sz w:val="24"/>
          <w:szCs w:val="24"/>
        </w:rPr>
        <w:t xml:space="preserve"> </w:t>
      </w:r>
      <w:r w:rsidR="0053269D">
        <w:rPr>
          <w:sz w:val="24"/>
          <w:szCs w:val="24"/>
        </w:rPr>
        <w:t xml:space="preserve">could easily make the case for </w:t>
      </w:r>
      <w:r w:rsidR="00542478">
        <w:rPr>
          <w:sz w:val="24"/>
          <w:szCs w:val="24"/>
        </w:rPr>
        <w:t>‘</w:t>
      </w:r>
      <w:r w:rsidR="0053269D">
        <w:rPr>
          <w:sz w:val="24"/>
          <w:szCs w:val="24"/>
        </w:rPr>
        <w:t>sectioning</w:t>
      </w:r>
      <w:r w:rsidR="00542478">
        <w:rPr>
          <w:sz w:val="24"/>
          <w:szCs w:val="24"/>
        </w:rPr>
        <w:t>’</w:t>
      </w:r>
      <w:r w:rsidR="0053269D">
        <w:rPr>
          <w:sz w:val="24"/>
          <w:szCs w:val="24"/>
        </w:rPr>
        <w:t xml:space="preserve"> him </w:t>
      </w:r>
      <w:r w:rsidR="0053269D" w:rsidRPr="003449AC">
        <w:rPr>
          <w:i/>
          <w:sz w:val="24"/>
          <w:szCs w:val="24"/>
        </w:rPr>
        <w:t>or</w:t>
      </w:r>
      <w:r w:rsidR="003449AC">
        <w:rPr>
          <w:sz w:val="24"/>
          <w:szCs w:val="24"/>
        </w:rPr>
        <w:t xml:space="preserve"> maintaining the status quo.</w:t>
      </w:r>
      <w:r w:rsidR="003C0EF7">
        <w:rPr>
          <w:rStyle w:val="FootnoteReference"/>
          <w:sz w:val="24"/>
          <w:szCs w:val="24"/>
        </w:rPr>
        <w:footnoteReference w:id="141"/>
      </w:r>
      <w:r w:rsidR="00654794">
        <w:rPr>
          <w:sz w:val="24"/>
          <w:szCs w:val="24"/>
        </w:rPr>
        <w:t xml:space="preserve"> Building a legal framework around the concept of risk without defining its content </w:t>
      </w:r>
      <w:r w:rsidR="00655EAD">
        <w:rPr>
          <w:sz w:val="24"/>
          <w:szCs w:val="24"/>
        </w:rPr>
        <w:t xml:space="preserve">in any meaningful way </w:t>
      </w:r>
      <w:r w:rsidR="001A163D">
        <w:rPr>
          <w:sz w:val="24"/>
          <w:szCs w:val="24"/>
        </w:rPr>
        <w:t xml:space="preserve">leaves </w:t>
      </w:r>
      <w:r w:rsidR="00350120">
        <w:rPr>
          <w:sz w:val="24"/>
          <w:szCs w:val="24"/>
        </w:rPr>
        <w:t>its</w:t>
      </w:r>
      <w:r w:rsidR="001030F3">
        <w:rPr>
          <w:sz w:val="24"/>
          <w:szCs w:val="24"/>
        </w:rPr>
        <w:t xml:space="preserve"> operational priorities open </w:t>
      </w:r>
      <w:r w:rsidR="00350120">
        <w:rPr>
          <w:sz w:val="24"/>
          <w:szCs w:val="24"/>
        </w:rPr>
        <w:t>to question.</w:t>
      </w:r>
      <w:r w:rsidR="00521D74">
        <w:rPr>
          <w:rStyle w:val="FootnoteReference"/>
          <w:sz w:val="24"/>
          <w:szCs w:val="24"/>
        </w:rPr>
        <w:footnoteReference w:id="142"/>
      </w:r>
    </w:p>
    <w:p w:rsidR="00724495" w:rsidRDefault="001030F3" w:rsidP="00DE5530">
      <w:pPr>
        <w:spacing w:line="720" w:lineRule="auto"/>
        <w:ind w:firstLine="720"/>
        <w:jc w:val="both"/>
        <w:rPr>
          <w:sz w:val="24"/>
          <w:szCs w:val="24"/>
        </w:rPr>
      </w:pPr>
      <w:r w:rsidRPr="0024703F">
        <w:rPr>
          <w:sz w:val="24"/>
          <w:szCs w:val="24"/>
        </w:rPr>
        <w:t xml:space="preserve">It is unsurprising that in the context of mental health law references to </w:t>
      </w:r>
      <w:r w:rsidR="00542478">
        <w:rPr>
          <w:sz w:val="24"/>
          <w:szCs w:val="24"/>
        </w:rPr>
        <w:t>‘</w:t>
      </w:r>
      <w:r w:rsidRPr="0024703F">
        <w:rPr>
          <w:sz w:val="24"/>
          <w:szCs w:val="24"/>
        </w:rPr>
        <w:t>risk</w:t>
      </w:r>
      <w:r w:rsidR="00542478">
        <w:rPr>
          <w:sz w:val="24"/>
          <w:szCs w:val="24"/>
        </w:rPr>
        <w:t>’</w:t>
      </w:r>
      <w:r w:rsidRPr="0024703F">
        <w:rPr>
          <w:sz w:val="24"/>
          <w:szCs w:val="24"/>
        </w:rPr>
        <w:t xml:space="preserve"> are instinc</w:t>
      </w:r>
      <w:r w:rsidR="00EE37C8" w:rsidRPr="0024703F">
        <w:rPr>
          <w:sz w:val="24"/>
          <w:szCs w:val="24"/>
        </w:rPr>
        <w:t>t</w:t>
      </w:r>
      <w:r w:rsidR="005D1978" w:rsidRPr="0024703F">
        <w:rPr>
          <w:sz w:val="24"/>
          <w:szCs w:val="24"/>
        </w:rPr>
        <w:t>ively associated with violence.</w:t>
      </w:r>
      <w:r w:rsidR="0024703F" w:rsidRPr="0024703F">
        <w:rPr>
          <w:sz w:val="24"/>
          <w:szCs w:val="24"/>
        </w:rPr>
        <w:t xml:space="preserve"> </w:t>
      </w:r>
      <w:r w:rsidR="0072462C">
        <w:rPr>
          <w:sz w:val="24"/>
          <w:szCs w:val="24"/>
        </w:rPr>
        <w:t xml:space="preserve">If </w:t>
      </w:r>
      <w:r w:rsidR="00542478">
        <w:rPr>
          <w:sz w:val="24"/>
          <w:szCs w:val="24"/>
        </w:rPr>
        <w:t>‘</w:t>
      </w:r>
      <w:r w:rsidR="0072462C">
        <w:rPr>
          <w:sz w:val="24"/>
          <w:szCs w:val="24"/>
        </w:rPr>
        <w:t>risk</w:t>
      </w:r>
      <w:r w:rsidR="00542478">
        <w:rPr>
          <w:sz w:val="24"/>
          <w:szCs w:val="24"/>
        </w:rPr>
        <w:t>’</w:t>
      </w:r>
      <w:r w:rsidR="003405A2">
        <w:rPr>
          <w:sz w:val="24"/>
          <w:szCs w:val="24"/>
        </w:rPr>
        <w:t xml:space="preserve"> is </w:t>
      </w:r>
      <w:r w:rsidR="00007096">
        <w:rPr>
          <w:sz w:val="24"/>
          <w:szCs w:val="24"/>
        </w:rPr>
        <w:t xml:space="preserve">mainly </w:t>
      </w:r>
      <w:r w:rsidR="003405A2">
        <w:rPr>
          <w:sz w:val="24"/>
          <w:szCs w:val="24"/>
        </w:rPr>
        <w:t>interpreted</w:t>
      </w:r>
      <w:r w:rsidR="0072462C">
        <w:rPr>
          <w:sz w:val="24"/>
          <w:szCs w:val="24"/>
        </w:rPr>
        <w:t xml:space="preserve"> </w:t>
      </w:r>
      <w:r w:rsidR="00C92608">
        <w:rPr>
          <w:sz w:val="24"/>
          <w:szCs w:val="24"/>
        </w:rPr>
        <w:t>as</w:t>
      </w:r>
      <w:r w:rsidR="0072462C">
        <w:rPr>
          <w:sz w:val="24"/>
          <w:szCs w:val="24"/>
        </w:rPr>
        <w:t xml:space="preserve"> </w:t>
      </w:r>
      <w:r w:rsidR="00542478">
        <w:rPr>
          <w:sz w:val="24"/>
          <w:szCs w:val="24"/>
        </w:rPr>
        <w:t>‘</w:t>
      </w:r>
      <w:r w:rsidR="0072462C">
        <w:rPr>
          <w:sz w:val="24"/>
          <w:szCs w:val="24"/>
        </w:rPr>
        <w:t xml:space="preserve">risk of </w:t>
      </w:r>
      <w:r w:rsidR="00EB543D">
        <w:rPr>
          <w:sz w:val="24"/>
          <w:szCs w:val="24"/>
        </w:rPr>
        <w:t>harm to others</w:t>
      </w:r>
      <w:r w:rsidR="00542478">
        <w:rPr>
          <w:sz w:val="24"/>
          <w:szCs w:val="24"/>
        </w:rPr>
        <w:t>’</w:t>
      </w:r>
      <w:r w:rsidR="00ED2E5D">
        <w:rPr>
          <w:sz w:val="24"/>
          <w:szCs w:val="24"/>
        </w:rPr>
        <w:t xml:space="preserve"> then any escalati</w:t>
      </w:r>
      <w:r w:rsidR="000C02D6">
        <w:rPr>
          <w:sz w:val="24"/>
          <w:szCs w:val="24"/>
        </w:rPr>
        <w:t xml:space="preserve">on in the intensity of clinical </w:t>
      </w:r>
      <w:r w:rsidR="003C7930">
        <w:rPr>
          <w:sz w:val="24"/>
          <w:szCs w:val="24"/>
        </w:rPr>
        <w:t xml:space="preserve">interventions </w:t>
      </w:r>
      <w:r w:rsidR="00FD5F27">
        <w:rPr>
          <w:sz w:val="24"/>
          <w:szCs w:val="24"/>
        </w:rPr>
        <w:t>must</w:t>
      </w:r>
      <w:r w:rsidR="00151E1B">
        <w:rPr>
          <w:sz w:val="24"/>
          <w:szCs w:val="24"/>
        </w:rPr>
        <w:t xml:space="preserve"> necessarily</w:t>
      </w:r>
      <w:r w:rsidR="003C7930">
        <w:rPr>
          <w:sz w:val="24"/>
          <w:szCs w:val="24"/>
        </w:rPr>
        <w:t xml:space="preserve"> correlate to </w:t>
      </w:r>
      <w:r w:rsidR="00316B0E">
        <w:rPr>
          <w:sz w:val="24"/>
          <w:szCs w:val="24"/>
        </w:rPr>
        <w:t xml:space="preserve">an increased likelihood that a patient </w:t>
      </w:r>
      <w:r w:rsidR="00475187">
        <w:rPr>
          <w:sz w:val="24"/>
          <w:szCs w:val="24"/>
        </w:rPr>
        <w:t>will exhibit violent behaviour.</w:t>
      </w:r>
      <w:r w:rsidR="00C92608">
        <w:rPr>
          <w:sz w:val="24"/>
          <w:szCs w:val="24"/>
        </w:rPr>
        <w:t xml:space="preserve"> </w:t>
      </w:r>
      <w:r w:rsidR="003A09A8">
        <w:rPr>
          <w:sz w:val="24"/>
          <w:szCs w:val="24"/>
        </w:rPr>
        <w:t xml:space="preserve">Yet </w:t>
      </w:r>
      <w:r w:rsidR="00542478">
        <w:rPr>
          <w:sz w:val="24"/>
          <w:szCs w:val="24"/>
        </w:rPr>
        <w:t>‘</w:t>
      </w:r>
      <w:r w:rsidR="003A09A8">
        <w:rPr>
          <w:sz w:val="24"/>
          <w:szCs w:val="24"/>
        </w:rPr>
        <w:t>risk</w:t>
      </w:r>
      <w:r w:rsidR="00542478">
        <w:rPr>
          <w:sz w:val="24"/>
          <w:szCs w:val="24"/>
        </w:rPr>
        <w:t>’</w:t>
      </w:r>
      <w:r w:rsidR="003A09A8">
        <w:rPr>
          <w:sz w:val="24"/>
          <w:szCs w:val="24"/>
        </w:rPr>
        <w:t xml:space="preserve"> could just as easily relate to</w:t>
      </w:r>
      <w:r w:rsidR="00925330">
        <w:rPr>
          <w:sz w:val="24"/>
          <w:szCs w:val="24"/>
        </w:rPr>
        <w:t xml:space="preserve"> </w:t>
      </w:r>
      <w:r w:rsidR="0086367F">
        <w:rPr>
          <w:sz w:val="24"/>
          <w:szCs w:val="24"/>
        </w:rPr>
        <w:t>P’s</w:t>
      </w:r>
      <w:r w:rsidR="003A09A8">
        <w:rPr>
          <w:sz w:val="24"/>
          <w:szCs w:val="24"/>
        </w:rPr>
        <w:t xml:space="preserve"> </w:t>
      </w:r>
      <w:r w:rsidR="00542478">
        <w:rPr>
          <w:sz w:val="24"/>
          <w:szCs w:val="24"/>
        </w:rPr>
        <w:t>‘</w:t>
      </w:r>
      <w:r w:rsidR="003A09A8">
        <w:rPr>
          <w:sz w:val="24"/>
          <w:szCs w:val="24"/>
        </w:rPr>
        <w:t>vulnerability</w:t>
      </w:r>
      <w:r w:rsidR="00542478">
        <w:rPr>
          <w:sz w:val="24"/>
          <w:szCs w:val="24"/>
        </w:rPr>
        <w:t>’</w:t>
      </w:r>
      <w:r w:rsidR="0000409E">
        <w:rPr>
          <w:sz w:val="24"/>
          <w:szCs w:val="24"/>
        </w:rPr>
        <w:t xml:space="preserve">; that is, her mental disorder and </w:t>
      </w:r>
      <w:r w:rsidR="00C9767E">
        <w:rPr>
          <w:sz w:val="24"/>
          <w:szCs w:val="24"/>
        </w:rPr>
        <w:t>in</w:t>
      </w:r>
      <w:r w:rsidR="0000409E">
        <w:rPr>
          <w:sz w:val="24"/>
          <w:szCs w:val="24"/>
        </w:rPr>
        <w:t xml:space="preserve">capacity </w:t>
      </w:r>
      <w:r w:rsidR="006F1405">
        <w:rPr>
          <w:sz w:val="24"/>
          <w:szCs w:val="24"/>
        </w:rPr>
        <w:t>might increase the risk</w:t>
      </w:r>
      <w:r w:rsidR="00C203DE">
        <w:rPr>
          <w:sz w:val="24"/>
          <w:szCs w:val="24"/>
        </w:rPr>
        <w:t xml:space="preserve"> that a third party will cause harm to her</w:t>
      </w:r>
      <w:r w:rsidR="006F1405">
        <w:rPr>
          <w:sz w:val="24"/>
          <w:szCs w:val="24"/>
        </w:rPr>
        <w:t xml:space="preserve">. </w:t>
      </w:r>
      <w:r w:rsidR="00AE3D8D">
        <w:rPr>
          <w:sz w:val="24"/>
          <w:szCs w:val="24"/>
        </w:rPr>
        <w:t>It is</w:t>
      </w:r>
      <w:r w:rsidR="00A67466">
        <w:rPr>
          <w:sz w:val="24"/>
          <w:szCs w:val="24"/>
        </w:rPr>
        <w:t xml:space="preserve"> therefore</w:t>
      </w:r>
      <w:r w:rsidR="00AE3D8D">
        <w:rPr>
          <w:sz w:val="24"/>
          <w:szCs w:val="24"/>
        </w:rPr>
        <w:t xml:space="preserve"> possible to describe a vulnerable patient as being </w:t>
      </w:r>
      <w:r w:rsidR="00542478">
        <w:rPr>
          <w:sz w:val="24"/>
          <w:szCs w:val="24"/>
        </w:rPr>
        <w:t>‘</w:t>
      </w:r>
      <w:r w:rsidR="00AE3D8D">
        <w:rPr>
          <w:sz w:val="24"/>
          <w:szCs w:val="24"/>
        </w:rPr>
        <w:t>at risk</w:t>
      </w:r>
      <w:r w:rsidR="00542478">
        <w:rPr>
          <w:sz w:val="24"/>
          <w:szCs w:val="24"/>
        </w:rPr>
        <w:t>’</w:t>
      </w:r>
      <w:r w:rsidR="00DC3C7E">
        <w:rPr>
          <w:sz w:val="24"/>
          <w:szCs w:val="24"/>
        </w:rPr>
        <w:t>; indeed, the more vulnerable she is, the greater the risk becomes</w:t>
      </w:r>
      <w:r w:rsidR="00007096">
        <w:rPr>
          <w:sz w:val="24"/>
          <w:szCs w:val="24"/>
        </w:rPr>
        <w:t xml:space="preserve">, </w:t>
      </w:r>
      <w:r w:rsidR="00007096">
        <w:rPr>
          <w:sz w:val="24"/>
          <w:szCs w:val="24"/>
        </w:rPr>
        <w:lastRenderedPageBreak/>
        <w:t xml:space="preserve">and the stronger the case </w:t>
      </w:r>
      <w:r w:rsidR="00262311">
        <w:rPr>
          <w:sz w:val="24"/>
          <w:szCs w:val="24"/>
        </w:rPr>
        <w:t>is</w:t>
      </w:r>
      <w:r w:rsidR="00007096">
        <w:rPr>
          <w:sz w:val="24"/>
          <w:szCs w:val="24"/>
        </w:rPr>
        <w:t xml:space="preserve"> for more restrictive interventions or deprivations of liberty.</w:t>
      </w:r>
      <w:r w:rsidR="00262311">
        <w:rPr>
          <w:sz w:val="24"/>
          <w:szCs w:val="24"/>
        </w:rPr>
        <w:t xml:space="preserve"> Yet this </w:t>
      </w:r>
      <w:r w:rsidR="009E5010">
        <w:rPr>
          <w:sz w:val="24"/>
          <w:szCs w:val="24"/>
        </w:rPr>
        <w:t>does</w:t>
      </w:r>
      <w:r w:rsidR="00262311">
        <w:rPr>
          <w:sz w:val="24"/>
          <w:szCs w:val="24"/>
        </w:rPr>
        <w:t xml:space="preserve"> not necessarily follow: </w:t>
      </w:r>
      <w:r w:rsidR="00D32BCC">
        <w:rPr>
          <w:sz w:val="24"/>
          <w:szCs w:val="24"/>
        </w:rPr>
        <w:t>it</w:t>
      </w:r>
      <w:r w:rsidR="004B3CDB">
        <w:rPr>
          <w:sz w:val="24"/>
          <w:szCs w:val="24"/>
        </w:rPr>
        <w:t xml:space="preserve"> is</w:t>
      </w:r>
      <w:r w:rsidR="004B3CDB" w:rsidRPr="009E57AF">
        <w:rPr>
          <w:sz w:val="24"/>
          <w:szCs w:val="24"/>
        </w:rPr>
        <w:t xml:space="preserve"> </w:t>
      </w:r>
      <w:r w:rsidR="004B3CDB">
        <w:rPr>
          <w:sz w:val="24"/>
          <w:szCs w:val="24"/>
        </w:rPr>
        <w:t xml:space="preserve">unlikely </w:t>
      </w:r>
      <w:r w:rsidR="00D32BCC">
        <w:rPr>
          <w:sz w:val="24"/>
          <w:szCs w:val="24"/>
        </w:rPr>
        <w:t xml:space="preserve">that the most vulnerable patients </w:t>
      </w:r>
      <w:r w:rsidR="004B3CDB">
        <w:rPr>
          <w:sz w:val="24"/>
          <w:szCs w:val="24"/>
        </w:rPr>
        <w:t>require</w:t>
      </w:r>
      <w:r w:rsidR="00D32BCC">
        <w:rPr>
          <w:sz w:val="24"/>
          <w:szCs w:val="24"/>
        </w:rPr>
        <w:t xml:space="preserve"> the</w:t>
      </w:r>
      <w:r w:rsidR="007E316F">
        <w:rPr>
          <w:sz w:val="24"/>
          <w:szCs w:val="24"/>
        </w:rPr>
        <w:t xml:space="preserve"> most</w:t>
      </w:r>
      <w:r w:rsidR="00D32BCC">
        <w:rPr>
          <w:sz w:val="24"/>
          <w:szCs w:val="24"/>
        </w:rPr>
        <w:t xml:space="preserve"> coercive</w:t>
      </w:r>
      <w:r w:rsidR="007E316F">
        <w:rPr>
          <w:sz w:val="24"/>
          <w:szCs w:val="24"/>
        </w:rPr>
        <w:t xml:space="preserve"> interventions.</w:t>
      </w:r>
      <w:r w:rsidR="00D32BCC">
        <w:rPr>
          <w:sz w:val="24"/>
          <w:szCs w:val="24"/>
        </w:rPr>
        <w:t xml:space="preserve"> </w:t>
      </w:r>
      <w:r w:rsidR="00A02C47">
        <w:rPr>
          <w:sz w:val="24"/>
          <w:szCs w:val="24"/>
        </w:rPr>
        <w:t xml:space="preserve">What this demonstrates is that defining </w:t>
      </w:r>
      <w:r w:rsidR="00542478">
        <w:rPr>
          <w:sz w:val="24"/>
          <w:szCs w:val="24"/>
        </w:rPr>
        <w:t>‘</w:t>
      </w:r>
      <w:r w:rsidR="00A02C47">
        <w:rPr>
          <w:sz w:val="24"/>
          <w:szCs w:val="24"/>
        </w:rPr>
        <w:t>risk</w:t>
      </w:r>
      <w:r w:rsidR="00542478">
        <w:rPr>
          <w:sz w:val="24"/>
          <w:szCs w:val="24"/>
        </w:rPr>
        <w:t>’</w:t>
      </w:r>
      <w:r w:rsidR="00A02C47">
        <w:rPr>
          <w:sz w:val="24"/>
          <w:szCs w:val="24"/>
        </w:rPr>
        <w:t xml:space="preserve"> is crucial if it is to play any meaningful role in organising the law’s mechanics. </w:t>
      </w:r>
      <w:r w:rsidR="0022017A">
        <w:rPr>
          <w:sz w:val="24"/>
          <w:szCs w:val="24"/>
        </w:rPr>
        <w:t xml:space="preserve">If </w:t>
      </w:r>
      <w:r w:rsidR="00542478">
        <w:rPr>
          <w:sz w:val="24"/>
          <w:szCs w:val="24"/>
        </w:rPr>
        <w:t>‘</w:t>
      </w:r>
      <w:r w:rsidR="0022017A">
        <w:rPr>
          <w:sz w:val="24"/>
          <w:szCs w:val="24"/>
        </w:rPr>
        <w:t>risk</w:t>
      </w:r>
      <w:r w:rsidR="00542478">
        <w:rPr>
          <w:sz w:val="24"/>
          <w:szCs w:val="24"/>
        </w:rPr>
        <w:t>’</w:t>
      </w:r>
      <w:r w:rsidR="0022017A">
        <w:rPr>
          <w:sz w:val="24"/>
          <w:szCs w:val="24"/>
        </w:rPr>
        <w:t xml:space="preserve"> is associated with harm to others then a legal framework characterised by escalating </w:t>
      </w:r>
      <w:r w:rsidR="000E0E79">
        <w:rPr>
          <w:sz w:val="24"/>
          <w:szCs w:val="24"/>
        </w:rPr>
        <w:t xml:space="preserve">restrictiveness </w:t>
      </w:r>
      <w:r w:rsidR="00FA24DD">
        <w:rPr>
          <w:sz w:val="24"/>
          <w:szCs w:val="24"/>
        </w:rPr>
        <w:t>is</w:t>
      </w:r>
      <w:r w:rsidR="000E0E79">
        <w:rPr>
          <w:sz w:val="24"/>
          <w:szCs w:val="24"/>
        </w:rPr>
        <w:t xml:space="preserve"> a vehicle for public protection; if it is associated with </w:t>
      </w:r>
      <w:r w:rsidR="00542478">
        <w:rPr>
          <w:sz w:val="24"/>
          <w:szCs w:val="24"/>
        </w:rPr>
        <w:t>‘</w:t>
      </w:r>
      <w:r w:rsidR="000E0E79">
        <w:rPr>
          <w:sz w:val="24"/>
          <w:szCs w:val="24"/>
        </w:rPr>
        <w:t>vulnerability</w:t>
      </w:r>
      <w:r w:rsidR="00542478">
        <w:rPr>
          <w:sz w:val="24"/>
          <w:szCs w:val="24"/>
        </w:rPr>
        <w:t>’</w:t>
      </w:r>
      <w:r w:rsidR="00EF10D1">
        <w:rPr>
          <w:sz w:val="24"/>
          <w:szCs w:val="24"/>
        </w:rPr>
        <w:t xml:space="preserve"> then it fails to map onto patients’ care needs. Whether it is possible to select a definition of </w:t>
      </w:r>
      <w:r w:rsidR="00542478">
        <w:rPr>
          <w:sz w:val="24"/>
          <w:szCs w:val="24"/>
        </w:rPr>
        <w:t>‘</w:t>
      </w:r>
      <w:r w:rsidR="00EF10D1">
        <w:rPr>
          <w:sz w:val="24"/>
          <w:szCs w:val="24"/>
        </w:rPr>
        <w:t>risk</w:t>
      </w:r>
      <w:r w:rsidR="00542478">
        <w:rPr>
          <w:sz w:val="24"/>
          <w:szCs w:val="24"/>
        </w:rPr>
        <w:t>’</w:t>
      </w:r>
      <w:r w:rsidR="00EF10D1">
        <w:rPr>
          <w:sz w:val="24"/>
          <w:szCs w:val="24"/>
        </w:rPr>
        <w:t xml:space="preserve"> that would provide a satisfactory and coherent basis on which to organise mental health and capacity law seems doubtful.</w:t>
      </w:r>
      <w:r w:rsidR="00A02C47">
        <w:rPr>
          <w:sz w:val="24"/>
          <w:szCs w:val="24"/>
        </w:rPr>
        <w:t xml:space="preserve"> </w:t>
      </w:r>
    </w:p>
    <w:p w:rsidR="003F224B" w:rsidRDefault="00BB5DE2" w:rsidP="00DE5530">
      <w:pPr>
        <w:spacing w:line="720" w:lineRule="auto"/>
        <w:ind w:firstLine="720"/>
        <w:jc w:val="both"/>
        <w:rPr>
          <w:sz w:val="24"/>
          <w:szCs w:val="24"/>
        </w:rPr>
      </w:pPr>
      <w:r>
        <w:rPr>
          <w:sz w:val="24"/>
          <w:szCs w:val="24"/>
        </w:rPr>
        <w:t>Finally,</w:t>
      </w:r>
      <w:r w:rsidR="00724495">
        <w:rPr>
          <w:sz w:val="24"/>
          <w:szCs w:val="24"/>
        </w:rPr>
        <w:t xml:space="preserve"> </w:t>
      </w:r>
      <w:r w:rsidR="00701AFB">
        <w:rPr>
          <w:sz w:val="24"/>
          <w:szCs w:val="24"/>
        </w:rPr>
        <w:t>the c</w:t>
      </w:r>
      <w:r w:rsidR="004E1BA7">
        <w:rPr>
          <w:sz w:val="24"/>
          <w:szCs w:val="24"/>
        </w:rPr>
        <w:t>ontinuing significance of risk</w:t>
      </w:r>
      <w:r w:rsidR="00701AFB">
        <w:rPr>
          <w:sz w:val="24"/>
          <w:szCs w:val="24"/>
        </w:rPr>
        <w:t xml:space="preserve"> </w:t>
      </w:r>
      <w:r w:rsidR="00D743FA">
        <w:rPr>
          <w:sz w:val="24"/>
          <w:szCs w:val="24"/>
        </w:rPr>
        <w:t>conflict</w:t>
      </w:r>
      <w:r w:rsidR="00082DCF">
        <w:rPr>
          <w:sz w:val="24"/>
          <w:szCs w:val="24"/>
        </w:rPr>
        <w:t>s</w:t>
      </w:r>
      <w:r w:rsidR="00701AFB">
        <w:rPr>
          <w:sz w:val="24"/>
          <w:szCs w:val="24"/>
        </w:rPr>
        <w:t xml:space="preserve"> with the</w:t>
      </w:r>
      <w:r w:rsidR="007649A7">
        <w:rPr>
          <w:sz w:val="24"/>
          <w:szCs w:val="24"/>
        </w:rPr>
        <w:t xml:space="preserve"> United Kingdom’s obligations under the</w:t>
      </w:r>
      <w:r w:rsidR="00701AFB">
        <w:rPr>
          <w:sz w:val="24"/>
          <w:szCs w:val="24"/>
        </w:rPr>
        <w:t xml:space="preserve"> </w:t>
      </w:r>
      <w:r w:rsidR="00F368C9">
        <w:rPr>
          <w:sz w:val="24"/>
          <w:szCs w:val="24"/>
        </w:rPr>
        <w:t>CRPD</w:t>
      </w:r>
      <w:r w:rsidRPr="00B84853">
        <w:rPr>
          <w:sz w:val="24"/>
          <w:szCs w:val="24"/>
        </w:rPr>
        <w:t>.</w:t>
      </w:r>
      <w:r w:rsidR="00A74BC8">
        <w:rPr>
          <w:sz w:val="24"/>
          <w:szCs w:val="24"/>
        </w:rPr>
        <w:t xml:space="preserve"> </w:t>
      </w:r>
      <w:r w:rsidR="001D0051">
        <w:rPr>
          <w:sz w:val="24"/>
          <w:szCs w:val="24"/>
        </w:rPr>
        <w:t xml:space="preserve">The </w:t>
      </w:r>
      <w:r w:rsidR="001A63E8">
        <w:rPr>
          <w:sz w:val="24"/>
          <w:szCs w:val="24"/>
        </w:rPr>
        <w:t>Convention</w:t>
      </w:r>
      <w:r w:rsidR="001D0051">
        <w:rPr>
          <w:sz w:val="24"/>
          <w:szCs w:val="24"/>
        </w:rPr>
        <w:t xml:space="preserve"> requires States Parties to recognise that </w:t>
      </w:r>
      <w:r w:rsidR="00542478">
        <w:rPr>
          <w:sz w:val="24"/>
          <w:szCs w:val="24"/>
        </w:rPr>
        <w:t>‘</w:t>
      </w:r>
      <w:r w:rsidR="001D0051">
        <w:rPr>
          <w:sz w:val="24"/>
          <w:szCs w:val="24"/>
        </w:rPr>
        <w:t>all persons are equal before and under the law and are entitled without any discrimination to the equal protection and equal benefit of the law</w:t>
      </w:r>
      <w:r w:rsidR="00312E2E">
        <w:rPr>
          <w:sz w:val="24"/>
          <w:szCs w:val="24"/>
        </w:rPr>
        <w:t>’.</w:t>
      </w:r>
      <w:r w:rsidR="001D0051">
        <w:rPr>
          <w:rStyle w:val="FootnoteReference"/>
          <w:sz w:val="24"/>
          <w:szCs w:val="24"/>
        </w:rPr>
        <w:footnoteReference w:id="143"/>
      </w:r>
      <w:r w:rsidR="001D0051">
        <w:rPr>
          <w:sz w:val="24"/>
          <w:szCs w:val="24"/>
        </w:rPr>
        <w:t xml:space="preserve"> </w:t>
      </w:r>
      <w:r w:rsidR="00664FB4">
        <w:rPr>
          <w:sz w:val="24"/>
          <w:szCs w:val="24"/>
        </w:rPr>
        <w:t xml:space="preserve">As Bartlett has written, it is difficult to see how UK mental health legislation as it stands can be remotely compliant with the </w:t>
      </w:r>
      <w:r w:rsidR="00664FB4">
        <w:rPr>
          <w:sz w:val="24"/>
          <w:szCs w:val="24"/>
        </w:rPr>
        <w:lastRenderedPageBreak/>
        <w:t>CRPD</w:t>
      </w:r>
      <w:r w:rsidR="009C193D">
        <w:rPr>
          <w:sz w:val="24"/>
          <w:szCs w:val="24"/>
        </w:rPr>
        <w:t>’s principle of non-discrimination</w:t>
      </w:r>
      <w:r w:rsidR="00664FB4">
        <w:rPr>
          <w:sz w:val="24"/>
          <w:szCs w:val="24"/>
        </w:rPr>
        <w:t>.</w:t>
      </w:r>
      <w:r w:rsidR="00664FB4">
        <w:rPr>
          <w:rStyle w:val="FootnoteReference"/>
          <w:sz w:val="24"/>
          <w:szCs w:val="24"/>
        </w:rPr>
        <w:footnoteReference w:id="144"/>
      </w:r>
      <w:r w:rsidR="001D0051">
        <w:rPr>
          <w:sz w:val="24"/>
          <w:szCs w:val="24"/>
        </w:rPr>
        <w:t xml:space="preserve"> </w:t>
      </w:r>
      <w:r w:rsidR="00956FEC">
        <w:rPr>
          <w:sz w:val="24"/>
          <w:szCs w:val="24"/>
        </w:rPr>
        <w:t xml:space="preserve">Having ratified the </w:t>
      </w:r>
      <w:r w:rsidR="00CF5180">
        <w:rPr>
          <w:sz w:val="24"/>
          <w:szCs w:val="24"/>
        </w:rPr>
        <w:t>Convention</w:t>
      </w:r>
      <w:r w:rsidR="00956FEC">
        <w:rPr>
          <w:sz w:val="24"/>
          <w:szCs w:val="24"/>
        </w:rPr>
        <w:t xml:space="preserve"> in 2009, the UK is obliged </w:t>
      </w:r>
      <w:r w:rsidR="00542478">
        <w:rPr>
          <w:sz w:val="24"/>
          <w:szCs w:val="24"/>
        </w:rPr>
        <w:t>‘</w:t>
      </w:r>
      <w:r w:rsidR="000B05B2">
        <w:rPr>
          <w:sz w:val="24"/>
          <w:szCs w:val="24"/>
        </w:rPr>
        <w:t>to modify or abolish existing laws, regulations, customs and practices that constitute discrimination against persons with disabilities</w:t>
      </w:r>
      <w:r w:rsidR="00312E2E">
        <w:rPr>
          <w:sz w:val="24"/>
          <w:szCs w:val="24"/>
        </w:rPr>
        <w:t>’.</w:t>
      </w:r>
      <w:r w:rsidR="000B05B2">
        <w:rPr>
          <w:rStyle w:val="FootnoteReference"/>
          <w:sz w:val="24"/>
          <w:szCs w:val="24"/>
        </w:rPr>
        <w:footnoteReference w:id="145"/>
      </w:r>
      <w:r w:rsidR="0050264D">
        <w:rPr>
          <w:sz w:val="24"/>
          <w:szCs w:val="24"/>
        </w:rPr>
        <w:t xml:space="preserve"> One might </w:t>
      </w:r>
      <w:r w:rsidR="00FA69E7">
        <w:rPr>
          <w:sz w:val="24"/>
          <w:szCs w:val="24"/>
        </w:rPr>
        <w:t xml:space="preserve">therefore </w:t>
      </w:r>
      <w:r w:rsidR="0050264D">
        <w:rPr>
          <w:sz w:val="24"/>
          <w:szCs w:val="24"/>
        </w:rPr>
        <w:t>expect that the upshot of this obligation woul</w:t>
      </w:r>
      <w:r w:rsidR="00FA69E7">
        <w:rPr>
          <w:sz w:val="24"/>
          <w:szCs w:val="24"/>
        </w:rPr>
        <w:t>d be the abolition of the MHA and</w:t>
      </w:r>
      <w:r w:rsidR="0050264D">
        <w:rPr>
          <w:sz w:val="24"/>
          <w:szCs w:val="24"/>
        </w:rPr>
        <w:t xml:space="preserve"> a radical reimagining of the</w:t>
      </w:r>
      <w:r w:rsidR="00FA69E7">
        <w:rPr>
          <w:sz w:val="24"/>
          <w:szCs w:val="24"/>
        </w:rPr>
        <w:t xml:space="preserve"> </w:t>
      </w:r>
      <w:r w:rsidR="002E6EFF">
        <w:rPr>
          <w:sz w:val="24"/>
          <w:szCs w:val="24"/>
        </w:rPr>
        <w:t>nature and purpose of mental health and capacity law.</w:t>
      </w:r>
      <w:r w:rsidR="00AC5E88">
        <w:rPr>
          <w:sz w:val="24"/>
          <w:szCs w:val="24"/>
        </w:rPr>
        <w:t xml:space="preserve"> </w:t>
      </w:r>
      <w:r w:rsidR="00EE3C5F">
        <w:rPr>
          <w:sz w:val="24"/>
          <w:szCs w:val="24"/>
        </w:rPr>
        <w:t>T</w:t>
      </w:r>
      <w:r w:rsidR="0050264D">
        <w:rPr>
          <w:sz w:val="24"/>
          <w:szCs w:val="24"/>
        </w:rPr>
        <w:t>he Law Commission’s</w:t>
      </w:r>
      <w:r w:rsidR="004B3CDB">
        <w:rPr>
          <w:sz w:val="24"/>
          <w:szCs w:val="24"/>
        </w:rPr>
        <w:t xml:space="preserve"> original</w:t>
      </w:r>
      <w:r w:rsidR="0050264D">
        <w:rPr>
          <w:sz w:val="24"/>
          <w:szCs w:val="24"/>
        </w:rPr>
        <w:t xml:space="preserve"> proposal</w:t>
      </w:r>
      <w:r w:rsidR="004B3CDB">
        <w:rPr>
          <w:sz w:val="24"/>
          <w:szCs w:val="24"/>
        </w:rPr>
        <w:t>s</w:t>
      </w:r>
      <w:r w:rsidR="0050264D">
        <w:rPr>
          <w:sz w:val="24"/>
          <w:szCs w:val="24"/>
        </w:rPr>
        <w:t xml:space="preserve"> for a </w:t>
      </w:r>
      <w:r w:rsidR="00542478">
        <w:rPr>
          <w:sz w:val="24"/>
          <w:szCs w:val="24"/>
        </w:rPr>
        <w:t>‘</w:t>
      </w:r>
      <w:r w:rsidR="0050264D">
        <w:rPr>
          <w:sz w:val="24"/>
          <w:szCs w:val="24"/>
        </w:rPr>
        <w:t>protective care</w:t>
      </w:r>
      <w:r w:rsidR="00542478">
        <w:rPr>
          <w:sz w:val="24"/>
          <w:szCs w:val="24"/>
        </w:rPr>
        <w:t>’</w:t>
      </w:r>
      <w:r w:rsidR="0050264D">
        <w:rPr>
          <w:sz w:val="24"/>
          <w:szCs w:val="24"/>
        </w:rPr>
        <w:t xml:space="preserve"> scheme and an expansion of the MHA</w:t>
      </w:r>
      <w:r w:rsidR="00D5418E">
        <w:rPr>
          <w:sz w:val="24"/>
          <w:szCs w:val="24"/>
        </w:rPr>
        <w:t xml:space="preserve"> pull</w:t>
      </w:r>
      <w:r w:rsidR="004B3CDB">
        <w:rPr>
          <w:sz w:val="24"/>
          <w:szCs w:val="24"/>
        </w:rPr>
        <w:t>ed</w:t>
      </w:r>
      <w:r w:rsidR="00D5418E">
        <w:rPr>
          <w:sz w:val="24"/>
          <w:szCs w:val="24"/>
        </w:rPr>
        <w:t xml:space="preserve"> i</w:t>
      </w:r>
      <w:r w:rsidR="0050264D">
        <w:rPr>
          <w:sz w:val="24"/>
          <w:szCs w:val="24"/>
        </w:rPr>
        <w:t>n the opposite direction.</w:t>
      </w:r>
      <w:r w:rsidR="00152EF8">
        <w:rPr>
          <w:sz w:val="24"/>
          <w:szCs w:val="24"/>
        </w:rPr>
        <w:t xml:space="preserve"> </w:t>
      </w:r>
      <w:r w:rsidR="0050264D">
        <w:rPr>
          <w:sz w:val="24"/>
          <w:szCs w:val="24"/>
        </w:rPr>
        <w:t xml:space="preserve">In the post-CRPD </w:t>
      </w:r>
      <w:r w:rsidR="00D5418E">
        <w:rPr>
          <w:sz w:val="24"/>
          <w:szCs w:val="24"/>
        </w:rPr>
        <w:t>era, proposals such as these seem</w:t>
      </w:r>
      <w:r w:rsidR="0050264D">
        <w:rPr>
          <w:sz w:val="24"/>
          <w:szCs w:val="24"/>
        </w:rPr>
        <w:t xml:space="preserve"> intrinsically problematic</w:t>
      </w:r>
      <w:r w:rsidR="00D5418E">
        <w:rPr>
          <w:sz w:val="24"/>
          <w:szCs w:val="24"/>
        </w:rPr>
        <w:t xml:space="preserve">: </w:t>
      </w:r>
      <w:r w:rsidR="001125B2">
        <w:rPr>
          <w:sz w:val="24"/>
          <w:szCs w:val="24"/>
        </w:rPr>
        <w:t>how can legal frameworks whose very operation turns on considerations of</w:t>
      </w:r>
      <w:r w:rsidR="003946FF">
        <w:rPr>
          <w:sz w:val="24"/>
          <w:szCs w:val="24"/>
        </w:rPr>
        <w:t xml:space="preserve"> a mentally disordered person’s</w:t>
      </w:r>
      <w:r w:rsidR="001125B2">
        <w:rPr>
          <w:sz w:val="24"/>
          <w:szCs w:val="24"/>
        </w:rPr>
        <w:t xml:space="preserve"> incapacity or risk</w:t>
      </w:r>
      <w:r w:rsidR="003946FF">
        <w:rPr>
          <w:sz w:val="24"/>
          <w:szCs w:val="24"/>
        </w:rPr>
        <w:t xml:space="preserve"> possibly </w:t>
      </w:r>
      <w:r w:rsidR="003F224B">
        <w:rPr>
          <w:sz w:val="24"/>
          <w:szCs w:val="24"/>
        </w:rPr>
        <w:t>function in accordance with the principle of non-discrimination?</w:t>
      </w:r>
    </w:p>
    <w:p w:rsidR="00BC78FE" w:rsidRDefault="00EE3C5F" w:rsidP="00BC78FE">
      <w:pPr>
        <w:spacing w:line="720" w:lineRule="auto"/>
        <w:ind w:firstLine="720"/>
        <w:jc w:val="both"/>
        <w:rPr>
          <w:sz w:val="24"/>
          <w:szCs w:val="24"/>
        </w:rPr>
      </w:pPr>
      <w:r>
        <w:rPr>
          <w:sz w:val="24"/>
          <w:szCs w:val="24"/>
        </w:rPr>
        <w:t>T</w:t>
      </w:r>
      <w:r w:rsidR="003F224B">
        <w:rPr>
          <w:sz w:val="24"/>
          <w:szCs w:val="24"/>
        </w:rPr>
        <w:t>hey</w:t>
      </w:r>
      <w:r w:rsidR="009823F7">
        <w:rPr>
          <w:sz w:val="24"/>
          <w:szCs w:val="24"/>
        </w:rPr>
        <w:t xml:space="preserve"> probably</w:t>
      </w:r>
      <w:r w:rsidR="003F224B">
        <w:rPr>
          <w:sz w:val="24"/>
          <w:szCs w:val="24"/>
        </w:rPr>
        <w:t xml:space="preserve"> cannot. Although it is true that Article 11 of the CRPD requires States Parties to take </w:t>
      </w:r>
      <w:r w:rsidR="00542478">
        <w:rPr>
          <w:sz w:val="24"/>
          <w:szCs w:val="24"/>
        </w:rPr>
        <w:t>‘</w:t>
      </w:r>
      <w:r w:rsidR="003F224B">
        <w:rPr>
          <w:sz w:val="24"/>
          <w:szCs w:val="24"/>
        </w:rPr>
        <w:t>all necessary measures to ensure the protection and safety of persons with disabilities in situations of risk</w:t>
      </w:r>
      <w:r w:rsidR="00542478">
        <w:rPr>
          <w:sz w:val="24"/>
          <w:szCs w:val="24"/>
        </w:rPr>
        <w:t>’</w:t>
      </w:r>
      <w:r w:rsidR="003F224B">
        <w:rPr>
          <w:sz w:val="24"/>
          <w:szCs w:val="24"/>
        </w:rPr>
        <w:t>,</w:t>
      </w:r>
      <w:r w:rsidR="00AC5E88">
        <w:rPr>
          <w:sz w:val="24"/>
          <w:szCs w:val="24"/>
        </w:rPr>
        <w:t xml:space="preserve"> </w:t>
      </w:r>
      <w:r w:rsidR="00941096">
        <w:rPr>
          <w:sz w:val="24"/>
          <w:szCs w:val="24"/>
        </w:rPr>
        <w:t>this</w:t>
      </w:r>
      <w:r w:rsidR="00360297">
        <w:rPr>
          <w:sz w:val="24"/>
          <w:szCs w:val="24"/>
        </w:rPr>
        <w:t xml:space="preserve"> seems to preclude compulsory interventions on the basis of the sort of risks that </w:t>
      </w:r>
      <w:r w:rsidR="004E28BA">
        <w:rPr>
          <w:sz w:val="24"/>
          <w:szCs w:val="24"/>
        </w:rPr>
        <w:t>are currently</w:t>
      </w:r>
      <w:r w:rsidR="00360297">
        <w:rPr>
          <w:sz w:val="24"/>
          <w:szCs w:val="24"/>
        </w:rPr>
        <w:t xml:space="preserve"> relevant under the MHA.</w:t>
      </w:r>
      <w:r w:rsidR="004E28BA">
        <w:rPr>
          <w:sz w:val="24"/>
          <w:szCs w:val="24"/>
        </w:rPr>
        <w:t xml:space="preserve"> </w:t>
      </w:r>
      <w:r w:rsidR="00BA77E3">
        <w:rPr>
          <w:sz w:val="24"/>
          <w:szCs w:val="24"/>
        </w:rPr>
        <w:t xml:space="preserve">The continuities of risk </w:t>
      </w:r>
      <w:r w:rsidR="001669F5">
        <w:rPr>
          <w:sz w:val="24"/>
          <w:szCs w:val="24"/>
        </w:rPr>
        <w:lastRenderedPageBreak/>
        <w:t xml:space="preserve">which exist at the interface of the MHA and DOLS are therefore fundamentally at odds with the CRPD. </w:t>
      </w:r>
      <w:r w:rsidR="00385EC5">
        <w:rPr>
          <w:sz w:val="24"/>
          <w:szCs w:val="24"/>
        </w:rPr>
        <w:t>Even t</w:t>
      </w:r>
      <w:r w:rsidR="00812F2B">
        <w:rPr>
          <w:sz w:val="24"/>
          <w:szCs w:val="24"/>
        </w:rPr>
        <w:t>he Law Commission’s</w:t>
      </w:r>
      <w:r w:rsidR="00385EC5">
        <w:rPr>
          <w:sz w:val="24"/>
          <w:szCs w:val="24"/>
        </w:rPr>
        <w:t xml:space="preserve"> revised</w:t>
      </w:r>
      <w:r w:rsidR="00812F2B">
        <w:rPr>
          <w:sz w:val="24"/>
          <w:szCs w:val="24"/>
        </w:rPr>
        <w:t xml:space="preserve"> proposals to reform the DOLS would do very little to</w:t>
      </w:r>
      <w:r w:rsidR="007A6481">
        <w:rPr>
          <w:sz w:val="24"/>
          <w:szCs w:val="24"/>
        </w:rPr>
        <w:t xml:space="preserve"> correct this</w:t>
      </w:r>
      <w:r w:rsidR="00812F2B">
        <w:rPr>
          <w:sz w:val="24"/>
          <w:szCs w:val="24"/>
        </w:rPr>
        <w:t xml:space="preserve">. For example, Article 12(2) requires States Parties to recognise that persons with disabilities </w:t>
      </w:r>
      <w:r w:rsidR="00542478">
        <w:rPr>
          <w:sz w:val="24"/>
          <w:szCs w:val="24"/>
        </w:rPr>
        <w:t>‘</w:t>
      </w:r>
      <w:r w:rsidR="00812F2B">
        <w:rPr>
          <w:sz w:val="24"/>
          <w:szCs w:val="24"/>
        </w:rPr>
        <w:t>enjoy legal capacity on an equal basis with others in all aspects of life</w:t>
      </w:r>
      <w:r w:rsidR="00312E2E">
        <w:rPr>
          <w:sz w:val="24"/>
          <w:szCs w:val="24"/>
        </w:rPr>
        <w:t>’.</w:t>
      </w:r>
      <w:r w:rsidR="007A6481">
        <w:rPr>
          <w:sz w:val="24"/>
          <w:szCs w:val="24"/>
        </w:rPr>
        <w:t xml:space="preserve"> </w:t>
      </w:r>
      <w:r w:rsidR="00324FCB">
        <w:rPr>
          <w:sz w:val="24"/>
          <w:szCs w:val="24"/>
        </w:rPr>
        <w:t xml:space="preserve">The </w:t>
      </w:r>
      <w:r w:rsidR="00FB64FB">
        <w:rPr>
          <w:sz w:val="24"/>
          <w:szCs w:val="24"/>
        </w:rPr>
        <w:t xml:space="preserve">operation of </w:t>
      </w:r>
      <w:r w:rsidR="00385EC5">
        <w:rPr>
          <w:sz w:val="24"/>
          <w:szCs w:val="24"/>
        </w:rPr>
        <w:t>any post-DOLS</w:t>
      </w:r>
      <w:r w:rsidR="00D73C76">
        <w:rPr>
          <w:sz w:val="24"/>
          <w:szCs w:val="24"/>
        </w:rPr>
        <w:t xml:space="preserve"> scheme </w:t>
      </w:r>
      <w:r w:rsidR="00FB64FB">
        <w:rPr>
          <w:sz w:val="24"/>
          <w:szCs w:val="24"/>
        </w:rPr>
        <w:t xml:space="preserve">seems to depend </w:t>
      </w:r>
      <w:r w:rsidR="00A6004C">
        <w:rPr>
          <w:sz w:val="24"/>
          <w:szCs w:val="24"/>
        </w:rPr>
        <w:t xml:space="preserve">on </w:t>
      </w:r>
      <w:r w:rsidR="003017F4">
        <w:rPr>
          <w:sz w:val="24"/>
          <w:szCs w:val="24"/>
        </w:rPr>
        <w:t>(in</w:t>
      </w:r>
      <w:proofErr w:type="gramStart"/>
      <w:r w:rsidR="003017F4">
        <w:rPr>
          <w:sz w:val="24"/>
          <w:szCs w:val="24"/>
        </w:rPr>
        <w:t>)capacity</w:t>
      </w:r>
      <w:proofErr w:type="gramEnd"/>
      <w:r w:rsidR="005F5984">
        <w:rPr>
          <w:sz w:val="24"/>
          <w:szCs w:val="24"/>
        </w:rPr>
        <w:t xml:space="preserve"> </w:t>
      </w:r>
      <w:r w:rsidR="006C757B">
        <w:rPr>
          <w:sz w:val="24"/>
          <w:szCs w:val="24"/>
        </w:rPr>
        <w:t xml:space="preserve">being </w:t>
      </w:r>
      <w:r w:rsidR="007E603A">
        <w:rPr>
          <w:sz w:val="24"/>
          <w:szCs w:val="24"/>
        </w:rPr>
        <w:t xml:space="preserve">an occasion on which to deploy the </w:t>
      </w:r>
      <w:r w:rsidR="00CC20C9">
        <w:rPr>
          <w:sz w:val="24"/>
          <w:szCs w:val="24"/>
        </w:rPr>
        <w:t xml:space="preserve">law’s </w:t>
      </w:r>
      <w:r w:rsidR="007E603A">
        <w:rPr>
          <w:sz w:val="24"/>
          <w:szCs w:val="24"/>
        </w:rPr>
        <w:t>protective function. Such a scheme would conflict with the UK’s general obligation under Article 4(1</w:t>
      </w:r>
      <w:proofErr w:type="gramStart"/>
      <w:r w:rsidR="007E603A">
        <w:rPr>
          <w:sz w:val="24"/>
          <w:szCs w:val="24"/>
        </w:rPr>
        <w:t>)(</w:t>
      </w:r>
      <w:proofErr w:type="gramEnd"/>
      <w:r w:rsidR="007E603A">
        <w:rPr>
          <w:sz w:val="24"/>
          <w:szCs w:val="24"/>
        </w:rPr>
        <w:t xml:space="preserve">e) of the CRPD </w:t>
      </w:r>
      <w:r w:rsidR="00542478">
        <w:rPr>
          <w:sz w:val="24"/>
          <w:szCs w:val="24"/>
        </w:rPr>
        <w:t>‘</w:t>
      </w:r>
      <w:r w:rsidR="007E603A">
        <w:rPr>
          <w:sz w:val="24"/>
          <w:szCs w:val="24"/>
        </w:rPr>
        <w:t>to eliminate discrimination on the basis of disability…</w:t>
      </w:r>
      <w:r w:rsidR="00542478">
        <w:rPr>
          <w:sz w:val="24"/>
          <w:szCs w:val="24"/>
        </w:rPr>
        <w:t>’</w:t>
      </w:r>
      <w:r w:rsidR="007E603A">
        <w:rPr>
          <w:sz w:val="24"/>
          <w:szCs w:val="24"/>
        </w:rPr>
        <w:t xml:space="preserve"> </w:t>
      </w:r>
      <w:r w:rsidR="003017F4">
        <w:rPr>
          <w:sz w:val="24"/>
          <w:szCs w:val="24"/>
        </w:rPr>
        <w:t>According to Article 14(1</w:t>
      </w:r>
      <w:proofErr w:type="gramStart"/>
      <w:r w:rsidR="003017F4">
        <w:rPr>
          <w:sz w:val="24"/>
          <w:szCs w:val="24"/>
        </w:rPr>
        <w:t>)(</w:t>
      </w:r>
      <w:proofErr w:type="gramEnd"/>
      <w:r w:rsidR="003017F4">
        <w:rPr>
          <w:sz w:val="24"/>
          <w:szCs w:val="24"/>
        </w:rPr>
        <w:t>b), States Parties must</w:t>
      </w:r>
      <w:r w:rsidR="009C7AE0">
        <w:rPr>
          <w:sz w:val="24"/>
          <w:szCs w:val="24"/>
        </w:rPr>
        <w:t xml:space="preserve"> also</w:t>
      </w:r>
      <w:r w:rsidR="003017F4">
        <w:rPr>
          <w:sz w:val="24"/>
          <w:szCs w:val="24"/>
        </w:rPr>
        <w:t xml:space="preserve"> ensure that</w:t>
      </w:r>
      <w:r w:rsidR="00CB0A7B">
        <w:rPr>
          <w:sz w:val="24"/>
          <w:szCs w:val="24"/>
        </w:rPr>
        <w:t xml:space="preserve"> the existence of a disability shall in no case justify a deprivation of liberty. The Law Commission’s</w:t>
      </w:r>
      <w:r w:rsidR="00385EC5">
        <w:rPr>
          <w:sz w:val="24"/>
          <w:szCs w:val="24"/>
        </w:rPr>
        <w:t xml:space="preserve"> proposals </w:t>
      </w:r>
      <w:r w:rsidR="00FD48FD">
        <w:rPr>
          <w:sz w:val="24"/>
          <w:szCs w:val="24"/>
        </w:rPr>
        <w:t>would seem directl</w:t>
      </w:r>
      <w:r w:rsidR="00BC78FE">
        <w:rPr>
          <w:sz w:val="24"/>
          <w:szCs w:val="24"/>
        </w:rPr>
        <w:t>y to contradict this provision.</w:t>
      </w:r>
    </w:p>
    <w:p w:rsidR="009462F0" w:rsidRPr="008D736E" w:rsidRDefault="00385EC5" w:rsidP="00DE5530">
      <w:pPr>
        <w:spacing w:line="720" w:lineRule="auto"/>
        <w:ind w:firstLine="720"/>
        <w:jc w:val="both"/>
        <w:rPr>
          <w:sz w:val="24"/>
          <w:szCs w:val="24"/>
        </w:rPr>
      </w:pPr>
      <w:r>
        <w:rPr>
          <w:sz w:val="24"/>
          <w:szCs w:val="24"/>
        </w:rPr>
        <w:t xml:space="preserve">The Law Commission’s </w:t>
      </w:r>
      <w:r w:rsidR="00542478">
        <w:rPr>
          <w:sz w:val="24"/>
          <w:szCs w:val="24"/>
        </w:rPr>
        <w:t>‘</w:t>
      </w:r>
      <w:r w:rsidR="002D12A8">
        <w:rPr>
          <w:sz w:val="24"/>
          <w:szCs w:val="24"/>
        </w:rPr>
        <w:t>protective care</w:t>
      </w:r>
      <w:r w:rsidR="00542478">
        <w:rPr>
          <w:sz w:val="24"/>
          <w:szCs w:val="24"/>
        </w:rPr>
        <w:t>’</w:t>
      </w:r>
      <w:r w:rsidR="002D12A8">
        <w:rPr>
          <w:sz w:val="24"/>
          <w:szCs w:val="24"/>
        </w:rPr>
        <w:t xml:space="preserve"> scheme assume</w:t>
      </w:r>
      <w:r>
        <w:rPr>
          <w:sz w:val="24"/>
          <w:szCs w:val="24"/>
        </w:rPr>
        <w:t>d</w:t>
      </w:r>
      <w:r w:rsidR="002D12A8">
        <w:rPr>
          <w:sz w:val="24"/>
          <w:szCs w:val="24"/>
        </w:rPr>
        <w:t xml:space="preserve"> that </w:t>
      </w:r>
      <w:r w:rsidR="00A449B5">
        <w:rPr>
          <w:sz w:val="24"/>
          <w:szCs w:val="24"/>
        </w:rPr>
        <w:t>the intensity of the law’s intervention would depend on considerations of risk</w:t>
      </w:r>
      <w:r w:rsidR="00714688">
        <w:rPr>
          <w:sz w:val="24"/>
          <w:szCs w:val="24"/>
        </w:rPr>
        <w:t xml:space="preserve">, amongst other things. </w:t>
      </w:r>
      <w:r w:rsidR="007E46B9">
        <w:rPr>
          <w:sz w:val="24"/>
          <w:szCs w:val="24"/>
        </w:rPr>
        <w:t xml:space="preserve">Its proposal to </w:t>
      </w:r>
      <w:r w:rsidR="003770A7">
        <w:rPr>
          <w:sz w:val="24"/>
          <w:szCs w:val="24"/>
        </w:rPr>
        <w:t>amend</w:t>
      </w:r>
      <w:r w:rsidR="007E46B9">
        <w:rPr>
          <w:sz w:val="24"/>
          <w:szCs w:val="24"/>
        </w:rPr>
        <w:t xml:space="preserve"> the MHA to </w:t>
      </w:r>
      <w:r w:rsidR="00BA4E1E">
        <w:rPr>
          <w:sz w:val="24"/>
          <w:szCs w:val="24"/>
        </w:rPr>
        <w:t>apply to</w:t>
      </w:r>
      <w:r w:rsidR="007E46B9">
        <w:rPr>
          <w:sz w:val="24"/>
          <w:szCs w:val="24"/>
        </w:rPr>
        <w:t xml:space="preserve"> </w:t>
      </w:r>
      <w:r w:rsidR="00542478">
        <w:rPr>
          <w:sz w:val="24"/>
          <w:szCs w:val="24"/>
        </w:rPr>
        <w:t>‘</w:t>
      </w:r>
      <w:r w:rsidR="007E46B9">
        <w:rPr>
          <w:sz w:val="24"/>
          <w:szCs w:val="24"/>
        </w:rPr>
        <w:t>informal</w:t>
      </w:r>
      <w:r w:rsidR="00542478">
        <w:rPr>
          <w:sz w:val="24"/>
          <w:szCs w:val="24"/>
        </w:rPr>
        <w:t>’</w:t>
      </w:r>
      <w:r w:rsidR="007E46B9">
        <w:rPr>
          <w:sz w:val="24"/>
          <w:szCs w:val="24"/>
        </w:rPr>
        <w:t xml:space="preserve"> patients</w:t>
      </w:r>
      <w:r w:rsidR="00EF1597">
        <w:rPr>
          <w:sz w:val="24"/>
          <w:szCs w:val="24"/>
        </w:rPr>
        <w:t xml:space="preserve"> </w:t>
      </w:r>
      <w:r>
        <w:rPr>
          <w:sz w:val="24"/>
          <w:szCs w:val="24"/>
        </w:rPr>
        <w:t xml:space="preserve">would have </w:t>
      </w:r>
      <w:r w:rsidR="00EF1597">
        <w:rPr>
          <w:sz w:val="24"/>
          <w:szCs w:val="24"/>
        </w:rPr>
        <w:t>significantly</w:t>
      </w:r>
      <w:r w:rsidR="007E46B9">
        <w:rPr>
          <w:sz w:val="24"/>
          <w:szCs w:val="24"/>
        </w:rPr>
        <w:t xml:space="preserve"> </w:t>
      </w:r>
      <w:r w:rsidR="00EF1597">
        <w:rPr>
          <w:sz w:val="24"/>
          <w:szCs w:val="24"/>
        </w:rPr>
        <w:t>expand</w:t>
      </w:r>
      <w:r>
        <w:rPr>
          <w:sz w:val="24"/>
          <w:szCs w:val="24"/>
        </w:rPr>
        <w:t>ed</w:t>
      </w:r>
      <w:r w:rsidR="00EF1597">
        <w:rPr>
          <w:sz w:val="24"/>
          <w:szCs w:val="24"/>
        </w:rPr>
        <w:t xml:space="preserve"> the domain of risk</w:t>
      </w:r>
      <w:r w:rsidR="00BA4E1E">
        <w:rPr>
          <w:sz w:val="24"/>
          <w:szCs w:val="24"/>
        </w:rPr>
        <w:t xml:space="preserve"> beyond its</w:t>
      </w:r>
      <w:r w:rsidR="00EF1597">
        <w:rPr>
          <w:sz w:val="24"/>
          <w:szCs w:val="24"/>
        </w:rPr>
        <w:t xml:space="preserve"> original limits.</w:t>
      </w:r>
      <w:r w:rsidR="00236CF0">
        <w:rPr>
          <w:sz w:val="24"/>
          <w:szCs w:val="24"/>
        </w:rPr>
        <w:t xml:space="preserve"> Far from abandoning considerations of risk in favour of a non-discriminatory approach to mental health care and treatment, the proposals seem to </w:t>
      </w:r>
      <w:r w:rsidR="00037C03">
        <w:rPr>
          <w:sz w:val="24"/>
          <w:szCs w:val="24"/>
        </w:rPr>
        <w:t>conflict with</w:t>
      </w:r>
      <w:r w:rsidR="00236CF0">
        <w:rPr>
          <w:sz w:val="24"/>
          <w:szCs w:val="24"/>
        </w:rPr>
        <w:t xml:space="preserve"> recent trends. </w:t>
      </w:r>
      <w:r w:rsidR="000E266B">
        <w:rPr>
          <w:sz w:val="24"/>
          <w:szCs w:val="24"/>
        </w:rPr>
        <w:t xml:space="preserve">Consequently, ‘rehabilitating’ risk is </w:t>
      </w:r>
      <w:r w:rsidR="000E266B">
        <w:rPr>
          <w:sz w:val="24"/>
          <w:szCs w:val="24"/>
        </w:rPr>
        <w:lastRenderedPageBreak/>
        <w:t xml:space="preserve">profoundly problematic: </w:t>
      </w:r>
      <w:r w:rsidR="00535D82">
        <w:rPr>
          <w:sz w:val="24"/>
          <w:szCs w:val="24"/>
        </w:rPr>
        <w:t>it poses significant policy,</w:t>
      </w:r>
      <w:r w:rsidR="00587EDA">
        <w:rPr>
          <w:sz w:val="24"/>
          <w:szCs w:val="24"/>
        </w:rPr>
        <w:t xml:space="preserve"> practical and legal challenges</w:t>
      </w:r>
      <w:r w:rsidR="005E6797">
        <w:rPr>
          <w:sz w:val="24"/>
          <w:szCs w:val="24"/>
        </w:rPr>
        <w:t xml:space="preserve"> which</w:t>
      </w:r>
      <w:r w:rsidR="00587EDA">
        <w:rPr>
          <w:sz w:val="24"/>
          <w:szCs w:val="24"/>
        </w:rPr>
        <w:t xml:space="preserve"> </w:t>
      </w:r>
      <w:r w:rsidR="000918FA">
        <w:rPr>
          <w:sz w:val="24"/>
          <w:szCs w:val="24"/>
        </w:rPr>
        <w:t>bring the very legal basis of</w:t>
      </w:r>
      <w:r w:rsidR="00005BCA">
        <w:rPr>
          <w:sz w:val="24"/>
          <w:szCs w:val="24"/>
        </w:rPr>
        <w:t xml:space="preserve"> </w:t>
      </w:r>
      <w:r w:rsidR="004F3675">
        <w:rPr>
          <w:sz w:val="24"/>
          <w:szCs w:val="24"/>
        </w:rPr>
        <w:t xml:space="preserve">any framework organised around the concept </w:t>
      </w:r>
      <w:r w:rsidR="000918FA">
        <w:rPr>
          <w:sz w:val="24"/>
          <w:szCs w:val="24"/>
        </w:rPr>
        <w:t>into question.</w:t>
      </w:r>
    </w:p>
    <w:p w:rsidR="002B7788" w:rsidRDefault="00A76881" w:rsidP="00A76881">
      <w:pPr>
        <w:spacing w:line="720" w:lineRule="auto"/>
        <w:jc w:val="center"/>
        <w:rPr>
          <w:rFonts w:asciiTheme="majorHAnsi" w:hAnsiTheme="majorHAnsi"/>
          <w:b/>
          <w:sz w:val="28"/>
          <w:szCs w:val="28"/>
        </w:rPr>
      </w:pPr>
      <w:r>
        <w:rPr>
          <w:rFonts w:asciiTheme="majorHAnsi" w:hAnsiTheme="majorHAnsi"/>
          <w:b/>
          <w:sz w:val="28"/>
          <w:szCs w:val="28"/>
        </w:rPr>
        <w:t>CONCLUSIONS</w:t>
      </w:r>
    </w:p>
    <w:p w:rsidR="0075436D" w:rsidRDefault="00C42992" w:rsidP="00DE5530">
      <w:pPr>
        <w:spacing w:line="720" w:lineRule="auto"/>
        <w:jc w:val="both"/>
        <w:rPr>
          <w:sz w:val="24"/>
          <w:szCs w:val="24"/>
        </w:rPr>
      </w:pPr>
      <w:r>
        <w:rPr>
          <w:sz w:val="24"/>
          <w:szCs w:val="24"/>
        </w:rPr>
        <w:t>I</w:t>
      </w:r>
      <w:r w:rsidR="00612D02">
        <w:rPr>
          <w:sz w:val="24"/>
          <w:szCs w:val="24"/>
        </w:rPr>
        <w:t>n the ten years since the MCA was introduced, the MHA</w:t>
      </w:r>
      <w:r w:rsidR="00745C7C">
        <w:rPr>
          <w:sz w:val="24"/>
          <w:szCs w:val="24"/>
        </w:rPr>
        <w:t xml:space="preserve"> has become an outlier.</w:t>
      </w:r>
      <w:r w:rsidR="00070106">
        <w:rPr>
          <w:sz w:val="24"/>
          <w:szCs w:val="24"/>
        </w:rPr>
        <w:t xml:space="preserve"> Its policy </w:t>
      </w:r>
      <w:r w:rsidR="000413E3">
        <w:rPr>
          <w:sz w:val="24"/>
          <w:szCs w:val="24"/>
        </w:rPr>
        <w:t>objective</w:t>
      </w:r>
      <w:r w:rsidR="004D46DF">
        <w:rPr>
          <w:sz w:val="24"/>
          <w:szCs w:val="24"/>
        </w:rPr>
        <w:t xml:space="preserve"> </w:t>
      </w:r>
      <w:r w:rsidR="000413E3">
        <w:rPr>
          <w:sz w:val="24"/>
          <w:szCs w:val="24"/>
        </w:rPr>
        <w:t xml:space="preserve">to </w:t>
      </w:r>
      <w:r w:rsidR="00AE16A9">
        <w:rPr>
          <w:sz w:val="24"/>
          <w:szCs w:val="24"/>
        </w:rPr>
        <w:t>tackle</w:t>
      </w:r>
      <w:r w:rsidR="004D46DF">
        <w:rPr>
          <w:sz w:val="24"/>
          <w:szCs w:val="24"/>
        </w:rPr>
        <w:t xml:space="preserve"> the risks of harm associated with mental disorders </w:t>
      </w:r>
      <w:r w:rsidR="00406D14">
        <w:rPr>
          <w:sz w:val="24"/>
          <w:szCs w:val="24"/>
        </w:rPr>
        <w:t>clashes with the principle</w:t>
      </w:r>
      <w:r w:rsidR="00070106">
        <w:rPr>
          <w:sz w:val="24"/>
          <w:szCs w:val="24"/>
        </w:rPr>
        <w:t>s</w:t>
      </w:r>
      <w:r w:rsidR="00406D14">
        <w:rPr>
          <w:sz w:val="24"/>
          <w:szCs w:val="24"/>
        </w:rPr>
        <w:t xml:space="preserve"> </w:t>
      </w:r>
      <w:r w:rsidR="000413E3">
        <w:rPr>
          <w:sz w:val="24"/>
          <w:szCs w:val="24"/>
        </w:rPr>
        <w:t>which underpin the MCA.</w:t>
      </w:r>
      <w:r w:rsidR="009C4DC7">
        <w:rPr>
          <w:sz w:val="24"/>
          <w:szCs w:val="24"/>
        </w:rPr>
        <w:t xml:space="preserve"> </w:t>
      </w:r>
      <w:r w:rsidR="00A81468">
        <w:rPr>
          <w:sz w:val="24"/>
          <w:szCs w:val="24"/>
        </w:rPr>
        <w:t>Its</w:t>
      </w:r>
      <w:r w:rsidR="009C4DC7">
        <w:rPr>
          <w:sz w:val="24"/>
          <w:szCs w:val="24"/>
        </w:rPr>
        <w:t xml:space="preserve"> discriminatory effects </w:t>
      </w:r>
      <w:r w:rsidR="004E128D">
        <w:rPr>
          <w:sz w:val="24"/>
          <w:szCs w:val="24"/>
        </w:rPr>
        <w:t>are likely to</w:t>
      </w:r>
      <w:r w:rsidR="001F02CF">
        <w:rPr>
          <w:sz w:val="24"/>
          <w:szCs w:val="24"/>
        </w:rPr>
        <w:t xml:space="preserve"> violate the </w:t>
      </w:r>
      <w:r w:rsidR="00AE16A9">
        <w:rPr>
          <w:sz w:val="24"/>
          <w:szCs w:val="24"/>
        </w:rPr>
        <w:t>UK’s</w:t>
      </w:r>
      <w:r w:rsidR="001F02CF">
        <w:rPr>
          <w:sz w:val="24"/>
          <w:szCs w:val="24"/>
        </w:rPr>
        <w:t xml:space="preserve"> obligations</w:t>
      </w:r>
      <w:r w:rsidR="00A81468">
        <w:rPr>
          <w:sz w:val="24"/>
          <w:szCs w:val="24"/>
        </w:rPr>
        <w:t xml:space="preserve"> under the CRPD</w:t>
      </w:r>
      <w:r w:rsidR="001F02CF">
        <w:rPr>
          <w:sz w:val="24"/>
          <w:szCs w:val="24"/>
        </w:rPr>
        <w:t>.</w:t>
      </w:r>
      <w:r w:rsidR="00A81468">
        <w:rPr>
          <w:sz w:val="24"/>
          <w:szCs w:val="24"/>
        </w:rPr>
        <w:t xml:space="preserve"> </w:t>
      </w:r>
      <w:r w:rsidR="001F02CF">
        <w:rPr>
          <w:sz w:val="24"/>
          <w:szCs w:val="24"/>
        </w:rPr>
        <w:t>O</w:t>
      </w:r>
      <w:r w:rsidR="00951E7C">
        <w:rPr>
          <w:sz w:val="24"/>
          <w:szCs w:val="24"/>
        </w:rPr>
        <w:t>ne might</w:t>
      </w:r>
      <w:r w:rsidR="00A81468">
        <w:rPr>
          <w:sz w:val="24"/>
          <w:szCs w:val="24"/>
        </w:rPr>
        <w:t xml:space="preserve"> therefore</w:t>
      </w:r>
      <w:r w:rsidR="00951E7C">
        <w:rPr>
          <w:sz w:val="24"/>
          <w:szCs w:val="24"/>
        </w:rPr>
        <w:t xml:space="preserve"> exp</w:t>
      </w:r>
      <w:r w:rsidR="0087327B">
        <w:rPr>
          <w:sz w:val="24"/>
          <w:szCs w:val="24"/>
        </w:rPr>
        <w:t>ect that</w:t>
      </w:r>
      <w:r w:rsidR="00C11A7B">
        <w:rPr>
          <w:sz w:val="24"/>
          <w:szCs w:val="24"/>
        </w:rPr>
        <w:t xml:space="preserve"> </w:t>
      </w:r>
      <w:r w:rsidR="00261E9A">
        <w:rPr>
          <w:sz w:val="24"/>
          <w:szCs w:val="24"/>
        </w:rPr>
        <w:t>decisions beyond the MHA</w:t>
      </w:r>
      <w:r w:rsidR="007F23C5">
        <w:rPr>
          <w:sz w:val="24"/>
          <w:szCs w:val="24"/>
        </w:rPr>
        <w:t xml:space="preserve"> are no longer</w:t>
      </w:r>
      <w:r w:rsidR="00070D17">
        <w:rPr>
          <w:sz w:val="24"/>
          <w:szCs w:val="24"/>
        </w:rPr>
        <w:t xml:space="preserve"> solely</w:t>
      </w:r>
      <w:r w:rsidR="007F23C5">
        <w:rPr>
          <w:sz w:val="24"/>
          <w:szCs w:val="24"/>
        </w:rPr>
        <w:t xml:space="preserve"> contingent on risk</w:t>
      </w:r>
      <w:r w:rsidR="00070D17">
        <w:rPr>
          <w:sz w:val="24"/>
          <w:szCs w:val="24"/>
        </w:rPr>
        <w:t xml:space="preserve"> of harm</w:t>
      </w:r>
      <w:r w:rsidR="00261E9A">
        <w:rPr>
          <w:sz w:val="24"/>
          <w:szCs w:val="24"/>
        </w:rPr>
        <w:t xml:space="preserve"> </w:t>
      </w:r>
      <w:r w:rsidR="00555C86">
        <w:rPr>
          <w:sz w:val="24"/>
          <w:szCs w:val="24"/>
        </w:rPr>
        <w:t>and that th</w:t>
      </w:r>
      <w:r w:rsidR="0081021E">
        <w:rPr>
          <w:sz w:val="24"/>
          <w:szCs w:val="24"/>
        </w:rPr>
        <w:t>at</w:t>
      </w:r>
      <w:r w:rsidR="00555C86">
        <w:rPr>
          <w:sz w:val="24"/>
          <w:szCs w:val="24"/>
        </w:rPr>
        <w:t xml:space="preserve"> concept’</w:t>
      </w:r>
      <w:r w:rsidR="00E531FF">
        <w:rPr>
          <w:sz w:val="24"/>
          <w:szCs w:val="24"/>
        </w:rPr>
        <w:t>s</w:t>
      </w:r>
      <w:r w:rsidR="00555C86">
        <w:rPr>
          <w:sz w:val="24"/>
          <w:szCs w:val="24"/>
        </w:rPr>
        <w:t xml:space="preserve"> domain </w:t>
      </w:r>
      <w:r w:rsidR="006A3662">
        <w:rPr>
          <w:sz w:val="24"/>
          <w:szCs w:val="24"/>
        </w:rPr>
        <w:t xml:space="preserve">has been </w:t>
      </w:r>
      <w:r w:rsidR="007A0F61">
        <w:rPr>
          <w:sz w:val="24"/>
          <w:szCs w:val="24"/>
        </w:rPr>
        <w:t>narrowly</w:t>
      </w:r>
      <w:r w:rsidR="006A3662">
        <w:rPr>
          <w:sz w:val="24"/>
          <w:szCs w:val="24"/>
        </w:rPr>
        <w:t xml:space="preserve"> delimited</w:t>
      </w:r>
      <w:r w:rsidR="0087327B">
        <w:rPr>
          <w:sz w:val="24"/>
          <w:szCs w:val="24"/>
        </w:rPr>
        <w:t>.</w:t>
      </w:r>
      <w:r w:rsidR="00180D90">
        <w:rPr>
          <w:sz w:val="24"/>
          <w:szCs w:val="24"/>
        </w:rPr>
        <w:t xml:space="preserve"> </w:t>
      </w:r>
      <w:r w:rsidR="00B304BF">
        <w:rPr>
          <w:sz w:val="24"/>
          <w:szCs w:val="24"/>
        </w:rPr>
        <w:t>This paper has shown that</w:t>
      </w:r>
      <w:r w:rsidR="00180D90">
        <w:rPr>
          <w:sz w:val="24"/>
          <w:szCs w:val="24"/>
        </w:rPr>
        <w:t xml:space="preserve"> in fact the</w:t>
      </w:r>
      <w:r w:rsidR="00B304BF">
        <w:rPr>
          <w:sz w:val="24"/>
          <w:szCs w:val="24"/>
        </w:rPr>
        <w:t xml:space="preserve"> opposite </w:t>
      </w:r>
      <w:r w:rsidR="00180D90">
        <w:rPr>
          <w:sz w:val="24"/>
          <w:szCs w:val="24"/>
        </w:rPr>
        <w:t>is true</w:t>
      </w:r>
      <w:r w:rsidR="00B304BF">
        <w:rPr>
          <w:sz w:val="24"/>
          <w:szCs w:val="24"/>
        </w:rPr>
        <w:t>.</w:t>
      </w:r>
      <w:r w:rsidR="00A05D5B">
        <w:rPr>
          <w:sz w:val="24"/>
          <w:szCs w:val="24"/>
        </w:rPr>
        <w:t xml:space="preserve"> </w:t>
      </w:r>
      <w:r w:rsidR="00CF538C">
        <w:rPr>
          <w:sz w:val="24"/>
          <w:szCs w:val="24"/>
        </w:rPr>
        <w:t>C</w:t>
      </w:r>
      <w:r w:rsidR="00A05D5B">
        <w:rPr>
          <w:sz w:val="24"/>
          <w:szCs w:val="24"/>
        </w:rPr>
        <w:t xml:space="preserve">onsiderations of </w:t>
      </w:r>
      <w:r w:rsidR="00482B72">
        <w:rPr>
          <w:sz w:val="24"/>
          <w:szCs w:val="24"/>
        </w:rPr>
        <w:t xml:space="preserve">the </w:t>
      </w:r>
      <w:r w:rsidR="00A05D5B">
        <w:rPr>
          <w:sz w:val="24"/>
          <w:szCs w:val="24"/>
        </w:rPr>
        <w:t>risk</w:t>
      </w:r>
      <w:r w:rsidR="00482B72">
        <w:rPr>
          <w:sz w:val="24"/>
          <w:szCs w:val="24"/>
        </w:rPr>
        <w:t xml:space="preserve"> of harm</w:t>
      </w:r>
      <w:r w:rsidR="00180D90">
        <w:rPr>
          <w:sz w:val="24"/>
          <w:szCs w:val="24"/>
        </w:rPr>
        <w:t xml:space="preserve"> </w:t>
      </w:r>
      <w:r w:rsidR="0075436D">
        <w:rPr>
          <w:sz w:val="24"/>
          <w:szCs w:val="24"/>
        </w:rPr>
        <w:t>continue to determine the nature and extent of P’s interaction with mental health services</w:t>
      </w:r>
      <w:r w:rsidR="00F07758">
        <w:rPr>
          <w:sz w:val="24"/>
          <w:szCs w:val="24"/>
        </w:rPr>
        <w:t>, even</w:t>
      </w:r>
      <w:r w:rsidR="00FC34B1">
        <w:rPr>
          <w:sz w:val="24"/>
          <w:szCs w:val="24"/>
        </w:rPr>
        <w:t xml:space="preserve"> </w:t>
      </w:r>
      <w:r w:rsidR="005C4AA6">
        <w:rPr>
          <w:sz w:val="24"/>
          <w:szCs w:val="24"/>
        </w:rPr>
        <w:t>outside</w:t>
      </w:r>
      <w:r w:rsidR="00FC34B1">
        <w:rPr>
          <w:sz w:val="24"/>
          <w:szCs w:val="24"/>
        </w:rPr>
        <w:t xml:space="preserve"> the</w:t>
      </w:r>
      <w:r w:rsidR="005C4AA6">
        <w:rPr>
          <w:sz w:val="24"/>
          <w:szCs w:val="24"/>
        </w:rPr>
        <w:t xml:space="preserve"> context of the</w:t>
      </w:r>
      <w:r w:rsidR="00FC34B1">
        <w:rPr>
          <w:sz w:val="24"/>
          <w:szCs w:val="24"/>
        </w:rPr>
        <w:t xml:space="preserve"> MHA</w:t>
      </w:r>
      <w:r w:rsidR="0075436D">
        <w:rPr>
          <w:sz w:val="24"/>
          <w:szCs w:val="24"/>
        </w:rPr>
        <w:t>.</w:t>
      </w:r>
    </w:p>
    <w:p w:rsidR="008A2CAE" w:rsidRDefault="005C4AA6" w:rsidP="00424D2D">
      <w:pPr>
        <w:spacing w:line="720" w:lineRule="auto"/>
        <w:ind w:firstLine="720"/>
        <w:jc w:val="both"/>
        <w:rPr>
          <w:sz w:val="24"/>
          <w:szCs w:val="24"/>
        </w:rPr>
      </w:pPr>
      <w:r>
        <w:rPr>
          <w:sz w:val="24"/>
          <w:szCs w:val="24"/>
        </w:rPr>
        <w:t>These continuities of risk are</w:t>
      </w:r>
      <w:r w:rsidR="00FC34B1">
        <w:rPr>
          <w:sz w:val="24"/>
          <w:szCs w:val="24"/>
        </w:rPr>
        <w:t xml:space="preserve"> most evident in relation to the DOLS. There,</w:t>
      </w:r>
      <w:r w:rsidR="00482B72">
        <w:rPr>
          <w:sz w:val="24"/>
          <w:szCs w:val="24"/>
        </w:rPr>
        <w:t xml:space="preserve"> perceived risks of harm are</w:t>
      </w:r>
      <w:r w:rsidR="00192BC4">
        <w:rPr>
          <w:sz w:val="24"/>
          <w:szCs w:val="24"/>
        </w:rPr>
        <w:t xml:space="preserve"> impliedly relevant to</w:t>
      </w:r>
      <w:r w:rsidR="00AE16A9">
        <w:rPr>
          <w:sz w:val="24"/>
          <w:szCs w:val="24"/>
        </w:rPr>
        <w:t xml:space="preserve"> determining</w:t>
      </w:r>
      <w:r w:rsidR="00192BC4">
        <w:rPr>
          <w:sz w:val="24"/>
          <w:szCs w:val="24"/>
        </w:rPr>
        <w:t xml:space="preserve"> P’s best interests and his eligibility to be deprived of his liberty.</w:t>
      </w:r>
      <w:r w:rsidR="008F3730">
        <w:rPr>
          <w:sz w:val="24"/>
          <w:szCs w:val="24"/>
        </w:rPr>
        <w:t xml:space="preserve"> </w:t>
      </w:r>
      <w:r w:rsidR="00557A27">
        <w:rPr>
          <w:sz w:val="24"/>
          <w:szCs w:val="24"/>
        </w:rPr>
        <w:t>‘</w:t>
      </w:r>
      <w:proofErr w:type="spellStart"/>
      <w:r w:rsidR="00557A27">
        <w:rPr>
          <w:sz w:val="24"/>
          <w:szCs w:val="24"/>
        </w:rPr>
        <w:t>G</w:t>
      </w:r>
      <w:r w:rsidR="000E6F06">
        <w:rPr>
          <w:sz w:val="24"/>
          <w:szCs w:val="24"/>
        </w:rPr>
        <w:t>overnmentality</w:t>
      </w:r>
      <w:proofErr w:type="spellEnd"/>
      <w:r w:rsidR="000E6F06">
        <w:rPr>
          <w:sz w:val="24"/>
          <w:szCs w:val="24"/>
        </w:rPr>
        <w:t>’ theory</w:t>
      </w:r>
      <w:r w:rsidR="00AF170D">
        <w:rPr>
          <w:sz w:val="24"/>
          <w:szCs w:val="24"/>
        </w:rPr>
        <w:t xml:space="preserve"> </w:t>
      </w:r>
      <w:r w:rsidR="00D5167A">
        <w:rPr>
          <w:sz w:val="24"/>
          <w:szCs w:val="24"/>
        </w:rPr>
        <w:t xml:space="preserve">explains why </w:t>
      </w:r>
      <w:r w:rsidR="00BC3BBE">
        <w:rPr>
          <w:sz w:val="24"/>
          <w:szCs w:val="24"/>
        </w:rPr>
        <w:t xml:space="preserve">the concept of </w:t>
      </w:r>
      <w:r w:rsidR="00D5167A">
        <w:rPr>
          <w:sz w:val="24"/>
          <w:szCs w:val="24"/>
        </w:rPr>
        <w:t>risk has colonised processes beyond the MHA</w:t>
      </w:r>
      <w:r w:rsidR="00BC3BBE">
        <w:rPr>
          <w:sz w:val="24"/>
          <w:szCs w:val="24"/>
        </w:rPr>
        <w:t xml:space="preserve"> in this way</w:t>
      </w:r>
      <w:r w:rsidR="007C3B68">
        <w:rPr>
          <w:sz w:val="24"/>
          <w:szCs w:val="24"/>
        </w:rPr>
        <w:t>.</w:t>
      </w:r>
      <w:r w:rsidR="00557A27">
        <w:rPr>
          <w:sz w:val="24"/>
          <w:szCs w:val="24"/>
        </w:rPr>
        <w:t xml:space="preserve"> </w:t>
      </w:r>
      <w:r w:rsidR="00D5167A">
        <w:rPr>
          <w:sz w:val="24"/>
          <w:szCs w:val="24"/>
        </w:rPr>
        <w:t>It</w:t>
      </w:r>
      <w:r w:rsidR="00557A27">
        <w:rPr>
          <w:sz w:val="24"/>
          <w:szCs w:val="24"/>
        </w:rPr>
        <w:t xml:space="preserve"> posits that states enact health laws to </w:t>
      </w:r>
      <w:r w:rsidR="00557A27">
        <w:rPr>
          <w:sz w:val="24"/>
          <w:szCs w:val="24"/>
        </w:rPr>
        <w:lastRenderedPageBreak/>
        <w:t xml:space="preserve">serve a </w:t>
      </w:r>
      <w:r w:rsidR="006D54AB">
        <w:rPr>
          <w:sz w:val="24"/>
          <w:szCs w:val="24"/>
        </w:rPr>
        <w:t>disciplinary function</w:t>
      </w:r>
      <w:r w:rsidR="00070D17">
        <w:rPr>
          <w:sz w:val="24"/>
          <w:szCs w:val="24"/>
        </w:rPr>
        <w:t xml:space="preserve"> with respect to risk</w:t>
      </w:r>
      <w:r w:rsidR="00557A27">
        <w:rPr>
          <w:sz w:val="24"/>
          <w:szCs w:val="24"/>
        </w:rPr>
        <w:t>.</w:t>
      </w:r>
      <w:r w:rsidR="00D5167A">
        <w:rPr>
          <w:sz w:val="24"/>
          <w:szCs w:val="24"/>
        </w:rPr>
        <w:t xml:space="preserve"> That the DOLS exist on a continuum with the MHA makes it possible to </w:t>
      </w:r>
      <w:r w:rsidR="00557A27">
        <w:rPr>
          <w:sz w:val="24"/>
          <w:szCs w:val="24"/>
        </w:rPr>
        <w:t>reconstruct the</w:t>
      </w:r>
      <w:r w:rsidR="00D5167A">
        <w:rPr>
          <w:sz w:val="24"/>
          <w:szCs w:val="24"/>
        </w:rPr>
        <w:t>m</w:t>
      </w:r>
      <w:r w:rsidR="00557A27">
        <w:rPr>
          <w:sz w:val="24"/>
          <w:szCs w:val="24"/>
        </w:rPr>
        <w:t xml:space="preserve"> </w:t>
      </w:r>
      <w:r w:rsidR="000E6F06">
        <w:rPr>
          <w:sz w:val="24"/>
          <w:szCs w:val="24"/>
        </w:rPr>
        <w:t>as part of a wider legal apparatus for</w:t>
      </w:r>
      <w:r w:rsidR="00557A27">
        <w:rPr>
          <w:sz w:val="24"/>
          <w:szCs w:val="24"/>
        </w:rPr>
        <w:t xml:space="preserve"> managing the risks</w:t>
      </w:r>
      <w:r w:rsidR="008F3730">
        <w:rPr>
          <w:sz w:val="24"/>
          <w:szCs w:val="24"/>
        </w:rPr>
        <w:t xml:space="preserve"> of harm</w:t>
      </w:r>
      <w:r w:rsidR="00557A27">
        <w:rPr>
          <w:sz w:val="24"/>
          <w:szCs w:val="24"/>
        </w:rPr>
        <w:t xml:space="preserve"> associated with mental disorders.</w:t>
      </w:r>
      <w:r w:rsidR="00BC3BBE">
        <w:rPr>
          <w:sz w:val="24"/>
          <w:szCs w:val="24"/>
        </w:rPr>
        <w:t xml:space="preserve"> That the DOLS-MHA interface operates according to </w:t>
      </w:r>
      <w:r w:rsidR="005B4B50">
        <w:rPr>
          <w:sz w:val="24"/>
          <w:szCs w:val="24"/>
        </w:rPr>
        <w:t>an ‘escalator’ dynamic</w:t>
      </w:r>
      <w:r w:rsidR="00BC3BBE">
        <w:rPr>
          <w:sz w:val="24"/>
          <w:szCs w:val="24"/>
        </w:rPr>
        <w:t xml:space="preserve"> further</w:t>
      </w:r>
      <w:r w:rsidR="00557A27">
        <w:rPr>
          <w:sz w:val="24"/>
          <w:szCs w:val="24"/>
        </w:rPr>
        <w:t xml:space="preserve"> </w:t>
      </w:r>
      <w:r w:rsidR="00E44DDB">
        <w:rPr>
          <w:sz w:val="24"/>
          <w:szCs w:val="24"/>
        </w:rPr>
        <w:t>reinforces this impression</w:t>
      </w:r>
      <w:r w:rsidR="008F3730">
        <w:rPr>
          <w:sz w:val="24"/>
          <w:szCs w:val="24"/>
        </w:rPr>
        <w:t>; the bigger the risks, the more coercive the intervention</w:t>
      </w:r>
      <w:r w:rsidR="00926C9F">
        <w:rPr>
          <w:sz w:val="24"/>
          <w:szCs w:val="24"/>
        </w:rPr>
        <w:t>.</w:t>
      </w:r>
    </w:p>
    <w:p w:rsidR="00C63716" w:rsidRDefault="00E838E8" w:rsidP="00BC3BBE">
      <w:pPr>
        <w:spacing w:line="720" w:lineRule="auto"/>
        <w:ind w:firstLine="720"/>
        <w:jc w:val="both"/>
        <w:rPr>
          <w:sz w:val="24"/>
          <w:szCs w:val="24"/>
        </w:rPr>
      </w:pPr>
      <w:r>
        <w:rPr>
          <w:sz w:val="24"/>
          <w:szCs w:val="24"/>
        </w:rPr>
        <w:t xml:space="preserve">Perhaps more surprising is </w:t>
      </w:r>
      <w:r w:rsidR="00BC3BBE">
        <w:rPr>
          <w:sz w:val="24"/>
          <w:szCs w:val="24"/>
        </w:rPr>
        <w:t>the</w:t>
      </w:r>
      <w:r>
        <w:rPr>
          <w:sz w:val="24"/>
          <w:szCs w:val="24"/>
        </w:rPr>
        <w:t xml:space="preserve"> content of the</w:t>
      </w:r>
      <w:r w:rsidR="00BC3BBE">
        <w:rPr>
          <w:sz w:val="24"/>
          <w:szCs w:val="24"/>
        </w:rPr>
        <w:t xml:space="preserve"> </w:t>
      </w:r>
      <w:r w:rsidR="00F15034">
        <w:rPr>
          <w:sz w:val="24"/>
          <w:szCs w:val="24"/>
        </w:rPr>
        <w:t>Law Commission’s</w:t>
      </w:r>
      <w:r>
        <w:rPr>
          <w:sz w:val="24"/>
          <w:szCs w:val="24"/>
        </w:rPr>
        <w:t xml:space="preserve"> </w:t>
      </w:r>
      <w:r w:rsidR="0078784A">
        <w:rPr>
          <w:sz w:val="24"/>
          <w:szCs w:val="24"/>
        </w:rPr>
        <w:t xml:space="preserve">recent </w:t>
      </w:r>
      <w:r>
        <w:rPr>
          <w:sz w:val="24"/>
          <w:szCs w:val="24"/>
        </w:rPr>
        <w:t xml:space="preserve">proposals to reform mental health and capacity law. First, the </w:t>
      </w:r>
      <w:r w:rsidR="00E76B68">
        <w:rPr>
          <w:sz w:val="24"/>
          <w:szCs w:val="24"/>
        </w:rPr>
        <w:t>‘protective care’ scheme</w:t>
      </w:r>
      <w:r w:rsidR="0078784A">
        <w:rPr>
          <w:sz w:val="24"/>
          <w:szCs w:val="24"/>
        </w:rPr>
        <w:t xml:space="preserve"> as it was originally conceived</w:t>
      </w:r>
      <w:r w:rsidR="00E76B68">
        <w:rPr>
          <w:sz w:val="24"/>
          <w:szCs w:val="24"/>
        </w:rPr>
        <w:t xml:space="preserve"> would also</w:t>
      </w:r>
      <w:r w:rsidR="0078784A">
        <w:rPr>
          <w:sz w:val="24"/>
          <w:szCs w:val="24"/>
        </w:rPr>
        <w:t xml:space="preserve"> have</w:t>
      </w:r>
      <w:r w:rsidR="00E76B68">
        <w:rPr>
          <w:sz w:val="24"/>
          <w:szCs w:val="24"/>
        </w:rPr>
        <w:t xml:space="preserve"> escalate</w:t>
      </w:r>
      <w:r w:rsidR="0078784A">
        <w:rPr>
          <w:sz w:val="24"/>
          <w:szCs w:val="24"/>
        </w:rPr>
        <w:t>d</w:t>
      </w:r>
      <w:r w:rsidR="00E76B68">
        <w:rPr>
          <w:sz w:val="24"/>
          <w:szCs w:val="24"/>
        </w:rPr>
        <w:t xml:space="preserve"> according to </w:t>
      </w:r>
      <w:r w:rsidR="00BC3BBE">
        <w:rPr>
          <w:sz w:val="24"/>
          <w:szCs w:val="24"/>
        </w:rPr>
        <w:t>considerations</w:t>
      </w:r>
      <w:r w:rsidR="00E76B68">
        <w:rPr>
          <w:sz w:val="24"/>
          <w:szCs w:val="24"/>
        </w:rPr>
        <w:t xml:space="preserve"> of</w:t>
      </w:r>
      <w:r w:rsidR="00BC3BBE">
        <w:rPr>
          <w:sz w:val="24"/>
          <w:szCs w:val="24"/>
        </w:rPr>
        <w:t xml:space="preserve"> P’s</w:t>
      </w:r>
      <w:r w:rsidR="00E76B68">
        <w:rPr>
          <w:sz w:val="24"/>
          <w:szCs w:val="24"/>
        </w:rPr>
        <w:t xml:space="preserve"> risk</w:t>
      </w:r>
      <w:r>
        <w:rPr>
          <w:sz w:val="24"/>
          <w:szCs w:val="24"/>
        </w:rPr>
        <w:t>s of harm</w:t>
      </w:r>
      <w:r w:rsidR="00E76B68">
        <w:rPr>
          <w:sz w:val="24"/>
          <w:szCs w:val="24"/>
        </w:rPr>
        <w:t>.</w:t>
      </w:r>
      <w:r>
        <w:rPr>
          <w:sz w:val="24"/>
          <w:szCs w:val="24"/>
        </w:rPr>
        <w:t xml:space="preserve"> </w:t>
      </w:r>
      <w:r w:rsidR="003F689C">
        <w:rPr>
          <w:sz w:val="24"/>
          <w:szCs w:val="24"/>
        </w:rPr>
        <w:t xml:space="preserve">Secondly, </w:t>
      </w:r>
      <w:r w:rsidR="00E91A04">
        <w:rPr>
          <w:sz w:val="24"/>
          <w:szCs w:val="24"/>
        </w:rPr>
        <w:t>the</w:t>
      </w:r>
      <w:r w:rsidR="0078784A">
        <w:rPr>
          <w:sz w:val="24"/>
          <w:szCs w:val="24"/>
        </w:rPr>
        <w:t xml:space="preserve"> proposal to expand the</w:t>
      </w:r>
      <w:r w:rsidR="00E91A04">
        <w:rPr>
          <w:sz w:val="24"/>
          <w:szCs w:val="24"/>
        </w:rPr>
        <w:t xml:space="preserve"> MHA to incorporate ‘informal’</w:t>
      </w:r>
      <w:r w:rsidR="00B027ED">
        <w:rPr>
          <w:sz w:val="24"/>
          <w:szCs w:val="24"/>
        </w:rPr>
        <w:t xml:space="preserve"> Ps within </w:t>
      </w:r>
      <w:r w:rsidR="0078784A">
        <w:rPr>
          <w:sz w:val="24"/>
          <w:szCs w:val="24"/>
        </w:rPr>
        <w:t xml:space="preserve">its </w:t>
      </w:r>
      <w:r w:rsidR="00B027ED">
        <w:rPr>
          <w:sz w:val="24"/>
          <w:szCs w:val="24"/>
        </w:rPr>
        <w:t>domain</w:t>
      </w:r>
      <w:r w:rsidR="0078784A">
        <w:rPr>
          <w:sz w:val="24"/>
          <w:szCs w:val="24"/>
        </w:rPr>
        <w:t xml:space="preserve"> would have</w:t>
      </w:r>
      <w:r w:rsidR="00B027ED">
        <w:rPr>
          <w:sz w:val="24"/>
          <w:szCs w:val="24"/>
        </w:rPr>
        <w:t xml:space="preserve"> </w:t>
      </w:r>
      <w:r w:rsidR="00AE11FD">
        <w:rPr>
          <w:sz w:val="24"/>
          <w:szCs w:val="24"/>
        </w:rPr>
        <w:t>constituted</w:t>
      </w:r>
      <w:r w:rsidR="00FD33C1">
        <w:rPr>
          <w:sz w:val="24"/>
          <w:szCs w:val="24"/>
        </w:rPr>
        <w:t xml:space="preserve"> a significant extension of the scope of compulsory mental health law</w:t>
      </w:r>
      <w:r w:rsidR="00367D65">
        <w:rPr>
          <w:sz w:val="24"/>
          <w:szCs w:val="24"/>
        </w:rPr>
        <w:t xml:space="preserve">. </w:t>
      </w:r>
      <w:r w:rsidR="00120009">
        <w:rPr>
          <w:sz w:val="24"/>
          <w:szCs w:val="24"/>
        </w:rPr>
        <w:t xml:space="preserve">Even the Law Commission’s revised proposals appear to anticipate that considerations of risk should play a determinative role in any post-DOLS statutory regime. </w:t>
      </w:r>
      <w:r w:rsidR="00367D65">
        <w:rPr>
          <w:sz w:val="24"/>
          <w:szCs w:val="24"/>
        </w:rPr>
        <w:t xml:space="preserve">Far from retrenching risk-based </w:t>
      </w:r>
      <w:r w:rsidR="00FD33C1">
        <w:rPr>
          <w:sz w:val="24"/>
          <w:szCs w:val="24"/>
        </w:rPr>
        <w:t>processes</w:t>
      </w:r>
      <w:r w:rsidR="00367D65">
        <w:rPr>
          <w:sz w:val="24"/>
          <w:szCs w:val="24"/>
        </w:rPr>
        <w:t xml:space="preserve"> in favour of non-discriminatory alternatives, the Law Commission</w:t>
      </w:r>
      <w:r w:rsidR="00070D17">
        <w:rPr>
          <w:sz w:val="24"/>
          <w:szCs w:val="24"/>
        </w:rPr>
        <w:t>’s proposals would</w:t>
      </w:r>
      <w:r w:rsidR="00B26BC3">
        <w:rPr>
          <w:sz w:val="24"/>
          <w:szCs w:val="24"/>
        </w:rPr>
        <w:t xml:space="preserve"> propagate the continuities of risk.</w:t>
      </w:r>
      <w:r w:rsidR="0078784A">
        <w:rPr>
          <w:sz w:val="24"/>
          <w:szCs w:val="24"/>
        </w:rPr>
        <w:t xml:space="preserve"> </w:t>
      </w:r>
    </w:p>
    <w:p w:rsidR="00D72AEE" w:rsidRPr="003F2657" w:rsidRDefault="00175FF9" w:rsidP="00FD33C1">
      <w:pPr>
        <w:spacing w:line="720" w:lineRule="auto"/>
        <w:jc w:val="both"/>
        <w:rPr>
          <w:sz w:val="24"/>
          <w:szCs w:val="24"/>
        </w:rPr>
      </w:pPr>
      <w:r>
        <w:rPr>
          <w:sz w:val="24"/>
          <w:szCs w:val="24"/>
        </w:rPr>
        <w:tab/>
      </w:r>
      <w:r w:rsidR="00FD33C1">
        <w:rPr>
          <w:sz w:val="24"/>
          <w:szCs w:val="24"/>
        </w:rPr>
        <w:t>A</w:t>
      </w:r>
      <w:r>
        <w:rPr>
          <w:sz w:val="24"/>
          <w:szCs w:val="24"/>
        </w:rPr>
        <w:t>ny</w:t>
      </w:r>
      <w:r w:rsidR="00FD33C1">
        <w:rPr>
          <w:sz w:val="24"/>
          <w:szCs w:val="24"/>
        </w:rPr>
        <w:t xml:space="preserve"> such</w:t>
      </w:r>
      <w:r>
        <w:rPr>
          <w:sz w:val="24"/>
          <w:szCs w:val="24"/>
        </w:rPr>
        <w:t xml:space="preserve"> ‘rehabilitation’ of risk is likely to be controversial. On one hand, </w:t>
      </w:r>
      <w:r w:rsidR="002B1172">
        <w:rPr>
          <w:sz w:val="24"/>
          <w:szCs w:val="24"/>
        </w:rPr>
        <w:t xml:space="preserve">considerations of risk allow decision-makers to tailor their </w:t>
      </w:r>
      <w:r w:rsidR="00FD33C1">
        <w:rPr>
          <w:sz w:val="24"/>
          <w:szCs w:val="24"/>
        </w:rPr>
        <w:t>interventions</w:t>
      </w:r>
      <w:r w:rsidR="002B1172">
        <w:rPr>
          <w:sz w:val="24"/>
          <w:szCs w:val="24"/>
        </w:rPr>
        <w:t xml:space="preserve"> to P’s clinical need, </w:t>
      </w:r>
      <w:r w:rsidR="002B1172">
        <w:rPr>
          <w:sz w:val="24"/>
          <w:szCs w:val="24"/>
        </w:rPr>
        <w:lastRenderedPageBreak/>
        <w:t>thereby personalising his care and treatment</w:t>
      </w:r>
      <w:r w:rsidR="00070D17">
        <w:rPr>
          <w:sz w:val="24"/>
          <w:szCs w:val="24"/>
        </w:rPr>
        <w:t>. On the other hand,</w:t>
      </w:r>
      <w:r w:rsidR="002B1172">
        <w:rPr>
          <w:sz w:val="24"/>
          <w:szCs w:val="24"/>
        </w:rPr>
        <w:t xml:space="preserve"> risk poses significant challenges</w:t>
      </w:r>
      <w:r w:rsidR="00FD33C1">
        <w:rPr>
          <w:sz w:val="24"/>
          <w:szCs w:val="24"/>
        </w:rPr>
        <w:t xml:space="preserve"> in the post-MCA era. It is stigmatising, poorly defined, and probably breaches the CRPD</w:t>
      </w:r>
      <w:r w:rsidR="00D804CB">
        <w:rPr>
          <w:sz w:val="24"/>
          <w:szCs w:val="24"/>
        </w:rPr>
        <w:t>.</w:t>
      </w:r>
      <w:r w:rsidR="00FD33C1">
        <w:rPr>
          <w:sz w:val="24"/>
          <w:szCs w:val="24"/>
        </w:rPr>
        <w:t xml:space="preserve"> </w:t>
      </w:r>
      <w:r w:rsidR="00632616">
        <w:rPr>
          <w:sz w:val="24"/>
          <w:szCs w:val="24"/>
        </w:rPr>
        <w:t>M</w:t>
      </w:r>
      <w:r w:rsidR="00E4593E">
        <w:rPr>
          <w:sz w:val="24"/>
          <w:szCs w:val="24"/>
        </w:rPr>
        <w:t>ore must be done to reconcile</w:t>
      </w:r>
      <w:r w:rsidR="00FD33C1">
        <w:rPr>
          <w:sz w:val="24"/>
          <w:szCs w:val="24"/>
        </w:rPr>
        <w:t xml:space="preserve"> English</w:t>
      </w:r>
      <w:r w:rsidR="00E4593E">
        <w:rPr>
          <w:sz w:val="24"/>
          <w:szCs w:val="24"/>
        </w:rPr>
        <w:t xml:space="preserve"> mental health law </w:t>
      </w:r>
      <w:r w:rsidR="00B9128A">
        <w:rPr>
          <w:sz w:val="24"/>
          <w:szCs w:val="24"/>
        </w:rPr>
        <w:t xml:space="preserve">with the </w:t>
      </w:r>
      <w:r w:rsidR="00070D17">
        <w:rPr>
          <w:sz w:val="24"/>
          <w:szCs w:val="24"/>
        </w:rPr>
        <w:t>principles</w:t>
      </w:r>
      <w:r w:rsidR="00B9128A">
        <w:rPr>
          <w:sz w:val="24"/>
          <w:szCs w:val="24"/>
        </w:rPr>
        <w:t xml:space="preserve"> of capacity, autonomy and non-discrimination. It is doubtful that the concept of risk </w:t>
      </w:r>
      <w:r w:rsidR="00632616">
        <w:rPr>
          <w:sz w:val="24"/>
          <w:szCs w:val="24"/>
        </w:rPr>
        <w:t>c</w:t>
      </w:r>
      <w:r w:rsidR="0072208C">
        <w:rPr>
          <w:sz w:val="24"/>
          <w:szCs w:val="24"/>
        </w:rPr>
        <w:t>ould</w:t>
      </w:r>
      <w:r w:rsidR="00070D17">
        <w:rPr>
          <w:sz w:val="24"/>
          <w:szCs w:val="24"/>
        </w:rPr>
        <w:t xml:space="preserve"> ever be </w:t>
      </w:r>
      <w:r w:rsidR="0072208C">
        <w:rPr>
          <w:sz w:val="24"/>
          <w:szCs w:val="24"/>
        </w:rPr>
        <w:t>compatible with</w:t>
      </w:r>
      <w:r w:rsidR="00632616">
        <w:rPr>
          <w:sz w:val="24"/>
          <w:szCs w:val="24"/>
        </w:rPr>
        <w:t xml:space="preserve"> or instrumental to</w:t>
      </w:r>
      <w:r w:rsidR="00FD33C1">
        <w:rPr>
          <w:sz w:val="24"/>
          <w:szCs w:val="24"/>
        </w:rPr>
        <w:t xml:space="preserve"> that reconciliation</w:t>
      </w:r>
      <w:r w:rsidR="00B9128A">
        <w:rPr>
          <w:sz w:val="24"/>
          <w:szCs w:val="24"/>
        </w:rPr>
        <w:t>.</w:t>
      </w:r>
    </w:p>
    <w:sectPr w:rsidR="00D72AEE" w:rsidRPr="003F2657" w:rsidSect="009D4601">
      <w:footnotePr>
        <w:numRestart w:val="eachSect"/>
      </w:foot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C3" w:rsidRDefault="00A72CC3" w:rsidP="008369B1">
      <w:pPr>
        <w:spacing w:after="0" w:line="240" w:lineRule="auto"/>
      </w:pPr>
      <w:r>
        <w:separator/>
      </w:r>
    </w:p>
  </w:endnote>
  <w:endnote w:type="continuationSeparator" w:id="0">
    <w:p w:rsidR="00A72CC3" w:rsidRDefault="00A72CC3" w:rsidP="0083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415561"/>
      <w:docPartObj>
        <w:docPartGallery w:val="Page Numbers (Bottom of Page)"/>
        <w:docPartUnique/>
      </w:docPartObj>
    </w:sdtPr>
    <w:sdtEndPr>
      <w:rPr>
        <w:noProof/>
      </w:rPr>
    </w:sdtEndPr>
    <w:sdtContent>
      <w:p w:rsidR="00A72CC3" w:rsidRDefault="00A72CC3">
        <w:pPr>
          <w:pStyle w:val="Footer"/>
          <w:jc w:val="right"/>
        </w:pPr>
        <w:r>
          <w:fldChar w:fldCharType="begin"/>
        </w:r>
        <w:r>
          <w:instrText xml:space="preserve"> PAGE   \* MERGEFORMAT </w:instrText>
        </w:r>
        <w:r>
          <w:fldChar w:fldCharType="separate"/>
        </w:r>
        <w:r w:rsidR="00D004AE">
          <w:rPr>
            <w:noProof/>
          </w:rPr>
          <w:t>1</w:t>
        </w:r>
        <w:r>
          <w:rPr>
            <w:noProof/>
          </w:rPr>
          <w:fldChar w:fldCharType="end"/>
        </w:r>
      </w:p>
    </w:sdtContent>
  </w:sdt>
  <w:p w:rsidR="00A72CC3" w:rsidRDefault="00A72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C3" w:rsidRDefault="00A72CC3" w:rsidP="008369B1">
      <w:pPr>
        <w:spacing w:after="0" w:line="240" w:lineRule="auto"/>
      </w:pPr>
      <w:r>
        <w:separator/>
      </w:r>
    </w:p>
  </w:footnote>
  <w:footnote w:type="continuationSeparator" w:id="0">
    <w:p w:rsidR="00A72CC3" w:rsidRDefault="00A72CC3" w:rsidP="008369B1">
      <w:pPr>
        <w:spacing w:after="0" w:line="240" w:lineRule="auto"/>
      </w:pPr>
      <w:r>
        <w:continuationSeparator/>
      </w:r>
    </w:p>
  </w:footnote>
  <w:footnote w:id="1">
    <w:p w:rsidR="00A72CC3" w:rsidRDefault="00A72CC3">
      <w:pPr>
        <w:pStyle w:val="FootnoteText"/>
      </w:pPr>
      <w:r>
        <w:rPr>
          <w:rStyle w:val="FootnoteReference"/>
        </w:rPr>
        <w:footnoteRef/>
      </w:r>
      <w:r>
        <w:t xml:space="preserve"> </w:t>
      </w:r>
      <w:r w:rsidRPr="00746259">
        <w:t xml:space="preserve">This work was supported by the </w:t>
      </w:r>
      <w:proofErr w:type="spellStart"/>
      <w:r w:rsidRPr="00746259">
        <w:t>Wellcome</w:t>
      </w:r>
      <w:proofErr w:type="spellEnd"/>
      <w:r w:rsidRPr="00746259">
        <w:t xml:space="preserve"> Trust (Grant No 107461/Z/15/Z) and was presented at the </w:t>
      </w:r>
      <w:r w:rsidRPr="00746259">
        <w:rPr>
          <w:i/>
        </w:rPr>
        <w:t xml:space="preserve">Mental Capacity Act 2005: Ten Years On </w:t>
      </w:r>
      <w:r w:rsidRPr="00746259">
        <w:t>conference in Liverpool, England, on 9-10 September 2015.</w:t>
      </w:r>
    </w:p>
    <w:p w:rsidR="00A72CC3" w:rsidRDefault="00A72CC3">
      <w:pPr>
        <w:pStyle w:val="FootnoteText"/>
      </w:pPr>
    </w:p>
  </w:footnote>
  <w:footnote w:id="2">
    <w:p w:rsidR="00A72CC3" w:rsidRPr="00746259" w:rsidRDefault="00A72CC3" w:rsidP="000D2CAE">
      <w:pPr>
        <w:pStyle w:val="FootnoteText"/>
        <w:spacing w:after="240"/>
        <w:jc w:val="both"/>
      </w:pPr>
      <w:r w:rsidRPr="00746259">
        <w:rPr>
          <w:rStyle w:val="FootnoteReference"/>
        </w:rPr>
        <w:footnoteRef/>
      </w:r>
      <w:r w:rsidRPr="00746259">
        <w:t xml:space="preserve"> </w:t>
      </w:r>
      <w:r>
        <w:t>The author would like to thank Professor Michael Jones, Professor Michael Dougan, Dr Paula Case, Dr Amel Alghrani, and the two anonymous reviewers for their helpful comments on previous drafts of this paper.</w:t>
      </w:r>
    </w:p>
  </w:footnote>
  <w:footnote w:id="3">
    <w:p w:rsidR="00A72CC3" w:rsidRPr="00746259" w:rsidRDefault="00A72CC3" w:rsidP="0052155C">
      <w:pPr>
        <w:pStyle w:val="FootnoteText"/>
        <w:spacing w:after="240" w:line="360" w:lineRule="auto"/>
        <w:jc w:val="both"/>
      </w:pPr>
      <w:r w:rsidRPr="00746259">
        <w:rPr>
          <w:rStyle w:val="FootnoteReference"/>
        </w:rPr>
        <w:footnoteRef/>
      </w:r>
      <w:r w:rsidRPr="00746259">
        <w:t xml:space="preserve"> The</w:t>
      </w:r>
      <w:r>
        <w:t xml:space="preserve">se include the detention of P </w:t>
      </w:r>
      <w:r w:rsidRPr="00746259">
        <w:t>in hospital for a relevant period (</w:t>
      </w:r>
      <w:proofErr w:type="spellStart"/>
      <w:r w:rsidRPr="00746259">
        <w:t>ss</w:t>
      </w:r>
      <w:proofErr w:type="spellEnd"/>
      <w:r w:rsidRPr="00746259">
        <w:t xml:space="preserve"> 2-5; 20),</w:t>
      </w:r>
      <w:r>
        <w:t xml:space="preserve"> a requirement that P lives in a particular place under the supervision of a </w:t>
      </w:r>
      <w:r w:rsidRPr="00746259">
        <w:t>guardian (s 8(1</w:t>
      </w:r>
      <w:proofErr w:type="gramStart"/>
      <w:r w:rsidRPr="00746259">
        <w:t>)(</w:t>
      </w:r>
      <w:proofErr w:type="gramEnd"/>
      <w:r w:rsidRPr="00746259">
        <w:t xml:space="preserve">a)), </w:t>
      </w:r>
      <w:r>
        <w:t>the administering of medical treatment to P without his consent</w:t>
      </w:r>
      <w:r w:rsidRPr="00746259">
        <w:t xml:space="preserve"> (s 63)</w:t>
      </w:r>
      <w:r>
        <w:t>, and so on</w:t>
      </w:r>
      <w:r w:rsidRPr="00746259">
        <w:t>.</w:t>
      </w:r>
    </w:p>
  </w:footnote>
  <w:footnote w:id="4">
    <w:p w:rsidR="00A72CC3" w:rsidRPr="00746259" w:rsidRDefault="00A72CC3" w:rsidP="0052155C">
      <w:pPr>
        <w:pStyle w:val="FootnoteText"/>
        <w:spacing w:after="240" w:line="360" w:lineRule="auto"/>
        <w:jc w:val="both"/>
      </w:pPr>
      <w:r w:rsidRPr="00746259">
        <w:rPr>
          <w:rStyle w:val="FootnoteReference"/>
        </w:rPr>
        <w:footnoteRef/>
      </w:r>
      <w:r w:rsidRPr="00746259">
        <w:t xml:space="preserve"> MHA 1983, s 1(2): </w:t>
      </w:r>
      <w:r>
        <w:t>‘</w:t>
      </w:r>
      <w:r w:rsidRPr="00746259">
        <w:t>mental disorder</w:t>
      </w:r>
      <w:r>
        <w:t>’</w:t>
      </w:r>
      <w:r w:rsidRPr="00746259">
        <w:t xml:space="preserve"> means </w:t>
      </w:r>
      <w:r>
        <w:t>‘</w:t>
      </w:r>
      <w:r w:rsidRPr="00746259">
        <w:t>any disorder or disability of the mind</w:t>
      </w:r>
      <w:r>
        <w:t>’</w:t>
      </w:r>
      <w:r w:rsidRPr="00746259">
        <w:t>.</w:t>
      </w:r>
    </w:p>
  </w:footnote>
  <w:footnote w:id="5">
    <w:p w:rsidR="00A72CC3" w:rsidRPr="00746259" w:rsidRDefault="00A72CC3" w:rsidP="0052155C">
      <w:pPr>
        <w:pStyle w:val="FootnoteText"/>
        <w:spacing w:after="240" w:line="360" w:lineRule="auto"/>
        <w:jc w:val="both"/>
      </w:pPr>
      <w:r w:rsidRPr="00746259">
        <w:rPr>
          <w:rStyle w:val="FootnoteReference"/>
        </w:rPr>
        <w:footnoteRef/>
      </w:r>
      <w:r w:rsidRPr="00746259">
        <w:t xml:space="preserve"> The wording of the </w:t>
      </w:r>
      <w:r>
        <w:t>‘</w:t>
      </w:r>
      <w:r w:rsidRPr="00746259">
        <w:t>risk formula</w:t>
      </w:r>
      <w:r>
        <w:t>’</w:t>
      </w:r>
      <w:r w:rsidRPr="00746259">
        <w:t xml:space="preserve"> varies according to which of the compulsory powers the registered medical practitioners wish to deploy</w:t>
      </w:r>
      <w:r>
        <w:t xml:space="preserve">. For example, s 2 says that the </w:t>
      </w:r>
      <w:r w:rsidRPr="00746259">
        <w:t xml:space="preserve">application must be justified on the grounds that the patient </w:t>
      </w:r>
      <w:r>
        <w:t>‘</w:t>
      </w:r>
      <w:r w:rsidRPr="00746259">
        <w:t>ought to be detained in the interests of his own health or safety or with a view to the protection of other persons</w:t>
      </w:r>
      <w:r>
        <w:t>’</w:t>
      </w:r>
      <w:r w:rsidRPr="00746259">
        <w:t>, whereas s 3</w:t>
      </w:r>
      <w:r>
        <w:t xml:space="preserve"> says detention</w:t>
      </w:r>
      <w:r w:rsidRPr="00746259">
        <w:t xml:space="preserve"> must be </w:t>
      </w:r>
      <w:r>
        <w:t>‘</w:t>
      </w:r>
      <w:r w:rsidRPr="00746259">
        <w:t>necessary for the health or safety of the patient or for the protection of other persons</w:t>
      </w:r>
      <w:r>
        <w:t>’</w:t>
      </w:r>
      <w:r w:rsidRPr="00746259">
        <w:t>.</w:t>
      </w:r>
    </w:p>
  </w:footnote>
  <w:footnote w:id="6">
    <w:p w:rsidR="00A72CC3" w:rsidRPr="00746259" w:rsidRDefault="00A72CC3" w:rsidP="0052155C">
      <w:pPr>
        <w:pStyle w:val="FootnoteText"/>
        <w:spacing w:after="240" w:line="360" w:lineRule="auto"/>
        <w:jc w:val="both"/>
      </w:pPr>
      <w:r w:rsidRPr="00746259">
        <w:rPr>
          <w:rStyle w:val="FootnoteReference"/>
        </w:rPr>
        <w:footnoteRef/>
      </w:r>
      <w:r w:rsidRPr="00746259">
        <w:t xml:space="preserve"> MCA 2005, s 2(1): a person lacks capacity if, at the material time, </w:t>
      </w:r>
      <w:r>
        <w:t>‘</w:t>
      </w:r>
      <w:r w:rsidRPr="00746259">
        <w:t>he is unable to make a decision for himself…because of an impairment of, or a disturbance in the functioning of, the mind or brain</w:t>
      </w:r>
      <w:r>
        <w:t>’.</w:t>
      </w:r>
    </w:p>
  </w:footnote>
  <w:footnote w:id="7">
    <w:p w:rsidR="00A72CC3" w:rsidRPr="00746259" w:rsidRDefault="00A72CC3" w:rsidP="0052155C">
      <w:pPr>
        <w:pStyle w:val="FootnoteText"/>
        <w:spacing w:after="240" w:line="360" w:lineRule="auto"/>
        <w:jc w:val="both"/>
      </w:pPr>
      <w:r w:rsidRPr="00746259">
        <w:rPr>
          <w:rStyle w:val="FootnoteReference"/>
        </w:rPr>
        <w:footnoteRef/>
      </w:r>
      <w:r w:rsidRPr="00746259">
        <w:t xml:space="preserve"> </w:t>
      </w:r>
      <w:proofErr w:type="gramStart"/>
      <w:r w:rsidRPr="00746259">
        <w:t xml:space="preserve">MCA 2005, </w:t>
      </w:r>
      <w:proofErr w:type="spellStart"/>
      <w:r w:rsidRPr="00746259">
        <w:t>s</w:t>
      </w:r>
      <w:r>
        <w:t>s</w:t>
      </w:r>
      <w:proofErr w:type="spellEnd"/>
      <w:r>
        <w:t xml:space="preserve"> 3 and</w:t>
      </w:r>
      <w:r w:rsidRPr="00746259">
        <w:t xml:space="preserve"> 4.</w:t>
      </w:r>
      <w:proofErr w:type="gramEnd"/>
      <w:r w:rsidRPr="00746259">
        <w:t xml:space="preserve"> </w:t>
      </w:r>
      <w:r>
        <w:t xml:space="preserve">Case law predating the 2005 Act suggests that the court will evaluate P’s best interests broadly; see, e.g., </w:t>
      </w:r>
      <w:r w:rsidRPr="005863E8">
        <w:rPr>
          <w:i/>
        </w:rPr>
        <w:t>Re MB (Medi</w:t>
      </w:r>
      <w:bookmarkStart w:id="1" w:name="ReMB"/>
      <w:bookmarkEnd w:id="1"/>
      <w:r w:rsidRPr="005863E8">
        <w:rPr>
          <w:i/>
        </w:rPr>
        <w:t>cal Treatment)</w:t>
      </w:r>
      <w:r>
        <w:t xml:space="preserve"> [1997] 2 FLR 426, in which the Court of Appeal said that considerations of patients’ best interests should not be limited only to clinical matters; </w:t>
      </w:r>
      <w:r w:rsidRPr="005863E8">
        <w:rPr>
          <w:i/>
        </w:rPr>
        <w:t>Re A</w:t>
      </w:r>
      <w:bookmarkStart w:id="2" w:name="ReASterilisation"/>
      <w:bookmarkEnd w:id="2"/>
      <w:r w:rsidRPr="005863E8">
        <w:rPr>
          <w:i/>
        </w:rPr>
        <w:t xml:space="preserve"> (Male Sterilisation)</w:t>
      </w:r>
      <w:r>
        <w:t xml:space="preserve"> [2000] 1 FLR 549, in which Butler-</w:t>
      </w:r>
      <w:proofErr w:type="spellStart"/>
      <w:r>
        <w:t>Sloss</w:t>
      </w:r>
      <w:proofErr w:type="spellEnd"/>
      <w:r>
        <w:t xml:space="preserve"> LJ said that ‘best interests’ include ‘medical, emotional and all other welfare issues’; and </w:t>
      </w:r>
      <w:r w:rsidRPr="005863E8">
        <w:rPr>
          <w:i/>
        </w:rPr>
        <w:t>Trust A</w:t>
      </w:r>
      <w:bookmarkStart w:id="3" w:name="TrustAvH"/>
      <w:bookmarkEnd w:id="3"/>
      <w:r w:rsidRPr="005863E8">
        <w:rPr>
          <w:i/>
        </w:rPr>
        <w:t xml:space="preserve"> v H</w:t>
      </w:r>
      <w:r>
        <w:t xml:space="preserve"> [2006] 9 CCLR 474, in which ‘best interests’ was taken to refer to a ‘broad spectrum of medical, social, emotional and welfare issues’.</w:t>
      </w:r>
    </w:p>
  </w:footnote>
  <w:footnote w:id="8">
    <w:p w:rsidR="00A72CC3" w:rsidRPr="00746259" w:rsidRDefault="00A72CC3" w:rsidP="0052155C">
      <w:pPr>
        <w:pStyle w:val="FootnoteText"/>
        <w:spacing w:after="240" w:line="360" w:lineRule="auto"/>
        <w:jc w:val="both"/>
      </w:pPr>
      <w:r w:rsidRPr="00746259">
        <w:rPr>
          <w:rStyle w:val="FootnoteReference"/>
        </w:rPr>
        <w:footnoteRef/>
      </w:r>
      <w:r w:rsidRPr="00746259">
        <w:t xml:space="preserve"> House of Lords Selection Committee on the Mental Capacity Act 2005, </w:t>
      </w:r>
      <w:r w:rsidRPr="00746259">
        <w:rPr>
          <w:i/>
        </w:rPr>
        <w:t>Mental Capacity Act 2005: Post-legislative Scrutiny</w:t>
      </w:r>
      <w:r w:rsidRPr="00746259">
        <w:t xml:space="preserve">, Report of Session 2013-14, </w:t>
      </w:r>
      <w:r>
        <w:t>(TSO: London, HL Paper 139)</w:t>
      </w:r>
      <w:r w:rsidRPr="00746259">
        <w:t>, 6.</w:t>
      </w:r>
    </w:p>
  </w:footnote>
  <w:footnote w:id="9">
    <w:p w:rsidR="00A72CC3" w:rsidRPr="00746259" w:rsidRDefault="00A72CC3" w:rsidP="0052155C">
      <w:pPr>
        <w:pStyle w:val="FootnoteText"/>
        <w:spacing w:after="240" w:line="360" w:lineRule="auto"/>
        <w:jc w:val="both"/>
      </w:pPr>
      <w:r w:rsidRPr="00746259">
        <w:rPr>
          <w:rStyle w:val="FootnoteReference"/>
        </w:rPr>
        <w:footnoteRef/>
      </w:r>
      <w:r>
        <w:t xml:space="preserve"> G</w:t>
      </w:r>
      <w:r w:rsidRPr="00746259">
        <w:t xml:space="preserve"> Richardson, ‘Balancing Autonomy and Risk: A Failure of Nerve in England and Wales’ (2007) 30 </w:t>
      </w:r>
      <w:proofErr w:type="spellStart"/>
      <w:r w:rsidRPr="00663884">
        <w:t>Int</w:t>
      </w:r>
      <w:proofErr w:type="spellEnd"/>
      <w:r w:rsidRPr="00663884">
        <w:t xml:space="preserve"> J Law </w:t>
      </w:r>
      <w:proofErr w:type="spellStart"/>
      <w:r w:rsidRPr="00663884">
        <w:t>Psychiat</w:t>
      </w:r>
      <w:proofErr w:type="spellEnd"/>
      <w:r w:rsidRPr="00746259">
        <w:rPr>
          <w:i/>
        </w:rPr>
        <w:t xml:space="preserve"> </w:t>
      </w:r>
      <w:r>
        <w:t>71, 73. C.f., AE Buchanan and D</w:t>
      </w:r>
      <w:r w:rsidRPr="00746259">
        <w:t xml:space="preserve">W Brock, </w:t>
      </w:r>
      <w:r w:rsidRPr="00746259">
        <w:rPr>
          <w:i/>
        </w:rPr>
        <w:t>Deciding for Others: The Ethics of Surrogate Decision-making</w:t>
      </w:r>
      <w:r>
        <w:t xml:space="preserve"> (</w:t>
      </w:r>
      <w:r w:rsidRPr="00746259">
        <w:t>Camb</w:t>
      </w:r>
      <w:r>
        <w:t>ridge University Press: Cambridge, 1990),</w:t>
      </w:r>
      <w:r w:rsidRPr="00746259">
        <w:t xml:space="preserve"> 328-9.</w:t>
      </w:r>
    </w:p>
  </w:footnote>
  <w:footnote w:id="10">
    <w:p w:rsidR="00A72CC3" w:rsidRPr="00746259" w:rsidRDefault="00A72CC3" w:rsidP="0052155C">
      <w:pPr>
        <w:pStyle w:val="FootnoteText"/>
        <w:spacing w:after="240" w:line="360" w:lineRule="auto"/>
        <w:jc w:val="both"/>
      </w:pPr>
      <w:r w:rsidRPr="00746259">
        <w:rPr>
          <w:rStyle w:val="FootnoteReference"/>
        </w:rPr>
        <w:footnoteRef/>
      </w:r>
      <w:r w:rsidRPr="00746259">
        <w:t xml:space="preserve"> </w:t>
      </w:r>
      <w:r>
        <w:rPr>
          <w:rFonts w:cstheme="minorHAnsi"/>
        </w:rPr>
        <w:t>S</w:t>
      </w:r>
      <w:r w:rsidRPr="00746259">
        <w:rPr>
          <w:rFonts w:cstheme="minorHAnsi"/>
        </w:rPr>
        <w:t xml:space="preserve"> </w:t>
      </w:r>
      <w:proofErr w:type="spellStart"/>
      <w:r w:rsidRPr="00746259">
        <w:rPr>
          <w:rFonts w:cstheme="minorHAnsi"/>
        </w:rPr>
        <w:t>Rosenman</w:t>
      </w:r>
      <w:proofErr w:type="spellEnd"/>
      <w:r w:rsidRPr="00746259">
        <w:rPr>
          <w:rFonts w:cstheme="minorHAnsi"/>
        </w:rPr>
        <w:t xml:space="preserve">, ‘Mental Health Law: An Idea Whose Time has Passed’ (1994) 28 </w:t>
      </w:r>
      <w:proofErr w:type="spellStart"/>
      <w:r w:rsidRPr="002975C7">
        <w:rPr>
          <w:rFonts w:cstheme="minorHAnsi"/>
        </w:rPr>
        <w:t>Aust</w:t>
      </w:r>
      <w:proofErr w:type="spellEnd"/>
      <w:r w:rsidRPr="002975C7">
        <w:rPr>
          <w:rFonts w:cstheme="minorHAnsi"/>
        </w:rPr>
        <w:t xml:space="preserve"> NZ J </w:t>
      </w:r>
      <w:proofErr w:type="spellStart"/>
      <w:r w:rsidRPr="002975C7">
        <w:rPr>
          <w:rFonts w:cstheme="minorHAnsi"/>
        </w:rPr>
        <w:t>Psychiat</w:t>
      </w:r>
      <w:proofErr w:type="spellEnd"/>
      <w:r w:rsidRPr="00746259">
        <w:rPr>
          <w:rFonts w:cstheme="minorHAnsi"/>
          <w:i/>
        </w:rPr>
        <w:t xml:space="preserve"> </w:t>
      </w:r>
      <w:r>
        <w:rPr>
          <w:rFonts w:cstheme="minorHAnsi"/>
        </w:rPr>
        <w:t xml:space="preserve">560, </w:t>
      </w:r>
      <w:r w:rsidRPr="00746259">
        <w:rPr>
          <w:rFonts w:cstheme="minorHAnsi"/>
        </w:rPr>
        <w:t xml:space="preserve">565; G </w:t>
      </w:r>
      <w:proofErr w:type="spellStart"/>
      <w:r w:rsidRPr="00746259">
        <w:rPr>
          <w:rFonts w:cstheme="minorHAnsi"/>
        </w:rPr>
        <w:t>Szmukler</w:t>
      </w:r>
      <w:proofErr w:type="spellEnd"/>
      <w:r w:rsidRPr="00746259">
        <w:rPr>
          <w:rFonts w:cstheme="minorHAnsi"/>
        </w:rPr>
        <w:t xml:space="preserve"> and F Holloway, ‘Reform of the Mental Health Act: Health or Safety?’ (2000) 177 </w:t>
      </w:r>
      <w:r>
        <w:rPr>
          <w:rFonts w:cstheme="minorHAnsi"/>
        </w:rPr>
        <w:t xml:space="preserve">Brit J </w:t>
      </w:r>
      <w:proofErr w:type="spellStart"/>
      <w:r>
        <w:rPr>
          <w:rFonts w:cstheme="minorHAnsi"/>
        </w:rPr>
        <w:t>Psychiat</w:t>
      </w:r>
      <w:proofErr w:type="spellEnd"/>
      <w:r w:rsidRPr="00746259">
        <w:rPr>
          <w:rFonts w:cstheme="minorHAnsi"/>
          <w:i/>
        </w:rPr>
        <w:t xml:space="preserve"> </w:t>
      </w:r>
      <w:r>
        <w:rPr>
          <w:rFonts w:cstheme="minorHAnsi"/>
        </w:rPr>
        <w:t>196, 198; T</w:t>
      </w:r>
      <w:r w:rsidRPr="00746259">
        <w:rPr>
          <w:rFonts w:cstheme="minorHAnsi"/>
        </w:rPr>
        <w:t xml:space="preserve"> Campbell and C </w:t>
      </w:r>
      <w:proofErr w:type="spellStart"/>
      <w:r w:rsidRPr="00746259">
        <w:rPr>
          <w:rFonts w:cstheme="minorHAnsi"/>
        </w:rPr>
        <w:t>Heginbotham</w:t>
      </w:r>
      <w:proofErr w:type="spellEnd"/>
      <w:r w:rsidRPr="00746259">
        <w:rPr>
          <w:rFonts w:cstheme="minorHAnsi"/>
        </w:rPr>
        <w:t xml:space="preserve">, </w:t>
      </w:r>
      <w:r w:rsidRPr="00746259">
        <w:rPr>
          <w:rFonts w:cstheme="minorHAnsi"/>
          <w:i/>
        </w:rPr>
        <w:t>Mental Illness: Prejudice, Discrimination and the Law</w:t>
      </w:r>
      <w:r w:rsidRPr="00746259">
        <w:rPr>
          <w:rFonts w:cstheme="minorHAnsi"/>
        </w:rPr>
        <w:t xml:space="preserve"> </w:t>
      </w:r>
      <w:r>
        <w:rPr>
          <w:rFonts w:cstheme="minorHAnsi"/>
        </w:rPr>
        <w:t xml:space="preserve">(Dartmouth: Aldershot, 1991), </w:t>
      </w:r>
      <w:r w:rsidRPr="00746259">
        <w:rPr>
          <w:rFonts w:cstheme="minorHAnsi"/>
        </w:rPr>
        <w:t>7.</w:t>
      </w:r>
    </w:p>
  </w:footnote>
  <w:footnote w:id="11">
    <w:p w:rsidR="00A72CC3" w:rsidRPr="00746259" w:rsidRDefault="00A72CC3" w:rsidP="0052155C">
      <w:pPr>
        <w:pStyle w:val="FootnoteText"/>
        <w:spacing w:after="240" w:line="360" w:lineRule="auto"/>
        <w:jc w:val="both"/>
      </w:pPr>
      <w:r w:rsidRPr="00746259">
        <w:rPr>
          <w:rStyle w:val="FootnoteReference"/>
        </w:rPr>
        <w:footnoteRef/>
      </w:r>
      <w:r w:rsidRPr="00746259">
        <w:t xml:space="preserve"> P Bartlett, ‘The United Nations Convention on the Rights of Persons with Disabilities and Mental Health Law’ (2012) 75(5) </w:t>
      </w:r>
      <w:r>
        <w:t>MLR</w:t>
      </w:r>
      <w:r w:rsidRPr="00746259">
        <w:rPr>
          <w:i/>
        </w:rPr>
        <w:t xml:space="preserve"> </w:t>
      </w:r>
      <w:r w:rsidRPr="00746259">
        <w:t>752</w:t>
      </w:r>
      <w:r>
        <w:t xml:space="preserve">; </w:t>
      </w:r>
      <w:r w:rsidRPr="00746259">
        <w:t xml:space="preserve">F Morrissey, ‘The United Nations Convention on the Rights of Persons with Disabilities: A New Approach to Decision-making in Mental Health Law’ (2012) 19(5) </w:t>
      </w:r>
      <w:r>
        <w:t>EJHL</w:t>
      </w:r>
      <w:r w:rsidRPr="00746259">
        <w:rPr>
          <w:i/>
        </w:rPr>
        <w:t xml:space="preserve"> </w:t>
      </w:r>
      <w:r w:rsidRPr="00746259">
        <w:t xml:space="preserve">423; G </w:t>
      </w:r>
      <w:proofErr w:type="spellStart"/>
      <w:r w:rsidRPr="00746259">
        <w:t>Szmukler</w:t>
      </w:r>
      <w:proofErr w:type="spellEnd"/>
      <w:r w:rsidRPr="00746259">
        <w:t xml:space="preserve"> </w:t>
      </w:r>
      <w:r w:rsidRPr="00746259">
        <w:rPr>
          <w:i/>
        </w:rPr>
        <w:t>et al</w:t>
      </w:r>
      <w:r w:rsidRPr="00746259">
        <w:t>, ‘Mental Health Law and the UN Convention on the Rights of Persons with Disabilities</w:t>
      </w:r>
      <w:r>
        <w:t>’</w:t>
      </w:r>
      <w:r w:rsidRPr="00746259">
        <w:t xml:space="preserve"> (2014) 37(3) </w:t>
      </w:r>
      <w:proofErr w:type="spellStart"/>
      <w:r w:rsidRPr="00663884">
        <w:t>Int</w:t>
      </w:r>
      <w:proofErr w:type="spellEnd"/>
      <w:r w:rsidRPr="00663884">
        <w:t xml:space="preserve"> J Law </w:t>
      </w:r>
      <w:proofErr w:type="spellStart"/>
      <w:r w:rsidRPr="00663884">
        <w:t>Psychiat</w:t>
      </w:r>
      <w:proofErr w:type="spellEnd"/>
      <w:r w:rsidRPr="00746259">
        <w:t xml:space="preserve"> 245.</w:t>
      </w:r>
    </w:p>
  </w:footnote>
  <w:footnote w:id="12">
    <w:p w:rsidR="00A72CC3" w:rsidRPr="00746259" w:rsidRDefault="00A72CC3" w:rsidP="0052155C">
      <w:pPr>
        <w:pStyle w:val="FootnoteText"/>
        <w:spacing w:after="240" w:line="360" w:lineRule="auto"/>
        <w:jc w:val="both"/>
      </w:pPr>
      <w:r w:rsidRPr="00746259">
        <w:rPr>
          <w:rStyle w:val="FootnoteReference"/>
        </w:rPr>
        <w:footnoteRef/>
      </w:r>
      <w:r w:rsidRPr="00746259">
        <w:t xml:space="preserve"> Law Commission, </w:t>
      </w:r>
      <w:r w:rsidRPr="00746259">
        <w:rPr>
          <w:i/>
        </w:rPr>
        <w:t>Mental Capacity and Deprivation of Liberty: A Consultation Paper</w:t>
      </w:r>
      <w:r w:rsidRPr="00746259">
        <w:t xml:space="preserve"> </w:t>
      </w:r>
      <w:r>
        <w:t xml:space="preserve">(TSO: London, </w:t>
      </w:r>
      <w:r w:rsidRPr="00746259">
        <w:t>Consultation Paper No 222, 2015</w:t>
      </w:r>
      <w:r>
        <w:t>)</w:t>
      </w:r>
      <w:r w:rsidRPr="00746259">
        <w:t>.</w:t>
      </w:r>
    </w:p>
  </w:footnote>
  <w:footnote w:id="13">
    <w:p w:rsidR="00A72CC3" w:rsidRPr="00E50C19" w:rsidRDefault="00A72CC3" w:rsidP="000D2CAE">
      <w:pPr>
        <w:pStyle w:val="FootnoteText"/>
        <w:jc w:val="both"/>
      </w:pPr>
      <w:r>
        <w:rPr>
          <w:rStyle w:val="FootnoteReference"/>
        </w:rPr>
        <w:footnoteRef/>
      </w:r>
      <w:r>
        <w:t xml:space="preserve"> Law Commission, </w:t>
      </w:r>
      <w:r>
        <w:rPr>
          <w:i/>
        </w:rPr>
        <w:t>Mental Capacity and Deprivation of Liberty: Interim Statement</w:t>
      </w:r>
      <w:r>
        <w:t>, 25 May 2016 &lt;</w:t>
      </w:r>
      <w:r w:rsidRPr="00E50C19">
        <w:t>www.lawcom.gov.uk/wp-content/uploads/2016/06/mental_capacity_interim_statement.pdf</w:t>
      </w:r>
      <w:r>
        <w:t>&gt; accessed 22 June 2016.</w:t>
      </w:r>
    </w:p>
    <w:p w:rsidR="00A72CC3" w:rsidRDefault="00A72CC3" w:rsidP="000D2CAE">
      <w:pPr>
        <w:pStyle w:val="FootnoteText"/>
        <w:jc w:val="both"/>
      </w:pPr>
    </w:p>
  </w:footnote>
  <w:footnote w:id="14">
    <w:p w:rsidR="00A72CC3" w:rsidRPr="00746259" w:rsidRDefault="00A72CC3" w:rsidP="00E50C19">
      <w:pPr>
        <w:pStyle w:val="FootnoteText"/>
        <w:spacing w:after="240" w:line="360" w:lineRule="auto"/>
        <w:jc w:val="both"/>
      </w:pPr>
      <w:r w:rsidRPr="00746259">
        <w:rPr>
          <w:rStyle w:val="FootnoteReference"/>
        </w:rPr>
        <w:footnoteRef/>
      </w:r>
      <w:r w:rsidRPr="00746259">
        <w:t xml:space="preserve"> </w:t>
      </w:r>
      <w:r>
        <w:t>‘R</w:t>
      </w:r>
      <w:r w:rsidRPr="00746259">
        <w:t>isk</w:t>
      </w:r>
      <w:r>
        <w:t>’</w:t>
      </w:r>
      <w:r w:rsidRPr="00746259">
        <w:t xml:space="preserve"> appears on only a handful of occasions: </w:t>
      </w:r>
      <w:proofErr w:type="spellStart"/>
      <w:r w:rsidRPr="00746259">
        <w:t>ss</w:t>
      </w:r>
      <w:proofErr w:type="spellEnd"/>
      <w:r w:rsidRPr="00746259">
        <w:t xml:space="preserve"> </w:t>
      </w:r>
      <w:proofErr w:type="gramStart"/>
      <w:r w:rsidRPr="00746259">
        <w:t>17A(</w:t>
      </w:r>
      <w:proofErr w:type="gramEnd"/>
      <w:r w:rsidRPr="00746259">
        <w:t>1)(6), 17B(2)(b), 17E(1)(b), 20A(7), 41(1), 43(1)(b), and 72(1A).</w:t>
      </w:r>
    </w:p>
  </w:footnote>
  <w:footnote w:id="15">
    <w:p w:rsidR="00A72CC3" w:rsidRPr="00746259" w:rsidRDefault="00A72CC3" w:rsidP="0052155C">
      <w:pPr>
        <w:pStyle w:val="FootnoteText"/>
        <w:spacing w:after="240" w:line="360" w:lineRule="auto"/>
        <w:jc w:val="both"/>
      </w:pPr>
      <w:r w:rsidRPr="00746259">
        <w:rPr>
          <w:rStyle w:val="FootnoteReference"/>
        </w:rPr>
        <w:footnoteRef/>
      </w:r>
      <w:r w:rsidRPr="00746259">
        <w:t xml:space="preserve"> Mental Health Act 1959, </w:t>
      </w:r>
      <w:proofErr w:type="spellStart"/>
      <w:r w:rsidRPr="00746259">
        <w:t>ss</w:t>
      </w:r>
      <w:proofErr w:type="spellEnd"/>
      <w:r w:rsidRPr="00746259">
        <w:t xml:space="preserve"> 25(1</w:t>
      </w:r>
      <w:proofErr w:type="gramStart"/>
      <w:r w:rsidRPr="00746259">
        <w:t>)(</w:t>
      </w:r>
      <w:proofErr w:type="gramEnd"/>
      <w:r w:rsidRPr="00746259">
        <w:t>b), 26(2)(b), 43(3), 123(1) and (2); Lunacy Act 1890, s 4.</w:t>
      </w:r>
    </w:p>
  </w:footnote>
  <w:footnote w:id="16">
    <w:p w:rsidR="00A72CC3" w:rsidRPr="00746259" w:rsidRDefault="00A72CC3" w:rsidP="0052155C">
      <w:pPr>
        <w:pStyle w:val="FootnoteText"/>
        <w:spacing w:after="240" w:line="360" w:lineRule="auto"/>
        <w:jc w:val="both"/>
      </w:pPr>
      <w:r w:rsidRPr="00746259">
        <w:rPr>
          <w:rStyle w:val="FootnoteReference"/>
        </w:rPr>
        <w:footnoteRef/>
      </w:r>
      <w:r w:rsidRPr="00746259">
        <w:t xml:space="preserve"> See, e.g., </w:t>
      </w:r>
      <w:r>
        <w:rPr>
          <w:rFonts w:cstheme="minorHAnsi"/>
        </w:rPr>
        <w:t>J</w:t>
      </w:r>
      <w:r w:rsidRPr="00746259">
        <w:rPr>
          <w:rFonts w:cstheme="minorHAnsi"/>
        </w:rPr>
        <w:t xml:space="preserve"> Monahan, ‘Mental Disorder and Violent Behaviour’ (1992) 47(4) </w:t>
      </w:r>
      <w:r w:rsidRPr="00593925">
        <w:rPr>
          <w:rFonts w:cstheme="minorHAnsi"/>
        </w:rPr>
        <w:t xml:space="preserve">Am </w:t>
      </w:r>
      <w:proofErr w:type="spellStart"/>
      <w:r w:rsidRPr="00593925">
        <w:rPr>
          <w:rFonts w:cstheme="minorHAnsi"/>
        </w:rPr>
        <w:t>Psychol</w:t>
      </w:r>
      <w:proofErr w:type="spellEnd"/>
      <w:r w:rsidRPr="00746259">
        <w:rPr>
          <w:rFonts w:cstheme="minorHAnsi"/>
          <w:i/>
        </w:rPr>
        <w:t xml:space="preserve"> </w:t>
      </w:r>
      <w:r w:rsidRPr="00746259">
        <w:rPr>
          <w:rFonts w:cstheme="minorHAnsi"/>
        </w:rPr>
        <w:t xml:space="preserve">511; MG Kennedy, ‘Relationship Between Psychiatric Diagnosis and Patient Aggression’ (1993) 14(3) </w:t>
      </w:r>
      <w:r>
        <w:rPr>
          <w:rFonts w:cstheme="minorHAnsi"/>
        </w:rPr>
        <w:t xml:space="preserve">Issues </w:t>
      </w:r>
      <w:proofErr w:type="spellStart"/>
      <w:r>
        <w:rPr>
          <w:rFonts w:cstheme="minorHAnsi"/>
        </w:rPr>
        <w:t>Ment</w:t>
      </w:r>
      <w:proofErr w:type="spellEnd"/>
      <w:r>
        <w:rPr>
          <w:rFonts w:cstheme="minorHAnsi"/>
        </w:rPr>
        <w:t xml:space="preserve"> Health </w:t>
      </w:r>
      <w:proofErr w:type="spellStart"/>
      <w:r>
        <w:rPr>
          <w:rFonts w:cstheme="minorHAnsi"/>
        </w:rPr>
        <w:t>Nurs</w:t>
      </w:r>
      <w:proofErr w:type="spellEnd"/>
      <w:r w:rsidRPr="00746259">
        <w:rPr>
          <w:rFonts w:cstheme="minorHAnsi"/>
          <w:i/>
        </w:rPr>
        <w:t xml:space="preserve"> </w:t>
      </w:r>
      <w:r w:rsidRPr="00746259">
        <w:rPr>
          <w:rFonts w:cstheme="minorHAnsi"/>
        </w:rPr>
        <w:t xml:space="preserve">263; BG Link and A </w:t>
      </w:r>
      <w:proofErr w:type="spellStart"/>
      <w:r w:rsidRPr="00746259">
        <w:rPr>
          <w:rFonts w:cstheme="minorHAnsi"/>
        </w:rPr>
        <w:t>Stueve</w:t>
      </w:r>
      <w:proofErr w:type="spellEnd"/>
      <w:r w:rsidRPr="00746259">
        <w:rPr>
          <w:rFonts w:cstheme="minorHAnsi"/>
        </w:rPr>
        <w:t xml:space="preserve">, ‘Psychotic Symptoms and the Violent/Illegal Behaviour of Mental Patients Compared to Community Controls’ in J Monahan </w:t>
      </w:r>
      <w:r w:rsidRPr="00746259">
        <w:rPr>
          <w:rFonts w:cstheme="minorHAnsi"/>
          <w:i/>
        </w:rPr>
        <w:t>et al</w:t>
      </w:r>
      <w:r>
        <w:rPr>
          <w:rFonts w:cstheme="minorHAnsi"/>
        </w:rPr>
        <w:t xml:space="preserve"> (</w:t>
      </w:r>
      <w:proofErr w:type="spellStart"/>
      <w:r>
        <w:rPr>
          <w:rFonts w:cstheme="minorHAnsi"/>
        </w:rPr>
        <w:t>eds</w:t>
      </w:r>
      <w:proofErr w:type="spellEnd"/>
      <w:r w:rsidRPr="00746259">
        <w:rPr>
          <w:rFonts w:cstheme="minorHAnsi"/>
        </w:rPr>
        <w:t>)</w:t>
      </w:r>
      <w:r>
        <w:rPr>
          <w:rFonts w:cstheme="minorHAnsi"/>
        </w:rPr>
        <w:t>,</w:t>
      </w:r>
      <w:r w:rsidRPr="00746259">
        <w:rPr>
          <w:rFonts w:cstheme="minorHAnsi"/>
        </w:rPr>
        <w:t xml:space="preserve"> </w:t>
      </w:r>
      <w:r w:rsidRPr="00746259">
        <w:rPr>
          <w:rFonts w:cstheme="minorHAnsi"/>
          <w:i/>
        </w:rPr>
        <w:t xml:space="preserve">Violence and Mental Disorder: Developments in Risk </w:t>
      </w:r>
      <w:proofErr w:type="spellStart"/>
      <w:r w:rsidRPr="00746259">
        <w:rPr>
          <w:rFonts w:cstheme="minorHAnsi"/>
          <w:i/>
        </w:rPr>
        <w:t>Assesssment</w:t>
      </w:r>
      <w:proofErr w:type="spellEnd"/>
      <w:r w:rsidRPr="00746259">
        <w:rPr>
          <w:rFonts w:cstheme="minorHAnsi"/>
        </w:rPr>
        <w:t xml:space="preserve"> </w:t>
      </w:r>
      <w:r>
        <w:rPr>
          <w:rFonts w:cstheme="minorHAnsi"/>
        </w:rPr>
        <w:t xml:space="preserve">(University of </w:t>
      </w:r>
      <w:r w:rsidRPr="00746259">
        <w:rPr>
          <w:rFonts w:cstheme="minorHAnsi"/>
        </w:rPr>
        <w:t>Chicago</w:t>
      </w:r>
      <w:r>
        <w:rPr>
          <w:rFonts w:cstheme="minorHAnsi"/>
        </w:rPr>
        <w:t xml:space="preserve"> Press, Chicago, 1994)</w:t>
      </w:r>
      <w:r w:rsidRPr="00746259">
        <w:rPr>
          <w:rFonts w:cstheme="minorHAnsi"/>
        </w:rPr>
        <w:t xml:space="preserve">; E Silver </w:t>
      </w:r>
      <w:r w:rsidRPr="00746259">
        <w:rPr>
          <w:rFonts w:cstheme="minorHAnsi"/>
          <w:i/>
        </w:rPr>
        <w:t>et al</w:t>
      </w:r>
      <w:r w:rsidRPr="00746259">
        <w:rPr>
          <w:rFonts w:cstheme="minorHAnsi"/>
        </w:rPr>
        <w:t xml:space="preserve">, ‘Assessing Violence Risk Among Discharged Psychiatric Patients: Towards an Ecological Approach’ (1999) 23(2) </w:t>
      </w:r>
      <w:r>
        <w:rPr>
          <w:rFonts w:cstheme="minorHAnsi"/>
        </w:rPr>
        <w:t xml:space="preserve">Law &amp; Hum </w:t>
      </w:r>
      <w:proofErr w:type="spellStart"/>
      <w:r>
        <w:rPr>
          <w:rFonts w:cstheme="minorHAnsi"/>
        </w:rPr>
        <w:t>Behav</w:t>
      </w:r>
      <w:proofErr w:type="spellEnd"/>
      <w:r w:rsidRPr="00746259">
        <w:rPr>
          <w:rFonts w:cstheme="minorHAnsi"/>
          <w:i/>
        </w:rPr>
        <w:t xml:space="preserve"> </w:t>
      </w:r>
      <w:r w:rsidRPr="00746259">
        <w:rPr>
          <w:rFonts w:cstheme="minorHAnsi"/>
        </w:rPr>
        <w:t xml:space="preserve">237; J Swanson </w:t>
      </w:r>
      <w:r w:rsidRPr="00746259">
        <w:rPr>
          <w:rFonts w:cstheme="minorHAnsi"/>
          <w:i/>
        </w:rPr>
        <w:t>et al</w:t>
      </w:r>
      <w:r w:rsidRPr="00746259">
        <w:rPr>
          <w:rFonts w:cstheme="minorHAnsi"/>
        </w:rPr>
        <w:t xml:space="preserve">, ‘Violent Behaviour Preceding Hospitalisation Among Persons with Severe Mental Illness’ (1999) 23(2) </w:t>
      </w:r>
      <w:r>
        <w:rPr>
          <w:rFonts w:cstheme="minorHAnsi"/>
        </w:rPr>
        <w:t xml:space="preserve">Law &amp; Hum </w:t>
      </w:r>
      <w:proofErr w:type="spellStart"/>
      <w:r>
        <w:rPr>
          <w:rFonts w:cstheme="minorHAnsi"/>
        </w:rPr>
        <w:t>Behav</w:t>
      </w:r>
      <w:proofErr w:type="spellEnd"/>
      <w:r w:rsidRPr="00746259">
        <w:rPr>
          <w:rFonts w:cstheme="minorHAnsi"/>
          <w:i/>
        </w:rPr>
        <w:t xml:space="preserve"> </w:t>
      </w:r>
      <w:r w:rsidRPr="00746259">
        <w:rPr>
          <w:rFonts w:cstheme="minorHAnsi"/>
        </w:rPr>
        <w:t xml:space="preserve">185; RD Hare, ‘Psychopathy and Risk for Recidivism and Violence’ in N Gray </w:t>
      </w:r>
      <w:r w:rsidRPr="00746259">
        <w:rPr>
          <w:rFonts w:cstheme="minorHAnsi"/>
          <w:i/>
        </w:rPr>
        <w:t>et al</w:t>
      </w:r>
      <w:r w:rsidRPr="00746259">
        <w:rPr>
          <w:rFonts w:cstheme="minorHAnsi"/>
        </w:rPr>
        <w:t xml:space="preserve"> (</w:t>
      </w:r>
      <w:proofErr w:type="spellStart"/>
      <w:r w:rsidRPr="00746259">
        <w:rPr>
          <w:rFonts w:cstheme="minorHAnsi"/>
        </w:rPr>
        <w:t>eds</w:t>
      </w:r>
      <w:proofErr w:type="spellEnd"/>
      <w:r w:rsidRPr="00746259">
        <w:rPr>
          <w:rFonts w:cstheme="minorHAnsi"/>
        </w:rPr>
        <w:t>)</w:t>
      </w:r>
      <w:r>
        <w:rPr>
          <w:rFonts w:cstheme="minorHAnsi"/>
        </w:rPr>
        <w:t>,</w:t>
      </w:r>
      <w:r w:rsidRPr="00746259">
        <w:rPr>
          <w:rFonts w:cstheme="minorHAnsi"/>
        </w:rPr>
        <w:t xml:space="preserve"> </w:t>
      </w:r>
      <w:r w:rsidRPr="00746259">
        <w:rPr>
          <w:rFonts w:cstheme="minorHAnsi"/>
          <w:i/>
        </w:rPr>
        <w:t>Criminal Justice, Mental Health and the Politics of Risk</w:t>
      </w:r>
      <w:r>
        <w:rPr>
          <w:rFonts w:cstheme="minorHAnsi"/>
        </w:rPr>
        <w:t xml:space="preserve"> (Cavendish Publishing: London</w:t>
      </w:r>
      <w:r w:rsidRPr="00746259">
        <w:rPr>
          <w:rFonts w:cstheme="minorHAnsi"/>
        </w:rPr>
        <w:t>, 2002</w:t>
      </w:r>
      <w:r>
        <w:rPr>
          <w:rFonts w:cstheme="minorHAnsi"/>
        </w:rPr>
        <w:t>); J</w:t>
      </w:r>
      <w:r w:rsidRPr="00746259">
        <w:rPr>
          <w:rFonts w:cstheme="minorHAnsi"/>
        </w:rPr>
        <w:t xml:space="preserve">W Swanson </w:t>
      </w:r>
      <w:r w:rsidRPr="00746259">
        <w:rPr>
          <w:rFonts w:cstheme="minorHAnsi"/>
          <w:i/>
        </w:rPr>
        <w:t>et al</w:t>
      </w:r>
      <w:r w:rsidRPr="00746259">
        <w:rPr>
          <w:rFonts w:cstheme="minorHAnsi"/>
        </w:rPr>
        <w:t xml:space="preserve">, ‘The Social-Environmental Context of Violent Behaviour in Persons Treated for Severe Mental Illness’ (2002) 92(9) </w:t>
      </w:r>
      <w:r>
        <w:rPr>
          <w:rFonts w:cstheme="minorHAnsi"/>
        </w:rPr>
        <w:t>Am J Public Health</w:t>
      </w:r>
      <w:r w:rsidRPr="00746259">
        <w:rPr>
          <w:rFonts w:cstheme="minorHAnsi"/>
          <w:i/>
        </w:rPr>
        <w:t xml:space="preserve"> </w:t>
      </w:r>
      <w:r w:rsidRPr="00746259">
        <w:rPr>
          <w:rFonts w:cstheme="minorHAnsi"/>
        </w:rPr>
        <w:t xml:space="preserve">1523; </w:t>
      </w:r>
      <w:r w:rsidRPr="00746259">
        <w:t xml:space="preserve">JW Swanson </w:t>
      </w:r>
      <w:r w:rsidRPr="00746259">
        <w:rPr>
          <w:i/>
        </w:rPr>
        <w:t>et al</w:t>
      </w:r>
      <w:r w:rsidRPr="00746259">
        <w:t xml:space="preserve">, ‘A National Study of Violent Behaviour in Persons with Schizophrenia’ (2006) 63 </w:t>
      </w:r>
      <w:r>
        <w:t xml:space="preserve">Arch Gen </w:t>
      </w:r>
      <w:proofErr w:type="spellStart"/>
      <w:r>
        <w:t>Psychiat</w:t>
      </w:r>
      <w:proofErr w:type="spellEnd"/>
      <w:r w:rsidRPr="00746259">
        <w:rPr>
          <w:i/>
        </w:rPr>
        <w:t xml:space="preserve"> </w:t>
      </w:r>
      <w:r w:rsidRPr="00746259">
        <w:t>490</w:t>
      </w:r>
      <w:r w:rsidRPr="00746259">
        <w:rPr>
          <w:rFonts w:cstheme="minorHAnsi"/>
        </w:rPr>
        <w:t>.</w:t>
      </w:r>
    </w:p>
  </w:footnote>
  <w:footnote w:id="17">
    <w:p w:rsidR="00A72CC3" w:rsidRPr="00746259" w:rsidRDefault="00A72CC3" w:rsidP="0052155C">
      <w:pPr>
        <w:pStyle w:val="FootnoteText"/>
        <w:spacing w:after="240" w:line="360" w:lineRule="auto"/>
        <w:jc w:val="both"/>
      </w:pPr>
      <w:r w:rsidRPr="00746259">
        <w:rPr>
          <w:rStyle w:val="FootnoteReference"/>
        </w:rPr>
        <w:footnoteRef/>
      </w:r>
      <w:r w:rsidRPr="00746259">
        <w:t xml:space="preserve"> N Glover-Thomas, ‘The Age of Risk: Risk Perception and Determination Following the Mental Health Act 2007’ (2011) 19 </w:t>
      </w:r>
      <w:r>
        <w:t>Med L Rev</w:t>
      </w:r>
      <w:r w:rsidRPr="00746259">
        <w:rPr>
          <w:i/>
        </w:rPr>
        <w:t xml:space="preserve"> </w:t>
      </w:r>
      <w:r>
        <w:t xml:space="preserve">581, </w:t>
      </w:r>
      <w:r w:rsidRPr="00746259">
        <w:t>585. See also</w:t>
      </w:r>
      <w:r>
        <w:t xml:space="preserve"> </w:t>
      </w:r>
      <w:r w:rsidRPr="00746259">
        <w:rPr>
          <w:rFonts w:cstheme="minorHAnsi"/>
        </w:rPr>
        <w:t xml:space="preserve">HM Government, </w:t>
      </w:r>
      <w:r w:rsidRPr="00746259">
        <w:rPr>
          <w:rFonts w:cstheme="minorHAnsi"/>
          <w:i/>
        </w:rPr>
        <w:t>Reforming the Mental Health Act – Part I: The New Legal Framework</w:t>
      </w:r>
      <w:r w:rsidRPr="00746259">
        <w:rPr>
          <w:rFonts w:cstheme="minorHAnsi"/>
        </w:rPr>
        <w:t xml:space="preserve">, Cm 5016-I, December 2000; HM Government, </w:t>
      </w:r>
      <w:r w:rsidRPr="00746259">
        <w:rPr>
          <w:rFonts w:cstheme="minorHAnsi"/>
          <w:i/>
        </w:rPr>
        <w:t>Reforming the Mental Health Act – Part II: High Risk Patients</w:t>
      </w:r>
      <w:r>
        <w:rPr>
          <w:rFonts w:cstheme="minorHAnsi"/>
        </w:rPr>
        <w:t>, Cm 5016-II, December 2000;</w:t>
      </w:r>
      <w:r w:rsidRPr="00746259">
        <w:t xml:space="preserve"> </w:t>
      </w:r>
      <w:r w:rsidRPr="00746259">
        <w:rPr>
          <w:rFonts w:cstheme="minorHAnsi"/>
        </w:rPr>
        <w:t xml:space="preserve">JM Laing, ‘Rights versus Risk? Reform of the Mental Health Act 1983’ (2000) 8 </w:t>
      </w:r>
      <w:r>
        <w:rPr>
          <w:rFonts w:cstheme="minorHAnsi"/>
        </w:rPr>
        <w:t>Med L Rev</w:t>
      </w:r>
      <w:r w:rsidRPr="00746259">
        <w:rPr>
          <w:rFonts w:cstheme="minorHAnsi"/>
          <w:i/>
        </w:rPr>
        <w:t xml:space="preserve"> </w:t>
      </w:r>
      <w:r w:rsidRPr="00746259">
        <w:rPr>
          <w:rFonts w:cstheme="minorHAnsi"/>
        </w:rPr>
        <w:t>210;</w:t>
      </w:r>
      <w:r w:rsidRPr="00746259">
        <w:t xml:space="preserve"> R Daw, ‘</w:t>
      </w:r>
      <w:proofErr w:type="gramStart"/>
      <w:r w:rsidRPr="00746259">
        <w:t>The</w:t>
      </w:r>
      <w:proofErr w:type="gramEnd"/>
      <w:r w:rsidRPr="00746259">
        <w:t xml:space="preserve"> Mental Health Act 2007: The Defeat of an Ideal’ (2007) </w:t>
      </w:r>
      <w:r>
        <w:t>JMHL</w:t>
      </w:r>
      <w:r w:rsidRPr="00746259">
        <w:rPr>
          <w:i/>
        </w:rPr>
        <w:t xml:space="preserve"> </w:t>
      </w:r>
      <w:r w:rsidRPr="00746259">
        <w:t xml:space="preserve">131; N Glover-Thomas, ‘The Mental Health Act 2007 in England and Wales: The Impact on Perceived Patient Risk Profiles’ (2010) 29(4) </w:t>
      </w:r>
      <w:r>
        <w:t>J L &amp; Med</w:t>
      </w:r>
      <w:r w:rsidRPr="00746259">
        <w:rPr>
          <w:i/>
        </w:rPr>
        <w:t xml:space="preserve"> </w:t>
      </w:r>
      <w:r w:rsidRPr="00746259">
        <w:t>593.</w:t>
      </w:r>
    </w:p>
  </w:footnote>
  <w:footnote w:id="18">
    <w:p w:rsidR="00A72CC3" w:rsidRPr="00746259" w:rsidRDefault="00A72CC3" w:rsidP="0052155C">
      <w:pPr>
        <w:pStyle w:val="FootnoteText"/>
        <w:spacing w:after="240" w:line="360" w:lineRule="auto"/>
        <w:jc w:val="both"/>
      </w:pPr>
      <w:r w:rsidRPr="00746259">
        <w:rPr>
          <w:rStyle w:val="FootnoteReference"/>
        </w:rPr>
        <w:footnoteRef/>
      </w:r>
      <w:r w:rsidRPr="00746259">
        <w:t xml:space="preserve"> Department of Health, </w:t>
      </w:r>
      <w:r w:rsidRPr="00746259">
        <w:rPr>
          <w:i/>
        </w:rPr>
        <w:t>Mental Health Act 1983: Code of Practice</w:t>
      </w:r>
      <w:r w:rsidRPr="00746259">
        <w:t xml:space="preserve"> </w:t>
      </w:r>
      <w:r>
        <w:t>(TSO: London, 2015)</w:t>
      </w:r>
      <w:r w:rsidRPr="00746259">
        <w:t>, [14.10-14.11].</w:t>
      </w:r>
    </w:p>
  </w:footnote>
  <w:footnote w:id="19">
    <w:p w:rsidR="00A72CC3" w:rsidRPr="00746259" w:rsidRDefault="00A72CC3" w:rsidP="0052155C">
      <w:pPr>
        <w:pStyle w:val="FootnoteText"/>
        <w:spacing w:after="240" w:line="360" w:lineRule="auto"/>
        <w:jc w:val="both"/>
      </w:pPr>
      <w:r w:rsidRPr="00746259">
        <w:rPr>
          <w:rStyle w:val="FootnoteReference"/>
        </w:rPr>
        <w:footnoteRef/>
      </w:r>
      <w:r w:rsidRPr="00746259">
        <w:t xml:space="preserve"> </w:t>
      </w:r>
      <w:r w:rsidRPr="00312E2E">
        <w:rPr>
          <w:i/>
        </w:rPr>
        <w:t>ibid</w:t>
      </w:r>
      <w:r w:rsidRPr="00746259">
        <w:t>.</w:t>
      </w:r>
    </w:p>
  </w:footnote>
  <w:footnote w:id="20">
    <w:p w:rsidR="00A72CC3" w:rsidRPr="00746259" w:rsidRDefault="00A72CC3" w:rsidP="0052155C">
      <w:pPr>
        <w:pStyle w:val="FootnoteText"/>
        <w:spacing w:after="240" w:line="360" w:lineRule="auto"/>
        <w:jc w:val="both"/>
      </w:pPr>
      <w:r w:rsidRPr="00746259">
        <w:rPr>
          <w:rStyle w:val="FootnoteReference"/>
        </w:rPr>
        <w:footnoteRef/>
      </w:r>
      <w:r w:rsidRPr="00746259">
        <w:t xml:space="preserve"> </w:t>
      </w:r>
      <w:r w:rsidRPr="00746259">
        <w:rPr>
          <w:rFonts w:cstheme="minorHAnsi"/>
        </w:rPr>
        <w:t xml:space="preserve">B. Hale, </w:t>
      </w:r>
      <w:r w:rsidRPr="00746259">
        <w:rPr>
          <w:rFonts w:cstheme="minorHAnsi"/>
          <w:i/>
        </w:rPr>
        <w:t>Mental Health Law</w:t>
      </w:r>
      <w:r>
        <w:rPr>
          <w:rFonts w:cstheme="minorHAnsi"/>
        </w:rPr>
        <w:t xml:space="preserve"> (Sweet and Maxwell, London, 5</w:t>
      </w:r>
      <w:r w:rsidRPr="001005F5">
        <w:rPr>
          <w:rFonts w:cstheme="minorHAnsi"/>
          <w:vertAlign w:val="superscript"/>
        </w:rPr>
        <w:t>th</w:t>
      </w:r>
      <w:r>
        <w:rPr>
          <w:rFonts w:cstheme="minorHAnsi"/>
        </w:rPr>
        <w:t xml:space="preserve"> </w:t>
      </w:r>
      <w:proofErr w:type="spellStart"/>
      <w:r>
        <w:rPr>
          <w:rFonts w:cstheme="minorHAnsi"/>
        </w:rPr>
        <w:t>edn</w:t>
      </w:r>
      <w:proofErr w:type="spellEnd"/>
      <w:r>
        <w:rPr>
          <w:rFonts w:cstheme="minorHAnsi"/>
        </w:rPr>
        <w:t xml:space="preserve">, 2010), </w:t>
      </w:r>
      <w:r w:rsidRPr="00746259">
        <w:rPr>
          <w:rFonts w:cstheme="minorHAnsi"/>
        </w:rPr>
        <w:t>58.</w:t>
      </w:r>
    </w:p>
  </w:footnote>
  <w:footnote w:id="21">
    <w:p w:rsidR="00A72CC3" w:rsidRPr="00746259" w:rsidRDefault="00A72CC3" w:rsidP="0052155C">
      <w:pPr>
        <w:pStyle w:val="FootnoteText"/>
        <w:spacing w:after="240" w:line="360" w:lineRule="auto"/>
        <w:jc w:val="both"/>
      </w:pPr>
      <w:r w:rsidRPr="00746259">
        <w:rPr>
          <w:rStyle w:val="FootnoteReference"/>
        </w:rPr>
        <w:footnoteRef/>
      </w:r>
      <w:r w:rsidRPr="00746259">
        <w:t xml:space="preserve"> </w:t>
      </w:r>
      <w:proofErr w:type="gramStart"/>
      <w:r w:rsidRPr="00746259">
        <w:t>MHA 1983, s 25(1).</w:t>
      </w:r>
      <w:proofErr w:type="gramEnd"/>
    </w:p>
  </w:footnote>
  <w:footnote w:id="22">
    <w:p w:rsidR="00A72CC3" w:rsidRPr="00746259" w:rsidRDefault="00A72CC3" w:rsidP="0052155C">
      <w:pPr>
        <w:pStyle w:val="FootnoteText"/>
        <w:spacing w:after="240" w:line="360" w:lineRule="auto"/>
        <w:jc w:val="both"/>
      </w:pPr>
      <w:r w:rsidRPr="00746259">
        <w:rPr>
          <w:rStyle w:val="FootnoteReference"/>
        </w:rPr>
        <w:footnoteRef/>
      </w:r>
      <w:r w:rsidRPr="00746259">
        <w:t xml:space="preserve"> </w:t>
      </w:r>
      <w:proofErr w:type="gramStart"/>
      <w:r w:rsidRPr="00746259">
        <w:t>Hale, n.</w:t>
      </w:r>
      <w:proofErr w:type="gramEnd"/>
      <w:r w:rsidRPr="00746259">
        <w:fldChar w:fldCharType="begin"/>
      </w:r>
      <w:r w:rsidRPr="00746259">
        <w:instrText xml:space="preserve"> NOTEREF _Ref427069878 \h  \* MERGEFORMAT </w:instrText>
      </w:r>
      <w:r w:rsidRPr="00746259">
        <w:fldChar w:fldCharType="separate"/>
      </w:r>
      <w:r>
        <w:t>18</w:t>
      </w:r>
      <w:r w:rsidRPr="00746259">
        <w:fldChar w:fldCharType="end"/>
      </w:r>
      <w:r w:rsidRPr="00746259">
        <w:t>.</w:t>
      </w:r>
    </w:p>
  </w:footnote>
  <w:footnote w:id="23">
    <w:p w:rsidR="00A72CC3" w:rsidRPr="00746259" w:rsidRDefault="00A72CC3" w:rsidP="0052155C">
      <w:pPr>
        <w:pStyle w:val="FootnoteText"/>
        <w:spacing w:after="240" w:line="360" w:lineRule="auto"/>
        <w:jc w:val="both"/>
        <w:rPr>
          <w:i/>
        </w:rPr>
      </w:pPr>
      <w:r w:rsidRPr="00746259">
        <w:rPr>
          <w:rStyle w:val="FootnoteReference"/>
        </w:rPr>
        <w:footnoteRef/>
      </w:r>
      <w:r w:rsidRPr="00746259">
        <w:t xml:space="preserve"> See also </w:t>
      </w:r>
      <w:r w:rsidRPr="00746259">
        <w:rPr>
          <w:i/>
        </w:rPr>
        <w:t xml:space="preserve">R (on the application of O) v West London Mental Health NHS Trust </w:t>
      </w:r>
      <w:r w:rsidRPr="00746259">
        <w:rPr>
          <w:rFonts w:cstheme="minorHAnsi"/>
        </w:rPr>
        <w:t>[2005] EWHC 604 (Admin)</w:t>
      </w:r>
      <w:r>
        <w:rPr>
          <w:rFonts w:cstheme="minorHAnsi"/>
        </w:rPr>
        <w:t>, where</w:t>
      </w:r>
      <w:r w:rsidRPr="00746259">
        <w:rPr>
          <w:rFonts w:cstheme="minorHAnsi"/>
        </w:rPr>
        <w:t xml:space="preserve"> Collins J said that the term ‘dangerous’ in s 25(1) requires decision-makers to look for an ‘extra factor’ before barring a nearest relative’s discharge order.</w:t>
      </w:r>
    </w:p>
  </w:footnote>
  <w:footnote w:id="24">
    <w:p w:rsidR="00A72CC3" w:rsidRPr="00746259" w:rsidRDefault="00A72CC3" w:rsidP="0052155C">
      <w:pPr>
        <w:pStyle w:val="FootnoteText"/>
        <w:spacing w:after="240" w:line="360" w:lineRule="auto"/>
        <w:jc w:val="both"/>
      </w:pPr>
      <w:r w:rsidRPr="00746259">
        <w:rPr>
          <w:rStyle w:val="FootnoteReference"/>
        </w:rPr>
        <w:footnoteRef/>
      </w:r>
      <w:r>
        <w:t xml:space="preserve"> D</w:t>
      </w:r>
      <w:r w:rsidRPr="00746259">
        <w:t xml:space="preserve"> Pilgrim and A Rogers, ‘Two Notions of Risk in Mental Health Debates’ in T Heller </w:t>
      </w:r>
      <w:r w:rsidRPr="00746259">
        <w:rPr>
          <w:i/>
        </w:rPr>
        <w:t>et al</w:t>
      </w:r>
      <w:r w:rsidRPr="00746259">
        <w:t xml:space="preserve"> (</w:t>
      </w:r>
      <w:proofErr w:type="spellStart"/>
      <w:r w:rsidRPr="00746259">
        <w:t>eds</w:t>
      </w:r>
      <w:proofErr w:type="spellEnd"/>
      <w:r w:rsidRPr="00746259">
        <w:t>)</w:t>
      </w:r>
      <w:r>
        <w:t>,</w:t>
      </w:r>
      <w:r w:rsidRPr="00746259">
        <w:t xml:space="preserve"> </w:t>
      </w:r>
      <w:r w:rsidRPr="00746259">
        <w:rPr>
          <w:i/>
        </w:rPr>
        <w:t>Mental Health Matters: A Reader</w:t>
      </w:r>
      <w:r>
        <w:t xml:space="preserve"> (Palgrave MacMillan: Basingstoke, 1996), 1</w:t>
      </w:r>
      <w:r w:rsidRPr="00746259">
        <w:t>83.</w:t>
      </w:r>
    </w:p>
  </w:footnote>
  <w:footnote w:id="25">
    <w:p w:rsidR="00A72CC3" w:rsidRPr="00A16BA6" w:rsidRDefault="00A72CC3" w:rsidP="0052155C">
      <w:pPr>
        <w:pStyle w:val="FootnoteText"/>
        <w:spacing w:after="240" w:line="360" w:lineRule="auto"/>
        <w:jc w:val="both"/>
      </w:pPr>
      <w:r w:rsidRPr="00A16BA6">
        <w:rPr>
          <w:rStyle w:val="FootnoteReference"/>
        </w:rPr>
        <w:footnoteRef/>
      </w:r>
      <w:r w:rsidRPr="00A16BA6">
        <w:t xml:space="preserve"> </w:t>
      </w:r>
      <w:proofErr w:type="gramStart"/>
      <w:r w:rsidRPr="00A16BA6">
        <w:t xml:space="preserve">H </w:t>
      </w:r>
      <w:proofErr w:type="spellStart"/>
      <w:r w:rsidRPr="00A16BA6">
        <w:t>Prins</w:t>
      </w:r>
      <w:proofErr w:type="spellEnd"/>
      <w:r w:rsidRPr="00A16BA6">
        <w:t xml:space="preserve">, ‘Risk Assessment and Management in Criminal Justice and Psychiatry’ (1996) 7(1) </w:t>
      </w:r>
      <w:r>
        <w:t xml:space="preserve">J Forensic </w:t>
      </w:r>
      <w:proofErr w:type="spellStart"/>
      <w:r>
        <w:t>Psychiatr</w:t>
      </w:r>
      <w:proofErr w:type="spellEnd"/>
      <w:r w:rsidRPr="00A16BA6">
        <w:rPr>
          <w:i/>
        </w:rPr>
        <w:t xml:space="preserve"> </w:t>
      </w:r>
      <w:r>
        <w:t>42,</w:t>
      </w:r>
      <w:r w:rsidRPr="00A16BA6">
        <w:t xml:space="preserve"> 44.</w:t>
      </w:r>
      <w:proofErr w:type="gramEnd"/>
    </w:p>
  </w:footnote>
  <w:footnote w:id="26">
    <w:p w:rsidR="00A72CC3" w:rsidRPr="00A16BA6" w:rsidRDefault="00A72CC3" w:rsidP="0052155C">
      <w:pPr>
        <w:pStyle w:val="FootnoteText"/>
        <w:spacing w:after="240" w:line="360" w:lineRule="auto"/>
        <w:jc w:val="both"/>
      </w:pPr>
      <w:r w:rsidRPr="00A16BA6">
        <w:rPr>
          <w:rStyle w:val="FootnoteReference"/>
        </w:rPr>
        <w:footnoteRef/>
      </w:r>
      <w:r w:rsidRPr="00A16BA6">
        <w:t xml:space="preserve"> </w:t>
      </w:r>
      <w:r>
        <w:rPr>
          <w:rFonts w:cstheme="minorHAnsi"/>
        </w:rPr>
        <w:t>D</w:t>
      </w:r>
      <w:r w:rsidRPr="00A16BA6">
        <w:rPr>
          <w:rFonts w:cstheme="minorHAnsi"/>
        </w:rPr>
        <w:t xml:space="preserve"> Denney, </w:t>
      </w:r>
      <w:r w:rsidRPr="00A16BA6">
        <w:rPr>
          <w:rFonts w:cstheme="minorHAnsi"/>
          <w:i/>
        </w:rPr>
        <w:t xml:space="preserve">Risk and </w:t>
      </w:r>
      <w:r w:rsidRPr="002070DB">
        <w:rPr>
          <w:rFonts w:cstheme="minorHAnsi"/>
          <w:i/>
        </w:rPr>
        <w:t>Society</w:t>
      </w:r>
      <w:r>
        <w:rPr>
          <w:rFonts w:cstheme="minorHAnsi"/>
        </w:rPr>
        <w:t xml:space="preserve"> (SAGE: London, 2005), </w:t>
      </w:r>
      <w:r w:rsidRPr="00A16BA6">
        <w:rPr>
          <w:rFonts w:cstheme="minorHAnsi"/>
        </w:rPr>
        <w:t>35.</w:t>
      </w:r>
    </w:p>
  </w:footnote>
  <w:footnote w:id="27">
    <w:p w:rsidR="00A72CC3" w:rsidRPr="00A16BA6" w:rsidRDefault="00A72CC3" w:rsidP="0052155C">
      <w:pPr>
        <w:pStyle w:val="FootnoteText"/>
        <w:spacing w:after="240" w:line="360" w:lineRule="auto"/>
        <w:jc w:val="both"/>
      </w:pPr>
      <w:r w:rsidRPr="00A16BA6">
        <w:rPr>
          <w:rStyle w:val="FootnoteReference"/>
        </w:rPr>
        <w:footnoteRef/>
      </w:r>
      <w:r w:rsidRPr="00A16BA6">
        <w:t xml:space="preserve"> </w:t>
      </w:r>
      <w:r>
        <w:rPr>
          <w:rFonts w:cstheme="minorHAnsi"/>
        </w:rPr>
        <w:t>M</w:t>
      </w:r>
      <w:r w:rsidRPr="00A16BA6">
        <w:rPr>
          <w:rFonts w:cstheme="minorHAnsi"/>
        </w:rPr>
        <w:t xml:space="preserve"> F</w:t>
      </w:r>
      <w:r>
        <w:rPr>
          <w:rFonts w:cstheme="minorHAnsi"/>
        </w:rPr>
        <w:t>oucault, ‘</w:t>
      </w:r>
      <w:proofErr w:type="spellStart"/>
      <w:r>
        <w:rPr>
          <w:rFonts w:cstheme="minorHAnsi"/>
        </w:rPr>
        <w:t>Governmentality</w:t>
      </w:r>
      <w:proofErr w:type="spellEnd"/>
      <w:r>
        <w:rPr>
          <w:rFonts w:cstheme="minorHAnsi"/>
        </w:rPr>
        <w:t>’ in G</w:t>
      </w:r>
      <w:r w:rsidRPr="00A16BA6">
        <w:rPr>
          <w:rFonts w:cstheme="minorHAnsi"/>
        </w:rPr>
        <w:t xml:space="preserve"> </w:t>
      </w:r>
      <w:proofErr w:type="spellStart"/>
      <w:r w:rsidRPr="00A16BA6">
        <w:rPr>
          <w:rFonts w:cstheme="minorHAnsi"/>
        </w:rPr>
        <w:t>Burchell</w:t>
      </w:r>
      <w:proofErr w:type="spellEnd"/>
      <w:r w:rsidRPr="00A16BA6">
        <w:rPr>
          <w:rFonts w:cstheme="minorHAnsi"/>
        </w:rPr>
        <w:t xml:space="preserve"> </w:t>
      </w:r>
      <w:r w:rsidRPr="00A16BA6">
        <w:rPr>
          <w:rFonts w:cstheme="minorHAnsi"/>
          <w:i/>
        </w:rPr>
        <w:t>et al</w:t>
      </w:r>
      <w:r w:rsidRPr="00A16BA6">
        <w:rPr>
          <w:rFonts w:cstheme="minorHAnsi"/>
        </w:rPr>
        <w:t xml:space="preserve"> (</w:t>
      </w:r>
      <w:proofErr w:type="spellStart"/>
      <w:proofErr w:type="gramStart"/>
      <w:r w:rsidRPr="00A16BA6">
        <w:rPr>
          <w:rFonts w:cstheme="minorHAnsi"/>
        </w:rPr>
        <w:t>eds</w:t>
      </w:r>
      <w:proofErr w:type="spellEnd"/>
      <w:proofErr w:type="gramEnd"/>
      <w:r w:rsidRPr="00A16BA6">
        <w:rPr>
          <w:rFonts w:cstheme="minorHAnsi"/>
        </w:rPr>
        <w:t>)</w:t>
      </w:r>
      <w:r>
        <w:rPr>
          <w:rFonts w:cstheme="minorHAnsi"/>
        </w:rPr>
        <w:t>,</w:t>
      </w:r>
      <w:r w:rsidRPr="00A16BA6">
        <w:rPr>
          <w:rFonts w:cstheme="minorHAnsi"/>
        </w:rPr>
        <w:t xml:space="preserve"> </w:t>
      </w:r>
      <w:r w:rsidRPr="00A16BA6">
        <w:rPr>
          <w:rFonts w:cstheme="minorHAnsi"/>
          <w:i/>
        </w:rPr>
        <w:t>The Foucault Effe</w:t>
      </w:r>
      <w:r>
        <w:rPr>
          <w:rFonts w:cstheme="minorHAnsi"/>
          <w:i/>
        </w:rPr>
        <w:t xml:space="preserve">ct: Studies in </w:t>
      </w:r>
      <w:proofErr w:type="spellStart"/>
      <w:r>
        <w:rPr>
          <w:rFonts w:cstheme="minorHAnsi"/>
          <w:i/>
        </w:rPr>
        <w:t>Governmentality</w:t>
      </w:r>
      <w:proofErr w:type="spellEnd"/>
      <w:r>
        <w:rPr>
          <w:rFonts w:cstheme="minorHAnsi"/>
          <w:i/>
        </w:rPr>
        <w:t xml:space="preserve">’ </w:t>
      </w:r>
      <w:r>
        <w:rPr>
          <w:rFonts w:cstheme="minorHAnsi"/>
        </w:rPr>
        <w:t>(</w:t>
      </w:r>
      <w:r w:rsidRPr="00A16BA6">
        <w:rPr>
          <w:rFonts w:cstheme="minorHAnsi"/>
        </w:rPr>
        <w:t>University</w:t>
      </w:r>
      <w:r>
        <w:rPr>
          <w:rFonts w:cstheme="minorHAnsi"/>
        </w:rPr>
        <w:t xml:space="preserve"> of Chicago Press: Chicago, 1991), </w:t>
      </w:r>
      <w:r w:rsidRPr="00A16BA6">
        <w:rPr>
          <w:rFonts w:cstheme="minorHAnsi"/>
        </w:rPr>
        <w:t>100.</w:t>
      </w:r>
    </w:p>
  </w:footnote>
  <w:footnote w:id="28">
    <w:p w:rsidR="00A72CC3" w:rsidRDefault="00A72CC3" w:rsidP="0052155C">
      <w:pPr>
        <w:pStyle w:val="FootnoteText"/>
        <w:spacing w:after="240" w:line="360" w:lineRule="auto"/>
        <w:jc w:val="both"/>
      </w:pPr>
      <w:r>
        <w:rPr>
          <w:rStyle w:val="FootnoteReference"/>
        </w:rPr>
        <w:footnoteRef/>
      </w:r>
      <w:r>
        <w:t xml:space="preserve"> </w:t>
      </w:r>
      <w:r>
        <w:rPr>
          <w:rFonts w:cstheme="minorHAnsi"/>
        </w:rPr>
        <w:t>M</w:t>
      </w:r>
      <w:r w:rsidRPr="00FD2DEC">
        <w:rPr>
          <w:rFonts w:cstheme="minorHAnsi"/>
        </w:rPr>
        <w:t xml:space="preserve"> Foucault, </w:t>
      </w:r>
      <w:proofErr w:type="gramStart"/>
      <w:r w:rsidRPr="00FD2DEC">
        <w:rPr>
          <w:rFonts w:cstheme="minorHAnsi"/>
          <w:i/>
        </w:rPr>
        <w:t>The</w:t>
      </w:r>
      <w:proofErr w:type="gramEnd"/>
      <w:r w:rsidRPr="00FD2DEC">
        <w:rPr>
          <w:rFonts w:cstheme="minorHAnsi"/>
          <w:i/>
        </w:rPr>
        <w:t xml:space="preserve"> Will to Knowledge: The History of Sexuality – Volume 1</w:t>
      </w:r>
      <w:r w:rsidRPr="00FD2DEC">
        <w:rPr>
          <w:rFonts w:cstheme="minorHAnsi"/>
        </w:rPr>
        <w:t xml:space="preserve"> </w:t>
      </w:r>
      <w:r>
        <w:rPr>
          <w:rFonts w:cstheme="minorHAnsi"/>
        </w:rPr>
        <w:t xml:space="preserve">(Penguin Books: London, 1998), </w:t>
      </w:r>
      <w:r w:rsidRPr="00FD2DEC">
        <w:rPr>
          <w:rFonts w:cstheme="minorHAnsi"/>
        </w:rPr>
        <w:t>136, 139</w:t>
      </w:r>
      <w:r>
        <w:rPr>
          <w:rFonts w:cstheme="minorHAnsi"/>
        </w:rPr>
        <w:t>.</w:t>
      </w:r>
    </w:p>
  </w:footnote>
  <w:footnote w:id="29">
    <w:p w:rsidR="00A72CC3" w:rsidRDefault="00A72CC3" w:rsidP="0052155C">
      <w:pPr>
        <w:pStyle w:val="FootnoteText"/>
        <w:spacing w:after="240" w:line="360" w:lineRule="auto"/>
        <w:contextualSpacing/>
        <w:jc w:val="both"/>
      </w:pPr>
      <w:r w:rsidRPr="001F1860">
        <w:rPr>
          <w:rStyle w:val="FootnoteReference"/>
        </w:rPr>
        <w:footnoteRef/>
      </w:r>
      <w:r>
        <w:t xml:space="preserve"> I</w:t>
      </w:r>
      <w:r w:rsidRPr="001F1860">
        <w:t xml:space="preserve"> Hacking, </w:t>
      </w:r>
      <w:proofErr w:type="gramStart"/>
      <w:r w:rsidRPr="001F1860">
        <w:rPr>
          <w:i/>
        </w:rPr>
        <w:t>The</w:t>
      </w:r>
      <w:proofErr w:type="gramEnd"/>
      <w:r w:rsidRPr="001F1860">
        <w:rPr>
          <w:i/>
        </w:rPr>
        <w:t xml:space="preserve"> Taming of Chance</w:t>
      </w:r>
      <w:r w:rsidRPr="001F1860">
        <w:t xml:space="preserve"> </w:t>
      </w:r>
      <w:r>
        <w:t>(CUP: Cambridge, 1990), 5</w:t>
      </w:r>
      <w:r w:rsidRPr="001F1860">
        <w:t>.</w:t>
      </w:r>
      <w:r>
        <w:t xml:space="preserve"> See also, I</w:t>
      </w:r>
      <w:r w:rsidRPr="001F1860">
        <w:t xml:space="preserve"> Hacking, </w:t>
      </w:r>
      <w:r>
        <w:t>‘</w:t>
      </w:r>
      <w:r w:rsidRPr="001F1860">
        <w:t>How Should we do the History of Statistics?</w:t>
      </w:r>
      <w:r>
        <w:t>’</w:t>
      </w:r>
      <w:r w:rsidRPr="001F1860">
        <w:t xml:space="preserve"> in G </w:t>
      </w:r>
      <w:proofErr w:type="spellStart"/>
      <w:r w:rsidRPr="001F1860">
        <w:t>Burchell</w:t>
      </w:r>
      <w:proofErr w:type="spellEnd"/>
      <w:r w:rsidRPr="001F1860">
        <w:t xml:space="preserve"> </w:t>
      </w:r>
      <w:r w:rsidRPr="001F1860">
        <w:rPr>
          <w:i/>
        </w:rPr>
        <w:t xml:space="preserve">et al </w:t>
      </w:r>
      <w:r w:rsidRPr="001F1860">
        <w:t>(</w:t>
      </w:r>
      <w:proofErr w:type="spellStart"/>
      <w:proofErr w:type="gramStart"/>
      <w:r w:rsidRPr="001F1860">
        <w:t>eds</w:t>
      </w:r>
      <w:proofErr w:type="spellEnd"/>
      <w:proofErr w:type="gramEnd"/>
      <w:r w:rsidRPr="001F1860">
        <w:t>)</w:t>
      </w:r>
      <w:r>
        <w:t>,</w:t>
      </w:r>
      <w:r w:rsidRPr="001F1860">
        <w:t xml:space="preserve"> </w:t>
      </w:r>
      <w:r w:rsidRPr="00A16BA6">
        <w:rPr>
          <w:rFonts w:cstheme="minorHAnsi"/>
          <w:i/>
        </w:rPr>
        <w:t>The Foucault Effe</w:t>
      </w:r>
      <w:r>
        <w:rPr>
          <w:rFonts w:cstheme="minorHAnsi"/>
          <w:i/>
        </w:rPr>
        <w:t xml:space="preserve">ct: Studies in </w:t>
      </w:r>
      <w:proofErr w:type="spellStart"/>
      <w:r>
        <w:rPr>
          <w:rFonts w:cstheme="minorHAnsi"/>
          <w:i/>
        </w:rPr>
        <w:t>Governmentality</w:t>
      </w:r>
      <w:proofErr w:type="spellEnd"/>
      <w:r>
        <w:rPr>
          <w:rFonts w:cstheme="minorHAnsi"/>
          <w:i/>
        </w:rPr>
        <w:t xml:space="preserve">’ </w:t>
      </w:r>
      <w:r>
        <w:rPr>
          <w:rFonts w:cstheme="minorHAnsi"/>
        </w:rPr>
        <w:t>(</w:t>
      </w:r>
      <w:r w:rsidRPr="00A16BA6">
        <w:rPr>
          <w:rFonts w:cstheme="minorHAnsi"/>
        </w:rPr>
        <w:t>University</w:t>
      </w:r>
      <w:r>
        <w:rPr>
          <w:rFonts w:cstheme="minorHAnsi"/>
        </w:rPr>
        <w:t xml:space="preserve"> of Chicago Press: Chicago, 1991)</w:t>
      </w:r>
      <w:r w:rsidRPr="001F1860">
        <w:t>.</w:t>
      </w:r>
    </w:p>
    <w:p w:rsidR="00A72CC3" w:rsidRPr="001F1860" w:rsidRDefault="00A72CC3" w:rsidP="0052155C">
      <w:pPr>
        <w:pStyle w:val="FootnoteText"/>
        <w:spacing w:after="240" w:line="360" w:lineRule="auto"/>
        <w:contextualSpacing/>
        <w:jc w:val="both"/>
      </w:pPr>
    </w:p>
  </w:footnote>
  <w:footnote w:id="30">
    <w:p w:rsidR="00A72CC3" w:rsidRDefault="00A72CC3" w:rsidP="0052155C">
      <w:pPr>
        <w:pStyle w:val="FootnoteText"/>
        <w:spacing w:after="240" w:line="360" w:lineRule="auto"/>
        <w:contextualSpacing/>
        <w:jc w:val="both"/>
      </w:pPr>
      <w:r w:rsidRPr="001F1860">
        <w:rPr>
          <w:rStyle w:val="FootnoteReference"/>
        </w:rPr>
        <w:footnoteRef/>
      </w:r>
      <w:r w:rsidRPr="001F1860">
        <w:t xml:space="preserve"> </w:t>
      </w:r>
      <w:proofErr w:type="gramStart"/>
      <w:r w:rsidRPr="001F1860">
        <w:t xml:space="preserve">Foucault, n </w:t>
      </w:r>
      <w:r w:rsidRPr="001F1860">
        <w:fldChar w:fldCharType="begin"/>
      </w:r>
      <w:r w:rsidRPr="001F1860">
        <w:instrText xml:space="preserve"> NOTEREF _Ref447125095 \h  \* MERGEFORMAT </w:instrText>
      </w:r>
      <w:r w:rsidRPr="001F1860">
        <w:fldChar w:fldCharType="separate"/>
      </w:r>
      <w:r>
        <w:t>25</w:t>
      </w:r>
      <w:r w:rsidRPr="001F1860">
        <w:fldChar w:fldCharType="end"/>
      </w:r>
      <w:r>
        <w:t>,</w:t>
      </w:r>
      <w:r w:rsidRPr="001F1860">
        <w:t xml:space="preserve"> 99.</w:t>
      </w:r>
      <w:proofErr w:type="gramEnd"/>
    </w:p>
    <w:p w:rsidR="00A72CC3" w:rsidRPr="001F1860" w:rsidRDefault="00A72CC3" w:rsidP="0052155C">
      <w:pPr>
        <w:pStyle w:val="FootnoteText"/>
        <w:spacing w:after="240" w:line="360" w:lineRule="auto"/>
        <w:contextualSpacing/>
        <w:jc w:val="both"/>
      </w:pPr>
    </w:p>
  </w:footnote>
  <w:footnote w:id="31">
    <w:p w:rsidR="00A72CC3" w:rsidRDefault="00A72CC3" w:rsidP="0052155C">
      <w:pPr>
        <w:pStyle w:val="FootnoteText"/>
        <w:spacing w:after="240" w:line="360" w:lineRule="auto"/>
        <w:contextualSpacing/>
        <w:jc w:val="both"/>
        <w:rPr>
          <w:rFonts w:cstheme="minorHAnsi"/>
        </w:rPr>
      </w:pPr>
      <w:r w:rsidRPr="001F1860">
        <w:rPr>
          <w:rStyle w:val="FootnoteReference"/>
        </w:rPr>
        <w:footnoteRef/>
      </w:r>
      <w:r w:rsidRPr="001F1860">
        <w:t xml:space="preserve"> </w:t>
      </w:r>
      <w:proofErr w:type="gramStart"/>
      <w:r w:rsidRPr="001F1860">
        <w:rPr>
          <w:rFonts w:cstheme="minorHAnsi"/>
        </w:rPr>
        <w:t>Foucault, n</w:t>
      </w:r>
      <w:r>
        <w:rPr>
          <w:rFonts w:cstheme="minorHAnsi"/>
        </w:rPr>
        <w:t xml:space="preserve"> </w:t>
      </w:r>
      <w:r>
        <w:rPr>
          <w:rFonts w:cstheme="minorHAnsi"/>
        </w:rPr>
        <w:fldChar w:fldCharType="begin"/>
      </w:r>
      <w:r>
        <w:rPr>
          <w:rFonts w:cstheme="minorHAnsi"/>
        </w:rPr>
        <w:instrText xml:space="preserve"> NOTEREF _Ref447124027 \h  \* MERGEFORMAT </w:instrText>
      </w:r>
      <w:r>
        <w:rPr>
          <w:rFonts w:cstheme="minorHAnsi"/>
        </w:rPr>
      </w:r>
      <w:r>
        <w:rPr>
          <w:rFonts w:cstheme="minorHAnsi"/>
        </w:rPr>
        <w:fldChar w:fldCharType="separate"/>
      </w:r>
      <w:r>
        <w:rPr>
          <w:rFonts w:cstheme="minorHAnsi"/>
        </w:rPr>
        <w:t>26</w:t>
      </w:r>
      <w:r>
        <w:rPr>
          <w:rFonts w:cstheme="minorHAnsi"/>
        </w:rPr>
        <w:fldChar w:fldCharType="end"/>
      </w:r>
      <w:r w:rsidRPr="001F1860">
        <w:rPr>
          <w:rFonts w:cstheme="minorHAnsi"/>
        </w:rPr>
        <w:t>.</w:t>
      </w:r>
      <w:proofErr w:type="gramEnd"/>
    </w:p>
    <w:p w:rsidR="00A72CC3" w:rsidRPr="001F1860" w:rsidRDefault="00A72CC3" w:rsidP="0052155C">
      <w:pPr>
        <w:pStyle w:val="FootnoteText"/>
        <w:spacing w:after="240" w:line="360" w:lineRule="auto"/>
        <w:contextualSpacing/>
        <w:jc w:val="both"/>
      </w:pPr>
    </w:p>
  </w:footnote>
  <w:footnote w:id="32">
    <w:p w:rsidR="00A72CC3" w:rsidRDefault="00A72CC3" w:rsidP="0052155C">
      <w:pPr>
        <w:pStyle w:val="FootnoteText"/>
        <w:spacing w:after="240" w:line="360" w:lineRule="auto"/>
        <w:contextualSpacing/>
        <w:jc w:val="both"/>
      </w:pPr>
      <w:r w:rsidRPr="001F1860">
        <w:rPr>
          <w:rStyle w:val="FootnoteReference"/>
        </w:rPr>
        <w:footnoteRef/>
      </w:r>
      <w:r>
        <w:t xml:space="preserve"> </w:t>
      </w:r>
      <w:proofErr w:type="gramStart"/>
      <w:r>
        <w:t>M</w:t>
      </w:r>
      <w:r w:rsidRPr="001F1860">
        <w:t xml:space="preserve"> Foucault, ‘About the Concept of the </w:t>
      </w:r>
      <w:r>
        <w:t>‘</w:t>
      </w:r>
      <w:r w:rsidRPr="001F1860">
        <w:t>Dangerous Individual</w:t>
      </w:r>
      <w:r>
        <w:t>’</w:t>
      </w:r>
      <w:r w:rsidRPr="001F1860">
        <w:t xml:space="preserve"> in 19</w:t>
      </w:r>
      <w:r w:rsidRPr="001F1860">
        <w:rPr>
          <w:vertAlign w:val="superscript"/>
        </w:rPr>
        <w:t>th</w:t>
      </w:r>
      <w:r w:rsidRPr="001F1860">
        <w:t xml:space="preserve"> Century Legal Psychiatry’ (1978) 1 </w:t>
      </w:r>
      <w:proofErr w:type="spellStart"/>
      <w:r>
        <w:t>Int</w:t>
      </w:r>
      <w:proofErr w:type="spellEnd"/>
      <w:r>
        <w:t xml:space="preserve"> J Law </w:t>
      </w:r>
      <w:proofErr w:type="spellStart"/>
      <w:r>
        <w:t>Psychiat</w:t>
      </w:r>
      <w:proofErr w:type="spellEnd"/>
      <w:r w:rsidRPr="001F1860">
        <w:rPr>
          <w:i/>
        </w:rPr>
        <w:t xml:space="preserve"> </w:t>
      </w:r>
      <w:r>
        <w:t>1;</w:t>
      </w:r>
      <w:r w:rsidRPr="001F1860">
        <w:t xml:space="preserve"> 7, 10.</w:t>
      </w:r>
      <w:proofErr w:type="gramEnd"/>
    </w:p>
    <w:p w:rsidR="00A72CC3" w:rsidRPr="001F1860" w:rsidRDefault="00A72CC3" w:rsidP="0052155C">
      <w:pPr>
        <w:pStyle w:val="FootnoteText"/>
        <w:spacing w:after="240" w:line="360" w:lineRule="auto"/>
        <w:contextualSpacing/>
        <w:jc w:val="both"/>
      </w:pPr>
    </w:p>
  </w:footnote>
  <w:footnote w:id="33">
    <w:p w:rsidR="00A72CC3" w:rsidRDefault="00A72CC3" w:rsidP="0052155C">
      <w:pPr>
        <w:pStyle w:val="FootnoteText"/>
        <w:spacing w:after="240" w:line="360" w:lineRule="auto"/>
        <w:contextualSpacing/>
        <w:jc w:val="both"/>
      </w:pPr>
      <w:r w:rsidRPr="001F1860">
        <w:rPr>
          <w:rStyle w:val="FootnoteReference"/>
        </w:rPr>
        <w:footnoteRef/>
      </w:r>
      <w:r w:rsidRPr="001F1860">
        <w:t xml:space="preserve"> </w:t>
      </w:r>
      <w:r w:rsidRPr="00312E2E">
        <w:rPr>
          <w:i/>
        </w:rPr>
        <w:t>ibid</w:t>
      </w:r>
      <w:r w:rsidRPr="001F1860">
        <w:t>.</w:t>
      </w:r>
    </w:p>
    <w:p w:rsidR="00A72CC3" w:rsidRPr="001F1860" w:rsidRDefault="00A72CC3" w:rsidP="0052155C">
      <w:pPr>
        <w:pStyle w:val="FootnoteText"/>
        <w:spacing w:after="240" w:line="360" w:lineRule="auto"/>
        <w:contextualSpacing/>
        <w:jc w:val="both"/>
      </w:pPr>
    </w:p>
  </w:footnote>
  <w:footnote w:id="34">
    <w:p w:rsidR="00A72CC3" w:rsidRDefault="00A72CC3" w:rsidP="0052155C">
      <w:pPr>
        <w:pStyle w:val="FootnoteText"/>
        <w:spacing w:after="240" w:line="360" w:lineRule="auto"/>
        <w:contextualSpacing/>
        <w:jc w:val="both"/>
      </w:pPr>
      <w:r w:rsidRPr="001F1860">
        <w:rPr>
          <w:rStyle w:val="FootnoteReference"/>
        </w:rPr>
        <w:footnoteRef/>
      </w:r>
      <w:r>
        <w:t xml:space="preserve"> </w:t>
      </w:r>
      <w:proofErr w:type="gramStart"/>
      <w:r>
        <w:t>G</w:t>
      </w:r>
      <w:r w:rsidRPr="001F1860">
        <w:t xml:space="preserve"> Mythen, ‘Sociology and the Art of Risk’ (2008) 2(1) </w:t>
      </w:r>
      <w:proofErr w:type="spellStart"/>
      <w:r w:rsidRPr="00F048D2">
        <w:t>Sociol</w:t>
      </w:r>
      <w:proofErr w:type="spellEnd"/>
      <w:r w:rsidRPr="00F048D2">
        <w:t xml:space="preserve"> Compass</w:t>
      </w:r>
      <w:r w:rsidRPr="001F1860">
        <w:rPr>
          <w:i/>
        </w:rPr>
        <w:t xml:space="preserve"> </w:t>
      </w:r>
      <w:r>
        <w:t>299,</w:t>
      </w:r>
      <w:r w:rsidRPr="001F1860">
        <w:t xml:space="preserve"> 306.</w:t>
      </w:r>
      <w:proofErr w:type="gramEnd"/>
    </w:p>
    <w:p w:rsidR="00A72CC3" w:rsidRPr="001F1860" w:rsidRDefault="00A72CC3" w:rsidP="0052155C">
      <w:pPr>
        <w:pStyle w:val="FootnoteText"/>
        <w:spacing w:after="240" w:line="360" w:lineRule="auto"/>
        <w:contextualSpacing/>
        <w:jc w:val="both"/>
      </w:pPr>
    </w:p>
  </w:footnote>
  <w:footnote w:id="35">
    <w:p w:rsidR="00A72CC3" w:rsidRDefault="00A72CC3" w:rsidP="0052155C">
      <w:pPr>
        <w:pStyle w:val="FootnoteText"/>
        <w:tabs>
          <w:tab w:val="left" w:pos="5073"/>
        </w:tabs>
        <w:spacing w:afterLines="100" w:after="240" w:line="360" w:lineRule="auto"/>
        <w:contextualSpacing/>
        <w:jc w:val="both"/>
        <w:rPr>
          <w:rFonts w:cstheme="minorHAnsi"/>
        </w:rPr>
      </w:pPr>
      <w:r w:rsidRPr="001F1860">
        <w:rPr>
          <w:rStyle w:val="FootnoteReference"/>
          <w:rFonts w:cstheme="minorHAnsi"/>
        </w:rPr>
        <w:footnoteRef/>
      </w:r>
      <w:r>
        <w:rPr>
          <w:rFonts w:cstheme="minorHAnsi"/>
        </w:rPr>
        <w:t xml:space="preserve"> </w:t>
      </w:r>
      <w:proofErr w:type="gramStart"/>
      <w:r>
        <w:rPr>
          <w:rFonts w:cstheme="minorHAnsi"/>
        </w:rPr>
        <w:t>D</w:t>
      </w:r>
      <w:r w:rsidRPr="001F1860">
        <w:rPr>
          <w:rFonts w:cstheme="minorHAnsi"/>
        </w:rPr>
        <w:t xml:space="preserve"> Lupton, </w:t>
      </w:r>
      <w:r w:rsidRPr="001F1860">
        <w:rPr>
          <w:rFonts w:cstheme="minorHAnsi"/>
          <w:i/>
        </w:rPr>
        <w:t>Risk</w:t>
      </w:r>
      <w:r w:rsidRPr="001F1860">
        <w:rPr>
          <w:rFonts w:cstheme="minorHAnsi"/>
        </w:rPr>
        <w:t xml:space="preserve"> </w:t>
      </w:r>
      <w:r>
        <w:rPr>
          <w:rFonts w:cstheme="minorHAnsi"/>
        </w:rPr>
        <w:t>(Routledge: London, 1999)</w:t>
      </w:r>
      <w:r w:rsidRPr="001F1860">
        <w:rPr>
          <w:rFonts w:cstheme="minorHAnsi"/>
        </w:rPr>
        <w:t>, 3</w:t>
      </w:r>
      <w:r>
        <w:rPr>
          <w:rFonts w:cstheme="minorHAnsi"/>
        </w:rPr>
        <w:t>, 49</w:t>
      </w:r>
      <w:r w:rsidRPr="001F1860">
        <w:rPr>
          <w:rFonts w:cstheme="minorHAnsi"/>
        </w:rPr>
        <w:t>.</w:t>
      </w:r>
      <w:proofErr w:type="gramEnd"/>
    </w:p>
    <w:p w:rsidR="00A72CC3" w:rsidRPr="001F1860" w:rsidRDefault="00A72CC3" w:rsidP="0052155C">
      <w:pPr>
        <w:pStyle w:val="FootnoteText"/>
        <w:tabs>
          <w:tab w:val="left" w:pos="5073"/>
        </w:tabs>
        <w:spacing w:afterLines="100" w:after="240" w:line="360" w:lineRule="auto"/>
        <w:contextualSpacing/>
        <w:jc w:val="both"/>
        <w:rPr>
          <w:rFonts w:cstheme="minorHAnsi"/>
        </w:rPr>
      </w:pPr>
      <w:r w:rsidRPr="001F1860">
        <w:rPr>
          <w:rFonts w:cstheme="minorHAnsi"/>
        </w:rPr>
        <w:tab/>
      </w:r>
    </w:p>
  </w:footnote>
  <w:footnote w:id="36">
    <w:p w:rsidR="00A72CC3" w:rsidRDefault="00A72CC3" w:rsidP="0052155C">
      <w:pPr>
        <w:pStyle w:val="FootnoteText"/>
        <w:spacing w:afterLines="100" w:after="240" w:line="360" w:lineRule="auto"/>
        <w:contextualSpacing/>
        <w:jc w:val="both"/>
        <w:rPr>
          <w:rFonts w:cstheme="minorHAnsi"/>
        </w:rPr>
      </w:pPr>
      <w:r w:rsidRPr="001F1860">
        <w:rPr>
          <w:rStyle w:val="FootnoteReference"/>
          <w:rFonts w:cstheme="minorHAnsi"/>
        </w:rPr>
        <w:footnoteRef/>
      </w:r>
      <w:r w:rsidRPr="001F1860">
        <w:rPr>
          <w:rFonts w:cstheme="minorHAnsi"/>
        </w:rPr>
        <w:t xml:space="preserve"> </w:t>
      </w:r>
      <w:proofErr w:type="gramStart"/>
      <w:r>
        <w:rPr>
          <w:rFonts w:cstheme="minorHAnsi"/>
          <w:i/>
        </w:rPr>
        <w:t>ibid</w:t>
      </w:r>
      <w:r>
        <w:rPr>
          <w:rFonts w:cstheme="minorHAnsi"/>
        </w:rPr>
        <w:t>, 1</w:t>
      </w:r>
      <w:r w:rsidRPr="001F1860">
        <w:rPr>
          <w:rFonts w:cstheme="minorHAnsi"/>
        </w:rPr>
        <w:t>30.</w:t>
      </w:r>
      <w:proofErr w:type="gramEnd"/>
    </w:p>
    <w:p w:rsidR="00A72CC3" w:rsidRPr="001F1860" w:rsidRDefault="00A72CC3" w:rsidP="0052155C">
      <w:pPr>
        <w:pStyle w:val="FootnoteText"/>
        <w:spacing w:afterLines="100" w:after="240" w:line="360" w:lineRule="auto"/>
        <w:contextualSpacing/>
        <w:jc w:val="both"/>
        <w:rPr>
          <w:rFonts w:cstheme="minorHAnsi"/>
        </w:rPr>
      </w:pPr>
    </w:p>
  </w:footnote>
  <w:footnote w:id="37">
    <w:p w:rsidR="00A72CC3" w:rsidRDefault="00A72CC3" w:rsidP="0052155C">
      <w:pPr>
        <w:pStyle w:val="FootnoteText"/>
        <w:spacing w:after="240" w:line="360" w:lineRule="auto"/>
        <w:jc w:val="both"/>
      </w:pPr>
      <w:r>
        <w:rPr>
          <w:rStyle w:val="FootnoteReference"/>
        </w:rPr>
        <w:footnoteRef/>
      </w:r>
      <w:r>
        <w:t xml:space="preserve"> </w:t>
      </w:r>
      <w:proofErr w:type="gramStart"/>
      <w:r>
        <w:rPr>
          <w:i/>
        </w:rPr>
        <w:t>i</w:t>
      </w:r>
      <w:r w:rsidRPr="00312E2E">
        <w:rPr>
          <w:i/>
        </w:rPr>
        <w:t>bid</w:t>
      </w:r>
      <w:r>
        <w:t>, 147.</w:t>
      </w:r>
      <w:proofErr w:type="gramEnd"/>
    </w:p>
  </w:footnote>
  <w:footnote w:id="38">
    <w:p w:rsidR="00A72CC3" w:rsidRPr="00565148" w:rsidRDefault="00A72CC3" w:rsidP="0052155C">
      <w:pPr>
        <w:pStyle w:val="FootnoteText"/>
        <w:spacing w:after="240" w:line="360" w:lineRule="auto"/>
        <w:jc w:val="both"/>
      </w:pPr>
      <w:r>
        <w:rPr>
          <w:rStyle w:val="FootnoteReference"/>
        </w:rPr>
        <w:footnoteRef/>
      </w:r>
      <w:r>
        <w:t xml:space="preserve"> See, e.g., U Beck, </w:t>
      </w:r>
      <w:r>
        <w:rPr>
          <w:i/>
        </w:rPr>
        <w:t>Risk Society: Towards A New Modernity</w:t>
      </w:r>
      <w:r>
        <w:t xml:space="preserve"> (Sage: London, 1992); A Giddens, </w:t>
      </w:r>
      <w:r>
        <w:rPr>
          <w:i/>
        </w:rPr>
        <w:t xml:space="preserve">The Consequences of Modernity </w:t>
      </w:r>
      <w:r>
        <w:t xml:space="preserve">(Polity: Cambridge, 1990); Mythen, n </w:t>
      </w:r>
      <w:r>
        <w:fldChar w:fldCharType="begin"/>
      </w:r>
      <w:r>
        <w:instrText xml:space="preserve"> NOTEREF _Ref447202219 \h  \* MERGEFORMAT </w:instrText>
      </w:r>
      <w:r>
        <w:fldChar w:fldCharType="separate"/>
      </w:r>
      <w:r>
        <w:t>32</w:t>
      </w:r>
      <w:r>
        <w:fldChar w:fldCharType="end"/>
      </w:r>
      <w:r>
        <w:t>; U</w:t>
      </w:r>
      <w:r w:rsidRPr="002217DC">
        <w:t xml:space="preserve"> Beck, </w:t>
      </w:r>
      <w:r w:rsidRPr="002217DC">
        <w:rPr>
          <w:i/>
        </w:rPr>
        <w:t>World Risk Society</w:t>
      </w:r>
      <w:r w:rsidRPr="002217DC">
        <w:t xml:space="preserve"> (</w:t>
      </w:r>
      <w:r>
        <w:t>Polity: Cambridge, 1999); U</w:t>
      </w:r>
      <w:r w:rsidRPr="002217DC">
        <w:t xml:space="preserve"> Beck, </w:t>
      </w:r>
      <w:r w:rsidRPr="002217DC">
        <w:rPr>
          <w:i/>
        </w:rPr>
        <w:t>World At Risk</w:t>
      </w:r>
      <w:r w:rsidRPr="002217DC">
        <w:t xml:space="preserve"> (</w:t>
      </w:r>
      <w:r>
        <w:t xml:space="preserve">Polity: </w:t>
      </w:r>
      <w:r w:rsidRPr="002217DC">
        <w:t>Cambridge</w:t>
      </w:r>
      <w:r>
        <w:t>,</w:t>
      </w:r>
      <w:r w:rsidRPr="002217DC">
        <w:t xml:space="preserve"> 2009)</w:t>
      </w:r>
      <w:r>
        <w:t xml:space="preserve">; F Warner </w:t>
      </w:r>
      <w:r>
        <w:rPr>
          <w:i/>
        </w:rPr>
        <w:t>et al</w:t>
      </w:r>
      <w:r>
        <w:t xml:space="preserve">, </w:t>
      </w:r>
      <w:r>
        <w:rPr>
          <w:i/>
        </w:rPr>
        <w:t>Risk: Analysis, Perception and Management</w:t>
      </w:r>
      <w:r>
        <w:t xml:space="preserve"> (Royal Society: London, 1992); </w:t>
      </w:r>
      <w:r w:rsidRPr="002217DC">
        <w:rPr>
          <w:rFonts w:cstheme="minorHAnsi"/>
        </w:rPr>
        <w:t xml:space="preserve">U Beck, </w:t>
      </w:r>
      <w:r>
        <w:rPr>
          <w:rFonts w:cstheme="minorHAnsi"/>
        </w:rPr>
        <w:t>‘</w:t>
      </w:r>
      <w:r w:rsidRPr="002217DC">
        <w:rPr>
          <w:rFonts w:cstheme="minorHAnsi"/>
        </w:rPr>
        <w:t>Politics of Risk Society</w:t>
      </w:r>
      <w:r>
        <w:rPr>
          <w:rFonts w:cstheme="minorHAnsi"/>
        </w:rPr>
        <w:t>’</w:t>
      </w:r>
      <w:r w:rsidRPr="002217DC">
        <w:rPr>
          <w:rFonts w:cstheme="minorHAnsi"/>
        </w:rPr>
        <w:t xml:space="preserve"> in J Franklin (</w:t>
      </w:r>
      <w:proofErr w:type="spellStart"/>
      <w:r w:rsidRPr="002217DC">
        <w:rPr>
          <w:rFonts w:cstheme="minorHAnsi"/>
        </w:rPr>
        <w:t>ed</w:t>
      </w:r>
      <w:proofErr w:type="spellEnd"/>
      <w:r>
        <w:rPr>
          <w:rFonts w:cstheme="minorHAnsi"/>
        </w:rPr>
        <w:t>)</w:t>
      </w:r>
      <w:r w:rsidRPr="002217DC">
        <w:rPr>
          <w:rFonts w:cstheme="minorHAnsi"/>
        </w:rPr>
        <w:t xml:space="preserve"> </w:t>
      </w:r>
      <w:r w:rsidRPr="002217DC">
        <w:rPr>
          <w:rFonts w:cstheme="minorHAnsi"/>
          <w:i/>
        </w:rPr>
        <w:t>The Politics of Risk Society</w:t>
      </w:r>
      <w:r w:rsidRPr="002217DC">
        <w:rPr>
          <w:rFonts w:cstheme="minorHAnsi"/>
        </w:rPr>
        <w:t xml:space="preserve"> (</w:t>
      </w:r>
      <w:r>
        <w:rPr>
          <w:rFonts w:cstheme="minorHAnsi"/>
        </w:rPr>
        <w:t xml:space="preserve">Polity: </w:t>
      </w:r>
      <w:r w:rsidRPr="002217DC">
        <w:rPr>
          <w:rFonts w:cstheme="minorHAnsi"/>
        </w:rPr>
        <w:t>Massachusetts</w:t>
      </w:r>
      <w:r>
        <w:rPr>
          <w:rFonts w:cstheme="minorHAnsi"/>
        </w:rPr>
        <w:t>,</w:t>
      </w:r>
      <w:r w:rsidRPr="002217DC">
        <w:rPr>
          <w:rFonts w:cstheme="minorHAnsi"/>
        </w:rPr>
        <w:t xml:space="preserve"> 1998)</w:t>
      </w:r>
      <w:r>
        <w:rPr>
          <w:rFonts w:cstheme="minorHAnsi"/>
        </w:rPr>
        <w:t xml:space="preserve">; </w:t>
      </w:r>
      <w:r w:rsidRPr="002217DC">
        <w:rPr>
          <w:rFonts w:cstheme="minorHAnsi"/>
        </w:rPr>
        <w:t xml:space="preserve">P </w:t>
      </w:r>
      <w:proofErr w:type="spellStart"/>
      <w:r w:rsidRPr="002217DC">
        <w:rPr>
          <w:rFonts w:cstheme="minorHAnsi"/>
        </w:rPr>
        <w:t>Strydom</w:t>
      </w:r>
      <w:proofErr w:type="spellEnd"/>
      <w:r w:rsidRPr="002217DC">
        <w:rPr>
          <w:rFonts w:cstheme="minorHAnsi"/>
        </w:rPr>
        <w:t xml:space="preserve">, </w:t>
      </w:r>
      <w:r w:rsidRPr="002217DC">
        <w:rPr>
          <w:rFonts w:cstheme="minorHAnsi"/>
          <w:i/>
        </w:rPr>
        <w:t>Risk Environment and Society: Ongoing Debates, Current Issues, and Future Prospects</w:t>
      </w:r>
      <w:r w:rsidRPr="002217DC">
        <w:rPr>
          <w:rFonts w:cstheme="minorHAnsi"/>
        </w:rPr>
        <w:t xml:space="preserve"> (</w:t>
      </w:r>
      <w:r>
        <w:rPr>
          <w:rFonts w:cstheme="minorHAnsi"/>
        </w:rPr>
        <w:t xml:space="preserve">Open University Press: </w:t>
      </w:r>
      <w:r w:rsidRPr="002217DC">
        <w:rPr>
          <w:rFonts w:cstheme="minorHAnsi"/>
        </w:rPr>
        <w:t>Buckingham</w:t>
      </w:r>
      <w:r>
        <w:rPr>
          <w:rFonts w:cstheme="minorHAnsi"/>
        </w:rPr>
        <w:t>,</w:t>
      </w:r>
      <w:r w:rsidRPr="002217DC">
        <w:rPr>
          <w:rFonts w:cstheme="minorHAnsi"/>
        </w:rPr>
        <w:t xml:space="preserve"> 2002)</w:t>
      </w:r>
      <w:r>
        <w:rPr>
          <w:rFonts w:cstheme="minorHAnsi"/>
        </w:rPr>
        <w:t>.</w:t>
      </w:r>
    </w:p>
  </w:footnote>
  <w:footnote w:id="39">
    <w:p w:rsidR="00A72CC3" w:rsidRDefault="00A72CC3" w:rsidP="0052155C">
      <w:pPr>
        <w:pStyle w:val="FootnoteText"/>
        <w:spacing w:after="240" w:line="360" w:lineRule="auto"/>
        <w:jc w:val="both"/>
      </w:pPr>
      <w:r>
        <w:rPr>
          <w:rStyle w:val="FootnoteReference"/>
        </w:rPr>
        <w:footnoteRef/>
      </w:r>
      <w:r>
        <w:t xml:space="preserve"> H </w:t>
      </w:r>
      <w:proofErr w:type="spellStart"/>
      <w:r>
        <w:t>Kemshall</w:t>
      </w:r>
      <w:proofErr w:type="spellEnd"/>
      <w:r>
        <w:t xml:space="preserve">, </w:t>
      </w:r>
      <w:r>
        <w:rPr>
          <w:i/>
        </w:rPr>
        <w:t>Risk, Social Policy and Welfare</w:t>
      </w:r>
      <w:r>
        <w:t xml:space="preserve"> (OUP: Oxford, 2002), 102; Denney, n </w:t>
      </w:r>
      <w:r>
        <w:fldChar w:fldCharType="begin"/>
      </w:r>
      <w:r>
        <w:instrText xml:space="preserve"> NOTEREF _Ref447207818 \h  \* MERGEFORMAT </w:instrText>
      </w:r>
      <w:r>
        <w:fldChar w:fldCharType="separate"/>
      </w:r>
      <w:r>
        <w:t>24</w:t>
      </w:r>
      <w:r>
        <w:fldChar w:fldCharType="end"/>
      </w:r>
      <w:r>
        <w:t>, 115-6.</w:t>
      </w:r>
    </w:p>
  </w:footnote>
  <w:footnote w:id="40">
    <w:p w:rsidR="00A72CC3" w:rsidRDefault="00A72CC3" w:rsidP="0052155C">
      <w:pPr>
        <w:pStyle w:val="FootnoteText"/>
        <w:spacing w:after="240" w:line="360" w:lineRule="auto"/>
        <w:jc w:val="both"/>
      </w:pPr>
      <w:r>
        <w:rPr>
          <w:rStyle w:val="FootnoteReference"/>
        </w:rPr>
        <w:footnoteRef/>
      </w:r>
      <w:r>
        <w:t xml:space="preserve"> R Castel, ‘From Dangerousness to Risk’ </w:t>
      </w:r>
      <w:r>
        <w:rPr>
          <w:rFonts w:cstheme="minorHAnsi"/>
        </w:rPr>
        <w:t>in G</w:t>
      </w:r>
      <w:r w:rsidRPr="00A16BA6">
        <w:rPr>
          <w:rFonts w:cstheme="minorHAnsi"/>
        </w:rPr>
        <w:t xml:space="preserve"> </w:t>
      </w:r>
      <w:proofErr w:type="spellStart"/>
      <w:r w:rsidRPr="00A16BA6">
        <w:rPr>
          <w:rFonts w:cstheme="minorHAnsi"/>
        </w:rPr>
        <w:t>Burchell</w:t>
      </w:r>
      <w:proofErr w:type="spellEnd"/>
      <w:r w:rsidRPr="00A16BA6">
        <w:rPr>
          <w:rFonts w:cstheme="minorHAnsi"/>
        </w:rPr>
        <w:t xml:space="preserve"> </w:t>
      </w:r>
      <w:r w:rsidRPr="00A16BA6">
        <w:rPr>
          <w:rFonts w:cstheme="minorHAnsi"/>
          <w:i/>
        </w:rPr>
        <w:t>et al</w:t>
      </w:r>
      <w:r w:rsidRPr="00A16BA6">
        <w:rPr>
          <w:rFonts w:cstheme="minorHAnsi"/>
        </w:rPr>
        <w:t xml:space="preserve"> (</w:t>
      </w:r>
      <w:proofErr w:type="spellStart"/>
      <w:proofErr w:type="gramStart"/>
      <w:r w:rsidRPr="00A16BA6">
        <w:rPr>
          <w:rFonts w:cstheme="minorHAnsi"/>
        </w:rPr>
        <w:t>eds</w:t>
      </w:r>
      <w:proofErr w:type="spellEnd"/>
      <w:proofErr w:type="gramEnd"/>
      <w:r w:rsidRPr="00A16BA6">
        <w:rPr>
          <w:rFonts w:cstheme="minorHAnsi"/>
        </w:rPr>
        <w:t>)</w:t>
      </w:r>
      <w:r>
        <w:rPr>
          <w:rFonts w:cstheme="minorHAnsi"/>
        </w:rPr>
        <w:t>,</w:t>
      </w:r>
      <w:r w:rsidRPr="00A16BA6">
        <w:rPr>
          <w:rFonts w:cstheme="minorHAnsi"/>
        </w:rPr>
        <w:t xml:space="preserve"> </w:t>
      </w:r>
      <w:r w:rsidRPr="00A16BA6">
        <w:rPr>
          <w:rFonts w:cstheme="minorHAnsi"/>
          <w:i/>
        </w:rPr>
        <w:t>The Foucault Effe</w:t>
      </w:r>
      <w:r>
        <w:rPr>
          <w:rFonts w:cstheme="minorHAnsi"/>
          <w:i/>
        </w:rPr>
        <w:t xml:space="preserve">ct: Studies in </w:t>
      </w:r>
      <w:proofErr w:type="spellStart"/>
      <w:r>
        <w:rPr>
          <w:rFonts w:cstheme="minorHAnsi"/>
          <w:i/>
        </w:rPr>
        <w:t>Governmentality</w:t>
      </w:r>
      <w:proofErr w:type="spellEnd"/>
      <w:r>
        <w:rPr>
          <w:rFonts w:cstheme="minorHAnsi"/>
          <w:i/>
        </w:rPr>
        <w:t xml:space="preserve">’ </w:t>
      </w:r>
      <w:r>
        <w:rPr>
          <w:rFonts w:cstheme="minorHAnsi"/>
        </w:rPr>
        <w:t>(</w:t>
      </w:r>
      <w:r w:rsidRPr="00A16BA6">
        <w:rPr>
          <w:rFonts w:cstheme="minorHAnsi"/>
        </w:rPr>
        <w:t>University</w:t>
      </w:r>
      <w:r>
        <w:rPr>
          <w:rFonts w:cstheme="minorHAnsi"/>
        </w:rPr>
        <w:t xml:space="preserve"> of Chicago Press: Chicago, 1991), 288.</w:t>
      </w:r>
    </w:p>
  </w:footnote>
  <w:footnote w:id="41">
    <w:p w:rsidR="00A72CC3" w:rsidRPr="000A7849" w:rsidRDefault="00A72CC3" w:rsidP="0052155C">
      <w:pPr>
        <w:pStyle w:val="FootnoteText"/>
        <w:spacing w:after="240" w:line="360" w:lineRule="auto"/>
        <w:jc w:val="both"/>
      </w:pPr>
      <w:r w:rsidRPr="000A7849">
        <w:rPr>
          <w:rStyle w:val="FootnoteReference"/>
        </w:rPr>
        <w:footnoteRef/>
      </w:r>
      <w:r w:rsidRPr="000A7849">
        <w:t xml:space="preserve"> MCA 2005, s </w:t>
      </w:r>
      <w:proofErr w:type="gramStart"/>
      <w:r w:rsidRPr="000A7849">
        <w:t>4A(</w:t>
      </w:r>
      <w:proofErr w:type="gramEnd"/>
      <w:r w:rsidRPr="000A7849">
        <w:t>1).</w:t>
      </w:r>
    </w:p>
  </w:footnote>
  <w:footnote w:id="42">
    <w:p w:rsidR="00A72CC3" w:rsidRDefault="00A72CC3" w:rsidP="0052155C">
      <w:pPr>
        <w:pStyle w:val="FootnoteText"/>
        <w:spacing w:after="240" w:line="360" w:lineRule="auto"/>
        <w:jc w:val="both"/>
      </w:pPr>
      <w:r>
        <w:rPr>
          <w:rStyle w:val="FootnoteReference"/>
        </w:rPr>
        <w:footnoteRef/>
      </w:r>
      <w:r>
        <w:t xml:space="preserve"> </w:t>
      </w:r>
      <w:proofErr w:type="gramStart"/>
      <w:r>
        <w:t>MCA 2005, s 1.</w:t>
      </w:r>
      <w:proofErr w:type="gramEnd"/>
    </w:p>
  </w:footnote>
  <w:footnote w:id="43">
    <w:p w:rsidR="00A72CC3" w:rsidRDefault="00A72CC3" w:rsidP="00342D48">
      <w:pPr>
        <w:pStyle w:val="FootnoteText"/>
        <w:jc w:val="both"/>
      </w:pPr>
      <w:r>
        <w:rPr>
          <w:rStyle w:val="FootnoteReference"/>
        </w:rPr>
        <w:footnoteRef/>
      </w:r>
      <w:r>
        <w:t xml:space="preserve"> </w:t>
      </w:r>
      <w:proofErr w:type="gramStart"/>
      <w:r w:rsidRPr="00EC7225">
        <w:rPr>
          <w:i/>
        </w:rPr>
        <w:t xml:space="preserve">R v </w:t>
      </w:r>
      <w:proofErr w:type="spellStart"/>
      <w:r w:rsidRPr="00EC7225">
        <w:rPr>
          <w:i/>
        </w:rPr>
        <w:t>Bournewood</w:t>
      </w:r>
      <w:proofErr w:type="spellEnd"/>
      <w:r w:rsidRPr="00EC7225">
        <w:rPr>
          <w:i/>
        </w:rPr>
        <w:t xml:space="preserve"> Community and Mental Health NHS Trust, ex parte L</w:t>
      </w:r>
      <w:r>
        <w:rPr>
          <w:i/>
        </w:rPr>
        <w:t xml:space="preserve"> </w:t>
      </w:r>
      <w:r>
        <w:t>[1998</w:t>
      </w:r>
      <w:r w:rsidRPr="000A7849">
        <w:t xml:space="preserve">] </w:t>
      </w:r>
      <w:r>
        <w:t>UKHL 24</w:t>
      </w:r>
      <w:r w:rsidRPr="000A7849">
        <w:t>.</w:t>
      </w:r>
      <w:proofErr w:type="gramEnd"/>
    </w:p>
    <w:p w:rsidR="00A72CC3" w:rsidRDefault="00A72CC3" w:rsidP="00342D48">
      <w:pPr>
        <w:pStyle w:val="FootnoteText"/>
        <w:jc w:val="both"/>
      </w:pPr>
    </w:p>
  </w:footnote>
  <w:footnote w:id="44">
    <w:p w:rsidR="00A72CC3" w:rsidRPr="000A7849" w:rsidRDefault="00A72CC3" w:rsidP="00342D48">
      <w:pPr>
        <w:pStyle w:val="FootnoteText"/>
        <w:spacing w:after="240" w:line="360" w:lineRule="auto"/>
        <w:jc w:val="both"/>
      </w:pPr>
      <w:r w:rsidRPr="000A7849">
        <w:rPr>
          <w:rStyle w:val="FootnoteReference"/>
        </w:rPr>
        <w:footnoteRef/>
      </w:r>
      <w:r>
        <w:t xml:space="preserve"> P</w:t>
      </w:r>
      <w:r w:rsidRPr="000A7849">
        <w:t xml:space="preserve"> Bartlett, ‘Informal Admissions and Deprivation of Liberty under the Mental Capacity Act 2005’ in L </w:t>
      </w:r>
      <w:proofErr w:type="spellStart"/>
      <w:r w:rsidRPr="000A7849">
        <w:t>Gostin</w:t>
      </w:r>
      <w:proofErr w:type="spellEnd"/>
      <w:r w:rsidRPr="000A7849">
        <w:t xml:space="preserve"> </w:t>
      </w:r>
      <w:r w:rsidRPr="000A7849">
        <w:rPr>
          <w:i/>
        </w:rPr>
        <w:t xml:space="preserve">et al </w:t>
      </w:r>
      <w:r w:rsidRPr="000A7849">
        <w:t>(</w:t>
      </w:r>
      <w:proofErr w:type="spellStart"/>
      <w:proofErr w:type="gramStart"/>
      <w:r w:rsidRPr="000A7849">
        <w:t>eds</w:t>
      </w:r>
      <w:proofErr w:type="spellEnd"/>
      <w:proofErr w:type="gramEnd"/>
      <w:r w:rsidRPr="000A7849">
        <w:t xml:space="preserve">) </w:t>
      </w:r>
      <w:r w:rsidRPr="000A7849">
        <w:rPr>
          <w:i/>
        </w:rPr>
        <w:t>Principles of Mental Health Law and Policy</w:t>
      </w:r>
      <w:r w:rsidRPr="000A7849">
        <w:t xml:space="preserve"> </w:t>
      </w:r>
      <w:r>
        <w:t xml:space="preserve">(OUP: Oxford, 2010), </w:t>
      </w:r>
      <w:r w:rsidRPr="000A7849">
        <w:t>386.</w:t>
      </w:r>
    </w:p>
  </w:footnote>
  <w:footnote w:id="45">
    <w:p w:rsidR="00A72CC3" w:rsidRDefault="00A72CC3" w:rsidP="00342D48">
      <w:pPr>
        <w:pStyle w:val="FootnoteText"/>
        <w:jc w:val="both"/>
      </w:pPr>
      <w:r>
        <w:rPr>
          <w:rStyle w:val="FootnoteReference"/>
        </w:rPr>
        <w:footnoteRef/>
      </w:r>
      <w:r>
        <w:t xml:space="preserve"> </w:t>
      </w:r>
      <w:proofErr w:type="gramStart"/>
      <w:r w:rsidRPr="000A7849">
        <w:t>(2005) 40 EHRR 32</w:t>
      </w:r>
      <w:r>
        <w:t>.</w:t>
      </w:r>
      <w:proofErr w:type="gramEnd"/>
    </w:p>
    <w:p w:rsidR="00A72CC3" w:rsidRDefault="00A72CC3" w:rsidP="00342D48">
      <w:pPr>
        <w:pStyle w:val="FootnoteText"/>
        <w:jc w:val="both"/>
      </w:pPr>
    </w:p>
  </w:footnote>
  <w:footnote w:id="46">
    <w:p w:rsidR="00A72CC3" w:rsidRPr="000A7849" w:rsidRDefault="00A72CC3" w:rsidP="00342D48">
      <w:pPr>
        <w:pStyle w:val="FootnoteText"/>
        <w:spacing w:after="240" w:line="360" w:lineRule="auto"/>
        <w:jc w:val="both"/>
        <w:rPr>
          <w:i/>
        </w:rPr>
      </w:pPr>
      <w:r w:rsidRPr="000A7849">
        <w:rPr>
          <w:rStyle w:val="FootnoteReference"/>
        </w:rPr>
        <w:footnoteRef/>
      </w:r>
      <w:r w:rsidRPr="000A7849">
        <w:t xml:space="preserve"> Department of Health, ‘</w:t>
      </w:r>
      <w:proofErr w:type="spellStart"/>
      <w:r w:rsidRPr="000A7849">
        <w:t>Bournewood</w:t>
      </w:r>
      <w:proofErr w:type="spellEnd"/>
      <w:r w:rsidRPr="000A7849">
        <w:t xml:space="preserve"> </w:t>
      </w:r>
      <w:r w:rsidRPr="000A7849">
        <w:rPr>
          <w:i/>
        </w:rPr>
        <w:t>Briefing Sheet’</w:t>
      </w:r>
      <w:r w:rsidRPr="000A7849">
        <w:t>, Gateway Reference: 6794, June 2006, 2.</w:t>
      </w:r>
    </w:p>
  </w:footnote>
  <w:footnote w:id="47">
    <w:p w:rsidR="00A72CC3" w:rsidRDefault="00A72CC3" w:rsidP="0052155C">
      <w:pPr>
        <w:pStyle w:val="FootnoteText"/>
        <w:spacing w:after="240" w:line="360" w:lineRule="auto"/>
        <w:jc w:val="both"/>
      </w:pPr>
      <w:r>
        <w:rPr>
          <w:rStyle w:val="FootnoteReference"/>
        </w:rPr>
        <w:footnoteRef/>
      </w:r>
      <w:r>
        <w:t xml:space="preserve"> </w:t>
      </w:r>
      <w:proofErr w:type="gramStart"/>
      <w:r>
        <w:t xml:space="preserve">Denney, n </w:t>
      </w:r>
      <w:r>
        <w:fldChar w:fldCharType="begin"/>
      </w:r>
      <w:r>
        <w:instrText xml:space="preserve"> NOTEREF _Ref447207818 \h  \* MERGEFORMAT </w:instrText>
      </w:r>
      <w:r>
        <w:fldChar w:fldCharType="separate"/>
      </w:r>
      <w:r>
        <w:t>24</w:t>
      </w:r>
      <w:r>
        <w:fldChar w:fldCharType="end"/>
      </w:r>
      <w:r>
        <w:t>, 115-6.</w:t>
      </w:r>
      <w:proofErr w:type="gramEnd"/>
    </w:p>
  </w:footnote>
  <w:footnote w:id="48">
    <w:p w:rsidR="00A72CC3" w:rsidRPr="000A7849" w:rsidRDefault="00A72CC3" w:rsidP="0052155C">
      <w:pPr>
        <w:pStyle w:val="FootnoteText"/>
        <w:spacing w:afterLines="100" w:after="240" w:line="360" w:lineRule="auto"/>
        <w:jc w:val="both"/>
      </w:pPr>
      <w:r w:rsidRPr="000A7849">
        <w:rPr>
          <w:rStyle w:val="FootnoteReference"/>
        </w:rPr>
        <w:footnoteRef/>
      </w:r>
      <w:r>
        <w:t xml:space="preserve"> </w:t>
      </w:r>
      <w:proofErr w:type="gramStart"/>
      <w:r w:rsidRPr="000A7849">
        <w:t>Bartlett,</w:t>
      </w:r>
      <w:r>
        <w:t xml:space="preserve"> n </w:t>
      </w:r>
      <w:r>
        <w:fldChar w:fldCharType="begin"/>
      </w:r>
      <w:r>
        <w:instrText xml:space="preserve"> NOTEREF _Ref430362755 \h  \* MERGEFORMAT </w:instrText>
      </w:r>
      <w:r>
        <w:fldChar w:fldCharType="separate"/>
      </w:r>
      <w:r>
        <w:t>42</w:t>
      </w:r>
      <w:r>
        <w:fldChar w:fldCharType="end"/>
      </w:r>
      <w:r>
        <w:t>, 392</w:t>
      </w:r>
      <w:r w:rsidRPr="0043185B">
        <w:rPr>
          <w:sz w:val="18"/>
        </w:rPr>
        <w:t>.</w:t>
      </w:r>
      <w:proofErr w:type="gramEnd"/>
    </w:p>
  </w:footnote>
  <w:footnote w:id="49">
    <w:p w:rsidR="00A72CC3" w:rsidRPr="00206DFB" w:rsidRDefault="00A72CC3" w:rsidP="0052155C">
      <w:pPr>
        <w:pStyle w:val="FootnoteText"/>
        <w:spacing w:after="240" w:line="360" w:lineRule="auto"/>
        <w:jc w:val="both"/>
      </w:pPr>
      <w:r>
        <w:rPr>
          <w:rStyle w:val="FootnoteReference"/>
        </w:rPr>
        <w:footnoteRef/>
      </w:r>
      <w:r>
        <w:t xml:space="preserve"> R Hargreaves, ‘The Deprivation of Liberty Safeguards – Essential Protection or Bureaucratic Monster?’ </w:t>
      </w:r>
      <w:proofErr w:type="gramStart"/>
      <w:r>
        <w:t>(2009) Dec JMHL</w:t>
      </w:r>
      <w:r>
        <w:rPr>
          <w:i/>
        </w:rPr>
        <w:t xml:space="preserve"> </w:t>
      </w:r>
      <w:r>
        <w:t>117, 124.</w:t>
      </w:r>
      <w:proofErr w:type="gramEnd"/>
    </w:p>
  </w:footnote>
  <w:footnote w:id="50">
    <w:p w:rsidR="00A72CC3" w:rsidRPr="000A7849" w:rsidRDefault="00A72CC3" w:rsidP="0052155C">
      <w:pPr>
        <w:pStyle w:val="FootnoteText"/>
        <w:spacing w:afterLines="100" w:after="240" w:line="360" w:lineRule="auto"/>
        <w:jc w:val="both"/>
      </w:pPr>
      <w:r w:rsidRPr="000A7849">
        <w:rPr>
          <w:rStyle w:val="FootnoteReference"/>
        </w:rPr>
        <w:footnoteRef/>
      </w:r>
      <w:r>
        <w:t xml:space="preserve"> L</w:t>
      </w:r>
      <w:r w:rsidRPr="000A7849">
        <w:t xml:space="preserve"> Series, ‘Deprivation of Liberty Safeguards: a Haphazard Affair’, </w:t>
      </w:r>
      <w:proofErr w:type="gramStart"/>
      <w:r w:rsidRPr="000A7849">
        <w:rPr>
          <w:i/>
        </w:rPr>
        <w:t>The</w:t>
      </w:r>
      <w:proofErr w:type="gramEnd"/>
      <w:r w:rsidRPr="000A7849">
        <w:rPr>
          <w:i/>
        </w:rPr>
        <w:t xml:space="preserve"> Guardian</w:t>
      </w:r>
      <w:r w:rsidRPr="000A7849">
        <w:t>, Monday 2</w:t>
      </w:r>
      <w:r w:rsidRPr="000A7849">
        <w:rPr>
          <w:vertAlign w:val="superscript"/>
        </w:rPr>
        <w:t>nd</w:t>
      </w:r>
      <w:r w:rsidRPr="000A7849">
        <w:t xml:space="preserve"> April 2012. Available at: </w:t>
      </w:r>
      <w:hyperlink r:id="rId1" w:history="1">
        <w:r w:rsidRPr="000A7849">
          <w:rPr>
            <w:rStyle w:val="Hyperlink"/>
          </w:rPr>
          <w:t>http://www.guardian.co.uk/social-care-network/2012/apr/02/deprivation-liberty-safeguards-improvements</w:t>
        </w:r>
      </w:hyperlink>
      <w:r w:rsidRPr="000A7849">
        <w:t xml:space="preserve">. </w:t>
      </w:r>
      <w:proofErr w:type="gramStart"/>
      <w:r w:rsidRPr="000A7849">
        <w:t>Accessed: 28 January 2013.</w:t>
      </w:r>
      <w:proofErr w:type="gramEnd"/>
    </w:p>
  </w:footnote>
  <w:footnote w:id="51">
    <w:p w:rsidR="00A72CC3" w:rsidRPr="000376E5" w:rsidRDefault="00A72CC3" w:rsidP="0052155C">
      <w:pPr>
        <w:pStyle w:val="FootnoteText"/>
        <w:spacing w:after="240" w:line="360" w:lineRule="auto"/>
        <w:jc w:val="both"/>
      </w:pPr>
      <w:r>
        <w:rPr>
          <w:rStyle w:val="FootnoteReference"/>
        </w:rPr>
        <w:footnoteRef/>
      </w:r>
      <w:r>
        <w:t xml:space="preserve"> </w:t>
      </w:r>
      <w:proofErr w:type="gramStart"/>
      <w:r>
        <w:t>House of Lords Select</w:t>
      </w:r>
      <w:r w:rsidRPr="000A7849">
        <w:t xml:space="preserve"> Committee on the Mental Capacity Act 2005</w:t>
      </w:r>
      <w:r>
        <w:t>, n.</w:t>
      </w:r>
      <w:proofErr w:type="gramEnd"/>
      <w:r>
        <w:fldChar w:fldCharType="begin"/>
      </w:r>
      <w:r>
        <w:instrText xml:space="preserve"> NOTEREF _Ref448843985 \h  \* MERGEFORMAT </w:instrText>
      </w:r>
      <w:r>
        <w:fldChar w:fldCharType="separate"/>
      </w:r>
      <w:proofErr w:type="gramStart"/>
      <w:r>
        <w:t>6</w:t>
      </w:r>
      <w:r>
        <w:fldChar w:fldCharType="end"/>
      </w:r>
      <w:r>
        <w:t>, 91.</w:t>
      </w:r>
      <w:proofErr w:type="gramEnd"/>
    </w:p>
  </w:footnote>
  <w:footnote w:id="52">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Ministry of Justice, </w:t>
      </w:r>
      <w:r w:rsidRPr="000A7849">
        <w:rPr>
          <w:i/>
        </w:rPr>
        <w:t>Mental Capacity Act 2005 – Deprivation of Liberty Safeguards: Code of Practice to Supplement the Main Mental Capa</w:t>
      </w:r>
      <w:r>
        <w:rPr>
          <w:i/>
        </w:rPr>
        <w:t xml:space="preserve">city Act 2005 Code of Practice </w:t>
      </w:r>
      <w:r>
        <w:t>(TSO: London, 2008), [</w:t>
      </w:r>
      <w:r w:rsidRPr="000A7849">
        <w:t>1.11</w:t>
      </w:r>
      <w:r>
        <w:t>]</w:t>
      </w:r>
      <w:r w:rsidRPr="000A7849">
        <w:t>.</w:t>
      </w:r>
    </w:p>
  </w:footnote>
  <w:footnote w:id="53">
    <w:p w:rsidR="00A72CC3" w:rsidRPr="000A7849" w:rsidRDefault="00A72CC3" w:rsidP="0052155C">
      <w:pPr>
        <w:pStyle w:val="FootnoteText"/>
        <w:tabs>
          <w:tab w:val="left" w:pos="6173"/>
        </w:tabs>
        <w:spacing w:afterLines="100" w:after="240" w:line="360" w:lineRule="auto"/>
        <w:jc w:val="both"/>
      </w:pPr>
      <w:r w:rsidRPr="000A7849">
        <w:rPr>
          <w:rStyle w:val="FootnoteReference"/>
        </w:rPr>
        <w:footnoteRef/>
      </w:r>
      <w:r w:rsidRPr="000A7849">
        <w:t xml:space="preserve"> MCA 2005, </w:t>
      </w:r>
      <w:proofErr w:type="spellStart"/>
      <w:r w:rsidRPr="000A7849">
        <w:t>ss</w:t>
      </w:r>
      <w:proofErr w:type="spellEnd"/>
      <w:r>
        <w:t xml:space="preserve"> </w:t>
      </w:r>
      <w:proofErr w:type="gramStart"/>
      <w:r w:rsidRPr="000A7849">
        <w:t>4A(</w:t>
      </w:r>
      <w:proofErr w:type="gramEnd"/>
      <w:r w:rsidRPr="000A7849">
        <w:t>2)</w:t>
      </w:r>
      <w:bookmarkStart w:id="19" w:name="aMCA2005s4a2a4a5"/>
      <w:bookmarkEnd w:id="19"/>
      <w:r w:rsidRPr="000A7849">
        <w:t>(a) and 4A(5).</w:t>
      </w:r>
      <w:r>
        <w:tab/>
      </w:r>
    </w:p>
  </w:footnote>
  <w:footnote w:id="54">
    <w:p w:rsidR="00A72CC3" w:rsidRPr="00570B28" w:rsidRDefault="00A72CC3" w:rsidP="0052155C">
      <w:pPr>
        <w:pStyle w:val="FootnoteText"/>
        <w:spacing w:after="240" w:line="360" w:lineRule="auto"/>
        <w:jc w:val="both"/>
      </w:pPr>
      <w:r>
        <w:rPr>
          <w:rStyle w:val="FootnoteReference"/>
        </w:rPr>
        <w:footnoteRef/>
      </w:r>
      <w:r>
        <w:t xml:space="preserve"> </w:t>
      </w:r>
      <w:proofErr w:type="gramStart"/>
      <w:r>
        <w:rPr>
          <w:i/>
        </w:rPr>
        <w:t xml:space="preserve">Cheshire West and Cheshire Council v </w:t>
      </w:r>
      <w:r w:rsidRPr="00586BAE">
        <w:t>P</w:t>
      </w:r>
      <w:r>
        <w:t xml:space="preserve"> [2014] UKSC 19,</w:t>
      </w:r>
      <w:r>
        <w:rPr>
          <w:i/>
        </w:rPr>
        <w:t xml:space="preserve"> </w:t>
      </w:r>
      <w:r>
        <w:t>[54] (Baroness Hale).</w:t>
      </w:r>
      <w:proofErr w:type="gramEnd"/>
    </w:p>
  </w:footnote>
  <w:footnote w:id="55">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See P</w:t>
      </w:r>
      <w:r>
        <w:t>art 4 of Sch.A1 to the MCA 2005</w:t>
      </w:r>
      <w:r w:rsidRPr="000A7849">
        <w:t>.</w:t>
      </w:r>
    </w:p>
  </w:footnote>
  <w:footnote w:id="56">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Para.2 of Part 1 of Sch.A1.</w:t>
      </w:r>
      <w:proofErr w:type="gramEnd"/>
    </w:p>
  </w:footnote>
  <w:footnote w:id="57">
    <w:p w:rsidR="00A72CC3" w:rsidRDefault="00A72CC3" w:rsidP="00DA1E28">
      <w:pPr>
        <w:pStyle w:val="FootnoteText"/>
        <w:spacing w:after="240" w:line="360" w:lineRule="auto"/>
        <w:jc w:val="both"/>
      </w:pPr>
      <w:r>
        <w:rPr>
          <w:rStyle w:val="FootnoteReference"/>
        </w:rPr>
        <w:footnoteRef/>
      </w:r>
      <w:r>
        <w:t xml:space="preserve"> </w:t>
      </w:r>
      <w:proofErr w:type="gramStart"/>
      <w:r>
        <w:t>Para.12 of Part 3 of Sch.A1.</w:t>
      </w:r>
      <w:proofErr w:type="gramEnd"/>
    </w:p>
  </w:footnote>
  <w:footnote w:id="58">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r w:rsidRPr="00312E2E">
        <w:rPr>
          <w:i/>
        </w:rPr>
        <w:t>ibid</w:t>
      </w:r>
      <w:r>
        <w:t xml:space="preserve">, </w:t>
      </w:r>
      <w:proofErr w:type="gramStart"/>
      <w:r>
        <w:t>para.12(</w:t>
      </w:r>
      <w:proofErr w:type="gramEnd"/>
      <w:r>
        <w:t>1)(a)</w:t>
      </w:r>
      <w:r w:rsidRPr="000A7849">
        <w:t>.</w:t>
      </w:r>
    </w:p>
  </w:footnote>
  <w:footnote w:id="59">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r w:rsidRPr="00312E2E">
        <w:rPr>
          <w:i/>
        </w:rPr>
        <w:t>ibid</w:t>
      </w:r>
      <w:r>
        <w:t xml:space="preserve">, </w:t>
      </w:r>
      <w:proofErr w:type="gramStart"/>
      <w:r>
        <w:t>para.12(</w:t>
      </w:r>
      <w:proofErr w:type="gramEnd"/>
      <w:r>
        <w:t>1)(b)</w:t>
      </w:r>
      <w:r w:rsidRPr="000A7849">
        <w:t>.</w:t>
      </w:r>
    </w:p>
  </w:footnote>
  <w:footnote w:id="60">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r>
        <w:rPr>
          <w:i/>
        </w:rPr>
        <w:t>ibid</w:t>
      </w:r>
      <w:r>
        <w:t xml:space="preserve">, </w:t>
      </w:r>
      <w:proofErr w:type="gramStart"/>
      <w:r>
        <w:t>para.12(</w:t>
      </w:r>
      <w:proofErr w:type="gramEnd"/>
      <w:r>
        <w:t>1)(c)</w:t>
      </w:r>
      <w:r w:rsidRPr="000A7849">
        <w:t>.</w:t>
      </w:r>
    </w:p>
  </w:footnote>
  <w:footnote w:id="61">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r>
        <w:rPr>
          <w:i/>
        </w:rPr>
        <w:t>ibid</w:t>
      </w:r>
      <w:r>
        <w:t xml:space="preserve">, </w:t>
      </w:r>
      <w:proofErr w:type="gramStart"/>
      <w:r>
        <w:t>para.12(</w:t>
      </w:r>
      <w:proofErr w:type="gramEnd"/>
      <w:r>
        <w:t>1)(d)</w:t>
      </w:r>
      <w:r w:rsidRPr="000A7849">
        <w:t>.</w:t>
      </w:r>
    </w:p>
  </w:footnote>
  <w:footnote w:id="62">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r>
        <w:rPr>
          <w:i/>
        </w:rPr>
        <w:t>ibid</w:t>
      </w:r>
      <w:r>
        <w:t xml:space="preserve">, </w:t>
      </w:r>
      <w:proofErr w:type="gramStart"/>
      <w:r>
        <w:t>para.12(</w:t>
      </w:r>
      <w:proofErr w:type="gramEnd"/>
      <w:r>
        <w:t>1)(e)</w:t>
      </w:r>
      <w:r w:rsidRPr="000A7849">
        <w:t>.</w:t>
      </w:r>
    </w:p>
  </w:footnote>
  <w:footnote w:id="63">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r>
        <w:rPr>
          <w:i/>
        </w:rPr>
        <w:t>ibid</w:t>
      </w:r>
      <w:r>
        <w:t xml:space="preserve">, </w:t>
      </w:r>
      <w:proofErr w:type="gramStart"/>
      <w:r>
        <w:t>para.12(</w:t>
      </w:r>
      <w:proofErr w:type="gramEnd"/>
      <w:r>
        <w:t>1)(f)</w:t>
      </w:r>
      <w:r w:rsidRPr="000A7849">
        <w:t>.</w:t>
      </w:r>
    </w:p>
  </w:footnote>
  <w:footnote w:id="64">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Para.13 of Part 3 and para.34 of Part 4 of Sch.A1.</w:t>
      </w:r>
      <w:proofErr w:type="gramEnd"/>
    </w:p>
  </w:footnote>
  <w:footnote w:id="65">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Para.19(</w:t>
      </w:r>
      <w:proofErr w:type="gramEnd"/>
      <w:r w:rsidRPr="000A7849">
        <w:t>1) and (2) of Part 3 and para.48 of Part 4 of Sch.A1.</w:t>
      </w:r>
      <w:bookmarkStart w:id="21" w:name="aMCA2005SchA1_2"/>
      <w:bookmarkEnd w:id="21"/>
    </w:p>
  </w:footnote>
  <w:footnote w:id="66">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Para.20(</w:t>
      </w:r>
      <w:proofErr w:type="gramEnd"/>
      <w:r w:rsidRPr="000A7849">
        <w:t>1)-(3) of Part 3 and para.48 of Part 4 of Sch.A1.</w:t>
      </w:r>
    </w:p>
  </w:footnote>
  <w:footnote w:id="67">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Importantly, the exclusion of learning disabilities from the MHA’s definiti</w:t>
      </w:r>
      <w:r>
        <w:t xml:space="preserve">on of ‘mental disorder’ under s </w:t>
      </w:r>
      <w:r w:rsidRPr="000A7849">
        <w:t xml:space="preserve">1(2A) of the 1983 Act does not apply to the DOLS. See </w:t>
      </w:r>
      <w:proofErr w:type="gramStart"/>
      <w:r w:rsidRPr="000A7849">
        <w:t>para.14(</w:t>
      </w:r>
      <w:proofErr w:type="gramEnd"/>
      <w:r w:rsidRPr="000A7849">
        <w:t>1) of Part 4 and para.35 of Part 4 of Sch.A1.</w:t>
      </w:r>
    </w:p>
  </w:footnote>
  <w:footnote w:id="68">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Para.15 of Part 3 and para.37 of Part 4</w:t>
      </w:r>
      <w:bookmarkStart w:id="23" w:name="aMCA2005SchA1_3"/>
      <w:bookmarkEnd w:id="23"/>
      <w:r w:rsidRPr="000A7849">
        <w:t xml:space="preserve"> of Sch.A1.</w:t>
      </w:r>
      <w:proofErr w:type="gramEnd"/>
    </w:p>
  </w:footnote>
  <w:footnote w:id="69">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Para.16(</w:t>
      </w:r>
      <w:proofErr w:type="gramEnd"/>
      <w:r w:rsidRPr="000A7849">
        <w:t>2)-(5) of Part 3 and paras.38 and 39 of Part 4 of Sch.A1</w:t>
      </w:r>
      <w:r>
        <w:t>. See also</w:t>
      </w:r>
      <w:r w:rsidRPr="000A7849">
        <w:t xml:space="preserve"> MCA 2005, s</w:t>
      </w:r>
      <w:bookmarkStart w:id="24" w:name="aMCA2005s4"/>
      <w:bookmarkEnd w:id="24"/>
      <w:r>
        <w:t xml:space="preserve"> </w:t>
      </w:r>
      <w:r w:rsidRPr="000A7849">
        <w:t xml:space="preserve">4. </w:t>
      </w:r>
    </w:p>
  </w:footnote>
  <w:footnote w:id="70">
    <w:p w:rsidR="00A72CC3" w:rsidRPr="000A7849" w:rsidRDefault="00A72CC3" w:rsidP="0052155C">
      <w:pPr>
        <w:pStyle w:val="FootnoteText"/>
        <w:spacing w:afterLines="100" w:after="240" w:line="360" w:lineRule="auto"/>
        <w:jc w:val="both"/>
      </w:pPr>
      <w:r w:rsidRPr="000A7849">
        <w:rPr>
          <w:rStyle w:val="FootnoteReference"/>
        </w:rPr>
        <w:footnoteRef/>
      </w:r>
      <w:r>
        <w:t xml:space="preserve"> MCA 2005, s </w:t>
      </w:r>
      <w:r w:rsidRPr="000A7849">
        <w:t>4(6</w:t>
      </w:r>
      <w:proofErr w:type="gramStart"/>
      <w:r w:rsidRPr="000A7849">
        <w:t>)</w:t>
      </w:r>
      <w:bookmarkStart w:id="25" w:name="aMCA2005s46atoc"/>
      <w:bookmarkEnd w:id="25"/>
      <w:r w:rsidRPr="000A7849">
        <w:t>(</w:t>
      </w:r>
      <w:proofErr w:type="gramEnd"/>
      <w:r w:rsidRPr="000A7849">
        <w:t>a)-(c).</w:t>
      </w:r>
    </w:p>
  </w:footnote>
  <w:footnote w:id="71">
    <w:p w:rsidR="00A72CC3" w:rsidRPr="00CD2541" w:rsidRDefault="00A72CC3" w:rsidP="0052155C">
      <w:pPr>
        <w:spacing w:after="240" w:line="360" w:lineRule="auto"/>
        <w:jc w:val="both"/>
        <w:rPr>
          <w:b/>
          <w:u w:val="single"/>
        </w:rPr>
      </w:pPr>
      <w:r>
        <w:rPr>
          <w:rStyle w:val="FootnoteReference"/>
        </w:rPr>
        <w:footnoteRef/>
      </w:r>
      <w:r>
        <w:t xml:space="preserve"> </w:t>
      </w:r>
      <w:r w:rsidRPr="00C97E5C">
        <w:rPr>
          <w:sz w:val="20"/>
          <w:szCs w:val="20"/>
        </w:rPr>
        <w:t>For further discussion on</w:t>
      </w:r>
      <w:r>
        <w:rPr>
          <w:sz w:val="20"/>
          <w:szCs w:val="20"/>
        </w:rPr>
        <w:t xml:space="preserve"> this relationship, see AE</w:t>
      </w:r>
      <w:r w:rsidRPr="00C97E5C">
        <w:rPr>
          <w:sz w:val="20"/>
          <w:szCs w:val="20"/>
        </w:rPr>
        <w:t xml:space="preserve"> Buchanan and DW Brock, </w:t>
      </w:r>
      <w:r w:rsidRPr="00C97E5C">
        <w:rPr>
          <w:i/>
          <w:sz w:val="20"/>
          <w:szCs w:val="20"/>
        </w:rPr>
        <w:t>Deciding for Others: The Ethics of Surrogate Decision-making</w:t>
      </w:r>
      <w:r w:rsidRPr="00C97E5C">
        <w:rPr>
          <w:sz w:val="20"/>
          <w:szCs w:val="20"/>
        </w:rPr>
        <w:t xml:space="preserve"> </w:t>
      </w:r>
      <w:r>
        <w:rPr>
          <w:sz w:val="20"/>
          <w:szCs w:val="20"/>
        </w:rPr>
        <w:t>(</w:t>
      </w:r>
      <w:r w:rsidRPr="00C97E5C">
        <w:rPr>
          <w:sz w:val="20"/>
          <w:szCs w:val="20"/>
        </w:rPr>
        <w:t>Cambridge University Press</w:t>
      </w:r>
      <w:r>
        <w:rPr>
          <w:sz w:val="20"/>
          <w:szCs w:val="20"/>
        </w:rPr>
        <w:t>: Cambridge</w:t>
      </w:r>
      <w:r w:rsidRPr="00C97E5C">
        <w:rPr>
          <w:sz w:val="20"/>
          <w:szCs w:val="20"/>
        </w:rPr>
        <w:t>, 1990</w:t>
      </w:r>
      <w:r>
        <w:rPr>
          <w:sz w:val="20"/>
          <w:szCs w:val="20"/>
        </w:rPr>
        <w:t>)</w:t>
      </w:r>
      <w:r w:rsidRPr="00C97E5C">
        <w:rPr>
          <w:sz w:val="20"/>
          <w:szCs w:val="20"/>
        </w:rPr>
        <w:t xml:space="preserve">; </w:t>
      </w:r>
      <w:r>
        <w:rPr>
          <w:sz w:val="20"/>
          <w:szCs w:val="20"/>
        </w:rPr>
        <w:t>M</w:t>
      </w:r>
      <w:r w:rsidRPr="00C97E5C">
        <w:rPr>
          <w:sz w:val="20"/>
        </w:rPr>
        <w:t xml:space="preserve">R </w:t>
      </w:r>
      <w:proofErr w:type="spellStart"/>
      <w:r w:rsidRPr="00C97E5C">
        <w:rPr>
          <w:sz w:val="20"/>
        </w:rPr>
        <w:t>Wicclair</w:t>
      </w:r>
      <w:proofErr w:type="spellEnd"/>
      <w:r w:rsidRPr="00C97E5C">
        <w:rPr>
          <w:sz w:val="20"/>
        </w:rPr>
        <w:t xml:space="preserve">, ‘Patient Decision-making Capacity and Risk’ (1991) 5(2) </w:t>
      </w:r>
      <w:r w:rsidRPr="00101D53">
        <w:rPr>
          <w:sz w:val="20"/>
        </w:rPr>
        <w:t>Bioethics</w:t>
      </w:r>
      <w:r w:rsidRPr="00C97E5C">
        <w:rPr>
          <w:i/>
          <w:sz w:val="20"/>
        </w:rPr>
        <w:t xml:space="preserve"> </w:t>
      </w:r>
      <w:r>
        <w:rPr>
          <w:sz w:val="20"/>
        </w:rPr>
        <w:t>91; I</w:t>
      </w:r>
      <w:r w:rsidRPr="00C97E5C">
        <w:rPr>
          <w:sz w:val="20"/>
        </w:rPr>
        <w:t xml:space="preserve"> Wilks, ‘The Debate over Risk-related Standards of Competence’ (1997) 11(5) </w:t>
      </w:r>
      <w:r w:rsidRPr="00101D53">
        <w:rPr>
          <w:sz w:val="20"/>
        </w:rPr>
        <w:t>Bioethics</w:t>
      </w:r>
      <w:r w:rsidRPr="00C97E5C">
        <w:rPr>
          <w:i/>
          <w:sz w:val="20"/>
        </w:rPr>
        <w:t xml:space="preserve"> </w:t>
      </w:r>
      <w:r w:rsidRPr="00C97E5C">
        <w:rPr>
          <w:sz w:val="20"/>
        </w:rPr>
        <w:t>413.</w:t>
      </w:r>
    </w:p>
  </w:footnote>
  <w:footnote w:id="72">
    <w:p w:rsidR="00A72CC3" w:rsidRPr="000A7849" w:rsidRDefault="00A72CC3" w:rsidP="0052155C">
      <w:pPr>
        <w:pStyle w:val="FootnoteText"/>
        <w:tabs>
          <w:tab w:val="left" w:pos="6699"/>
        </w:tabs>
        <w:spacing w:afterLines="100" w:after="240" w:line="360" w:lineRule="auto"/>
        <w:jc w:val="both"/>
      </w:pPr>
      <w:r w:rsidRPr="000A7849">
        <w:rPr>
          <w:rStyle w:val="FootnoteReference"/>
        </w:rPr>
        <w:footnoteRef/>
      </w:r>
      <w:r w:rsidRPr="000A7849">
        <w:t xml:space="preserve"> Emphasis added.</w:t>
      </w:r>
      <w:r>
        <w:tab/>
      </w:r>
    </w:p>
  </w:footnote>
  <w:footnote w:id="73">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‘Case A’ in the table under para.2 of Part 1</w:t>
      </w:r>
      <w:r>
        <w:t xml:space="preserve"> of Schedule 1A to the MCA 2005</w:t>
      </w:r>
      <w:r w:rsidRPr="000A7849">
        <w:t>.</w:t>
      </w:r>
      <w:proofErr w:type="gramEnd"/>
    </w:p>
  </w:footnote>
  <w:footnote w:id="74">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‘Case E’ in the table under para.2 of Part 1 of Schedule 1A.</w:t>
      </w:r>
      <w:proofErr w:type="gramEnd"/>
    </w:p>
  </w:footnote>
  <w:footnote w:id="75">
    <w:p w:rsidR="00A72CC3" w:rsidRPr="000A7849" w:rsidRDefault="00A72CC3" w:rsidP="0052155C">
      <w:pPr>
        <w:pStyle w:val="FootnoteText"/>
        <w:tabs>
          <w:tab w:val="left" w:pos="6762"/>
        </w:tabs>
        <w:spacing w:afterLines="100" w:after="240" w:line="360" w:lineRule="auto"/>
        <w:jc w:val="both"/>
      </w:pPr>
      <w:r w:rsidRPr="000A7849">
        <w:rPr>
          <w:rStyle w:val="FootnoteReference"/>
        </w:rPr>
        <w:footnoteRef/>
      </w:r>
      <w:r w:rsidRPr="000A7849">
        <w:t xml:space="preserve"> </w:t>
      </w:r>
      <w:proofErr w:type="gramStart"/>
      <w:r w:rsidRPr="000A7849">
        <w:t>Para.12(</w:t>
      </w:r>
      <w:proofErr w:type="gramEnd"/>
      <w:r w:rsidRPr="000A7849">
        <w:t>1)(a) and (b) of Part 2 of Schedule 1A.</w:t>
      </w:r>
      <w:r>
        <w:tab/>
      </w:r>
    </w:p>
  </w:footnote>
  <w:footnote w:id="76">
    <w:p w:rsidR="00A72CC3" w:rsidRPr="000A7849" w:rsidRDefault="00A72CC3" w:rsidP="0052155C">
      <w:pPr>
        <w:pStyle w:val="FootnoteText"/>
        <w:tabs>
          <w:tab w:val="left" w:pos="6424"/>
        </w:tabs>
        <w:spacing w:afterLines="100" w:after="240" w:line="360" w:lineRule="auto"/>
        <w:jc w:val="both"/>
      </w:pPr>
      <w:r w:rsidRPr="000A7849">
        <w:rPr>
          <w:rStyle w:val="FootnoteReference"/>
        </w:rPr>
        <w:footnoteRef/>
      </w:r>
      <w:r w:rsidRPr="000A7849">
        <w:t xml:space="preserve"> </w:t>
      </w:r>
      <w:proofErr w:type="gramStart"/>
      <w:r w:rsidRPr="000A7849">
        <w:t>Para.5(</w:t>
      </w:r>
      <w:proofErr w:type="gramEnd"/>
      <w:r w:rsidRPr="000A7849">
        <w:t>2)-(5) of Part 2 of Schedule 1A.</w:t>
      </w:r>
      <w:r>
        <w:tab/>
      </w:r>
    </w:p>
  </w:footnote>
  <w:footnote w:id="77">
    <w:p w:rsidR="00A72CC3" w:rsidRPr="000A7849" w:rsidRDefault="00A72CC3" w:rsidP="0052155C">
      <w:pPr>
        <w:pStyle w:val="FootnoteText"/>
        <w:spacing w:afterLines="100" w:after="240" w:line="360" w:lineRule="auto"/>
        <w:jc w:val="both"/>
      </w:pPr>
      <w:r w:rsidRPr="000A7849">
        <w:rPr>
          <w:rStyle w:val="FootnoteReference"/>
        </w:rPr>
        <w:footnoteRef/>
      </w:r>
      <w:r>
        <w:t xml:space="preserve"> P</w:t>
      </w:r>
      <w:r w:rsidRPr="000A7849">
        <w:t xml:space="preserve"> Bartlett, ‘Civil Commitment’ in L </w:t>
      </w:r>
      <w:proofErr w:type="spellStart"/>
      <w:r w:rsidRPr="000A7849">
        <w:t>Gostin</w:t>
      </w:r>
      <w:proofErr w:type="spellEnd"/>
      <w:r w:rsidRPr="000A7849">
        <w:t xml:space="preserve"> </w:t>
      </w:r>
      <w:r w:rsidRPr="000A7849">
        <w:rPr>
          <w:i/>
        </w:rPr>
        <w:t xml:space="preserve">et al </w:t>
      </w:r>
      <w:r w:rsidRPr="000A7849">
        <w:t>(</w:t>
      </w:r>
      <w:proofErr w:type="spellStart"/>
      <w:proofErr w:type="gramStart"/>
      <w:r w:rsidRPr="000A7849">
        <w:t>eds</w:t>
      </w:r>
      <w:proofErr w:type="spellEnd"/>
      <w:proofErr w:type="gramEnd"/>
      <w:r w:rsidRPr="000A7849">
        <w:t xml:space="preserve">) </w:t>
      </w:r>
      <w:r w:rsidRPr="000A7849">
        <w:rPr>
          <w:i/>
        </w:rPr>
        <w:t>Principles of Mental Health Law and Policy</w:t>
      </w:r>
      <w:r w:rsidRPr="000A7849">
        <w:t xml:space="preserve">, </w:t>
      </w:r>
      <w:r>
        <w:t xml:space="preserve">(OUP: </w:t>
      </w:r>
      <w:r w:rsidRPr="000A7849">
        <w:t>Oxford</w:t>
      </w:r>
      <w:r>
        <w:t>,</w:t>
      </w:r>
      <w:r w:rsidRPr="000A7849">
        <w:t xml:space="preserve"> 2010</w:t>
      </w:r>
      <w:r>
        <w:t>)</w:t>
      </w:r>
      <w:r w:rsidRPr="000A7849">
        <w:t>, 471.</w:t>
      </w:r>
    </w:p>
  </w:footnote>
  <w:footnote w:id="78">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Para.6 of Part 2 of Schedul</w:t>
      </w:r>
      <w:bookmarkStart w:id="29" w:name="aMCA2005Sch1A_2"/>
      <w:bookmarkEnd w:id="29"/>
      <w:r w:rsidRPr="000A7849">
        <w:t>e 1A.</w:t>
      </w:r>
      <w:proofErr w:type="gramEnd"/>
    </w:p>
  </w:footnote>
  <w:footnote w:id="79">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[2009] EWHC 2972 (</w:t>
      </w:r>
      <w:proofErr w:type="spellStart"/>
      <w:proofErr w:type="gramStart"/>
      <w:r w:rsidRPr="000A7849">
        <w:t>Fam</w:t>
      </w:r>
      <w:proofErr w:type="spellEnd"/>
      <w:proofErr w:type="gramEnd"/>
      <w:r w:rsidRPr="000A7849">
        <w:t>).</w:t>
      </w:r>
    </w:p>
  </w:footnote>
  <w:footnote w:id="80">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312E2E">
        <w:rPr>
          <w:i/>
        </w:rPr>
        <w:t>ibid</w:t>
      </w:r>
      <w:r w:rsidRPr="000A7849">
        <w:t xml:space="preserve">, </w:t>
      </w:r>
      <w:r>
        <w:t>[</w:t>
      </w:r>
      <w:r w:rsidRPr="000A7849">
        <w:t>60</w:t>
      </w:r>
      <w:r>
        <w:t>]</w:t>
      </w:r>
      <w:r w:rsidRPr="000A7849">
        <w:t>.</w:t>
      </w:r>
      <w:proofErr w:type="gramEnd"/>
    </w:p>
  </w:footnote>
  <w:footnote w:id="81">
    <w:p w:rsidR="00A72CC3" w:rsidRPr="000A7849" w:rsidRDefault="00A72CC3" w:rsidP="0052155C">
      <w:pPr>
        <w:pStyle w:val="FootnoteText"/>
        <w:spacing w:afterLines="100" w:after="240" w:line="360" w:lineRule="auto"/>
        <w:jc w:val="both"/>
      </w:pPr>
      <w:r w:rsidRPr="000A7849">
        <w:rPr>
          <w:rStyle w:val="FootnoteReference"/>
        </w:rPr>
        <w:footnoteRef/>
      </w:r>
      <w:r w:rsidRPr="000A7849">
        <w:t xml:space="preserve"> </w:t>
      </w:r>
      <w:proofErr w:type="gramStart"/>
      <w:r w:rsidRPr="000A7849">
        <w:t>[2011] UKUT 327 (AAC)</w:t>
      </w:r>
      <w:r>
        <w:t>.</w:t>
      </w:r>
      <w:proofErr w:type="gramEnd"/>
    </w:p>
  </w:footnote>
  <w:footnote w:id="82">
    <w:p w:rsidR="00A72CC3" w:rsidRPr="003F39B6" w:rsidRDefault="00A72CC3" w:rsidP="0052155C">
      <w:pPr>
        <w:pStyle w:val="FootnoteText"/>
        <w:spacing w:after="240" w:line="360" w:lineRule="auto"/>
        <w:jc w:val="both"/>
        <w:rPr>
          <w:i/>
        </w:rPr>
      </w:pPr>
      <w:r>
        <w:rPr>
          <w:rStyle w:val="FootnoteReference"/>
        </w:rPr>
        <w:footnoteRef/>
      </w:r>
      <w:r>
        <w:t xml:space="preserve"> </w:t>
      </w:r>
      <w:proofErr w:type="gramStart"/>
      <w:r w:rsidRPr="00312E2E">
        <w:rPr>
          <w:i/>
        </w:rPr>
        <w:t>ibid</w:t>
      </w:r>
      <w:r>
        <w:t>, [20]</w:t>
      </w:r>
      <w:r>
        <w:rPr>
          <w:i/>
        </w:rPr>
        <w:t>.</w:t>
      </w:r>
      <w:proofErr w:type="gramEnd"/>
    </w:p>
  </w:footnote>
  <w:footnote w:id="83">
    <w:p w:rsidR="00A72CC3" w:rsidRDefault="00A72CC3" w:rsidP="0052155C">
      <w:pPr>
        <w:pStyle w:val="FootnoteText"/>
        <w:spacing w:after="240" w:line="360" w:lineRule="auto"/>
        <w:jc w:val="both"/>
      </w:pPr>
      <w:r>
        <w:rPr>
          <w:rStyle w:val="FootnoteReference"/>
        </w:rPr>
        <w:footnoteRef/>
      </w:r>
      <w:r>
        <w:t xml:space="preserve"> </w:t>
      </w:r>
      <w:proofErr w:type="gramStart"/>
      <w:r>
        <w:t>[2013] UKUT 0365 (AAC).</w:t>
      </w:r>
      <w:proofErr w:type="gramEnd"/>
    </w:p>
  </w:footnote>
  <w:footnote w:id="84">
    <w:p w:rsidR="00A72CC3" w:rsidRPr="00925B27"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 [78].</w:t>
      </w:r>
      <w:proofErr w:type="gramEnd"/>
    </w:p>
  </w:footnote>
  <w:footnote w:id="85">
    <w:p w:rsidR="00A72CC3" w:rsidRDefault="00A72CC3" w:rsidP="0052155C">
      <w:pPr>
        <w:pStyle w:val="FootnoteText"/>
        <w:spacing w:after="240" w:line="360" w:lineRule="auto"/>
        <w:jc w:val="both"/>
      </w:pPr>
      <w:r>
        <w:rPr>
          <w:rStyle w:val="FootnoteReference"/>
        </w:rPr>
        <w:footnoteRef/>
      </w:r>
      <w:r>
        <w:t xml:space="preserve"> See n.</w:t>
      </w:r>
      <w:r>
        <w:fldChar w:fldCharType="begin"/>
      </w:r>
      <w:r>
        <w:instrText xml:space="preserve"> NOTEREF _Ref427683508 \h  \* MERGEFORMAT </w:instrText>
      </w:r>
      <w:r>
        <w:fldChar w:fldCharType="separate"/>
      </w:r>
      <w:r>
        <w:t>72</w:t>
      </w:r>
      <w:r>
        <w:fldChar w:fldCharType="end"/>
      </w:r>
      <w:r>
        <w:t>.</w:t>
      </w:r>
    </w:p>
  </w:footnote>
  <w:footnote w:id="86">
    <w:p w:rsidR="00A72CC3" w:rsidRDefault="00A72CC3" w:rsidP="0052155C">
      <w:pPr>
        <w:pStyle w:val="FootnoteText"/>
        <w:spacing w:after="240" w:line="360" w:lineRule="auto"/>
        <w:jc w:val="both"/>
      </w:pPr>
      <w:r>
        <w:rPr>
          <w:rStyle w:val="FootnoteReference"/>
        </w:rPr>
        <w:footnoteRef/>
      </w:r>
      <w:r>
        <w:t xml:space="preserve"> </w:t>
      </w:r>
      <w:proofErr w:type="gramStart"/>
      <w:r>
        <w:t>[2015] UKUT 125 (AAC).</w:t>
      </w:r>
      <w:proofErr w:type="gramEnd"/>
    </w:p>
  </w:footnote>
  <w:footnote w:id="87">
    <w:p w:rsidR="00A72CC3" w:rsidRPr="00CD33AA"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 [24].</w:t>
      </w:r>
      <w:proofErr w:type="gramEnd"/>
    </w:p>
  </w:footnote>
  <w:footnote w:id="88">
    <w:p w:rsidR="00A72CC3" w:rsidRDefault="00A72CC3" w:rsidP="0052155C">
      <w:pPr>
        <w:pStyle w:val="FootnoteText"/>
        <w:tabs>
          <w:tab w:val="left" w:pos="2918"/>
        </w:tabs>
        <w:spacing w:after="240" w:line="360" w:lineRule="auto"/>
        <w:jc w:val="both"/>
      </w:pPr>
      <w:r>
        <w:rPr>
          <w:rStyle w:val="FootnoteReference"/>
        </w:rPr>
        <w:footnoteRef/>
      </w:r>
      <w:r>
        <w:t xml:space="preserve"> </w:t>
      </w:r>
      <w:proofErr w:type="gramStart"/>
      <w:r>
        <w:t>[2011] EWHC 1377 (COP).</w:t>
      </w:r>
      <w:proofErr w:type="gramEnd"/>
      <w:r>
        <w:tab/>
      </w:r>
    </w:p>
  </w:footnote>
  <w:footnote w:id="89">
    <w:p w:rsidR="00A72CC3" w:rsidRPr="006B7A05"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 xml:space="preserve">, </w:t>
      </w:r>
      <w:r w:rsidRPr="00D71CAF">
        <w:t>[</w:t>
      </w:r>
      <w:r>
        <w:t>182] (Peter Jackson J).</w:t>
      </w:r>
      <w:proofErr w:type="gramEnd"/>
    </w:p>
  </w:footnote>
  <w:footnote w:id="90">
    <w:p w:rsidR="00A72CC3" w:rsidRDefault="00A72CC3" w:rsidP="0052155C">
      <w:pPr>
        <w:pStyle w:val="FootnoteText"/>
        <w:spacing w:after="240" w:line="360" w:lineRule="auto"/>
        <w:jc w:val="both"/>
      </w:pPr>
      <w:r>
        <w:rPr>
          <w:rStyle w:val="FootnoteReference"/>
        </w:rPr>
        <w:footnoteRef/>
      </w:r>
      <w:r>
        <w:t xml:space="preserve"> See n.</w:t>
      </w:r>
      <w:r>
        <w:fldChar w:fldCharType="begin"/>
      </w:r>
      <w:r>
        <w:instrText xml:space="preserve"> NOTEREF _Ref423614031 \h  \* MERGEFORMAT </w:instrText>
      </w:r>
      <w:r>
        <w:fldChar w:fldCharType="separate"/>
      </w:r>
      <w:proofErr w:type="gramStart"/>
      <w:r>
        <w:t>49</w:t>
      </w:r>
      <w:r>
        <w:fldChar w:fldCharType="end"/>
      </w:r>
      <w:r>
        <w:t>, [257].</w:t>
      </w:r>
      <w:proofErr w:type="gramEnd"/>
    </w:p>
  </w:footnote>
  <w:footnote w:id="91">
    <w:p w:rsidR="00A72CC3" w:rsidRPr="001E6C28" w:rsidRDefault="00A72CC3" w:rsidP="0052155C">
      <w:pPr>
        <w:pStyle w:val="FootnoteText"/>
        <w:spacing w:after="240" w:line="360" w:lineRule="auto"/>
        <w:jc w:val="both"/>
      </w:pPr>
      <w:r>
        <w:rPr>
          <w:rStyle w:val="FootnoteReference"/>
        </w:rPr>
        <w:footnoteRef/>
      </w:r>
      <w:r>
        <w:t xml:space="preserve"> </w:t>
      </w:r>
      <w:proofErr w:type="gramStart"/>
      <w:r>
        <w:t>Law Commission, n.</w:t>
      </w:r>
      <w:proofErr w:type="gramEnd"/>
      <w:r>
        <w:fldChar w:fldCharType="begin"/>
      </w:r>
      <w:r>
        <w:instrText xml:space="preserve"> NOTEREF _Ref454371245 \h </w:instrText>
      </w:r>
      <w:r>
        <w:fldChar w:fldCharType="separate"/>
      </w:r>
      <w:proofErr w:type="gramStart"/>
      <w:r>
        <w:t>10</w:t>
      </w:r>
      <w:r>
        <w:fldChar w:fldCharType="end"/>
      </w:r>
      <w:r>
        <w:t>, [2.41].</w:t>
      </w:r>
      <w:proofErr w:type="gramEnd"/>
    </w:p>
  </w:footnote>
  <w:footnote w:id="92">
    <w:p w:rsidR="00A72CC3" w:rsidRPr="00FC3844" w:rsidRDefault="00A72CC3" w:rsidP="0052155C">
      <w:pPr>
        <w:pStyle w:val="FootnoteText"/>
        <w:spacing w:after="240" w:line="360" w:lineRule="auto"/>
        <w:jc w:val="both"/>
      </w:pPr>
      <w:r>
        <w:rPr>
          <w:rStyle w:val="FootnoteReference"/>
        </w:rPr>
        <w:footnoteRef/>
      </w:r>
      <w:r>
        <w:t xml:space="preserve"> P Bartlett, ‘Reforming the Deprivation of Liberty Safeguards (DOLS): What is it </w:t>
      </w:r>
      <w:proofErr w:type="gramStart"/>
      <w:r>
        <w:t>Exactly</w:t>
      </w:r>
      <w:proofErr w:type="gramEnd"/>
      <w:r>
        <w:t xml:space="preserve"> that We Want’ (2014) 20(3) </w:t>
      </w:r>
      <w:r>
        <w:rPr>
          <w:i/>
        </w:rPr>
        <w:t>Web JCLI</w:t>
      </w:r>
      <w:r>
        <w:t>.</w:t>
      </w:r>
    </w:p>
  </w:footnote>
  <w:footnote w:id="93">
    <w:p w:rsidR="00A72CC3" w:rsidRPr="00E619EB" w:rsidRDefault="00A72CC3" w:rsidP="0052155C">
      <w:pPr>
        <w:pStyle w:val="FootnoteText"/>
        <w:spacing w:after="240" w:line="360" w:lineRule="auto"/>
        <w:jc w:val="both"/>
        <w:rPr>
          <w:i/>
        </w:rPr>
      </w:pPr>
      <w:r>
        <w:rPr>
          <w:rStyle w:val="FootnoteReference"/>
        </w:rPr>
        <w:footnoteRef/>
      </w:r>
      <w:r>
        <w:t xml:space="preserve"> </w:t>
      </w:r>
      <w:r w:rsidRPr="00312E2E">
        <w:rPr>
          <w:i/>
        </w:rPr>
        <w:t>ibid</w:t>
      </w:r>
      <w:r>
        <w:rPr>
          <w:i/>
        </w:rPr>
        <w:t>.</w:t>
      </w:r>
    </w:p>
  </w:footnote>
  <w:footnote w:id="94">
    <w:p w:rsidR="00A72CC3" w:rsidRPr="00456B99" w:rsidRDefault="00A72CC3" w:rsidP="0052155C">
      <w:pPr>
        <w:pStyle w:val="FootnoteText"/>
        <w:spacing w:after="240" w:line="360" w:lineRule="auto"/>
        <w:jc w:val="both"/>
      </w:pPr>
      <w:r>
        <w:rPr>
          <w:rStyle w:val="FootnoteReference"/>
        </w:rPr>
        <w:footnoteRef/>
      </w:r>
      <w:r>
        <w:t xml:space="preserve"> R Robinson and L Scott-Moncrieff, ‘Making Sense of </w:t>
      </w:r>
      <w:proofErr w:type="spellStart"/>
      <w:r w:rsidRPr="00343AD2">
        <w:rPr>
          <w:i/>
        </w:rPr>
        <w:t>Bournewood</w:t>
      </w:r>
      <w:proofErr w:type="spellEnd"/>
      <w:r>
        <w:t>’ (2005) 12 JMHL</w:t>
      </w:r>
      <w:r>
        <w:rPr>
          <w:i/>
        </w:rPr>
        <w:t xml:space="preserve"> </w:t>
      </w:r>
      <w:r>
        <w:t>17; R Jones, ‘Deprivation of Liberty: Mental Health Act or Mental Capacity Act’ (2007) JMHL 170</w:t>
      </w:r>
    </w:p>
  </w:footnote>
  <w:footnote w:id="95">
    <w:p w:rsidR="00A72CC3" w:rsidRPr="003E1E55" w:rsidRDefault="00A72CC3" w:rsidP="0052155C">
      <w:pPr>
        <w:pStyle w:val="FootnoteText"/>
        <w:spacing w:after="240" w:line="360" w:lineRule="auto"/>
        <w:jc w:val="both"/>
      </w:pPr>
      <w:r>
        <w:rPr>
          <w:rStyle w:val="FootnoteReference"/>
        </w:rPr>
        <w:footnoteRef/>
      </w:r>
      <w:r>
        <w:t xml:space="preserve"> A </w:t>
      </w:r>
      <w:proofErr w:type="spellStart"/>
      <w:r>
        <w:t>Szerletics</w:t>
      </w:r>
      <w:proofErr w:type="spellEnd"/>
      <w:r>
        <w:t xml:space="preserve"> and T O’Shea, </w:t>
      </w:r>
      <w:proofErr w:type="gramStart"/>
      <w:r>
        <w:rPr>
          <w:i/>
        </w:rPr>
        <w:t>The</w:t>
      </w:r>
      <w:proofErr w:type="gramEnd"/>
      <w:r>
        <w:rPr>
          <w:i/>
        </w:rPr>
        <w:t xml:space="preserve"> Deprivation of Liberty Safeguards: Essex Autonomy Project Briefing</w:t>
      </w:r>
      <w:r>
        <w:t xml:space="preserve"> (Essex Autonomy Project: Essex, 2011), 30.</w:t>
      </w:r>
    </w:p>
  </w:footnote>
  <w:footnote w:id="96">
    <w:p w:rsidR="00A72CC3" w:rsidRPr="004F1B39" w:rsidRDefault="00A72CC3" w:rsidP="0052155C">
      <w:pPr>
        <w:pStyle w:val="FootnoteText"/>
        <w:spacing w:after="240" w:line="360" w:lineRule="auto"/>
        <w:jc w:val="both"/>
      </w:pPr>
      <w:r>
        <w:rPr>
          <w:rStyle w:val="FootnoteReference"/>
        </w:rPr>
        <w:footnoteRef/>
      </w:r>
      <w:r>
        <w:t xml:space="preserve"> HM Government, </w:t>
      </w:r>
      <w:r>
        <w:rPr>
          <w:i/>
        </w:rPr>
        <w:t>Valuing Every Voice, Respecting Every Right: Making the Case for the Mental Capacity Act</w:t>
      </w:r>
      <w:r>
        <w:t>, Cm 8884, June 2014, [7.24].</w:t>
      </w:r>
    </w:p>
  </w:footnote>
  <w:footnote w:id="97">
    <w:p w:rsidR="00A72CC3" w:rsidRDefault="00A72CC3" w:rsidP="0052155C">
      <w:pPr>
        <w:pStyle w:val="FootnoteText"/>
        <w:spacing w:after="240" w:line="360" w:lineRule="auto"/>
        <w:jc w:val="both"/>
      </w:pPr>
      <w:r>
        <w:rPr>
          <w:rStyle w:val="FootnoteReference"/>
        </w:rPr>
        <w:footnoteRef/>
      </w:r>
      <w:r>
        <w:t xml:space="preserve"> </w:t>
      </w:r>
      <w:proofErr w:type="gramStart"/>
      <w:r>
        <w:t>Law Commission, n.</w:t>
      </w:r>
      <w:proofErr w:type="gramEnd"/>
      <w:r>
        <w:fldChar w:fldCharType="begin"/>
      </w:r>
      <w:r>
        <w:instrText xml:space="preserve"> NOTEREF _Ref454371245 \h </w:instrText>
      </w:r>
      <w:r>
        <w:fldChar w:fldCharType="separate"/>
      </w:r>
      <w:proofErr w:type="gramStart"/>
      <w:r>
        <w:t>10</w:t>
      </w:r>
      <w:r>
        <w:fldChar w:fldCharType="end"/>
      </w:r>
      <w:r>
        <w:t>, chapter 3.</w:t>
      </w:r>
      <w:proofErr w:type="gramEnd"/>
    </w:p>
  </w:footnote>
  <w:footnote w:id="98">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 [2.23].</w:t>
      </w:r>
      <w:proofErr w:type="gramEnd"/>
    </w:p>
  </w:footnote>
  <w:footnote w:id="99">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 [5.3]; chapter 6.</w:t>
      </w:r>
      <w:proofErr w:type="gramEnd"/>
    </w:p>
  </w:footnote>
  <w:footnote w:id="100">
    <w:p w:rsidR="00A72CC3" w:rsidRDefault="00A72CC3" w:rsidP="0052155C">
      <w:pPr>
        <w:pStyle w:val="FootnoteText"/>
        <w:spacing w:after="240" w:line="360" w:lineRule="auto"/>
        <w:jc w:val="both"/>
      </w:pPr>
      <w:r>
        <w:rPr>
          <w:rStyle w:val="FootnoteReference"/>
        </w:rPr>
        <w:footnoteRef/>
      </w:r>
      <w:r>
        <w:t xml:space="preserve"> </w:t>
      </w:r>
      <w:r w:rsidRPr="00312E2E">
        <w:rPr>
          <w:i/>
        </w:rPr>
        <w:t>ibid</w:t>
      </w:r>
      <w:r>
        <w:t>.</w:t>
      </w:r>
    </w:p>
  </w:footnote>
  <w:footnote w:id="101">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[5.3]; chapter 7.</w:t>
      </w:r>
    </w:p>
  </w:footnote>
  <w:footnote w:id="102">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[7.1].</w:t>
      </w:r>
    </w:p>
  </w:footnote>
  <w:footnote w:id="103">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[7.29].</w:t>
      </w:r>
    </w:p>
  </w:footnote>
  <w:footnote w:id="104">
    <w:p w:rsidR="00A72CC3" w:rsidRDefault="00A72CC3" w:rsidP="0052155C">
      <w:pPr>
        <w:pStyle w:val="FootnoteText"/>
        <w:spacing w:after="240" w:line="360" w:lineRule="auto"/>
        <w:jc w:val="both"/>
      </w:pPr>
      <w:r>
        <w:rPr>
          <w:rStyle w:val="FootnoteReference"/>
        </w:rPr>
        <w:footnoteRef/>
      </w:r>
      <w:r>
        <w:t xml:space="preserve"> This new designation would replace the current ‘best </w:t>
      </w:r>
      <w:proofErr w:type="gramStart"/>
      <w:r>
        <w:t>interests</w:t>
      </w:r>
      <w:proofErr w:type="gramEnd"/>
      <w:r>
        <w:t xml:space="preserve"> assessor’. See </w:t>
      </w:r>
      <w:r w:rsidRPr="00312E2E">
        <w:rPr>
          <w:i/>
        </w:rPr>
        <w:t>ibid</w:t>
      </w:r>
      <w:r>
        <w:t xml:space="preserve"> [7.71].</w:t>
      </w:r>
    </w:p>
  </w:footnote>
  <w:footnote w:id="105">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[7.76].</w:t>
      </w:r>
    </w:p>
  </w:footnote>
  <w:footnote w:id="106">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chapters 8 and 10.</w:t>
      </w:r>
    </w:p>
  </w:footnote>
  <w:footnote w:id="107">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[8.20].</w:t>
      </w:r>
    </w:p>
  </w:footnote>
  <w:footnote w:id="108">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[8.5].</w:t>
      </w:r>
    </w:p>
  </w:footnote>
  <w:footnote w:id="109">
    <w:p w:rsidR="00A72CC3" w:rsidRDefault="00A72CC3" w:rsidP="0052155C">
      <w:pPr>
        <w:pStyle w:val="FootnoteText"/>
        <w:spacing w:after="240" w:line="360" w:lineRule="auto"/>
        <w:jc w:val="both"/>
      </w:pPr>
      <w:r>
        <w:rPr>
          <w:rStyle w:val="FootnoteReference"/>
        </w:rPr>
        <w:footnoteRef/>
      </w:r>
      <w:r>
        <w:t xml:space="preserve"> </w:t>
      </w:r>
      <w:r w:rsidRPr="00312E2E">
        <w:rPr>
          <w:i/>
        </w:rPr>
        <w:t>ibid</w:t>
      </w:r>
      <w:r>
        <w:t>.</w:t>
      </w:r>
    </w:p>
  </w:footnote>
  <w:footnote w:id="110">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[8.6].</w:t>
      </w:r>
    </w:p>
  </w:footnote>
  <w:footnote w:id="111">
    <w:p w:rsidR="00A72CC3" w:rsidRDefault="00A72CC3" w:rsidP="0052155C">
      <w:pPr>
        <w:pStyle w:val="FootnoteText"/>
        <w:tabs>
          <w:tab w:val="left" w:pos="7976"/>
        </w:tabs>
        <w:spacing w:after="240" w:line="360" w:lineRule="auto"/>
        <w:jc w:val="both"/>
      </w:pPr>
      <w:r>
        <w:rPr>
          <w:rStyle w:val="FootnoteReference"/>
        </w:rPr>
        <w:footnoteRef/>
      </w:r>
      <w:r>
        <w:t xml:space="preserve"> </w:t>
      </w:r>
      <w:proofErr w:type="gramStart"/>
      <w:r w:rsidRPr="00312E2E">
        <w:rPr>
          <w:i/>
        </w:rPr>
        <w:t>ibid</w:t>
      </w:r>
      <w:r>
        <w:t>.,</w:t>
      </w:r>
      <w:proofErr w:type="gramEnd"/>
      <w:r>
        <w:t xml:space="preserve"> [10.21].</w:t>
      </w:r>
      <w:r>
        <w:tab/>
      </w:r>
    </w:p>
  </w:footnote>
  <w:footnote w:id="112">
    <w:p w:rsidR="00A72CC3" w:rsidRDefault="00A72CC3" w:rsidP="002810F7">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[10.27].</w:t>
      </w:r>
    </w:p>
  </w:footnote>
  <w:footnote w:id="113">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[10.21].</w:t>
      </w:r>
    </w:p>
  </w:footnote>
  <w:footnote w:id="114">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[7.29].</w:t>
      </w:r>
    </w:p>
  </w:footnote>
  <w:footnote w:id="115">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[7.42].</w:t>
      </w:r>
    </w:p>
  </w:footnote>
  <w:footnote w:id="116">
    <w:p w:rsidR="00A72CC3"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w:t>
      </w:r>
      <w:proofErr w:type="gramEnd"/>
      <w:r>
        <w:t xml:space="preserve"> [7.31].</w:t>
      </w:r>
    </w:p>
  </w:footnote>
  <w:footnote w:id="117">
    <w:p w:rsidR="00A72CC3" w:rsidRDefault="00A72CC3" w:rsidP="0052155C">
      <w:pPr>
        <w:pStyle w:val="FootnoteText"/>
        <w:spacing w:after="240" w:line="360" w:lineRule="auto"/>
        <w:jc w:val="both"/>
      </w:pPr>
      <w:r>
        <w:rPr>
          <w:rStyle w:val="FootnoteReference"/>
        </w:rPr>
        <w:footnoteRef/>
      </w:r>
      <w:r>
        <w:t xml:space="preserve"> MHA 1983, s 7(1</w:t>
      </w:r>
      <w:proofErr w:type="gramStart"/>
      <w:r>
        <w:t>)(</w:t>
      </w:r>
      <w:proofErr w:type="gramEnd"/>
      <w:r>
        <w:t>b) provides that a guardianship application may be made in respect of a patient on the grounds that ‘it is necessary in the interests of the welfare of the patient or for the protection of other persons that the patient should be [received into guardianship]’.</w:t>
      </w:r>
    </w:p>
  </w:footnote>
  <w:footnote w:id="118">
    <w:p w:rsidR="00A72CC3" w:rsidRDefault="00A72CC3">
      <w:pPr>
        <w:pStyle w:val="FootnoteText"/>
      </w:pPr>
      <w:r>
        <w:rPr>
          <w:rStyle w:val="FootnoteReference"/>
        </w:rPr>
        <w:footnoteRef/>
      </w:r>
      <w:r>
        <w:t xml:space="preserve"> </w:t>
      </w:r>
      <w:proofErr w:type="gramStart"/>
      <w:r>
        <w:t>Law Commission, n.</w:t>
      </w:r>
      <w:proofErr w:type="gramEnd"/>
      <w:r>
        <w:fldChar w:fldCharType="begin"/>
      </w:r>
      <w:r>
        <w:instrText xml:space="preserve"> NOTEREF _Ref454372125 \h </w:instrText>
      </w:r>
      <w:r>
        <w:fldChar w:fldCharType="separate"/>
      </w:r>
      <w:proofErr w:type="gramStart"/>
      <w:r>
        <w:t>11</w:t>
      </w:r>
      <w:r>
        <w:fldChar w:fldCharType="end"/>
      </w:r>
      <w:r>
        <w:t>, [1.37].</w:t>
      </w:r>
      <w:proofErr w:type="gramEnd"/>
    </w:p>
    <w:p w:rsidR="00A72CC3" w:rsidRDefault="00A72CC3">
      <w:pPr>
        <w:pStyle w:val="FootnoteText"/>
      </w:pPr>
    </w:p>
  </w:footnote>
  <w:footnote w:id="119">
    <w:p w:rsidR="00A72CC3" w:rsidRDefault="00A72CC3">
      <w:pPr>
        <w:pStyle w:val="FootnoteText"/>
      </w:pPr>
      <w:r>
        <w:rPr>
          <w:rStyle w:val="FootnoteReference"/>
        </w:rPr>
        <w:footnoteRef/>
      </w:r>
      <w:r>
        <w:t xml:space="preserve"> </w:t>
      </w:r>
      <w:proofErr w:type="gramStart"/>
      <w:r>
        <w:rPr>
          <w:i/>
        </w:rPr>
        <w:t>ibid</w:t>
      </w:r>
      <w:r>
        <w:t>, [1.45].</w:t>
      </w:r>
      <w:proofErr w:type="gramEnd"/>
    </w:p>
    <w:p w:rsidR="00A72CC3" w:rsidRPr="009E57AF" w:rsidRDefault="00A72CC3">
      <w:pPr>
        <w:pStyle w:val="FootnoteText"/>
      </w:pPr>
    </w:p>
  </w:footnote>
  <w:footnote w:id="120">
    <w:p w:rsidR="00A72CC3" w:rsidRPr="009E57AF" w:rsidRDefault="00A72CC3">
      <w:pPr>
        <w:pStyle w:val="FootnoteText"/>
      </w:pPr>
      <w:r>
        <w:rPr>
          <w:rStyle w:val="FootnoteReference"/>
        </w:rPr>
        <w:footnoteRef/>
      </w:r>
      <w:r>
        <w:t xml:space="preserve"> </w:t>
      </w:r>
      <w:proofErr w:type="gramStart"/>
      <w:r>
        <w:rPr>
          <w:i/>
        </w:rPr>
        <w:t>ibid</w:t>
      </w:r>
      <w:r>
        <w:t>, [1.41].</w:t>
      </w:r>
      <w:proofErr w:type="gramEnd"/>
    </w:p>
  </w:footnote>
  <w:footnote w:id="121">
    <w:p w:rsidR="00A72CC3" w:rsidRPr="00342B88" w:rsidRDefault="00A72CC3" w:rsidP="0052155C">
      <w:pPr>
        <w:pStyle w:val="FootnoteText"/>
        <w:spacing w:after="240" w:line="360" w:lineRule="auto"/>
        <w:jc w:val="both"/>
      </w:pPr>
      <w:r>
        <w:rPr>
          <w:rStyle w:val="FootnoteReference"/>
        </w:rPr>
        <w:footnoteRef/>
      </w:r>
      <w:r>
        <w:t xml:space="preserve"> Care Quality Commission, </w:t>
      </w:r>
      <w:r>
        <w:rPr>
          <w:i/>
        </w:rPr>
        <w:t>Monitoring the Use of the Mental Capacity Act Deprivation of Liberty Safeguards in 2014/15</w:t>
      </w:r>
      <w:r>
        <w:t xml:space="preserve">, 30. Available at: </w:t>
      </w:r>
      <w:hyperlink r:id="rId2" w:history="1">
        <w:r w:rsidRPr="004C7712">
          <w:rPr>
            <w:rStyle w:val="Hyperlink"/>
          </w:rPr>
          <w:t>http://www.cqc.org.uk/sites/default/files/20151209_deprivation_of_liberty_safeguards_2014-15.pdf</w:t>
        </w:r>
      </w:hyperlink>
      <w:r w:rsidRPr="00342B88">
        <w:rPr>
          <w:rStyle w:val="Hyperlink"/>
          <w:u w:val="none"/>
        </w:rPr>
        <w:t>.</w:t>
      </w:r>
      <w:r>
        <w:rPr>
          <w:rStyle w:val="Hyperlink"/>
          <w:u w:val="none"/>
        </w:rPr>
        <w:t xml:space="preserve"> </w:t>
      </w:r>
      <w:r w:rsidRPr="00342B88">
        <w:rPr>
          <w:rStyle w:val="Hyperlink"/>
          <w:color w:val="auto"/>
          <w:u w:val="none"/>
        </w:rPr>
        <w:t xml:space="preserve"> </w:t>
      </w:r>
      <w:proofErr w:type="gramStart"/>
      <w:r w:rsidRPr="00342B88">
        <w:rPr>
          <w:rStyle w:val="Hyperlink"/>
          <w:color w:val="auto"/>
          <w:u w:val="none"/>
        </w:rPr>
        <w:t>Accessed</w:t>
      </w:r>
      <w:r>
        <w:rPr>
          <w:rStyle w:val="Hyperlink"/>
          <w:color w:val="auto"/>
          <w:u w:val="none"/>
        </w:rPr>
        <w:t>: 25 April 2016.</w:t>
      </w:r>
      <w:proofErr w:type="gramEnd"/>
    </w:p>
  </w:footnote>
  <w:footnote w:id="122">
    <w:p w:rsidR="00A72CC3" w:rsidRDefault="00A72CC3" w:rsidP="0052155C">
      <w:pPr>
        <w:pStyle w:val="FootnoteText"/>
        <w:spacing w:after="240" w:line="360" w:lineRule="auto"/>
        <w:jc w:val="both"/>
      </w:pPr>
      <w:r>
        <w:rPr>
          <w:rStyle w:val="FootnoteReference"/>
        </w:rPr>
        <w:footnoteRef/>
      </w:r>
      <w:r>
        <w:t xml:space="preserve"> Health and Social Care Information Centre, </w:t>
      </w:r>
      <w:r>
        <w:rPr>
          <w:i/>
        </w:rPr>
        <w:t>Deprivation of Liberty Safeguards (</w:t>
      </w:r>
      <w:proofErr w:type="spellStart"/>
      <w:r>
        <w:rPr>
          <w:i/>
        </w:rPr>
        <w:t>DoLS</w:t>
      </w:r>
      <w:proofErr w:type="spellEnd"/>
      <w:r>
        <w:rPr>
          <w:i/>
        </w:rPr>
        <w:t xml:space="preserve">) Annex B: Granted Applications Data Tables </w:t>
      </w:r>
      <w:r>
        <w:t>(HSCIC: London, 2015), table 4.</w:t>
      </w:r>
    </w:p>
  </w:footnote>
  <w:footnote w:id="123">
    <w:p w:rsidR="00A72CC3" w:rsidRPr="00836CA6" w:rsidRDefault="00A72CC3" w:rsidP="0052155C">
      <w:pPr>
        <w:pStyle w:val="FootnoteText"/>
        <w:tabs>
          <w:tab w:val="left" w:pos="3894"/>
        </w:tabs>
        <w:spacing w:after="240" w:line="360" w:lineRule="auto"/>
        <w:jc w:val="both"/>
      </w:pPr>
      <w:r>
        <w:rPr>
          <w:rStyle w:val="FootnoteReference"/>
        </w:rPr>
        <w:footnoteRef/>
      </w:r>
      <w:r>
        <w:t xml:space="preserve"> </w:t>
      </w:r>
      <w:proofErr w:type="gramStart"/>
      <w:r w:rsidRPr="00312E2E">
        <w:rPr>
          <w:i/>
        </w:rPr>
        <w:t>ibid</w:t>
      </w:r>
      <w:r>
        <w:t>.</w:t>
      </w:r>
      <w:proofErr w:type="gramEnd"/>
      <w:r>
        <w:tab/>
      </w:r>
    </w:p>
  </w:footnote>
  <w:footnote w:id="124">
    <w:p w:rsidR="00A72CC3" w:rsidRDefault="00A72CC3" w:rsidP="0052155C">
      <w:pPr>
        <w:pStyle w:val="FootnoteText"/>
        <w:spacing w:after="240" w:line="360" w:lineRule="auto"/>
        <w:jc w:val="both"/>
      </w:pPr>
      <w:r>
        <w:rPr>
          <w:rStyle w:val="FootnoteReference"/>
        </w:rPr>
        <w:footnoteRef/>
      </w:r>
      <w:r>
        <w:t xml:space="preserve"> ICH Clare </w:t>
      </w:r>
      <w:r>
        <w:rPr>
          <w:i/>
        </w:rPr>
        <w:t>et al</w:t>
      </w:r>
      <w:r>
        <w:t>, ‘Understanding the Interface between the Mental Capacity Act’s Deprivation of Liberty Safeguards and the Mental Health Act’ (University of Cambridge: Cambridge, 2013), [3.5.7].</w:t>
      </w:r>
    </w:p>
  </w:footnote>
  <w:footnote w:id="125">
    <w:p w:rsidR="00A72CC3" w:rsidRPr="005F3C9B" w:rsidRDefault="00A72CC3" w:rsidP="0052155C">
      <w:pPr>
        <w:pStyle w:val="FootnoteText"/>
        <w:spacing w:after="240" w:line="360" w:lineRule="auto"/>
        <w:jc w:val="both"/>
      </w:pPr>
      <w:r>
        <w:rPr>
          <w:rStyle w:val="FootnoteReference"/>
        </w:rPr>
        <w:footnoteRef/>
      </w:r>
      <w:r>
        <w:t xml:space="preserve"> See n.</w:t>
      </w:r>
      <w:r>
        <w:fldChar w:fldCharType="begin"/>
      </w:r>
      <w:r>
        <w:instrText xml:space="preserve"> NOTEREF _Ref427683558 \h  \* MERGEFORMAT </w:instrText>
      </w:r>
      <w:r>
        <w:fldChar w:fldCharType="separate"/>
      </w:r>
      <w:r>
        <w:t>117</w:t>
      </w:r>
      <w:r>
        <w:fldChar w:fldCharType="end"/>
      </w:r>
      <w:r>
        <w:t>, table 3.</w:t>
      </w:r>
    </w:p>
  </w:footnote>
  <w:footnote w:id="126">
    <w:p w:rsidR="00A72CC3" w:rsidRPr="00AF321E" w:rsidRDefault="00A72CC3" w:rsidP="0052155C">
      <w:pPr>
        <w:pStyle w:val="FootnoteText"/>
        <w:spacing w:after="240" w:line="360" w:lineRule="auto"/>
        <w:jc w:val="both"/>
      </w:pPr>
      <w:r>
        <w:rPr>
          <w:rStyle w:val="FootnoteReference"/>
        </w:rPr>
        <w:footnoteRef/>
      </w:r>
      <w:r>
        <w:t xml:space="preserve"> HSCIC, </w:t>
      </w:r>
      <w:r>
        <w:rPr>
          <w:i/>
        </w:rPr>
        <w:t>Patients Formally Detained in Hospitals under the Mental Health Act 1983 and Patients Subject to Supervised Community Treatment</w:t>
      </w:r>
      <w:r>
        <w:t>, Annual Report, England, 2013-14, 14.</w:t>
      </w:r>
    </w:p>
  </w:footnote>
  <w:footnote w:id="127">
    <w:p w:rsidR="00A72CC3" w:rsidRPr="00504F60"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t>, 22.</w:t>
      </w:r>
      <w:proofErr w:type="gramEnd"/>
    </w:p>
  </w:footnote>
  <w:footnote w:id="128">
    <w:p w:rsidR="00A72CC3" w:rsidRDefault="00A72CC3" w:rsidP="0052155C">
      <w:pPr>
        <w:pStyle w:val="FootnoteText"/>
        <w:spacing w:after="240" w:line="360" w:lineRule="auto"/>
        <w:jc w:val="both"/>
      </w:pPr>
      <w:r>
        <w:rPr>
          <w:rStyle w:val="FootnoteReference"/>
        </w:rPr>
        <w:footnoteRef/>
      </w:r>
      <w:r>
        <w:t xml:space="preserve"> </w:t>
      </w:r>
      <w:r w:rsidRPr="00666661">
        <w:t>See</w:t>
      </w:r>
      <w:r>
        <w:t xml:space="preserve"> n </w:t>
      </w:r>
      <w:r>
        <w:fldChar w:fldCharType="begin"/>
      </w:r>
      <w:r>
        <w:instrText xml:space="preserve"> NOTEREF _Ref448846085 \h </w:instrText>
      </w:r>
      <w:r>
        <w:fldChar w:fldCharType="separate"/>
      </w:r>
      <w:r>
        <w:t>14</w:t>
      </w:r>
      <w:r>
        <w:fldChar w:fldCharType="end"/>
      </w:r>
      <w:r>
        <w:t xml:space="preserve">; see also </w:t>
      </w:r>
      <w:r w:rsidRPr="00666661">
        <w:rPr>
          <w:rFonts w:cstheme="minorHAnsi"/>
        </w:rPr>
        <w:t xml:space="preserve">VA </w:t>
      </w:r>
      <w:proofErr w:type="spellStart"/>
      <w:r w:rsidRPr="00666661">
        <w:rPr>
          <w:rFonts w:cstheme="minorHAnsi"/>
        </w:rPr>
        <w:t>Hiday</w:t>
      </w:r>
      <w:proofErr w:type="spellEnd"/>
      <w:r w:rsidRPr="00666661">
        <w:rPr>
          <w:rFonts w:cstheme="minorHAnsi"/>
        </w:rPr>
        <w:t xml:space="preserve">, ‘The Social Context of Mental Illness and Violence’ (1995) 36(2) </w:t>
      </w:r>
      <w:r>
        <w:rPr>
          <w:rFonts w:cstheme="minorHAnsi"/>
        </w:rPr>
        <w:t xml:space="preserve">J Health </w:t>
      </w:r>
      <w:proofErr w:type="spellStart"/>
      <w:r>
        <w:rPr>
          <w:rFonts w:cstheme="minorHAnsi"/>
        </w:rPr>
        <w:t>Soc</w:t>
      </w:r>
      <w:proofErr w:type="spellEnd"/>
      <w:r>
        <w:rPr>
          <w:rFonts w:cstheme="minorHAnsi"/>
        </w:rPr>
        <w:t xml:space="preserve"> </w:t>
      </w:r>
      <w:proofErr w:type="spellStart"/>
      <w:r>
        <w:rPr>
          <w:rFonts w:cstheme="minorHAnsi"/>
        </w:rPr>
        <w:t>Behav</w:t>
      </w:r>
      <w:proofErr w:type="spellEnd"/>
      <w:r w:rsidRPr="00666661">
        <w:rPr>
          <w:rFonts w:cstheme="minorHAnsi"/>
        </w:rPr>
        <w:t xml:space="preserve"> 122; N Rose, ‘Governing Risky Individuals: the Role of Psychiatry in New Regimes of Control’ (1999) 5(2) </w:t>
      </w:r>
      <w:proofErr w:type="spellStart"/>
      <w:r w:rsidRPr="002A7243">
        <w:rPr>
          <w:rFonts w:cstheme="minorHAnsi"/>
        </w:rPr>
        <w:t>Psychiat</w:t>
      </w:r>
      <w:proofErr w:type="spellEnd"/>
      <w:r w:rsidRPr="002A7243">
        <w:rPr>
          <w:rFonts w:cstheme="minorHAnsi"/>
        </w:rPr>
        <w:t xml:space="preserve"> </w:t>
      </w:r>
      <w:proofErr w:type="spellStart"/>
      <w:r w:rsidRPr="002A7243">
        <w:rPr>
          <w:rFonts w:cstheme="minorHAnsi"/>
        </w:rPr>
        <w:t>Psychol</w:t>
      </w:r>
      <w:proofErr w:type="spellEnd"/>
      <w:r w:rsidRPr="002A7243">
        <w:rPr>
          <w:rFonts w:cstheme="minorHAnsi"/>
        </w:rPr>
        <w:t xml:space="preserve"> </w:t>
      </w:r>
      <w:r>
        <w:rPr>
          <w:rFonts w:cstheme="minorHAnsi"/>
        </w:rPr>
        <w:t>&amp;</w:t>
      </w:r>
      <w:r w:rsidRPr="002A7243">
        <w:rPr>
          <w:rFonts w:cstheme="minorHAnsi"/>
        </w:rPr>
        <w:t xml:space="preserve"> L</w:t>
      </w:r>
      <w:r>
        <w:rPr>
          <w:rFonts w:cstheme="minorHAnsi"/>
        </w:rPr>
        <w:t xml:space="preserve"> 177</w:t>
      </w:r>
      <w:r w:rsidRPr="00666661">
        <w:rPr>
          <w:rFonts w:cstheme="minorHAnsi"/>
        </w:rPr>
        <w:t>.</w:t>
      </w:r>
    </w:p>
  </w:footnote>
  <w:footnote w:id="129">
    <w:p w:rsidR="00A72CC3" w:rsidRPr="00156107" w:rsidRDefault="00A72CC3" w:rsidP="0052155C">
      <w:pPr>
        <w:pStyle w:val="FootnoteText"/>
        <w:spacing w:after="240" w:line="360" w:lineRule="auto"/>
        <w:jc w:val="both"/>
      </w:pPr>
      <w:r>
        <w:rPr>
          <w:rStyle w:val="FootnoteReference"/>
        </w:rPr>
        <w:footnoteRef/>
      </w:r>
      <w:r>
        <w:t xml:space="preserve"> Department of Health, </w:t>
      </w:r>
      <w:r>
        <w:rPr>
          <w:i/>
        </w:rPr>
        <w:t>Best Practice in Managing Risk: Principles and Evidence for Best Practice in the Assessment and Management of Risk to Self and Others in Mental Health Services</w:t>
      </w:r>
      <w:r>
        <w:t>, June 2007, at Appendix 2.</w:t>
      </w:r>
    </w:p>
  </w:footnote>
  <w:footnote w:id="130">
    <w:p w:rsidR="00A72CC3" w:rsidRPr="00DD4133" w:rsidRDefault="00A72CC3" w:rsidP="0052155C">
      <w:pPr>
        <w:pStyle w:val="FootnoteText"/>
        <w:spacing w:after="240" w:line="360" w:lineRule="auto"/>
        <w:jc w:val="both"/>
        <w:rPr>
          <w:i/>
        </w:rPr>
      </w:pPr>
      <w:r>
        <w:rPr>
          <w:rStyle w:val="FootnoteReference"/>
        </w:rPr>
        <w:footnoteRef/>
      </w:r>
      <w:r>
        <w:t xml:space="preserve"> </w:t>
      </w:r>
      <w:r w:rsidRPr="00312E2E">
        <w:rPr>
          <w:i/>
        </w:rPr>
        <w:t>ibid</w:t>
      </w:r>
      <w:r>
        <w:rPr>
          <w:i/>
        </w:rPr>
        <w:t>.</w:t>
      </w:r>
    </w:p>
  </w:footnote>
  <w:footnote w:id="131">
    <w:p w:rsidR="00A72CC3" w:rsidRDefault="00A72CC3" w:rsidP="0052155C">
      <w:pPr>
        <w:pStyle w:val="FootnoteText"/>
        <w:spacing w:after="240" w:line="360" w:lineRule="auto"/>
        <w:jc w:val="both"/>
      </w:pPr>
      <w:r>
        <w:rPr>
          <w:rStyle w:val="FootnoteReference"/>
        </w:rPr>
        <w:footnoteRef/>
      </w:r>
      <w:r>
        <w:t xml:space="preserve"> </w:t>
      </w:r>
      <w:proofErr w:type="gramStart"/>
      <w:r>
        <w:t>Department of Health, n.</w:t>
      </w:r>
      <w:proofErr w:type="gramEnd"/>
      <w:r>
        <w:fldChar w:fldCharType="begin"/>
      </w:r>
      <w:r>
        <w:instrText xml:space="preserve"> NOTEREF _Ref449461921 \h </w:instrText>
      </w:r>
      <w:r>
        <w:fldChar w:fldCharType="separate"/>
      </w:r>
      <w:proofErr w:type="gramStart"/>
      <w:r>
        <w:t>16</w:t>
      </w:r>
      <w:r>
        <w:fldChar w:fldCharType="end"/>
      </w:r>
      <w:r>
        <w:t>, [13.51].</w:t>
      </w:r>
      <w:proofErr w:type="gramEnd"/>
    </w:p>
  </w:footnote>
  <w:footnote w:id="132">
    <w:p w:rsidR="00A72CC3" w:rsidRPr="0083510F" w:rsidRDefault="00A72CC3" w:rsidP="0052155C">
      <w:pPr>
        <w:pStyle w:val="FootnoteText"/>
        <w:spacing w:after="240" w:line="360" w:lineRule="auto"/>
        <w:jc w:val="both"/>
      </w:pPr>
      <w:r>
        <w:rPr>
          <w:rStyle w:val="FootnoteReference"/>
        </w:rPr>
        <w:footnoteRef/>
      </w:r>
      <w:r>
        <w:t xml:space="preserve"> </w:t>
      </w:r>
      <w:proofErr w:type="gramStart"/>
      <w:r>
        <w:t xml:space="preserve">M </w:t>
      </w:r>
      <w:proofErr w:type="spellStart"/>
      <w:r>
        <w:t>McKillop</w:t>
      </w:r>
      <w:proofErr w:type="spellEnd"/>
      <w:r>
        <w:t xml:space="preserve"> </w:t>
      </w:r>
      <w:r>
        <w:rPr>
          <w:i/>
        </w:rPr>
        <w:t xml:space="preserve">et al, </w:t>
      </w:r>
      <w:r>
        <w:t>‘The Concept of Objection under the DOLS Regime’ (2011) JMHL</w:t>
      </w:r>
      <w:r>
        <w:rPr>
          <w:i/>
        </w:rPr>
        <w:t xml:space="preserve"> </w:t>
      </w:r>
      <w:r>
        <w:t>61, 61.</w:t>
      </w:r>
      <w:proofErr w:type="gramEnd"/>
    </w:p>
  </w:footnote>
  <w:footnote w:id="133">
    <w:p w:rsidR="00A72CC3" w:rsidRPr="00CE40F2" w:rsidRDefault="00A72CC3" w:rsidP="0052155C">
      <w:pPr>
        <w:pStyle w:val="FootnoteText"/>
        <w:spacing w:after="240" w:line="360" w:lineRule="auto"/>
        <w:jc w:val="both"/>
      </w:pPr>
      <w:r>
        <w:rPr>
          <w:rStyle w:val="FootnoteReference"/>
        </w:rPr>
        <w:footnoteRef/>
      </w:r>
      <w:r>
        <w:t xml:space="preserve"> </w:t>
      </w:r>
      <w:proofErr w:type="gramStart"/>
      <w:r w:rsidRPr="00312E2E">
        <w:rPr>
          <w:i/>
        </w:rPr>
        <w:t>ibid</w:t>
      </w:r>
      <w:r>
        <w:rPr>
          <w:i/>
        </w:rPr>
        <w:t xml:space="preserve">, </w:t>
      </w:r>
      <w:r>
        <w:t>68.</w:t>
      </w:r>
      <w:proofErr w:type="gramEnd"/>
    </w:p>
  </w:footnote>
  <w:footnote w:id="134">
    <w:p w:rsidR="00A72CC3" w:rsidRPr="00050254" w:rsidRDefault="00A72CC3" w:rsidP="0052155C">
      <w:pPr>
        <w:pStyle w:val="FootnoteText"/>
        <w:spacing w:after="240" w:line="360" w:lineRule="auto"/>
        <w:jc w:val="both"/>
      </w:pPr>
      <w:r>
        <w:rPr>
          <w:rStyle w:val="FootnoteReference"/>
        </w:rPr>
        <w:footnoteRef/>
      </w:r>
      <w:r>
        <w:t xml:space="preserve"> GS Owen </w:t>
      </w:r>
      <w:r>
        <w:rPr>
          <w:i/>
        </w:rPr>
        <w:t xml:space="preserve">et al, </w:t>
      </w:r>
      <w:r>
        <w:t xml:space="preserve">‘Mental Capacity and Psychiatric In-patients: Implications for the New Mental Health Law in England and Wales’ (2009) 195 Brit J </w:t>
      </w:r>
      <w:proofErr w:type="spellStart"/>
      <w:r>
        <w:t>Psychiat</w:t>
      </w:r>
      <w:proofErr w:type="spellEnd"/>
      <w:r>
        <w:rPr>
          <w:i/>
        </w:rPr>
        <w:t xml:space="preserve"> </w:t>
      </w:r>
      <w:r>
        <w:t>257, 261.</w:t>
      </w:r>
    </w:p>
  </w:footnote>
  <w:footnote w:id="135">
    <w:p w:rsidR="00A72CC3" w:rsidRPr="00B97BA9" w:rsidRDefault="00A72CC3" w:rsidP="0052155C">
      <w:pPr>
        <w:pStyle w:val="FootnoteText"/>
        <w:spacing w:after="240" w:line="360" w:lineRule="auto"/>
        <w:jc w:val="both"/>
      </w:pPr>
      <w:r>
        <w:rPr>
          <w:rStyle w:val="FootnoteReference"/>
        </w:rPr>
        <w:footnoteRef/>
      </w:r>
      <w:r>
        <w:t xml:space="preserve"> G Richardson, ‘Mental Capacity at the Margin: The Interface between Two Acts’ (2010) 18(1) Med L Rev</w:t>
      </w:r>
      <w:r>
        <w:rPr>
          <w:i/>
        </w:rPr>
        <w:t xml:space="preserve"> </w:t>
      </w:r>
      <w:r>
        <w:t>56, 73.</w:t>
      </w:r>
    </w:p>
  </w:footnote>
  <w:footnote w:id="136">
    <w:p w:rsidR="00A72CC3" w:rsidRPr="002471AD" w:rsidRDefault="00A72CC3" w:rsidP="0052155C">
      <w:pPr>
        <w:pStyle w:val="FootnoteText"/>
        <w:spacing w:after="240" w:line="360" w:lineRule="auto"/>
        <w:jc w:val="both"/>
        <w:rPr>
          <w:i/>
        </w:rPr>
      </w:pPr>
      <w:r>
        <w:rPr>
          <w:rStyle w:val="FootnoteReference"/>
        </w:rPr>
        <w:footnoteRef/>
      </w:r>
      <w:r>
        <w:t xml:space="preserve"> </w:t>
      </w:r>
      <w:r w:rsidRPr="00312E2E">
        <w:rPr>
          <w:i/>
        </w:rPr>
        <w:t>ibid</w:t>
      </w:r>
      <w:r>
        <w:rPr>
          <w:i/>
        </w:rPr>
        <w:t>.</w:t>
      </w:r>
    </w:p>
  </w:footnote>
  <w:footnote w:id="137">
    <w:p w:rsidR="00A72CC3" w:rsidRPr="00914F09" w:rsidRDefault="00A72CC3" w:rsidP="0052155C">
      <w:pPr>
        <w:pStyle w:val="FootnoteText"/>
        <w:spacing w:after="240" w:line="360" w:lineRule="auto"/>
        <w:jc w:val="both"/>
      </w:pPr>
      <w:r>
        <w:rPr>
          <w:rStyle w:val="FootnoteReference"/>
        </w:rPr>
        <w:footnoteRef/>
      </w:r>
      <w:r>
        <w:t xml:space="preserve"> N Brindle and T </w:t>
      </w:r>
      <w:proofErr w:type="spellStart"/>
      <w:r>
        <w:t>Branton</w:t>
      </w:r>
      <w:proofErr w:type="spellEnd"/>
      <w:r>
        <w:t xml:space="preserve">, ‘Interface between the Mental Health Act and Mental Capacity Act: Deprivation of Liberty Safeguards’ (2010) 16 </w:t>
      </w:r>
      <w:proofErr w:type="spellStart"/>
      <w:r>
        <w:t>Adv</w:t>
      </w:r>
      <w:proofErr w:type="spellEnd"/>
      <w:r>
        <w:t xml:space="preserve"> </w:t>
      </w:r>
      <w:proofErr w:type="spellStart"/>
      <w:r>
        <w:t>Psychiatr</w:t>
      </w:r>
      <w:proofErr w:type="spellEnd"/>
      <w:r>
        <w:t xml:space="preserve"> Treat, 430, 436; c.f., A Shah and C </w:t>
      </w:r>
      <w:proofErr w:type="spellStart"/>
      <w:r>
        <w:t>Heginbotham</w:t>
      </w:r>
      <w:proofErr w:type="spellEnd"/>
      <w:r>
        <w:t xml:space="preserve">, ‘Newly Introduced Deprivation of Liberty Safeguards: Anomalies and Concerns’ (2010) 34(6) </w:t>
      </w:r>
      <w:proofErr w:type="gramStart"/>
      <w:r w:rsidRPr="004156EC">
        <w:t>The</w:t>
      </w:r>
      <w:proofErr w:type="gramEnd"/>
      <w:r w:rsidRPr="004156EC">
        <w:t xml:space="preserve"> Psychiatrist</w:t>
      </w:r>
      <w:r>
        <w:rPr>
          <w:i/>
        </w:rPr>
        <w:t xml:space="preserve"> </w:t>
      </w:r>
      <w:r>
        <w:t>243.</w:t>
      </w:r>
    </w:p>
  </w:footnote>
  <w:footnote w:id="138">
    <w:p w:rsidR="00A72CC3" w:rsidRPr="00294AE2" w:rsidRDefault="00A72CC3" w:rsidP="0052155C">
      <w:pPr>
        <w:pStyle w:val="FootnoteText"/>
        <w:spacing w:after="240" w:line="360" w:lineRule="auto"/>
        <w:jc w:val="both"/>
      </w:pPr>
      <w:r>
        <w:rPr>
          <w:rStyle w:val="FootnoteReference"/>
        </w:rPr>
        <w:footnoteRef/>
      </w:r>
      <w:r>
        <w:t xml:space="preserve"> DP </w:t>
      </w:r>
      <w:proofErr w:type="spellStart"/>
      <w:r>
        <w:t>Herlihy</w:t>
      </w:r>
      <w:proofErr w:type="spellEnd"/>
      <w:r>
        <w:t xml:space="preserve"> and F Holloway, ‘</w:t>
      </w:r>
      <w:proofErr w:type="gramStart"/>
      <w:r>
        <w:t>The</w:t>
      </w:r>
      <w:proofErr w:type="gramEnd"/>
      <w:r>
        <w:t xml:space="preserve"> Mental Health Act and the Mental Capacity Act: Untangling the Relationship’ (2008) 8(12) </w:t>
      </w:r>
      <w:r w:rsidRPr="004156EC">
        <w:t>Psychiatry</w:t>
      </w:r>
      <w:r>
        <w:rPr>
          <w:i/>
        </w:rPr>
        <w:t xml:space="preserve"> </w:t>
      </w:r>
      <w:r>
        <w:t>478, 480.</w:t>
      </w:r>
    </w:p>
  </w:footnote>
  <w:footnote w:id="139">
    <w:p w:rsidR="00A72CC3" w:rsidRPr="002C1C81" w:rsidRDefault="00A72CC3" w:rsidP="0052155C">
      <w:pPr>
        <w:pStyle w:val="FootnoteText"/>
        <w:spacing w:after="240" w:line="360" w:lineRule="auto"/>
        <w:jc w:val="both"/>
      </w:pPr>
      <w:r>
        <w:rPr>
          <w:rStyle w:val="FootnoteReference"/>
        </w:rPr>
        <w:footnoteRef/>
      </w:r>
      <w:r>
        <w:t xml:space="preserve"> N Allen, ‘The </w:t>
      </w:r>
      <w:proofErr w:type="spellStart"/>
      <w:r>
        <w:rPr>
          <w:i/>
        </w:rPr>
        <w:t>Bournewood</w:t>
      </w:r>
      <w:proofErr w:type="spellEnd"/>
      <w:r>
        <w:rPr>
          <w:i/>
        </w:rPr>
        <w:t xml:space="preserve"> </w:t>
      </w:r>
      <w:r>
        <w:t xml:space="preserve">Gap (as Amended?): </w:t>
      </w:r>
      <w:r>
        <w:rPr>
          <w:i/>
        </w:rPr>
        <w:t xml:space="preserve">GJ v Foundation Trust, Primary Care Trust, Secretary of State for Health’ </w:t>
      </w:r>
      <w:r>
        <w:t>(2010) 18(1) Med L Rev</w:t>
      </w:r>
      <w:r>
        <w:rPr>
          <w:i/>
        </w:rPr>
        <w:t xml:space="preserve"> </w:t>
      </w:r>
      <w:r>
        <w:t>78, 84.</w:t>
      </w:r>
    </w:p>
  </w:footnote>
  <w:footnote w:id="140">
    <w:p w:rsidR="00A72CC3" w:rsidRDefault="00A72CC3" w:rsidP="003F1ABC">
      <w:pPr>
        <w:pStyle w:val="FootnoteText"/>
        <w:spacing w:after="240" w:line="360" w:lineRule="auto"/>
        <w:jc w:val="both"/>
      </w:pPr>
      <w:r>
        <w:rPr>
          <w:rStyle w:val="FootnoteReference"/>
        </w:rPr>
        <w:footnoteRef/>
      </w:r>
      <w:r>
        <w:t xml:space="preserve"> </w:t>
      </w:r>
      <w:proofErr w:type="gramStart"/>
      <w:r>
        <w:t xml:space="preserve">HM Government, </w:t>
      </w:r>
      <w:r w:rsidRPr="000D2CAE">
        <w:rPr>
          <w:i/>
        </w:rPr>
        <w:t>‘Department of Health Response to the Law Commission’s Consultation on Mental Capacity and Deprivation of Liberty’</w:t>
      </w:r>
      <w:r>
        <w:t>, 11 December 2015.</w:t>
      </w:r>
      <w:proofErr w:type="gramEnd"/>
      <w:r>
        <w:t xml:space="preserve"> &lt;</w:t>
      </w:r>
      <w:hyperlink r:id="rId3" w:history="1">
        <w:r w:rsidRPr="007C18BB">
          <w:rPr>
            <w:rStyle w:val="Hyperlink"/>
          </w:rPr>
          <w:t>https://www.gov.uk/government/publications/deprivation-of-liberty-standards-dols-consultation-response/department-of-health-response-to-the-law-commissions-consultation-on-mental-capacity-and-deprivation-of-liberty</w:t>
        </w:r>
      </w:hyperlink>
      <w:r>
        <w:rPr>
          <w:rStyle w:val="Hyperlink"/>
        </w:rPr>
        <w:t>&gt;</w:t>
      </w:r>
      <w:r>
        <w:t xml:space="preserve"> Accessed: 7 April 2016.</w:t>
      </w:r>
    </w:p>
  </w:footnote>
  <w:footnote w:id="141">
    <w:p w:rsidR="00A72CC3" w:rsidRPr="003C0EF7" w:rsidRDefault="00A72CC3" w:rsidP="0052155C">
      <w:pPr>
        <w:pStyle w:val="FootnoteText"/>
        <w:spacing w:after="240" w:line="360" w:lineRule="auto"/>
        <w:jc w:val="both"/>
      </w:pPr>
      <w:r w:rsidRPr="003C0EF7">
        <w:rPr>
          <w:rStyle w:val="FootnoteReference"/>
        </w:rPr>
        <w:footnoteRef/>
      </w:r>
      <w:r>
        <w:t xml:space="preserve"> Although</w:t>
      </w:r>
      <w:r w:rsidRPr="003C0EF7">
        <w:t xml:space="preserve"> </w:t>
      </w:r>
      <w:r>
        <w:t>see</w:t>
      </w:r>
      <w:r w:rsidRPr="003C0EF7">
        <w:t xml:space="preserve"> </w:t>
      </w:r>
      <w:r w:rsidRPr="003C0EF7">
        <w:rPr>
          <w:i/>
        </w:rPr>
        <w:t xml:space="preserve">W v </w:t>
      </w:r>
      <w:proofErr w:type="spellStart"/>
      <w:r w:rsidRPr="003C0EF7">
        <w:rPr>
          <w:i/>
        </w:rPr>
        <w:t>Eg</w:t>
      </w:r>
      <w:bookmarkStart w:id="36" w:name="Egdell3"/>
      <w:bookmarkEnd w:id="36"/>
      <w:r w:rsidRPr="003C0EF7">
        <w:rPr>
          <w:i/>
        </w:rPr>
        <w:t>dell</w:t>
      </w:r>
      <w:proofErr w:type="spellEnd"/>
      <w:r w:rsidRPr="003C0EF7">
        <w:t xml:space="preserve"> [1990] </w:t>
      </w:r>
      <w:proofErr w:type="spellStart"/>
      <w:r w:rsidRPr="003C0EF7">
        <w:t>Ch</w:t>
      </w:r>
      <w:proofErr w:type="spellEnd"/>
      <w:r w:rsidRPr="003C0EF7">
        <w:t xml:space="preserve"> 359 (CA),</w:t>
      </w:r>
      <w:r>
        <w:t xml:space="preserve"> which suggests that where there is such a conflict of risk then the public’s interest in safety will outweigh the patient’s interests.</w:t>
      </w:r>
    </w:p>
  </w:footnote>
  <w:footnote w:id="142">
    <w:p w:rsidR="00A72CC3" w:rsidRPr="00644DA6" w:rsidRDefault="00A72CC3" w:rsidP="0052155C">
      <w:pPr>
        <w:pStyle w:val="FootnoteText"/>
        <w:spacing w:after="240" w:line="360" w:lineRule="auto"/>
        <w:jc w:val="both"/>
      </w:pPr>
      <w:r w:rsidRPr="00644DA6">
        <w:rPr>
          <w:rStyle w:val="FootnoteReference"/>
        </w:rPr>
        <w:footnoteRef/>
      </w:r>
      <w:r w:rsidRPr="00644DA6">
        <w:t xml:space="preserve"> It is noteworthy that </w:t>
      </w:r>
      <w:r>
        <w:t>an</w:t>
      </w:r>
      <w:r w:rsidRPr="00644DA6">
        <w:t xml:space="preserve"> expert committee appointed by the Department of Health in 1998 suggested that any new mental health law would </w:t>
      </w:r>
      <w:r>
        <w:t>‘</w:t>
      </w:r>
      <w:r w:rsidRPr="00644DA6">
        <w:t>need to define [its] key concepts</w:t>
      </w:r>
      <w:r>
        <w:t>’</w:t>
      </w:r>
      <w:r w:rsidRPr="00644DA6">
        <w:t xml:space="preserve"> and </w:t>
      </w:r>
      <w:r>
        <w:t>‘</w:t>
      </w:r>
      <w:r w:rsidRPr="00644DA6">
        <w:t>indicate the nature of risk assessment required</w:t>
      </w:r>
      <w:r>
        <w:t>’</w:t>
      </w:r>
      <w:r w:rsidRPr="00644DA6">
        <w:t>.</w:t>
      </w:r>
      <w:r>
        <w:t xml:space="preserve"> </w:t>
      </w:r>
      <w:r w:rsidRPr="00644DA6">
        <w:t xml:space="preserve">See </w:t>
      </w:r>
      <w:r w:rsidRPr="00644DA6">
        <w:rPr>
          <w:rFonts w:cstheme="minorHAnsi"/>
        </w:rPr>
        <w:t xml:space="preserve">Department of Health, </w:t>
      </w:r>
      <w:r w:rsidRPr="00644DA6">
        <w:rPr>
          <w:rFonts w:cstheme="minorHAnsi"/>
          <w:i/>
        </w:rPr>
        <w:t>Report of the Expert Committee: Review of the Mental Health Act 1983</w:t>
      </w:r>
      <w:r w:rsidRPr="00644DA6">
        <w:rPr>
          <w:rFonts w:cstheme="minorHAnsi"/>
        </w:rPr>
        <w:t>, November 1999, [5.103].</w:t>
      </w:r>
    </w:p>
  </w:footnote>
  <w:footnote w:id="143">
    <w:p w:rsidR="00A72CC3" w:rsidRDefault="00A72CC3" w:rsidP="0052155C">
      <w:pPr>
        <w:pStyle w:val="FootnoteText"/>
        <w:spacing w:after="240" w:line="360" w:lineRule="auto"/>
        <w:jc w:val="both"/>
      </w:pPr>
      <w:r>
        <w:rPr>
          <w:rStyle w:val="FootnoteReference"/>
        </w:rPr>
        <w:footnoteRef/>
      </w:r>
      <w:r>
        <w:t xml:space="preserve"> CRPD, Article 5(1).</w:t>
      </w:r>
    </w:p>
  </w:footnote>
  <w:footnote w:id="144">
    <w:p w:rsidR="00A72CC3" w:rsidRPr="00FB5484" w:rsidRDefault="00A72CC3" w:rsidP="0052155C">
      <w:pPr>
        <w:pStyle w:val="FootnoteText"/>
        <w:spacing w:after="240" w:line="360" w:lineRule="auto"/>
        <w:jc w:val="both"/>
      </w:pPr>
      <w:r>
        <w:rPr>
          <w:rStyle w:val="FootnoteReference"/>
        </w:rPr>
        <w:footnoteRef/>
      </w:r>
      <w:r>
        <w:t xml:space="preserve"> </w:t>
      </w:r>
      <w:proofErr w:type="gramStart"/>
      <w:r>
        <w:t xml:space="preserve">Bartlett, n </w:t>
      </w:r>
      <w:r>
        <w:fldChar w:fldCharType="begin"/>
      </w:r>
      <w:r>
        <w:instrText xml:space="preserve"> NOTEREF _Ref448846435 \h </w:instrText>
      </w:r>
      <w:r>
        <w:fldChar w:fldCharType="separate"/>
      </w:r>
      <w:r>
        <w:t>9</w:t>
      </w:r>
      <w:r>
        <w:fldChar w:fldCharType="end"/>
      </w:r>
      <w:r>
        <w:t>, 754.</w:t>
      </w:r>
      <w:proofErr w:type="gramEnd"/>
    </w:p>
  </w:footnote>
  <w:footnote w:id="145">
    <w:p w:rsidR="00A72CC3" w:rsidRDefault="00A72CC3" w:rsidP="0052155C">
      <w:pPr>
        <w:pStyle w:val="FootnoteText"/>
        <w:spacing w:after="240" w:line="360" w:lineRule="auto"/>
        <w:jc w:val="both"/>
      </w:pPr>
      <w:r>
        <w:rPr>
          <w:rStyle w:val="FootnoteReference"/>
        </w:rPr>
        <w:footnoteRef/>
      </w:r>
      <w:r>
        <w:t xml:space="preserve"> CRPD, Article 4(1</w:t>
      </w:r>
      <w:proofErr w:type="gramStart"/>
      <w:r>
        <w:t>)(</w:t>
      </w:r>
      <w:proofErr w:type="gramEnd"/>
      <w:r>
        <w:t>b). Article 1 of the CRPD says ‘</w:t>
      </w:r>
      <w:proofErr w:type="gramStart"/>
      <w:r>
        <w:t>persons with disabilities’ includes</w:t>
      </w:r>
      <w:proofErr w:type="gramEnd"/>
      <w:r>
        <w:t xml:space="preserve"> those who have long-term physical, mental, intellectual or sensory impairments.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C3" w:rsidRDefault="00A72CC3">
    <w:pPr>
      <w:pStyle w:val="Header"/>
    </w:pPr>
    <w:r>
      <w:t>Medical Law Review</w:t>
    </w:r>
    <w:r>
      <w:tab/>
    </w:r>
    <w:r>
      <w:tab/>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6EB"/>
    <w:multiLevelType w:val="hybridMultilevel"/>
    <w:tmpl w:val="101452CA"/>
    <w:lvl w:ilvl="0" w:tplc="1236E670">
      <w:start w:val="1"/>
      <w:numFmt w:val="upperLetter"/>
      <w:lvlText w:val="%1."/>
      <w:lvlJc w:val="left"/>
      <w:pPr>
        <w:ind w:left="720" w:hanging="360"/>
      </w:pPr>
      <w:rPr>
        <w:rFonts w:asciiTheme="majorHAnsi" w:hAnsiTheme="majorHAnsi"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FA54BC"/>
    <w:multiLevelType w:val="hybridMultilevel"/>
    <w:tmpl w:val="A6020FF0"/>
    <w:lvl w:ilvl="0" w:tplc="CB621046">
      <w:start w:val="1"/>
      <w:numFmt w:val="upperLetter"/>
      <w:lvlText w:val="%1."/>
      <w:lvlJc w:val="left"/>
      <w:pPr>
        <w:ind w:left="720" w:hanging="360"/>
      </w:pPr>
      <w:rPr>
        <w:rFonts w:asciiTheme="majorHAnsi" w:hAnsi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8B72A1"/>
    <w:multiLevelType w:val="hybridMultilevel"/>
    <w:tmpl w:val="A6A20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731333"/>
    <w:multiLevelType w:val="hybridMultilevel"/>
    <w:tmpl w:val="1B284C58"/>
    <w:lvl w:ilvl="0" w:tplc="584242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ED"/>
    <w:rsid w:val="00000D10"/>
    <w:rsid w:val="000017C4"/>
    <w:rsid w:val="0000303F"/>
    <w:rsid w:val="0000409E"/>
    <w:rsid w:val="00005BCA"/>
    <w:rsid w:val="00007096"/>
    <w:rsid w:val="00010796"/>
    <w:rsid w:val="00013C49"/>
    <w:rsid w:val="0001402A"/>
    <w:rsid w:val="00015ED7"/>
    <w:rsid w:val="00015F4B"/>
    <w:rsid w:val="00016C15"/>
    <w:rsid w:val="000179E8"/>
    <w:rsid w:val="00017B8A"/>
    <w:rsid w:val="000207E8"/>
    <w:rsid w:val="00020ADA"/>
    <w:rsid w:val="00020F6A"/>
    <w:rsid w:val="00022977"/>
    <w:rsid w:val="00022CDD"/>
    <w:rsid w:val="0002481E"/>
    <w:rsid w:val="000251E5"/>
    <w:rsid w:val="00026616"/>
    <w:rsid w:val="000270F3"/>
    <w:rsid w:val="00027115"/>
    <w:rsid w:val="000276B5"/>
    <w:rsid w:val="00027B12"/>
    <w:rsid w:val="000317CA"/>
    <w:rsid w:val="00032B9E"/>
    <w:rsid w:val="00033469"/>
    <w:rsid w:val="000340CE"/>
    <w:rsid w:val="0003685E"/>
    <w:rsid w:val="000372AE"/>
    <w:rsid w:val="000373DD"/>
    <w:rsid w:val="00037C03"/>
    <w:rsid w:val="00040710"/>
    <w:rsid w:val="000413E3"/>
    <w:rsid w:val="000415D9"/>
    <w:rsid w:val="00043132"/>
    <w:rsid w:val="000431B0"/>
    <w:rsid w:val="00044B12"/>
    <w:rsid w:val="00045D4A"/>
    <w:rsid w:val="00046987"/>
    <w:rsid w:val="00050A79"/>
    <w:rsid w:val="00051058"/>
    <w:rsid w:val="000511F5"/>
    <w:rsid w:val="000515FB"/>
    <w:rsid w:val="000536A3"/>
    <w:rsid w:val="000546F7"/>
    <w:rsid w:val="00055423"/>
    <w:rsid w:val="000570A2"/>
    <w:rsid w:val="000575A5"/>
    <w:rsid w:val="0006025F"/>
    <w:rsid w:val="000606DD"/>
    <w:rsid w:val="0006513B"/>
    <w:rsid w:val="0006799A"/>
    <w:rsid w:val="00070106"/>
    <w:rsid w:val="00070D17"/>
    <w:rsid w:val="00070D75"/>
    <w:rsid w:val="000730A2"/>
    <w:rsid w:val="00074E84"/>
    <w:rsid w:val="00075172"/>
    <w:rsid w:val="0007542C"/>
    <w:rsid w:val="00077146"/>
    <w:rsid w:val="000772B7"/>
    <w:rsid w:val="00077F1E"/>
    <w:rsid w:val="000824BB"/>
    <w:rsid w:val="00082DCF"/>
    <w:rsid w:val="00082EBC"/>
    <w:rsid w:val="00083248"/>
    <w:rsid w:val="0008455F"/>
    <w:rsid w:val="000856EB"/>
    <w:rsid w:val="00086F7B"/>
    <w:rsid w:val="0009021A"/>
    <w:rsid w:val="000908B4"/>
    <w:rsid w:val="00090BD1"/>
    <w:rsid w:val="00091506"/>
    <w:rsid w:val="000918FA"/>
    <w:rsid w:val="00092067"/>
    <w:rsid w:val="0009598F"/>
    <w:rsid w:val="00096ED9"/>
    <w:rsid w:val="00097644"/>
    <w:rsid w:val="000978F2"/>
    <w:rsid w:val="000A2A23"/>
    <w:rsid w:val="000A343E"/>
    <w:rsid w:val="000A3C8D"/>
    <w:rsid w:val="000A5C9D"/>
    <w:rsid w:val="000A6089"/>
    <w:rsid w:val="000B05B2"/>
    <w:rsid w:val="000B0837"/>
    <w:rsid w:val="000B13CD"/>
    <w:rsid w:val="000B1AE6"/>
    <w:rsid w:val="000B3122"/>
    <w:rsid w:val="000B3A36"/>
    <w:rsid w:val="000B437E"/>
    <w:rsid w:val="000B4A8F"/>
    <w:rsid w:val="000B4EA1"/>
    <w:rsid w:val="000B6238"/>
    <w:rsid w:val="000C02D6"/>
    <w:rsid w:val="000C0BD1"/>
    <w:rsid w:val="000C0C9A"/>
    <w:rsid w:val="000C1ADD"/>
    <w:rsid w:val="000C3A4E"/>
    <w:rsid w:val="000C3D2B"/>
    <w:rsid w:val="000C4131"/>
    <w:rsid w:val="000C466A"/>
    <w:rsid w:val="000C6BEB"/>
    <w:rsid w:val="000C7687"/>
    <w:rsid w:val="000C7D23"/>
    <w:rsid w:val="000D071F"/>
    <w:rsid w:val="000D0BFE"/>
    <w:rsid w:val="000D2CAE"/>
    <w:rsid w:val="000D6CC6"/>
    <w:rsid w:val="000E0680"/>
    <w:rsid w:val="000E0B69"/>
    <w:rsid w:val="000E0E79"/>
    <w:rsid w:val="000E15FF"/>
    <w:rsid w:val="000E1679"/>
    <w:rsid w:val="000E1C2C"/>
    <w:rsid w:val="000E2417"/>
    <w:rsid w:val="000E266B"/>
    <w:rsid w:val="000E5A36"/>
    <w:rsid w:val="000E5C4E"/>
    <w:rsid w:val="000E683A"/>
    <w:rsid w:val="000E6C7B"/>
    <w:rsid w:val="000E6D9E"/>
    <w:rsid w:val="000E6F06"/>
    <w:rsid w:val="000F1AE7"/>
    <w:rsid w:val="000F1FD4"/>
    <w:rsid w:val="000F2C8B"/>
    <w:rsid w:val="000F2D08"/>
    <w:rsid w:val="000F347D"/>
    <w:rsid w:val="000F571E"/>
    <w:rsid w:val="000F59BB"/>
    <w:rsid w:val="000F6C0D"/>
    <w:rsid w:val="001005F5"/>
    <w:rsid w:val="00101090"/>
    <w:rsid w:val="00101D53"/>
    <w:rsid w:val="001020E1"/>
    <w:rsid w:val="001021D4"/>
    <w:rsid w:val="001030F3"/>
    <w:rsid w:val="0010499F"/>
    <w:rsid w:val="00104FB2"/>
    <w:rsid w:val="00106480"/>
    <w:rsid w:val="00107506"/>
    <w:rsid w:val="001077C2"/>
    <w:rsid w:val="001107BD"/>
    <w:rsid w:val="001125B2"/>
    <w:rsid w:val="0011277C"/>
    <w:rsid w:val="0011407F"/>
    <w:rsid w:val="001146C2"/>
    <w:rsid w:val="00115843"/>
    <w:rsid w:val="00120009"/>
    <w:rsid w:val="0012014F"/>
    <w:rsid w:val="00122185"/>
    <w:rsid w:val="001221D7"/>
    <w:rsid w:val="00123895"/>
    <w:rsid w:val="0012431E"/>
    <w:rsid w:val="0012664E"/>
    <w:rsid w:val="00130AB5"/>
    <w:rsid w:val="00132E1D"/>
    <w:rsid w:val="001333AF"/>
    <w:rsid w:val="0013399F"/>
    <w:rsid w:val="0013449D"/>
    <w:rsid w:val="0013551F"/>
    <w:rsid w:val="00135C40"/>
    <w:rsid w:val="00135E61"/>
    <w:rsid w:val="001362DA"/>
    <w:rsid w:val="0013647F"/>
    <w:rsid w:val="00136BCC"/>
    <w:rsid w:val="00137680"/>
    <w:rsid w:val="00140877"/>
    <w:rsid w:val="00140C37"/>
    <w:rsid w:val="00143424"/>
    <w:rsid w:val="001460F2"/>
    <w:rsid w:val="001461F7"/>
    <w:rsid w:val="0014635B"/>
    <w:rsid w:val="00146C65"/>
    <w:rsid w:val="0015049C"/>
    <w:rsid w:val="00151341"/>
    <w:rsid w:val="00151823"/>
    <w:rsid w:val="00151E1B"/>
    <w:rsid w:val="0015236C"/>
    <w:rsid w:val="00152EF8"/>
    <w:rsid w:val="00152FEA"/>
    <w:rsid w:val="0015671F"/>
    <w:rsid w:val="00156C4F"/>
    <w:rsid w:val="00157080"/>
    <w:rsid w:val="00161780"/>
    <w:rsid w:val="00161B57"/>
    <w:rsid w:val="00162393"/>
    <w:rsid w:val="001623C4"/>
    <w:rsid w:val="00163790"/>
    <w:rsid w:val="0016419F"/>
    <w:rsid w:val="001659AE"/>
    <w:rsid w:val="001663EA"/>
    <w:rsid w:val="001669F5"/>
    <w:rsid w:val="0017279C"/>
    <w:rsid w:val="00173552"/>
    <w:rsid w:val="00174CA1"/>
    <w:rsid w:val="00175948"/>
    <w:rsid w:val="00175AB9"/>
    <w:rsid w:val="00175FF9"/>
    <w:rsid w:val="0018056B"/>
    <w:rsid w:val="00180D90"/>
    <w:rsid w:val="001810F0"/>
    <w:rsid w:val="0018194B"/>
    <w:rsid w:val="00182225"/>
    <w:rsid w:val="0018434A"/>
    <w:rsid w:val="001850A1"/>
    <w:rsid w:val="00185165"/>
    <w:rsid w:val="00187917"/>
    <w:rsid w:val="00187E98"/>
    <w:rsid w:val="001912BA"/>
    <w:rsid w:val="001925FD"/>
    <w:rsid w:val="00192BC4"/>
    <w:rsid w:val="00197498"/>
    <w:rsid w:val="00197639"/>
    <w:rsid w:val="001A0D10"/>
    <w:rsid w:val="001A163D"/>
    <w:rsid w:val="001A27EB"/>
    <w:rsid w:val="001A2B73"/>
    <w:rsid w:val="001A32E8"/>
    <w:rsid w:val="001A63E8"/>
    <w:rsid w:val="001A7FDF"/>
    <w:rsid w:val="001B12D7"/>
    <w:rsid w:val="001B1C94"/>
    <w:rsid w:val="001B290E"/>
    <w:rsid w:val="001B3314"/>
    <w:rsid w:val="001B37A9"/>
    <w:rsid w:val="001B41A4"/>
    <w:rsid w:val="001B5D30"/>
    <w:rsid w:val="001C0740"/>
    <w:rsid w:val="001C078B"/>
    <w:rsid w:val="001C191A"/>
    <w:rsid w:val="001C3076"/>
    <w:rsid w:val="001C3B27"/>
    <w:rsid w:val="001C417E"/>
    <w:rsid w:val="001C47CE"/>
    <w:rsid w:val="001C5322"/>
    <w:rsid w:val="001C57FF"/>
    <w:rsid w:val="001C745B"/>
    <w:rsid w:val="001D0051"/>
    <w:rsid w:val="001D0630"/>
    <w:rsid w:val="001D1CB3"/>
    <w:rsid w:val="001D1F26"/>
    <w:rsid w:val="001D3581"/>
    <w:rsid w:val="001D7B5F"/>
    <w:rsid w:val="001E0075"/>
    <w:rsid w:val="001E060C"/>
    <w:rsid w:val="001E21CA"/>
    <w:rsid w:val="001E23A6"/>
    <w:rsid w:val="001E3A67"/>
    <w:rsid w:val="001E51EE"/>
    <w:rsid w:val="001E6358"/>
    <w:rsid w:val="001E6955"/>
    <w:rsid w:val="001F01F6"/>
    <w:rsid w:val="001F02CF"/>
    <w:rsid w:val="001F047D"/>
    <w:rsid w:val="001F0CEF"/>
    <w:rsid w:val="001F1860"/>
    <w:rsid w:val="001F257B"/>
    <w:rsid w:val="001F33B5"/>
    <w:rsid w:val="001F4419"/>
    <w:rsid w:val="001F478B"/>
    <w:rsid w:val="001F55AA"/>
    <w:rsid w:val="001F73AA"/>
    <w:rsid w:val="002006C0"/>
    <w:rsid w:val="0020099B"/>
    <w:rsid w:val="0020150C"/>
    <w:rsid w:val="002018AC"/>
    <w:rsid w:val="002023C2"/>
    <w:rsid w:val="0020356C"/>
    <w:rsid w:val="00203E5F"/>
    <w:rsid w:val="00203F47"/>
    <w:rsid w:val="002049BF"/>
    <w:rsid w:val="00204A83"/>
    <w:rsid w:val="00206832"/>
    <w:rsid w:val="00206DFB"/>
    <w:rsid w:val="002070DB"/>
    <w:rsid w:val="00211382"/>
    <w:rsid w:val="002117BA"/>
    <w:rsid w:val="002120D2"/>
    <w:rsid w:val="00213D16"/>
    <w:rsid w:val="00214235"/>
    <w:rsid w:val="00214310"/>
    <w:rsid w:val="002145A2"/>
    <w:rsid w:val="0021482C"/>
    <w:rsid w:val="002172F6"/>
    <w:rsid w:val="00217C4B"/>
    <w:rsid w:val="0022017A"/>
    <w:rsid w:val="002217D2"/>
    <w:rsid w:val="00221AC9"/>
    <w:rsid w:val="00222195"/>
    <w:rsid w:val="00222E27"/>
    <w:rsid w:val="0022395B"/>
    <w:rsid w:val="00225944"/>
    <w:rsid w:val="00225AB3"/>
    <w:rsid w:val="00225DA2"/>
    <w:rsid w:val="00226171"/>
    <w:rsid w:val="00227251"/>
    <w:rsid w:val="00230D79"/>
    <w:rsid w:val="002315D3"/>
    <w:rsid w:val="00231E68"/>
    <w:rsid w:val="00232257"/>
    <w:rsid w:val="0023474F"/>
    <w:rsid w:val="00235B9F"/>
    <w:rsid w:val="00236CF0"/>
    <w:rsid w:val="002378D8"/>
    <w:rsid w:val="00237C04"/>
    <w:rsid w:val="00237E81"/>
    <w:rsid w:val="002411D4"/>
    <w:rsid w:val="0024131C"/>
    <w:rsid w:val="00241B09"/>
    <w:rsid w:val="0024280E"/>
    <w:rsid w:val="00245161"/>
    <w:rsid w:val="00245EEE"/>
    <w:rsid w:val="0024608E"/>
    <w:rsid w:val="0024680B"/>
    <w:rsid w:val="0024703F"/>
    <w:rsid w:val="00253B84"/>
    <w:rsid w:val="002550B2"/>
    <w:rsid w:val="0025513A"/>
    <w:rsid w:val="002572B9"/>
    <w:rsid w:val="002606DD"/>
    <w:rsid w:val="00261159"/>
    <w:rsid w:val="00261237"/>
    <w:rsid w:val="002619D5"/>
    <w:rsid w:val="00261E9A"/>
    <w:rsid w:val="00262311"/>
    <w:rsid w:val="002642D2"/>
    <w:rsid w:val="0026547E"/>
    <w:rsid w:val="002664AA"/>
    <w:rsid w:val="00267B65"/>
    <w:rsid w:val="00267FE5"/>
    <w:rsid w:val="002703EC"/>
    <w:rsid w:val="00271790"/>
    <w:rsid w:val="00271814"/>
    <w:rsid w:val="00272830"/>
    <w:rsid w:val="002741B1"/>
    <w:rsid w:val="0027422A"/>
    <w:rsid w:val="0027492B"/>
    <w:rsid w:val="00274B99"/>
    <w:rsid w:val="0027513C"/>
    <w:rsid w:val="00275203"/>
    <w:rsid w:val="0027558B"/>
    <w:rsid w:val="002810F7"/>
    <w:rsid w:val="0028114B"/>
    <w:rsid w:val="00281696"/>
    <w:rsid w:val="002818A5"/>
    <w:rsid w:val="002834D9"/>
    <w:rsid w:val="0028458D"/>
    <w:rsid w:val="002853AD"/>
    <w:rsid w:val="002856D0"/>
    <w:rsid w:val="00285B22"/>
    <w:rsid w:val="00286F86"/>
    <w:rsid w:val="00287137"/>
    <w:rsid w:val="002907E0"/>
    <w:rsid w:val="00292AED"/>
    <w:rsid w:val="002949BC"/>
    <w:rsid w:val="002954B8"/>
    <w:rsid w:val="002975C7"/>
    <w:rsid w:val="00297A45"/>
    <w:rsid w:val="002A075E"/>
    <w:rsid w:val="002A08F5"/>
    <w:rsid w:val="002A142C"/>
    <w:rsid w:val="002A1C72"/>
    <w:rsid w:val="002A2DCD"/>
    <w:rsid w:val="002A3DBB"/>
    <w:rsid w:val="002A4BE4"/>
    <w:rsid w:val="002A6395"/>
    <w:rsid w:val="002A6B0F"/>
    <w:rsid w:val="002A700B"/>
    <w:rsid w:val="002A70C1"/>
    <w:rsid w:val="002A7243"/>
    <w:rsid w:val="002B1172"/>
    <w:rsid w:val="002B19EE"/>
    <w:rsid w:val="002B3238"/>
    <w:rsid w:val="002B47CF"/>
    <w:rsid w:val="002B58BA"/>
    <w:rsid w:val="002B7788"/>
    <w:rsid w:val="002C0286"/>
    <w:rsid w:val="002C0E6A"/>
    <w:rsid w:val="002C19D3"/>
    <w:rsid w:val="002C26F3"/>
    <w:rsid w:val="002C2743"/>
    <w:rsid w:val="002C2F4E"/>
    <w:rsid w:val="002C5436"/>
    <w:rsid w:val="002C7248"/>
    <w:rsid w:val="002C7989"/>
    <w:rsid w:val="002C7D13"/>
    <w:rsid w:val="002D0C1C"/>
    <w:rsid w:val="002D11FE"/>
    <w:rsid w:val="002D12A8"/>
    <w:rsid w:val="002D186E"/>
    <w:rsid w:val="002D3027"/>
    <w:rsid w:val="002D34C7"/>
    <w:rsid w:val="002D3F75"/>
    <w:rsid w:val="002D50E2"/>
    <w:rsid w:val="002D5733"/>
    <w:rsid w:val="002D7122"/>
    <w:rsid w:val="002D77DD"/>
    <w:rsid w:val="002E0F9C"/>
    <w:rsid w:val="002E16C3"/>
    <w:rsid w:val="002E25BB"/>
    <w:rsid w:val="002E65EE"/>
    <w:rsid w:val="002E6EFF"/>
    <w:rsid w:val="002E7138"/>
    <w:rsid w:val="002E7441"/>
    <w:rsid w:val="002E79E3"/>
    <w:rsid w:val="002F00B8"/>
    <w:rsid w:val="002F0265"/>
    <w:rsid w:val="002F0371"/>
    <w:rsid w:val="002F14D6"/>
    <w:rsid w:val="002F18B8"/>
    <w:rsid w:val="002F57B4"/>
    <w:rsid w:val="002F655C"/>
    <w:rsid w:val="002F6BD8"/>
    <w:rsid w:val="002F7153"/>
    <w:rsid w:val="002F74ED"/>
    <w:rsid w:val="0030071F"/>
    <w:rsid w:val="00301132"/>
    <w:rsid w:val="003017F4"/>
    <w:rsid w:val="0030309D"/>
    <w:rsid w:val="00304F8F"/>
    <w:rsid w:val="00305B60"/>
    <w:rsid w:val="00307278"/>
    <w:rsid w:val="00312E2E"/>
    <w:rsid w:val="00314F29"/>
    <w:rsid w:val="00315765"/>
    <w:rsid w:val="00316B0E"/>
    <w:rsid w:val="00316D65"/>
    <w:rsid w:val="00316DFE"/>
    <w:rsid w:val="003174AF"/>
    <w:rsid w:val="00320479"/>
    <w:rsid w:val="00321E7B"/>
    <w:rsid w:val="00322410"/>
    <w:rsid w:val="003233D2"/>
    <w:rsid w:val="003237AC"/>
    <w:rsid w:val="003244BB"/>
    <w:rsid w:val="00324C44"/>
    <w:rsid w:val="00324FCB"/>
    <w:rsid w:val="0032643F"/>
    <w:rsid w:val="00326F88"/>
    <w:rsid w:val="00327B2A"/>
    <w:rsid w:val="00332C09"/>
    <w:rsid w:val="00332F80"/>
    <w:rsid w:val="003341A7"/>
    <w:rsid w:val="00334D65"/>
    <w:rsid w:val="00336213"/>
    <w:rsid w:val="00337BFC"/>
    <w:rsid w:val="003403D0"/>
    <w:rsid w:val="003405A2"/>
    <w:rsid w:val="00342D48"/>
    <w:rsid w:val="00343830"/>
    <w:rsid w:val="00343AD2"/>
    <w:rsid w:val="0034498F"/>
    <w:rsid w:val="003449AC"/>
    <w:rsid w:val="0034551D"/>
    <w:rsid w:val="003458F8"/>
    <w:rsid w:val="00346CF1"/>
    <w:rsid w:val="00347EEF"/>
    <w:rsid w:val="00350120"/>
    <w:rsid w:val="00351AF6"/>
    <w:rsid w:val="003534F9"/>
    <w:rsid w:val="00353DD9"/>
    <w:rsid w:val="00353E6B"/>
    <w:rsid w:val="0035735E"/>
    <w:rsid w:val="00360297"/>
    <w:rsid w:val="00360DC8"/>
    <w:rsid w:val="0036139C"/>
    <w:rsid w:val="00361F00"/>
    <w:rsid w:val="00362464"/>
    <w:rsid w:val="00364764"/>
    <w:rsid w:val="0036519D"/>
    <w:rsid w:val="003661F3"/>
    <w:rsid w:val="0036703A"/>
    <w:rsid w:val="00367C81"/>
    <w:rsid w:val="00367D65"/>
    <w:rsid w:val="00367E17"/>
    <w:rsid w:val="003703CD"/>
    <w:rsid w:val="003704B9"/>
    <w:rsid w:val="00371664"/>
    <w:rsid w:val="00371893"/>
    <w:rsid w:val="003723C6"/>
    <w:rsid w:val="0037399A"/>
    <w:rsid w:val="00373FBC"/>
    <w:rsid w:val="0037415C"/>
    <w:rsid w:val="00374AAB"/>
    <w:rsid w:val="00375359"/>
    <w:rsid w:val="003770A7"/>
    <w:rsid w:val="003804D9"/>
    <w:rsid w:val="003814E2"/>
    <w:rsid w:val="003820D6"/>
    <w:rsid w:val="00383174"/>
    <w:rsid w:val="00383DDD"/>
    <w:rsid w:val="003841E0"/>
    <w:rsid w:val="0038555C"/>
    <w:rsid w:val="0038562C"/>
    <w:rsid w:val="00385711"/>
    <w:rsid w:val="00385EC5"/>
    <w:rsid w:val="00386B2A"/>
    <w:rsid w:val="0038735F"/>
    <w:rsid w:val="00387B76"/>
    <w:rsid w:val="00387CF6"/>
    <w:rsid w:val="003902D3"/>
    <w:rsid w:val="00390D72"/>
    <w:rsid w:val="00393100"/>
    <w:rsid w:val="00393144"/>
    <w:rsid w:val="003946FF"/>
    <w:rsid w:val="0039560A"/>
    <w:rsid w:val="00397C23"/>
    <w:rsid w:val="003A09A8"/>
    <w:rsid w:val="003A11D6"/>
    <w:rsid w:val="003A1AAB"/>
    <w:rsid w:val="003A2216"/>
    <w:rsid w:val="003A36A7"/>
    <w:rsid w:val="003A5534"/>
    <w:rsid w:val="003A5D1A"/>
    <w:rsid w:val="003A69D1"/>
    <w:rsid w:val="003B2AC9"/>
    <w:rsid w:val="003B344B"/>
    <w:rsid w:val="003B59D9"/>
    <w:rsid w:val="003B75CF"/>
    <w:rsid w:val="003C0241"/>
    <w:rsid w:val="003C05BC"/>
    <w:rsid w:val="003C0EF7"/>
    <w:rsid w:val="003C21E5"/>
    <w:rsid w:val="003C4F8C"/>
    <w:rsid w:val="003C565C"/>
    <w:rsid w:val="003C7930"/>
    <w:rsid w:val="003C7B36"/>
    <w:rsid w:val="003D121E"/>
    <w:rsid w:val="003D1670"/>
    <w:rsid w:val="003D331A"/>
    <w:rsid w:val="003D3D81"/>
    <w:rsid w:val="003D4569"/>
    <w:rsid w:val="003D4CBB"/>
    <w:rsid w:val="003D50DA"/>
    <w:rsid w:val="003D525D"/>
    <w:rsid w:val="003D7EAC"/>
    <w:rsid w:val="003E060B"/>
    <w:rsid w:val="003E3E07"/>
    <w:rsid w:val="003E5901"/>
    <w:rsid w:val="003E71B2"/>
    <w:rsid w:val="003F0C63"/>
    <w:rsid w:val="003F1ABC"/>
    <w:rsid w:val="003F224B"/>
    <w:rsid w:val="003F2657"/>
    <w:rsid w:val="003F3388"/>
    <w:rsid w:val="003F5270"/>
    <w:rsid w:val="003F689C"/>
    <w:rsid w:val="00400744"/>
    <w:rsid w:val="00400956"/>
    <w:rsid w:val="0040113F"/>
    <w:rsid w:val="00401220"/>
    <w:rsid w:val="00402753"/>
    <w:rsid w:val="00405640"/>
    <w:rsid w:val="00406176"/>
    <w:rsid w:val="0040624B"/>
    <w:rsid w:val="00406C23"/>
    <w:rsid w:val="00406D14"/>
    <w:rsid w:val="0040760F"/>
    <w:rsid w:val="00407B3D"/>
    <w:rsid w:val="004109D7"/>
    <w:rsid w:val="004110BC"/>
    <w:rsid w:val="004112DC"/>
    <w:rsid w:val="00411FC4"/>
    <w:rsid w:val="0041263D"/>
    <w:rsid w:val="00412EBF"/>
    <w:rsid w:val="00413271"/>
    <w:rsid w:val="00414776"/>
    <w:rsid w:val="004156EC"/>
    <w:rsid w:val="00416224"/>
    <w:rsid w:val="00416290"/>
    <w:rsid w:val="00416582"/>
    <w:rsid w:val="004208E0"/>
    <w:rsid w:val="004209A6"/>
    <w:rsid w:val="004216FE"/>
    <w:rsid w:val="00421F9D"/>
    <w:rsid w:val="00424D2D"/>
    <w:rsid w:val="00425018"/>
    <w:rsid w:val="004251A1"/>
    <w:rsid w:val="00425DCD"/>
    <w:rsid w:val="00426A12"/>
    <w:rsid w:val="00427145"/>
    <w:rsid w:val="0043057F"/>
    <w:rsid w:val="00432F6A"/>
    <w:rsid w:val="00440541"/>
    <w:rsid w:val="004405F4"/>
    <w:rsid w:val="00442F9B"/>
    <w:rsid w:val="00443261"/>
    <w:rsid w:val="00447960"/>
    <w:rsid w:val="00447D96"/>
    <w:rsid w:val="00451707"/>
    <w:rsid w:val="00451F8D"/>
    <w:rsid w:val="004528B5"/>
    <w:rsid w:val="004540EE"/>
    <w:rsid w:val="0045414C"/>
    <w:rsid w:val="00456678"/>
    <w:rsid w:val="00456EE6"/>
    <w:rsid w:val="0046099E"/>
    <w:rsid w:val="00461FF8"/>
    <w:rsid w:val="004631A7"/>
    <w:rsid w:val="004633AE"/>
    <w:rsid w:val="004636E4"/>
    <w:rsid w:val="00463774"/>
    <w:rsid w:val="00465EC3"/>
    <w:rsid w:val="00465F2C"/>
    <w:rsid w:val="00466EB5"/>
    <w:rsid w:val="00471B0C"/>
    <w:rsid w:val="00471B61"/>
    <w:rsid w:val="00472129"/>
    <w:rsid w:val="004724DC"/>
    <w:rsid w:val="00472E65"/>
    <w:rsid w:val="004730CC"/>
    <w:rsid w:val="00473888"/>
    <w:rsid w:val="004742E4"/>
    <w:rsid w:val="00474758"/>
    <w:rsid w:val="00474CCB"/>
    <w:rsid w:val="00475187"/>
    <w:rsid w:val="00475465"/>
    <w:rsid w:val="0047566C"/>
    <w:rsid w:val="00475FB7"/>
    <w:rsid w:val="00476024"/>
    <w:rsid w:val="00476545"/>
    <w:rsid w:val="004777C4"/>
    <w:rsid w:val="00481715"/>
    <w:rsid w:val="00481E0E"/>
    <w:rsid w:val="00482A94"/>
    <w:rsid w:val="00482B72"/>
    <w:rsid w:val="00483FF5"/>
    <w:rsid w:val="004843F8"/>
    <w:rsid w:val="00486000"/>
    <w:rsid w:val="004862F7"/>
    <w:rsid w:val="00486B96"/>
    <w:rsid w:val="0049681F"/>
    <w:rsid w:val="004975BE"/>
    <w:rsid w:val="004A0E64"/>
    <w:rsid w:val="004A1368"/>
    <w:rsid w:val="004A2264"/>
    <w:rsid w:val="004A2910"/>
    <w:rsid w:val="004A2DAF"/>
    <w:rsid w:val="004A322E"/>
    <w:rsid w:val="004A3CE0"/>
    <w:rsid w:val="004A5256"/>
    <w:rsid w:val="004A5628"/>
    <w:rsid w:val="004B0BD7"/>
    <w:rsid w:val="004B1574"/>
    <w:rsid w:val="004B1582"/>
    <w:rsid w:val="004B1FB8"/>
    <w:rsid w:val="004B2DF2"/>
    <w:rsid w:val="004B3957"/>
    <w:rsid w:val="004B3CDB"/>
    <w:rsid w:val="004B3E91"/>
    <w:rsid w:val="004B4092"/>
    <w:rsid w:val="004B6F20"/>
    <w:rsid w:val="004C1B99"/>
    <w:rsid w:val="004C3B18"/>
    <w:rsid w:val="004C4312"/>
    <w:rsid w:val="004C4F83"/>
    <w:rsid w:val="004C5967"/>
    <w:rsid w:val="004C6AEF"/>
    <w:rsid w:val="004D2FF1"/>
    <w:rsid w:val="004D46DF"/>
    <w:rsid w:val="004D70A1"/>
    <w:rsid w:val="004E128D"/>
    <w:rsid w:val="004E1BA7"/>
    <w:rsid w:val="004E28BA"/>
    <w:rsid w:val="004E57CC"/>
    <w:rsid w:val="004E5B8B"/>
    <w:rsid w:val="004E6501"/>
    <w:rsid w:val="004E7F74"/>
    <w:rsid w:val="004F281D"/>
    <w:rsid w:val="004F28C7"/>
    <w:rsid w:val="004F2C24"/>
    <w:rsid w:val="004F3675"/>
    <w:rsid w:val="004F59A8"/>
    <w:rsid w:val="005008FC"/>
    <w:rsid w:val="005009E2"/>
    <w:rsid w:val="005025CF"/>
    <w:rsid w:val="0050264D"/>
    <w:rsid w:val="00506A8F"/>
    <w:rsid w:val="00507865"/>
    <w:rsid w:val="005105AC"/>
    <w:rsid w:val="00510996"/>
    <w:rsid w:val="005112AD"/>
    <w:rsid w:val="00511A95"/>
    <w:rsid w:val="00512A95"/>
    <w:rsid w:val="00512EE0"/>
    <w:rsid w:val="00513040"/>
    <w:rsid w:val="005144B2"/>
    <w:rsid w:val="00514E2D"/>
    <w:rsid w:val="005155A7"/>
    <w:rsid w:val="00515819"/>
    <w:rsid w:val="00515C4D"/>
    <w:rsid w:val="00516086"/>
    <w:rsid w:val="00516797"/>
    <w:rsid w:val="0051682A"/>
    <w:rsid w:val="0052113B"/>
    <w:rsid w:val="0052155C"/>
    <w:rsid w:val="00521610"/>
    <w:rsid w:val="00521D74"/>
    <w:rsid w:val="005241FF"/>
    <w:rsid w:val="00524E64"/>
    <w:rsid w:val="00524E86"/>
    <w:rsid w:val="00525753"/>
    <w:rsid w:val="00530938"/>
    <w:rsid w:val="0053269D"/>
    <w:rsid w:val="00533114"/>
    <w:rsid w:val="00533EDD"/>
    <w:rsid w:val="00535D82"/>
    <w:rsid w:val="00536BC4"/>
    <w:rsid w:val="005377AB"/>
    <w:rsid w:val="00537ECF"/>
    <w:rsid w:val="00541DDA"/>
    <w:rsid w:val="00542478"/>
    <w:rsid w:val="00542942"/>
    <w:rsid w:val="00543D70"/>
    <w:rsid w:val="00543D98"/>
    <w:rsid w:val="005447DA"/>
    <w:rsid w:val="00544823"/>
    <w:rsid w:val="0054621D"/>
    <w:rsid w:val="005464E1"/>
    <w:rsid w:val="0055096E"/>
    <w:rsid w:val="0055138C"/>
    <w:rsid w:val="00551FEB"/>
    <w:rsid w:val="005531BB"/>
    <w:rsid w:val="0055480E"/>
    <w:rsid w:val="00555C86"/>
    <w:rsid w:val="00555E8E"/>
    <w:rsid w:val="00557A27"/>
    <w:rsid w:val="005613A9"/>
    <w:rsid w:val="00562450"/>
    <w:rsid w:val="005630B7"/>
    <w:rsid w:val="00563DD5"/>
    <w:rsid w:val="00564AF0"/>
    <w:rsid w:val="00565148"/>
    <w:rsid w:val="00566027"/>
    <w:rsid w:val="00566917"/>
    <w:rsid w:val="00566BEC"/>
    <w:rsid w:val="005679EB"/>
    <w:rsid w:val="00571747"/>
    <w:rsid w:val="0057195B"/>
    <w:rsid w:val="005729E7"/>
    <w:rsid w:val="00573945"/>
    <w:rsid w:val="005767B2"/>
    <w:rsid w:val="00581E19"/>
    <w:rsid w:val="0058296D"/>
    <w:rsid w:val="00582AB3"/>
    <w:rsid w:val="00582E02"/>
    <w:rsid w:val="0058343B"/>
    <w:rsid w:val="005841D1"/>
    <w:rsid w:val="00584342"/>
    <w:rsid w:val="00585A09"/>
    <w:rsid w:val="005863E8"/>
    <w:rsid w:val="0058724B"/>
    <w:rsid w:val="0058789B"/>
    <w:rsid w:val="00587C73"/>
    <w:rsid w:val="00587EDA"/>
    <w:rsid w:val="00591A1D"/>
    <w:rsid w:val="005924B2"/>
    <w:rsid w:val="00593757"/>
    <w:rsid w:val="00593925"/>
    <w:rsid w:val="00593A72"/>
    <w:rsid w:val="00593EB2"/>
    <w:rsid w:val="00594D13"/>
    <w:rsid w:val="005962BE"/>
    <w:rsid w:val="00596A22"/>
    <w:rsid w:val="00596EA7"/>
    <w:rsid w:val="0059787F"/>
    <w:rsid w:val="005A12F6"/>
    <w:rsid w:val="005A1A03"/>
    <w:rsid w:val="005A5C8D"/>
    <w:rsid w:val="005A7D48"/>
    <w:rsid w:val="005B1993"/>
    <w:rsid w:val="005B3885"/>
    <w:rsid w:val="005B4391"/>
    <w:rsid w:val="005B4B50"/>
    <w:rsid w:val="005B5B64"/>
    <w:rsid w:val="005B699F"/>
    <w:rsid w:val="005B6ADE"/>
    <w:rsid w:val="005B6D45"/>
    <w:rsid w:val="005B71F4"/>
    <w:rsid w:val="005C1CAD"/>
    <w:rsid w:val="005C205F"/>
    <w:rsid w:val="005C306D"/>
    <w:rsid w:val="005C34A0"/>
    <w:rsid w:val="005C45A8"/>
    <w:rsid w:val="005C4761"/>
    <w:rsid w:val="005C491D"/>
    <w:rsid w:val="005C4A01"/>
    <w:rsid w:val="005C4AA6"/>
    <w:rsid w:val="005C4B42"/>
    <w:rsid w:val="005D1904"/>
    <w:rsid w:val="005D1978"/>
    <w:rsid w:val="005D22B7"/>
    <w:rsid w:val="005D2D94"/>
    <w:rsid w:val="005D33CD"/>
    <w:rsid w:val="005D5772"/>
    <w:rsid w:val="005D5A83"/>
    <w:rsid w:val="005D5FAC"/>
    <w:rsid w:val="005E00AF"/>
    <w:rsid w:val="005E1337"/>
    <w:rsid w:val="005E1699"/>
    <w:rsid w:val="005E1C45"/>
    <w:rsid w:val="005E360C"/>
    <w:rsid w:val="005E3675"/>
    <w:rsid w:val="005E3E7D"/>
    <w:rsid w:val="005E43BF"/>
    <w:rsid w:val="005E545C"/>
    <w:rsid w:val="005E6797"/>
    <w:rsid w:val="005F4151"/>
    <w:rsid w:val="005F551F"/>
    <w:rsid w:val="005F5959"/>
    <w:rsid w:val="005F5984"/>
    <w:rsid w:val="005F637B"/>
    <w:rsid w:val="00600BE2"/>
    <w:rsid w:val="00600F93"/>
    <w:rsid w:val="00601282"/>
    <w:rsid w:val="00604DAF"/>
    <w:rsid w:val="00605B72"/>
    <w:rsid w:val="00605E44"/>
    <w:rsid w:val="006060C8"/>
    <w:rsid w:val="006075FF"/>
    <w:rsid w:val="006104BD"/>
    <w:rsid w:val="00612D02"/>
    <w:rsid w:val="00613FB2"/>
    <w:rsid w:val="0061522D"/>
    <w:rsid w:val="006155CA"/>
    <w:rsid w:val="0061766D"/>
    <w:rsid w:val="006219AE"/>
    <w:rsid w:val="00622298"/>
    <w:rsid w:val="0062261A"/>
    <w:rsid w:val="006237D6"/>
    <w:rsid w:val="00624D4C"/>
    <w:rsid w:val="0062755A"/>
    <w:rsid w:val="00627B2A"/>
    <w:rsid w:val="00632349"/>
    <w:rsid w:val="00632616"/>
    <w:rsid w:val="00632ED6"/>
    <w:rsid w:val="00634700"/>
    <w:rsid w:val="00635648"/>
    <w:rsid w:val="00637BEF"/>
    <w:rsid w:val="006418F9"/>
    <w:rsid w:val="00642878"/>
    <w:rsid w:val="006439ED"/>
    <w:rsid w:val="00643A0D"/>
    <w:rsid w:val="00643D36"/>
    <w:rsid w:val="00644DA6"/>
    <w:rsid w:val="00645349"/>
    <w:rsid w:val="00645407"/>
    <w:rsid w:val="00645C7D"/>
    <w:rsid w:val="006502CD"/>
    <w:rsid w:val="00650C60"/>
    <w:rsid w:val="00654794"/>
    <w:rsid w:val="00655B2C"/>
    <w:rsid w:val="00655EAD"/>
    <w:rsid w:val="00656E85"/>
    <w:rsid w:val="00663828"/>
    <w:rsid w:val="00663884"/>
    <w:rsid w:val="00663D1B"/>
    <w:rsid w:val="00664648"/>
    <w:rsid w:val="00664FB4"/>
    <w:rsid w:val="0066639C"/>
    <w:rsid w:val="00666D35"/>
    <w:rsid w:val="00670168"/>
    <w:rsid w:val="006704DC"/>
    <w:rsid w:val="00671C33"/>
    <w:rsid w:val="006731D8"/>
    <w:rsid w:val="00673F61"/>
    <w:rsid w:val="006740FF"/>
    <w:rsid w:val="00674181"/>
    <w:rsid w:val="00674F5B"/>
    <w:rsid w:val="006759C2"/>
    <w:rsid w:val="006769C9"/>
    <w:rsid w:val="00682803"/>
    <w:rsid w:val="00684488"/>
    <w:rsid w:val="00684694"/>
    <w:rsid w:val="0068475C"/>
    <w:rsid w:val="0068661F"/>
    <w:rsid w:val="00687C94"/>
    <w:rsid w:val="00691483"/>
    <w:rsid w:val="0069315A"/>
    <w:rsid w:val="006935DA"/>
    <w:rsid w:val="00693BE5"/>
    <w:rsid w:val="006948C8"/>
    <w:rsid w:val="00694A70"/>
    <w:rsid w:val="00694F20"/>
    <w:rsid w:val="00695571"/>
    <w:rsid w:val="006979A8"/>
    <w:rsid w:val="00697D9C"/>
    <w:rsid w:val="006A0073"/>
    <w:rsid w:val="006A071A"/>
    <w:rsid w:val="006A244E"/>
    <w:rsid w:val="006A2755"/>
    <w:rsid w:val="006A3662"/>
    <w:rsid w:val="006A6871"/>
    <w:rsid w:val="006B0066"/>
    <w:rsid w:val="006B4960"/>
    <w:rsid w:val="006B49CC"/>
    <w:rsid w:val="006B5C1C"/>
    <w:rsid w:val="006B67CE"/>
    <w:rsid w:val="006B6EB1"/>
    <w:rsid w:val="006C0ED9"/>
    <w:rsid w:val="006C23D6"/>
    <w:rsid w:val="006C456C"/>
    <w:rsid w:val="006C4C7D"/>
    <w:rsid w:val="006C6436"/>
    <w:rsid w:val="006C669F"/>
    <w:rsid w:val="006C757B"/>
    <w:rsid w:val="006D04A5"/>
    <w:rsid w:val="006D0986"/>
    <w:rsid w:val="006D0BCF"/>
    <w:rsid w:val="006D12D7"/>
    <w:rsid w:val="006D1316"/>
    <w:rsid w:val="006D20C4"/>
    <w:rsid w:val="006D40CA"/>
    <w:rsid w:val="006D54AB"/>
    <w:rsid w:val="006D6D7A"/>
    <w:rsid w:val="006D7DCE"/>
    <w:rsid w:val="006E19E8"/>
    <w:rsid w:val="006E1A8D"/>
    <w:rsid w:val="006E2084"/>
    <w:rsid w:val="006E29E7"/>
    <w:rsid w:val="006E3E20"/>
    <w:rsid w:val="006E59A4"/>
    <w:rsid w:val="006E5C85"/>
    <w:rsid w:val="006E62ED"/>
    <w:rsid w:val="006E6751"/>
    <w:rsid w:val="006E73D4"/>
    <w:rsid w:val="006E7718"/>
    <w:rsid w:val="006E79C2"/>
    <w:rsid w:val="006F012C"/>
    <w:rsid w:val="006F1405"/>
    <w:rsid w:val="006F1456"/>
    <w:rsid w:val="006F17C6"/>
    <w:rsid w:val="006F4B7A"/>
    <w:rsid w:val="006F6B71"/>
    <w:rsid w:val="006F7B8D"/>
    <w:rsid w:val="007002DC"/>
    <w:rsid w:val="007017EB"/>
    <w:rsid w:val="00701AFB"/>
    <w:rsid w:val="007039AD"/>
    <w:rsid w:val="0071007B"/>
    <w:rsid w:val="00710D06"/>
    <w:rsid w:val="00710D44"/>
    <w:rsid w:val="00711C6E"/>
    <w:rsid w:val="00712193"/>
    <w:rsid w:val="00714688"/>
    <w:rsid w:val="00715078"/>
    <w:rsid w:val="00715725"/>
    <w:rsid w:val="007208C7"/>
    <w:rsid w:val="00720D5A"/>
    <w:rsid w:val="00721146"/>
    <w:rsid w:val="007217D0"/>
    <w:rsid w:val="0072208C"/>
    <w:rsid w:val="007220C6"/>
    <w:rsid w:val="00724495"/>
    <w:rsid w:val="0072462C"/>
    <w:rsid w:val="007254FD"/>
    <w:rsid w:val="0072595C"/>
    <w:rsid w:val="00725FCC"/>
    <w:rsid w:val="007325FB"/>
    <w:rsid w:val="00732F54"/>
    <w:rsid w:val="0073412E"/>
    <w:rsid w:val="00734F3C"/>
    <w:rsid w:val="0073530C"/>
    <w:rsid w:val="007363C5"/>
    <w:rsid w:val="007404F5"/>
    <w:rsid w:val="00741A43"/>
    <w:rsid w:val="007425DB"/>
    <w:rsid w:val="007427DA"/>
    <w:rsid w:val="00745C7C"/>
    <w:rsid w:val="0074613A"/>
    <w:rsid w:val="00746259"/>
    <w:rsid w:val="007464BB"/>
    <w:rsid w:val="007502E1"/>
    <w:rsid w:val="0075098B"/>
    <w:rsid w:val="0075150F"/>
    <w:rsid w:val="00752435"/>
    <w:rsid w:val="00753328"/>
    <w:rsid w:val="00753F59"/>
    <w:rsid w:val="0075436D"/>
    <w:rsid w:val="00761253"/>
    <w:rsid w:val="00762C0A"/>
    <w:rsid w:val="0076469F"/>
    <w:rsid w:val="00764922"/>
    <w:rsid w:val="007649A7"/>
    <w:rsid w:val="0076511D"/>
    <w:rsid w:val="00765CEF"/>
    <w:rsid w:val="007669BC"/>
    <w:rsid w:val="00766A04"/>
    <w:rsid w:val="00766D33"/>
    <w:rsid w:val="00770025"/>
    <w:rsid w:val="00770BEE"/>
    <w:rsid w:val="00771216"/>
    <w:rsid w:val="00772721"/>
    <w:rsid w:val="00772DDA"/>
    <w:rsid w:val="0077544E"/>
    <w:rsid w:val="00775B10"/>
    <w:rsid w:val="00777A28"/>
    <w:rsid w:val="00780648"/>
    <w:rsid w:val="00780704"/>
    <w:rsid w:val="00781E32"/>
    <w:rsid w:val="0078379D"/>
    <w:rsid w:val="007842E5"/>
    <w:rsid w:val="007872BD"/>
    <w:rsid w:val="0078784A"/>
    <w:rsid w:val="00792541"/>
    <w:rsid w:val="00794471"/>
    <w:rsid w:val="00795963"/>
    <w:rsid w:val="00796196"/>
    <w:rsid w:val="00796E6A"/>
    <w:rsid w:val="00797699"/>
    <w:rsid w:val="007A0F61"/>
    <w:rsid w:val="007A19A8"/>
    <w:rsid w:val="007A2341"/>
    <w:rsid w:val="007A2B4B"/>
    <w:rsid w:val="007A2B61"/>
    <w:rsid w:val="007A41CD"/>
    <w:rsid w:val="007A446B"/>
    <w:rsid w:val="007A48D6"/>
    <w:rsid w:val="007A643D"/>
    <w:rsid w:val="007A6481"/>
    <w:rsid w:val="007A7335"/>
    <w:rsid w:val="007B0F99"/>
    <w:rsid w:val="007B0FAD"/>
    <w:rsid w:val="007B293A"/>
    <w:rsid w:val="007B4FFC"/>
    <w:rsid w:val="007B64CF"/>
    <w:rsid w:val="007B7285"/>
    <w:rsid w:val="007B7312"/>
    <w:rsid w:val="007C06D9"/>
    <w:rsid w:val="007C0D09"/>
    <w:rsid w:val="007C0E63"/>
    <w:rsid w:val="007C0E91"/>
    <w:rsid w:val="007C2257"/>
    <w:rsid w:val="007C2493"/>
    <w:rsid w:val="007C3B68"/>
    <w:rsid w:val="007C3CC8"/>
    <w:rsid w:val="007C3D56"/>
    <w:rsid w:val="007C69D8"/>
    <w:rsid w:val="007C7D55"/>
    <w:rsid w:val="007D0045"/>
    <w:rsid w:val="007D1F60"/>
    <w:rsid w:val="007D3273"/>
    <w:rsid w:val="007D3768"/>
    <w:rsid w:val="007D445B"/>
    <w:rsid w:val="007D4CC4"/>
    <w:rsid w:val="007D6320"/>
    <w:rsid w:val="007D6A98"/>
    <w:rsid w:val="007D6FA3"/>
    <w:rsid w:val="007E1123"/>
    <w:rsid w:val="007E316F"/>
    <w:rsid w:val="007E323C"/>
    <w:rsid w:val="007E46B9"/>
    <w:rsid w:val="007E4B64"/>
    <w:rsid w:val="007E4BF6"/>
    <w:rsid w:val="007E5135"/>
    <w:rsid w:val="007E574A"/>
    <w:rsid w:val="007E603A"/>
    <w:rsid w:val="007E6CC2"/>
    <w:rsid w:val="007F0ED4"/>
    <w:rsid w:val="007F116A"/>
    <w:rsid w:val="007F225B"/>
    <w:rsid w:val="007F23C5"/>
    <w:rsid w:val="007F3B9D"/>
    <w:rsid w:val="007F3D00"/>
    <w:rsid w:val="007F503F"/>
    <w:rsid w:val="007F5ACD"/>
    <w:rsid w:val="007F7763"/>
    <w:rsid w:val="007F7CC7"/>
    <w:rsid w:val="007F7D45"/>
    <w:rsid w:val="008001C0"/>
    <w:rsid w:val="0080145D"/>
    <w:rsid w:val="00802A3D"/>
    <w:rsid w:val="00802CE4"/>
    <w:rsid w:val="00803CA6"/>
    <w:rsid w:val="00804DF4"/>
    <w:rsid w:val="00806433"/>
    <w:rsid w:val="00807987"/>
    <w:rsid w:val="0081021E"/>
    <w:rsid w:val="00810CF7"/>
    <w:rsid w:val="00810F07"/>
    <w:rsid w:val="00812A20"/>
    <w:rsid w:val="00812CC2"/>
    <w:rsid w:val="00812DD9"/>
    <w:rsid w:val="00812F2B"/>
    <w:rsid w:val="00813748"/>
    <w:rsid w:val="0081376F"/>
    <w:rsid w:val="00814187"/>
    <w:rsid w:val="0081446F"/>
    <w:rsid w:val="00815CF8"/>
    <w:rsid w:val="00817446"/>
    <w:rsid w:val="0082145F"/>
    <w:rsid w:val="00822308"/>
    <w:rsid w:val="00823634"/>
    <w:rsid w:val="00823DA7"/>
    <w:rsid w:val="0082424D"/>
    <w:rsid w:val="008245CF"/>
    <w:rsid w:val="00825D0E"/>
    <w:rsid w:val="0082723A"/>
    <w:rsid w:val="008272A2"/>
    <w:rsid w:val="00831497"/>
    <w:rsid w:val="00832B49"/>
    <w:rsid w:val="00832E3F"/>
    <w:rsid w:val="008369B1"/>
    <w:rsid w:val="00843132"/>
    <w:rsid w:val="008469A7"/>
    <w:rsid w:val="008475B3"/>
    <w:rsid w:val="00847FF8"/>
    <w:rsid w:val="00850422"/>
    <w:rsid w:val="00851D93"/>
    <w:rsid w:val="00852566"/>
    <w:rsid w:val="00853229"/>
    <w:rsid w:val="00857508"/>
    <w:rsid w:val="00860D72"/>
    <w:rsid w:val="00861419"/>
    <w:rsid w:val="008614BF"/>
    <w:rsid w:val="0086205C"/>
    <w:rsid w:val="008626F7"/>
    <w:rsid w:val="00863128"/>
    <w:rsid w:val="0086367F"/>
    <w:rsid w:val="00863863"/>
    <w:rsid w:val="0086499C"/>
    <w:rsid w:val="008664E5"/>
    <w:rsid w:val="00867645"/>
    <w:rsid w:val="00870354"/>
    <w:rsid w:val="0087327B"/>
    <w:rsid w:val="00873983"/>
    <w:rsid w:val="00873E10"/>
    <w:rsid w:val="008741B9"/>
    <w:rsid w:val="00875F73"/>
    <w:rsid w:val="00876021"/>
    <w:rsid w:val="008769E2"/>
    <w:rsid w:val="00876DD4"/>
    <w:rsid w:val="00877DA3"/>
    <w:rsid w:val="008803B1"/>
    <w:rsid w:val="0088149A"/>
    <w:rsid w:val="00881F73"/>
    <w:rsid w:val="00882C6A"/>
    <w:rsid w:val="00884CD5"/>
    <w:rsid w:val="0088778C"/>
    <w:rsid w:val="00892AFA"/>
    <w:rsid w:val="00892DB6"/>
    <w:rsid w:val="008950E4"/>
    <w:rsid w:val="00895722"/>
    <w:rsid w:val="00896F65"/>
    <w:rsid w:val="008979EB"/>
    <w:rsid w:val="00897A7C"/>
    <w:rsid w:val="008A163E"/>
    <w:rsid w:val="008A1856"/>
    <w:rsid w:val="008A2CAE"/>
    <w:rsid w:val="008A2F05"/>
    <w:rsid w:val="008A303D"/>
    <w:rsid w:val="008A32F8"/>
    <w:rsid w:val="008A4289"/>
    <w:rsid w:val="008A5C0B"/>
    <w:rsid w:val="008A66AA"/>
    <w:rsid w:val="008A6DDC"/>
    <w:rsid w:val="008A70F1"/>
    <w:rsid w:val="008A7511"/>
    <w:rsid w:val="008A7FD7"/>
    <w:rsid w:val="008B00CA"/>
    <w:rsid w:val="008B0BDA"/>
    <w:rsid w:val="008B2A8B"/>
    <w:rsid w:val="008B30A2"/>
    <w:rsid w:val="008B4426"/>
    <w:rsid w:val="008B5FA6"/>
    <w:rsid w:val="008B603C"/>
    <w:rsid w:val="008B68E2"/>
    <w:rsid w:val="008C04A0"/>
    <w:rsid w:val="008C0FFE"/>
    <w:rsid w:val="008C379F"/>
    <w:rsid w:val="008C7497"/>
    <w:rsid w:val="008D222B"/>
    <w:rsid w:val="008D2690"/>
    <w:rsid w:val="008D2BFC"/>
    <w:rsid w:val="008D2E9E"/>
    <w:rsid w:val="008D3C8B"/>
    <w:rsid w:val="008D4D1C"/>
    <w:rsid w:val="008D57B3"/>
    <w:rsid w:val="008D581A"/>
    <w:rsid w:val="008D6541"/>
    <w:rsid w:val="008D6AAC"/>
    <w:rsid w:val="008D6AD2"/>
    <w:rsid w:val="008D736E"/>
    <w:rsid w:val="008D7404"/>
    <w:rsid w:val="008E2107"/>
    <w:rsid w:val="008E2273"/>
    <w:rsid w:val="008E23C8"/>
    <w:rsid w:val="008E295D"/>
    <w:rsid w:val="008E2ED2"/>
    <w:rsid w:val="008E5036"/>
    <w:rsid w:val="008E5FE0"/>
    <w:rsid w:val="008E63D3"/>
    <w:rsid w:val="008E7EFE"/>
    <w:rsid w:val="008F3259"/>
    <w:rsid w:val="008F3730"/>
    <w:rsid w:val="008F50FD"/>
    <w:rsid w:val="008F5F4F"/>
    <w:rsid w:val="008F7556"/>
    <w:rsid w:val="00900D1E"/>
    <w:rsid w:val="009018B9"/>
    <w:rsid w:val="00901C90"/>
    <w:rsid w:val="00902921"/>
    <w:rsid w:val="00903278"/>
    <w:rsid w:val="0090330E"/>
    <w:rsid w:val="0090392E"/>
    <w:rsid w:val="00905428"/>
    <w:rsid w:val="009054CC"/>
    <w:rsid w:val="0090732C"/>
    <w:rsid w:val="00907416"/>
    <w:rsid w:val="00910EE6"/>
    <w:rsid w:val="0091161C"/>
    <w:rsid w:val="0091201E"/>
    <w:rsid w:val="00912CD6"/>
    <w:rsid w:val="00913575"/>
    <w:rsid w:val="0091388F"/>
    <w:rsid w:val="00914CD2"/>
    <w:rsid w:val="0091542D"/>
    <w:rsid w:val="00920688"/>
    <w:rsid w:val="00920911"/>
    <w:rsid w:val="0092096F"/>
    <w:rsid w:val="00923856"/>
    <w:rsid w:val="009251BF"/>
    <w:rsid w:val="00925330"/>
    <w:rsid w:val="00925BE9"/>
    <w:rsid w:val="00926178"/>
    <w:rsid w:val="00926A60"/>
    <w:rsid w:val="00926C5A"/>
    <w:rsid w:val="00926C9F"/>
    <w:rsid w:val="009302AD"/>
    <w:rsid w:val="009309E8"/>
    <w:rsid w:val="009313BD"/>
    <w:rsid w:val="00931A92"/>
    <w:rsid w:val="00932ACE"/>
    <w:rsid w:val="00932FEF"/>
    <w:rsid w:val="009330DC"/>
    <w:rsid w:val="009331D5"/>
    <w:rsid w:val="0093324C"/>
    <w:rsid w:val="009334FE"/>
    <w:rsid w:val="00933E50"/>
    <w:rsid w:val="00933E84"/>
    <w:rsid w:val="009350F4"/>
    <w:rsid w:val="0093630B"/>
    <w:rsid w:val="00937C69"/>
    <w:rsid w:val="00937DDF"/>
    <w:rsid w:val="00937E2F"/>
    <w:rsid w:val="0094032D"/>
    <w:rsid w:val="00941096"/>
    <w:rsid w:val="0094241F"/>
    <w:rsid w:val="00944432"/>
    <w:rsid w:val="009462F0"/>
    <w:rsid w:val="00946657"/>
    <w:rsid w:val="0094672E"/>
    <w:rsid w:val="009512E6"/>
    <w:rsid w:val="00951E7C"/>
    <w:rsid w:val="00952151"/>
    <w:rsid w:val="00952B3E"/>
    <w:rsid w:val="0095500B"/>
    <w:rsid w:val="00956FEC"/>
    <w:rsid w:val="0095781C"/>
    <w:rsid w:val="00957F83"/>
    <w:rsid w:val="00960367"/>
    <w:rsid w:val="00960C8D"/>
    <w:rsid w:val="00960DE4"/>
    <w:rsid w:val="0096133A"/>
    <w:rsid w:val="009613DF"/>
    <w:rsid w:val="0096295F"/>
    <w:rsid w:val="00965F34"/>
    <w:rsid w:val="00970974"/>
    <w:rsid w:val="009715DD"/>
    <w:rsid w:val="00971791"/>
    <w:rsid w:val="009729F6"/>
    <w:rsid w:val="009741E6"/>
    <w:rsid w:val="009759DD"/>
    <w:rsid w:val="00975AB8"/>
    <w:rsid w:val="0097644B"/>
    <w:rsid w:val="00977857"/>
    <w:rsid w:val="0097790E"/>
    <w:rsid w:val="009800E3"/>
    <w:rsid w:val="00980626"/>
    <w:rsid w:val="009823F7"/>
    <w:rsid w:val="009915E2"/>
    <w:rsid w:val="00991C88"/>
    <w:rsid w:val="009923DD"/>
    <w:rsid w:val="00993732"/>
    <w:rsid w:val="009958F5"/>
    <w:rsid w:val="009960AD"/>
    <w:rsid w:val="00997577"/>
    <w:rsid w:val="009A0496"/>
    <w:rsid w:val="009A28B3"/>
    <w:rsid w:val="009A37D2"/>
    <w:rsid w:val="009A3CBD"/>
    <w:rsid w:val="009A49E0"/>
    <w:rsid w:val="009A57E2"/>
    <w:rsid w:val="009A6209"/>
    <w:rsid w:val="009A665C"/>
    <w:rsid w:val="009A6B38"/>
    <w:rsid w:val="009A7A7A"/>
    <w:rsid w:val="009B3453"/>
    <w:rsid w:val="009B3832"/>
    <w:rsid w:val="009B4038"/>
    <w:rsid w:val="009B6460"/>
    <w:rsid w:val="009B64FF"/>
    <w:rsid w:val="009B6733"/>
    <w:rsid w:val="009C032B"/>
    <w:rsid w:val="009C193D"/>
    <w:rsid w:val="009C2D00"/>
    <w:rsid w:val="009C3B40"/>
    <w:rsid w:val="009C4DC7"/>
    <w:rsid w:val="009C4F10"/>
    <w:rsid w:val="009C6651"/>
    <w:rsid w:val="009C73C2"/>
    <w:rsid w:val="009C787D"/>
    <w:rsid w:val="009C7AE0"/>
    <w:rsid w:val="009D18FF"/>
    <w:rsid w:val="009D1F38"/>
    <w:rsid w:val="009D3090"/>
    <w:rsid w:val="009D34C8"/>
    <w:rsid w:val="009D3CA5"/>
    <w:rsid w:val="009D4601"/>
    <w:rsid w:val="009D4A27"/>
    <w:rsid w:val="009D4E01"/>
    <w:rsid w:val="009E0029"/>
    <w:rsid w:val="009E161C"/>
    <w:rsid w:val="009E24C8"/>
    <w:rsid w:val="009E2741"/>
    <w:rsid w:val="009E344B"/>
    <w:rsid w:val="009E39B4"/>
    <w:rsid w:val="009E3B24"/>
    <w:rsid w:val="009E3DD7"/>
    <w:rsid w:val="009E5010"/>
    <w:rsid w:val="009E57AF"/>
    <w:rsid w:val="009E649D"/>
    <w:rsid w:val="009E691D"/>
    <w:rsid w:val="009E71ED"/>
    <w:rsid w:val="009F31AC"/>
    <w:rsid w:val="009F3E0C"/>
    <w:rsid w:val="009F4982"/>
    <w:rsid w:val="009F4F8B"/>
    <w:rsid w:val="009F54D7"/>
    <w:rsid w:val="009F5A8F"/>
    <w:rsid w:val="009F7860"/>
    <w:rsid w:val="00A00F0D"/>
    <w:rsid w:val="00A00F9D"/>
    <w:rsid w:val="00A02C47"/>
    <w:rsid w:val="00A037C9"/>
    <w:rsid w:val="00A050B2"/>
    <w:rsid w:val="00A05D5B"/>
    <w:rsid w:val="00A06AB7"/>
    <w:rsid w:val="00A07CB2"/>
    <w:rsid w:val="00A12705"/>
    <w:rsid w:val="00A1322A"/>
    <w:rsid w:val="00A139D3"/>
    <w:rsid w:val="00A13A55"/>
    <w:rsid w:val="00A15CFA"/>
    <w:rsid w:val="00A1654E"/>
    <w:rsid w:val="00A16BA6"/>
    <w:rsid w:val="00A17C6E"/>
    <w:rsid w:val="00A2155C"/>
    <w:rsid w:val="00A227EA"/>
    <w:rsid w:val="00A22D58"/>
    <w:rsid w:val="00A24D88"/>
    <w:rsid w:val="00A2638E"/>
    <w:rsid w:val="00A26E14"/>
    <w:rsid w:val="00A30227"/>
    <w:rsid w:val="00A3078D"/>
    <w:rsid w:val="00A31719"/>
    <w:rsid w:val="00A33609"/>
    <w:rsid w:val="00A344B0"/>
    <w:rsid w:val="00A3458D"/>
    <w:rsid w:val="00A35C13"/>
    <w:rsid w:val="00A36211"/>
    <w:rsid w:val="00A365FB"/>
    <w:rsid w:val="00A36CDB"/>
    <w:rsid w:val="00A37391"/>
    <w:rsid w:val="00A3779F"/>
    <w:rsid w:val="00A37A4F"/>
    <w:rsid w:val="00A37CE6"/>
    <w:rsid w:val="00A41348"/>
    <w:rsid w:val="00A444B7"/>
    <w:rsid w:val="00A449B5"/>
    <w:rsid w:val="00A44C66"/>
    <w:rsid w:val="00A468F7"/>
    <w:rsid w:val="00A4709D"/>
    <w:rsid w:val="00A471BF"/>
    <w:rsid w:val="00A47C37"/>
    <w:rsid w:val="00A502E8"/>
    <w:rsid w:val="00A503AA"/>
    <w:rsid w:val="00A5080A"/>
    <w:rsid w:val="00A52DBB"/>
    <w:rsid w:val="00A54756"/>
    <w:rsid w:val="00A6004C"/>
    <w:rsid w:val="00A61D3D"/>
    <w:rsid w:val="00A62AEB"/>
    <w:rsid w:val="00A638C0"/>
    <w:rsid w:val="00A64D96"/>
    <w:rsid w:val="00A65F78"/>
    <w:rsid w:val="00A67386"/>
    <w:rsid w:val="00A67466"/>
    <w:rsid w:val="00A704FA"/>
    <w:rsid w:val="00A710DC"/>
    <w:rsid w:val="00A71C1C"/>
    <w:rsid w:val="00A725C4"/>
    <w:rsid w:val="00A72CC3"/>
    <w:rsid w:val="00A74BC8"/>
    <w:rsid w:val="00A75D1D"/>
    <w:rsid w:val="00A763D2"/>
    <w:rsid w:val="00A766D0"/>
    <w:rsid w:val="00A76881"/>
    <w:rsid w:val="00A77443"/>
    <w:rsid w:val="00A77DB5"/>
    <w:rsid w:val="00A8009D"/>
    <w:rsid w:val="00A81468"/>
    <w:rsid w:val="00A84048"/>
    <w:rsid w:val="00A84237"/>
    <w:rsid w:val="00A867C6"/>
    <w:rsid w:val="00A8763E"/>
    <w:rsid w:val="00A90357"/>
    <w:rsid w:val="00A90B31"/>
    <w:rsid w:val="00A922CA"/>
    <w:rsid w:val="00A92EFE"/>
    <w:rsid w:val="00A93253"/>
    <w:rsid w:val="00A9382D"/>
    <w:rsid w:val="00A93F4B"/>
    <w:rsid w:val="00A9550F"/>
    <w:rsid w:val="00A95C57"/>
    <w:rsid w:val="00AA28E6"/>
    <w:rsid w:val="00AA3A2E"/>
    <w:rsid w:val="00AA40CB"/>
    <w:rsid w:val="00AA58BE"/>
    <w:rsid w:val="00AA6699"/>
    <w:rsid w:val="00AA7839"/>
    <w:rsid w:val="00AB0301"/>
    <w:rsid w:val="00AB0A2D"/>
    <w:rsid w:val="00AB0C7C"/>
    <w:rsid w:val="00AB1F2D"/>
    <w:rsid w:val="00AB40E8"/>
    <w:rsid w:val="00AB61FE"/>
    <w:rsid w:val="00AB79B1"/>
    <w:rsid w:val="00AB7F7D"/>
    <w:rsid w:val="00AC0E87"/>
    <w:rsid w:val="00AC1C2E"/>
    <w:rsid w:val="00AC245B"/>
    <w:rsid w:val="00AC2FB9"/>
    <w:rsid w:val="00AC39FF"/>
    <w:rsid w:val="00AC5C08"/>
    <w:rsid w:val="00AC5E88"/>
    <w:rsid w:val="00AC6DE9"/>
    <w:rsid w:val="00AC75F8"/>
    <w:rsid w:val="00AC76C1"/>
    <w:rsid w:val="00AC7CF8"/>
    <w:rsid w:val="00AC7F17"/>
    <w:rsid w:val="00AD02B7"/>
    <w:rsid w:val="00AD266D"/>
    <w:rsid w:val="00AD3911"/>
    <w:rsid w:val="00AD40B6"/>
    <w:rsid w:val="00AD5F75"/>
    <w:rsid w:val="00AE0126"/>
    <w:rsid w:val="00AE11FD"/>
    <w:rsid w:val="00AE16A9"/>
    <w:rsid w:val="00AE2579"/>
    <w:rsid w:val="00AE3239"/>
    <w:rsid w:val="00AE3D8D"/>
    <w:rsid w:val="00AE5641"/>
    <w:rsid w:val="00AE7D16"/>
    <w:rsid w:val="00AF170D"/>
    <w:rsid w:val="00AF1CCA"/>
    <w:rsid w:val="00AF2F83"/>
    <w:rsid w:val="00AF3154"/>
    <w:rsid w:val="00AF4465"/>
    <w:rsid w:val="00AF462C"/>
    <w:rsid w:val="00AF714D"/>
    <w:rsid w:val="00AF7451"/>
    <w:rsid w:val="00AF74F6"/>
    <w:rsid w:val="00AF7F67"/>
    <w:rsid w:val="00B001E0"/>
    <w:rsid w:val="00B011D2"/>
    <w:rsid w:val="00B013B7"/>
    <w:rsid w:val="00B025EA"/>
    <w:rsid w:val="00B027ED"/>
    <w:rsid w:val="00B06BA4"/>
    <w:rsid w:val="00B070F8"/>
    <w:rsid w:val="00B07572"/>
    <w:rsid w:val="00B10470"/>
    <w:rsid w:val="00B10ABF"/>
    <w:rsid w:val="00B11058"/>
    <w:rsid w:val="00B1136F"/>
    <w:rsid w:val="00B11FDC"/>
    <w:rsid w:val="00B12050"/>
    <w:rsid w:val="00B1264A"/>
    <w:rsid w:val="00B1369B"/>
    <w:rsid w:val="00B14124"/>
    <w:rsid w:val="00B14D5B"/>
    <w:rsid w:val="00B150BA"/>
    <w:rsid w:val="00B15452"/>
    <w:rsid w:val="00B1693E"/>
    <w:rsid w:val="00B17ECA"/>
    <w:rsid w:val="00B17FBC"/>
    <w:rsid w:val="00B2038B"/>
    <w:rsid w:val="00B21D14"/>
    <w:rsid w:val="00B2273F"/>
    <w:rsid w:val="00B22F55"/>
    <w:rsid w:val="00B23109"/>
    <w:rsid w:val="00B26919"/>
    <w:rsid w:val="00B26BC3"/>
    <w:rsid w:val="00B304BF"/>
    <w:rsid w:val="00B32569"/>
    <w:rsid w:val="00B33F79"/>
    <w:rsid w:val="00B34029"/>
    <w:rsid w:val="00B35B68"/>
    <w:rsid w:val="00B36207"/>
    <w:rsid w:val="00B374ED"/>
    <w:rsid w:val="00B40560"/>
    <w:rsid w:val="00B406D0"/>
    <w:rsid w:val="00B4137B"/>
    <w:rsid w:val="00B41477"/>
    <w:rsid w:val="00B42330"/>
    <w:rsid w:val="00B43021"/>
    <w:rsid w:val="00B44306"/>
    <w:rsid w:val="00B453CC"/>
    <w:rsid w:val="00B45411"/>
    <w:rsid w:val="00B46965"/>
    <w:rsid w:val="00B473F7"/>
    <w:rsid w:val="00B50F4A"/>
    <w:rsid w:val="00B514E4"/>
    <w:rsid w:val="00B5232E"/>
    <w:rsid w:val="00B575CD"/>
    <w:rsid w:val="00B605B2"/>
    <w:rsid w:val="00B60A2C"/>
    <w:rsid w:val="00B60FA3"/>
    <w:rsid w:val="00B613BC"/>
    <w:rsid w:val="00B61A3C"/>
    <w:rsid w:val="00B61F62"/>
    <w:rsid w:val="00B62AB9"/>
    <w:rsid w:val="00B631D0"/>
    <w:rsid w:val="00B63F19"/>
    <w:rsid w:val="00B64118"/>
    <w:rsid w:val="00B70455"/>
    <w:rsid w:val="00B7158B"/>
    <w:rsid w:val="00B72472"/>
    <w:rsid w:val="00B73057"/>
    <w:rsid w:val="00B73878"/>
    <w:rsid w:val="00B74632"/>
    <w:rsid w:val="00B76CC9"/>
    <w:rsid w:val="00B77239"/>
    <w:rsid w:val="00B772D1"/>
    <w:rsid w:val="00B80885"/>
    <w:rsid w:val="00B81262"/>
    <w:rsid w:val="00B81607"/>
    <w:rsid w:val="00B82315"/>
    <w:rsid w:val="00B82587"/>
    <w:rsid w:val="00B84213"/>
    <w:rsid w:val="00B84853"/>
    <w:rsid w:val="00B85A0A"/>
    <w:rsid w:val="00B863C1"/>
    <w:rsid w:val="00B86619"/>
    <w:rsid w:val="00B874F5"/>
    <w:rsid w:val="00B8762E"/>
    <w:rsid w:val="00B87D34"/>
    <w:rsid w:val="00B901F7"/>
    <w:rsid w:val="00B90213"/>
    <w:rsid w:val="00B90CC5"/>
    <w:rsid w:val="00B91245"/>
    <w:rsid w:val="00B9128A"/>
    <w:rsid w:val="00B92FA0"/>
    <w:rsid w:val="00B97300"/>
    <w:rsid w:val="00BA017C"/>
    <w:rsid w:val="00BA034A"/>
    <w:rsid w:val="00BA0B62"/>
    <w:rsid w:val="00BA18A3"/>
    <w:rsid w:val="00BA1965"/>
    <w:rsid w:val="00BA2ABD"/>
    <w:rsid w:val="00BA2DA0"/>
    <w:rsid w:val="00BA2E8C"/>
    <w:rsid w:val="00BA433E"/>
    <w:rsid w:val="00BA4B3B"/>
    <w:rsid w:val="00BA4E1E"/>
    <w:rsid w:val="00BA5507"/>
    <w:rsid w:val="00BA6BFE"/>
    <w:rsid w:val="00BA7099"/>
    <w:rsid w:val="00BA7366"/>
    <w:rsid w:val="00BA77E3"/>
    <w:rsid w:val="00BB130D"/>
    <w:rsid w:val="00BB369D"/>
    <w:rsid w:val="00BB541B"/>
    <w:rsid w:val="00BB5C4F"/>
    <w:rsid w:val="00BB5DE2"/>
    <w:rsid w:val="00BB6303"/>
    <w:rsid w:val="00BC0EF4"/>
    <w:rsid w:val="00BC17AA"/>
    <w:rsid w:val="00BC3624"/>
    <w:rsid w:val="00BC3BBE"/>
    <w:rsid w:val="00BC45F2"/>
    <w:rsid w:val="00BC52F3"/>
    <w:rsid w:val="00BC5CDC"/>
    <w:rsid w:val="00BC5E27"/>
    <w:rsid w:val="00BC78FE"/>
    <w:rsid w:val="00BD07FA"/>
    <w:rsid w:val="00BD0A46"/>
    <w:rsid w:val="00BD1168"/>
    <w:rsid w:val="00BD1240"/>
    <w:rsid w:val="00BD2006"/>
    <w:rsid w:val="00BD28AE"/>
    <w:rsid w:val="00BD3BA1"/>
    <w:rsid w:val="00BD4D15"/>
    <w:rsid w:val="00BD4D4E"/>
    <w:rsid w:val="00BD5161"/>
    <w:rsid w:val="00BD622F"/>
    <w:rsid w:val="00BD6804"/>
    <w:rsid w:val="00BE1F4F"/>
    <w:rsid w:val="00BE22FB"/>
    <w:rsid w:val="00BE3226"/>
    <w:rsid w:val="00BE34A7"/>
    <w:rsid w:val="00BE4B9E"/>
    <w:rsid w:val="00BE5E96"/>
    <w:rsid w:val="00BE6422"/>
    <w:rsid w:val="00BE75EC"/>
    <w:rsid w:val="00BE7ABE"/>
    <w:rsid w:val="00BE7D06"/>
    <w:rsid w:val="00BF05C3"/>
    <w:rsid w:val="00BF1763"/>
    <w:rsid w:val="00BF27C8"/>
    <w:rsid w:val="00BF34EB"/>
    <w:rsid w:val="00BF3D38"/>
    <w:rsid w:val="00BF4318"/>
    <w:rsid w:val="00BF4697"/>
    <w:rsid w:val="00BF7204"/>
    <w:rsid w:val="00C0150B"/>
    <w:rsid w:val="00C034FF"/>
    <w:rsid w:val="00C03F6E"/>
    <w:rsid w:val="00C049EC"/>
    <w:rsid w:val="00C04F84"/>
    <w:rsid w:val="00C063A8"/>
    <w:rsid w:val="00C076E1"/>
    <w:rsid w:val="00C07D51"/>
    <w:rsid w:val="00C10887"/>
    <w:rsid w:val="00C118CC"/>
    <w:rsid w:val="00C11A7B"/>
    <w:rsid w:val="00C11B6A"/>
    <w:rsid w:val="00C11FFE"/>
    <w:rsid w:val="00C154EF"/>
    <w:rsid w:val="00C15613"/>
    <w:rsid w:val="00C16BEB"/>
    <w:rsid w:val="00C1717A"/>
    <w:rsid w:val="00C17E1D"/>
    <w:rsid w:val="00C20330"/>
    <w:rsid w:val="00C203DE"/>
    <w:rsid w:val="00C2190B"/>
    <w:rsid w:val="00C21CB8"/>
    <w:rsid w:val="00C23E80"/>
    <w:rsid w:val="00C24C21"/>
    <w:rsid w:val="00C253D6"/>
    <w:rsid w:val="00C319B3"/>
    <w:rsid w:val="00C33479"/>
    <w:rsid w:val="00C3724A"/>
    <w:rsid w:val="00C3724C"/>
    <w:rsid w:val="00C42992"/>
    <w:rsid w:val="00C434AC"/>
    <w:rsid w:val="00C43ACA"/>
    <w:rsid w:val="00C45465"/>
    <w:rsid w:val="00C46F18"/>
    <w:rsid w:val="00C47539"/>
    <w:rsid w:val="00C47BD2"/>
    <w:rsid w:val="00C47C5D"/>
    <w:rsid w:val="00C5060A"/>
    <w:rsid w:val="00C5062E"/>
    <w:rsid w:val="00C516ED"/>
    <w:rsid w:val="00C517C8"/>
    <w:rsid w:val="00C5199F"/>
    <w:rsid w:val="00C525FB"/>
    <w:rsid w:val="00C529B1"/>
    <w:rsid w:val="00C53386"/>
    <w:rsid w:val="00C53D79"/>
    <w:rsid w:val="00C54734"/>
    <w:rsid w:val="00C5745C"/>
    <w:rsid w:val="00C57ADE"/>
    <w:rsid w:val="00C61168"/>
    <w:rsid w:val="00C614B8"/>
    <w:rsid w:val="00C6235A"/>
    <w:rsid w:val="00C63716"/>
    <w:rsid w:val="00C64224"/>
    <w:rsid w:val="00C643EF"/>
    <w:rsid w:val="00C65256"/>
    <w:rsid w:val="00C65C50"/>
    <w:rsid w:val="00C65F8A"/>
    <w:rsid w:val="00C70AE9"/>
    <w:rsid w:val="00C71935"/>
    <w:rsid w:val="00C7213F"/>
    <w:rsid w:val="00C73EF8"/>
    <w:rsid w:val="00C75264"/>
    <w:rsid w:val="00C75277"/>
    <w:rsid w:val="00C755B9"/>
    <w:rsid w:val="00C75AEA"/>
    <w:rsid w:val="00C75B76"/>
    <w:rsid w:val="00C75DA2"/>
    <w:rsid w:val="00C76114"/>
    <w:rsid w:val="00C7694B"/>
    <w:rsid w:val="00C77BC8"/>
    <w:rsid w:val="00C80138"/>
    <w:rsid w:val="00C81966"/>
    <w:rsid w:val="00C832D1"/>
    <w:rsid w:val="00C84067"/>
    <w:rsid w:val="00C84A56"/>
    <w:rsid w:val="00C8508A"/>
    <w:rsid w:val="00C8761D"/>
    <w:rsid w:val="00C9024A"/>
    <w:rsid w:val="00C90A08"/>
    <w:rsid w:val="00C91D49"/>
    <w:rsid w:val="00C92608"/>
    <w:rsid w:val="00C931D8"/>
    <w:rsid w:val="00C95117"/>
    <w:rsid w:val="00C95BF9"/>
    <w:rsid w:val="00C9732B"/>
    <w:rsid w:val="00C97541"/>
    <w:rsid w:val="00C9767E"/>
    <w:rsid w:val="00C97B1D"/>
    <w:rsid w:val="00CA4859"/>
    <w:rsid w:val="00CA5A82"/>
    <w:rsid w:val="00CA5F24"/>
    <w:rsid w:val="00CA66B2"/>
    <w:rsid w:val="00CB0A7B"/>
    <w:rsid w:val="00CB22A3"/>
    <w:rsid w:val="00CB237D"/>
    <w:rsid w:val="00CB2DD2"/>
    <w:rsid w:val="00CB5A0D"/>
    <w:rsid w:val="00CB67E3"/>
    <w:rsid w:val="00CB685B"/>
    <w:rsid w:val="00CB7B20"/>
    <w:rsid w:val="00CC15BF"/>
    <w:rsid w:val="00CC2091"/>
    <w:rsid w:val="00CC20C9"/>
    <w:rsid w:val="00CC2AFD"/>
    <w:rsid w:val="00CC3127"/>
    <w:rsid w:val="00CC40F6"/>
    <w:rsid w:val="00CC6FCE"/>
    <w:rsid w:val="00CD13A3"/>
    <w:rsid w:val="00CD1440"/>
    <w:rsid w:val="00CD25C4"/>
    <w:rsid w:val="00CD5C69"/>
    <w:rsid w:val="00CD5FC6"/>
    <w:rsid w:val="00CD665F"/>
    <w:rsid w:val="00CD6EAC"/>
    <w:rsid w:val="00CE1348"/>
    <w:rsid w:val="00CE26BE"/>
    <w:rsid w:val="00CE5896"/>
    <w:rsid w:val="00CE6094"/>
    <w:rsid w:val="00CE717B"/>
    <w:rsid w:val="00CE7467"/>
    <w:rsid w:val="00CE7E12"/>
    <w:rsid w:val="00CF3F53"/>
    <w:rsid w:val="00CF5180"/>
    <w:rsid w:val="00CF538C"/>
    <w:rsid w:val="00CF6E9E"/>
    <w:rsid w:val="00D004AE"/>
    <w:rsid w:val="00D01A57"/>
    <w:rsid w:val="00D02BB5"/>
    <w:rsid w:val="00D032D7"/>
    <w:rsid w:val="00D04391"/>
    <w:rsid w:val="00D04432"/>
    <w:rsid w:val="00D057E5"/>
    <w:rsid w:val="00D07535"/>
    <w:rsid w:val="00D078E7"/>
    <w:rsid w:val="00D07A44"/>
    <w:rsid w:val="00D10558"/>
    <w:rsid w:val="00D113D3"/>
    <w:rsid w:val="00D1167B"/>
    <w:rsid w:val="00D11D82"/>
    <w:rsid w:val="00D137EF"/>
    <w:rsid w:val="00D14F9A"/>
    <w:rsid w:val="00D1666A"/>
    <w:rsid w:val="00D170FA"/>
    <w:rsid w:val="00D20087"/>
    <w:rsid w:val="00D213B3"/>
    <w:rsid w:val="00D21938"/>
    <w:rsid w:val="00D2198E"/>
    <w:rsid w:val="00D227A8"/>
    <w:rsid w:val="00D2404F"/>
    <w:rsid w:val="00D26A62"/>
    <w:rsid w:val="00D3149D"/>
    <w:rsid w:val="00D31E4D"/>
    <w:rsid w:val="00D32BCC"/>
    <w:rsid w:val="00D342CF"/>
    <w:rsid w:val="00D344F1"/>
    <w:rsid w:val="00D345F3"/>
    <w:rsid w:val="00D40162"/>
    <w:rsid w:val="00D41058"/>
    <w:rsid w:val="00D42C70"/>
    <w:rsid w:val="00D448CA"/>
    <w:rsid w:val="00D45F81"/>
    <w:rsid w:val="00D45FCD"/>
    <w:rsid w:val="00D46046"/>
    <w:rsid w:val="00D47F67"/>
    <w:rsid w:val="00D502F9"/>
    <w:rsid w:val="00D5167A"/>
    <w:rsid w:val="00D51F27"/>
    <w:rsid w:val="00D52487"/>
    <w:rsid w:val="00D53AAD"/>
    <w:rsid w:val="00D54114"/>
    <w:rsid w:val="00D5418E"/>
    <w:rsid w:val="00D543D8"/>
    <w:rsid w:val="00D54D10"/>
    <w:rsid w:val="00D551C4"/>
    <w:rsid w:val="00D56B5F"/>
    <w:rsid w:val="00D60C6E"/>
    <w:rsid w:val="00D60DE6"/>
    <w:rsid w:val="00D61291"/>
    <w:rsid w:val="00D62DB6"/>
    <w:rsid w:val="00D6346E"/>
    <w:rsid w:val="00D63973"/>
    <w:rsid w:val="00D63DF0"/>
    <w:rsid w:val="00D647B7"/>
    <w:rsid w:val="00D64BED"/>
    <w:rsid w:val="00D65C89"/>
    <w:rsid w:val="00D66CD3"/>
    <w:rsid w:val="00D67DFC"/>
    <w:rsid w:val="00D700F9"/>
    <w:rsid w:val="00D711F2"/>
    <w:rsid w:val="00D7178C"/>
    <w:rsid w:val="00D71CAF"/>
    <w:rsid w:val="00D71E18"/>
    <w:rsid w:val="00D72AEE"/>
    <w:rsid w:val="00D73922"/>
    <w:rsid w:val="00D73C76"/>
    <w:rsid w:val="00D743FA"/>
    <w:rsid w:val="00D74AB1"/>
    <w:rsid w:val="00D76DFF"/>
    <w:rsid w:val="00D804CB"/>
    <w:rsid w:val="00D83541"/>
    <w:rsid w:val="00D8430B"/>
    <w:rsid w:val="00D87E39"/>
    <w:rsid w:val="00D91B74"/>
    <w:rsid w:val="00D926B7"/>
    <w:rsid w:val="00D92791"/>
    <w:rsid w:val="00D92DF6"/>
    <w:rsid w:val="00D932A3"/>
    <w:rsid w:val="00D9410D"/>
    <w:rsid w:val="00D94265"/>
    <w:rsid w:val="00D94B75"/>
    <w:rsid w:val="00D952CD"/>
    <w:rsid w:val="00D96DD5"/>
    <w:rsid w:val="00D9768C"/>
    <w:rsid w:val="00DA1858"/>
    <w:rsid w:val="00DA1E28"/>
    <w:rsid w:val="00DA1F74"/>
    <w:rsid w:val="00DA360C"/>
    <w:rsid w:val="00DA4488"/>
    <w:rsid w:val="00DA55F1"/>
    <w:rsid w:val="00DA5E2D"/>
    <w:rsid w:val="00DA5F31"/>
    <w:rsid w:val="00DB2FCD"/>
    <w:rsid w:val="00DB3B97"/>
    <w:rsid w:val="00DB522A"/>
    <w:rsid w:val="00DB5B36"/>
    <w:rsid w:val="00DC28DD"/>
    <w:rsid w:val="00DC330C"/>
    <w:rsid w:val="00DC3C7E"/>
    <w:rsid w:val="00DC68C2"/>
    <w:rsid w:val="00DC6B8A"/>
    <w:rsid w:val="00DC72E7"/>
    <w:rsid w:val="00DC7CE8"/>
    <w:rsid w:val="00DD03FB"/>
    <w:rsid w:val="00DD073F"/>
    <w:rsid w:val="00DD17B6"/>
    <w:rsid w:val="00DD58E4"/>
    <w:rsid w:val="00DD5EC7"/>
    <w:rsid w:val="00DD6289"/>
    <w:rsid w:val="00DD66D8"/>
    <w:rsid w:val="00DD6B69"/>
    <w:rsid w:val="00DD6F80"/>
    <w:rsid w:val="00DD79D3"/>
    <w:rsid w:val="00DE0E55"/>
    <w:rsid w:val="00DE13B2"/>
    <w:rsid w:val="00DE181E"/>
    <w:rsid w:val="00DE1A5B"/>
    <w:rsid w:val="00DE4039"/>
    <w:rsid w:val="00DE4758"/>
    <w:rsid w:val="00DE4C55"/>
    <w:rsid w:val="00DE4DD1"/>
    <w:rsid w:val="00DE5530"/>
    <w:rsid w:val="00DE5B13"/>
    <w:rsid w:val="00DF0BCB"/>
    <w:rsid w:val="00DF0EFC"/>
    <w:rsid w:val="00DF20CC"/>
    <w:rsid w:val="00DF3495"/>
    <w:rsid w:val="00DF4312"/>
    <w:rsid w:val="00DF52AF"/>
    <w:rsid w:val="00DF6730"/>
    <w:rsid w:val="00DF6907"/>
    <w:rsid w:val="00DF6B06"/>
    <w:rsid w:val="00DF796F"/>
    <w:rsid w:val="00DF7C69"/>
    <w:rsid w:val="00E003B3"/>
    <w:rsid w:val="00E004EE"/>
    <w:rsid w:val="00E01A0D"/>
    <w:rsid w:val="00E01CD6"/>
    <w:rsid w:val="00E03250"/>
    <w:rsid w:val="00E03A3D"/>
    <w:rsid w:val="00E05197"/>
    <w:rsid w:val="00E0519E"/>
    <w:rsid w:val="00E05FCC"/>
    <w:rsid w:val="00E06ECB"/>
    <w:rsid w:val="00E07DDD"/>
    <w:rsid w:val="00E105C2"/>
    <w:rsid w:val="00E106AD"/>
    <w:rsid w:val="00E11C4E"/>
    <w:rsid w:val="00E138BA"/>
    <w:rsid w:val="00E15B33"/>
    <w:rsid w:val="00E170D0"/>
    <w:rsid w:val="00E17735"/>
    <w:rsid w:val="00E17BEF"/>
    <w:rsid w:val="00E20F19"/>
    <w:rsid w:val="00E2269C"/>
    <w:rsid w:val="00E23459"/>
    <w:rsid w:val="00E25866"/>
    <w:rsid w:val="00E259CD"/>
    <w:rsid w:val="00E31AE1"/>
    <w:rsid w:val="00E32D8E"/>
    <w:rsid w:val="00E341F4"/>
    <w:rsid w:val="00E34EEC"/>
    <w:rsid w:val="00E3560F"/>
    <w:rsid w:val="00E36821"/>
    <w:rsid w:val="00E42B75"/>
    <w:rsid w:val="00E42D7D"/>
    <w:rsid w:val="00E43F9D"/>
    <w:rsid w:val="00E4475B"/>
    <w:rsid w:val="00E4498E"/>
    <w:rsid w:val="00E44DDB"/>
    <w:rsid w:val="00E4593E"/>
    <w:rsid w:val="00E45B7A"/>
    <w:rsid w:val="00E45FE7"/>
    <w:rsid w:val="00E46CEB"/>
    <w:rsid w:val="00E47F1C"/>
    <w:rsid w:val="00E50C19"/>
    <w:rsid w:val="00E529CD"/>
    <w:rsid w:val="00E5301F"/>
    <w:rsid w:val="00E531FF"/>
    <w:rsid w:val="00E53E9D"/>
    <w:rsid w:val="00E5739B"/>
    <w:rsid w:val="00E6234D"/>
    <w:rsid w:val="00E62446"/>
    <w:rsid w:val="00E65D39"/>
    <w:rsid w:val="00E66D1C"/>
    <w:rsid w:val="00E67ACD"/>
    <w:rsid w:val="00E70DE2"/>
    <w:rsid w:val="00E72249"/>
    <w:rsid w:val="00E7352D"/>
    <w:rsid w:val="00E73AC3"/>
    <w:rsid w:val="00E74B84"/>
    <w:rsid w:val="00E752AE"/>
    <w:rsid w:val="00E753DF"/>
    <w:rsid w:val="00E75511"/>
    <w:rsid w:val="00E756FA"/>
    <w:rsid w:val="00E7611B"/>
    <w:rsid w:val="00E76B68"/>
    <w:rsid w:val="00E76F41"/>
    <w:rsid w:val="00E81F5C"/>
    <w:rsid w:val="00E82127"/>
    <w:rsid w:val="00E82318"/>
    <w:rsid w:val="00E838E8"/>
    <w:rsid w:val="00E85CF1"/>
    <w:rsid w:val="00E86AEE"/>
    <w:rsid w:val="00E87859"/>
    <w:rsid w:val="00E90A2B"/>
    <w:rsid w:val="00E91A04"/>
    <w:rsid w:val="00E923A4"/>
    <w:rsid w:val="00E942C2"/>
    <w:rsid w:val="00E943DA"/>
    <w:rsid w:val="00E945FB"/>
    <w:rsid w:val="00E95B24"/>
    <w:rsid w:val="00EA0BF3"/>
    <w:rsid w:val="00EA0EFE"/>
    <w:rsid w:val="00EA12FE"/>
    <w:rsid w:val="00EA1A40"/>
    <w:rsid w:val="00EA33C7"/>
    <w:rsid w:val="00EA74F2"/>
    <w:rsid w:val="00EB0001"/>
    <w:rsid w:val="00EB1DC5"/>
    <w:rsid w:val="00EB1EA6"/>
    <w:rsid w:val="00EB383A"/>
    <w:rsid w:val="00EB458E"/>
    <w:rsid w:val="00EB543D"/>
    <w:rsid w:val="00EB6CC2"/>
    <w:rsid w:val="00EB7AEA"/>
    <w:rsid w:val="00EB7D44"/>
    <w:rsid w:val="00EC2202"/>
    <w:rsid w:val="00EC3273"/>
    <w:rsid w:val="00EC4380"/>
    <w:rsid w:val="00EC46A2"/>
    <w:rsid w:val="00EC64C5"/>
    <w:rsid w:val="00EC65D3"/>
    <w:rsid w:val="00EC6826"/>
    <w:rsid w:val="00EC7225"/>
    <w:rsid w:val="00EC72E6"/>
    <w:rsid w:val="00ED0AAF"/>
    <w:rsid w:val="00ED2C13"/>
    <w:rsid w:val="00ED2E5D"/>
    <w:rsid w:val="00ED3608"/>
    <w:rsid w:val="00ED4AA3"/>
    <w:rsid w:val="00ED657C"/>
    <w:rsid w:val="00ED74C5"/>
    <w:rsid w:val="00ED76BE"/>
    <w:rsid w:val="00ED77C9"/>
    <w:rsid w:val="00ED7DFC"/>
    <w:rsid w:val="00EE035E"/>
    <w:rsid w:val="00EE1024"/>
    <w:rsid w:val="00EE2FAE"/>
    <w:rsid w:val="00EE37C8"/>
    <w:rsid w:val="00EE3C5F"/>
    <w:rsid w:val="00EE519C"/>
    <w:rsid w:val="00EE5975"/>
    <w:rsid w:val="00EF020F"/>
    <w:rsid w:val="00EF0B36"/>
    <w:rsid w:val="00EF10D1"/>
    <w:rsid w:val="00EF1597"/>
    <w:rsid w:val="00EF1AAD"/>
    <w:rsid w:val="00EF1C84"/>
    <w:rsid w:val="00EF2198"/>
    <w:rsid w:val="00EF22A4"/>
    <w:rsid w:val="00EF2565"/>
    <w:rsid w:val="00EF4243"/>
    <w:rsid w:val="00EF566F"/>
    <w:rsid w:val="00EF6CBD"/>
    <w:rsid w:val="00F012BB"/>
    <w:rsid w:val="00F01823"/>
    <w:rsid w:val="00F03EAD"/>
    <w:rsid w:val="00F048D2"/>
    <w:rsid w:val="00F04A98"/>
    <w:rsid w:val="00F06281"/>
    <w:rsid w:val="00F071BA"/>
    <w:rsid w:val="00F07652"/>
    <w:rsid w:val="00F07758"/>
    <w:rsid w:val="00F07C0A"/>
    <w:rsid w:val="00F12545"/>
    <w:rsid w:val="00F12826"/>
    <w:rsid w:val="00F12DD2"/>
    <w:rsid w:val="00F15034"/>
    <w:rsid w:val="00F156A9"/>
    <w:rsid w:val="00F169C4"/>
    <w:rsid w:val="00F17EF9"/>
    <w:rsid w:val="00F201F5"/>
    <w:rsid w:val="00F20641"/>
    <w:rsid w:val="00F20DED"/>
    <w:rsid w:val="00F224A6"/>
    <w:rsid w:val="00F2305B"/>
    <w:rsid w:val="00F23860"/>
    <w:rsid w:val="00F23EFC"/>
    <w:rsid w:val="00F24222"/>
    <w:rsid w:val="00F24931"/>
    <w:rsid w:val="00F24CD0"/>
    <w:rsid w:val="00F24EEF"/>
    <w:rsid w:val="00F34FF2"/>
    <w:rsid w:val="00F368C9"/>
    <w:rsid w:val="00F36BF4"/>
    <w:rsid w:val="00F40092"/>
    <w:rsid w:val="00F41688"/>
    <w:rsid w:val="00F4712E"/>
    <w:rsid w:val="00F47965"/>
    <w:rsid w:val="00F479C8"/>
    <w:rsid w:val="00F507E0"/>
    <w:rsid w:val="00F51048"/>
    <w:rsid w:val="00F524D8"/>
    <w:rsid w:val="00F531DF"/>
    <w:rsid w:val="00F53F36"/>
    <w:rsid w:val="00F540DA"/>
    <w:rsid w:val="00F54BCC"/>
    <w:rsid w:val="00F55C00"/>
    <w:rsid w:val="00F60C5C"/>
    <w:rsid w:val="00F623D7"/>
    <w:rsid w:val="00F63DA1"/>
    <w:rsid w:val="00F646F2"/>
    <w:rsid w:val="00F664F9"/>
    <w:rsid w:val="00F66586"/>
    <w:rsid w:val="00F67AC5"/>
    <w:rsid w:val="00F71822"/>
    <w:rsid w:val="00F7226E"/>
    <w:rsid w:val="00F72BA6"/>
    <w:rsid w:val="00F75214"/>
    <w:rsid w:val="00F76433"/>
    <w:rsid w:val="00F80097"/>
    <w:rsid w:val="00F804E8"/>
    <w:rsid w:val="00F80E76"/>
    <w:rsid w:val="00F81540"/>
    <w:rsid w:val="00F8172F"/>
    <w:rsid w:val="00F817BE"/>
    <w:rsid w:val="00F81AD6"/>
    <w:rsid w:val="00F81AF6"/>
    <w:rsid w:val="00F82FDE"/>
    <w:rsid w:val="00F85EDE"/>
    <w:rsid w:val="00F8601C"/>
    <w:rsid w:val="00F87195"/>
    <w:rsid w:val="00F90414"/>
    <w:rsid w:val="00F9101F"/>
    <w:rsid w:val="00F91A86"/>
    <w:rsid w:val="00F92C3A"/>
    <w:rsid w:val="00F9333C"/>
    <w:rsid w:val="00F93604"/>
    <w:rsid w:val="00F952C7"/>
    <w:rsid w:val="00F95342"/>
    <w:rsid w:val="00F9616F"/>
    <w:rsid w:val="00F97C77"/>
    <w:rsid w:val="00F97F11"/>
    <w:rsid w:val="00FA1468"/>
    <w:rsid w:val="00FA24DD"/>
    <w:rsid w:val="00FA2C5B"/>
    <w:rsid w:val="00FA315A"/>
    <w:rsid w:val="00FA5DEA"/>
    <w:rsid w:val="00FA675D"/>
    <w:rsid w:val="00FA69E7"/>
    <w:rsid w:val="00FA6C76"/>
    <w:rsid w:val="00FA79C5"/>
    <w:rsid w:val="00FA7E2C"/>
    <w:rsid w:val="00FB0396"/>
    <w:rsid w:val="00FB2EDC"/>
    <w:rsid w:val="00FB3570"/>
    <w:rsid w:val="00FB4EB4"/>
    <w:rsid w:val="00FB51EF"/>
    <w:rsid w:val="00FB5484"/>
    <w:rsid w:val="00FB64FB"/>
    <w:rsid w:val="00FB6CD9"/>
    <w:rsid w:val="00FC07EE"/>
    <w:rsid w:val="00FC114B"/>
    <w:rsid w:val="00FC34B1"/>
    <w:rsid w:val="00FC42A9"/>
    <w:rsid w:val="00FC4BC2"/>
    <w:rsid w:val="00FC58D9"/>
    <w:rsid w:val="00FC600D"/>
    <w:rsid w:val="00FD2DEC"/>
    <w:rsid w:val="00FD33C1"/>
    <w:rsid w:val="00FD48AD"/>
    <w:rsid w:val="00FD48FD"/>
    <w:rsid w:val="00FD5F27"/>
    <w:rsid w:val="00FD6342"/>
    <w:rsid w:val="00FD7753"/>
    <w:rsid w:val="00FD7779"/>
    <w:rsid w:val="00FE0189"/>
    <w:rsid w:val="00FE150C"/>
    <w:rsid w:val="00FE155A"/>
    <w:rsid w:val="00FE1863"/>
    <w:rsid w:val="00FE1EBE"/>
    <w:rsid w:val="00FE284C"/>
    <w:rsid w:val="00FE46DB"/>
    <w:rsid w:val="00FE4CD8"/>
    <w:rsid w:val="00FE4E5E"/>
    <w:rsid w:val="00FE5DEE"/>
    <w:rsid w:val="00FE724D"/>
    <w:rsid w:val="00FE7373"/>
    <w:rsid w:val="00FF0546"/>
    <w:rsid w:val="00FF0551"/>
    <w:rsid w:val="00FF0E0F"/>
    <w:rsid w:val="00FF1533"/>
    <w:rsid w:val="00FF1FE9"/>
    <w:rsid w:val="00FF656C"/>
    <w:rsid w:val="00FF6AA6"/>
    <w:rsid w:val="00FF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9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6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69B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3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B1"/>
  </w:style>
  <w:style w:type="paragraph" w:styleId="Footer">
    <w:name w:val="footer"/>
    <w:basedOn w:val="Normal"/>
    <w:link w:val="FooterChar"/>
    <w:uiPriority w:val="99"/>
    <w:unhideWhenUsed/>
    <w:rsid w:val="00836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B1"/>
  </w:style>
  <w:style w:type="paragraph" w:styleId="FootnoteText">
    <w:name w:val="footnote text"/>
    <w:aliases w:val="Char Char Char,Char Char"/>
    <w:basedOn w:val="Normal"/>
    <w:link w:val="FootnoteTextChar"/>
    <w:uiPriority w:val="99"/>
    <w:unhideWhenUsed/>
    <w:rsid w:val="000F1AE7"/>
    <w:pPr>
      <w:spacing w:after="0" w:line="240" w:lineRule="auto"/>
    </w:pPr>
    <w:rPr>
      <w:sz w:val="20"/>
      <w:szCs w:val="20"/>
    </w:rPr>
  </w:style>
  <w:style w:type="character" w:customStyle="1" w:styleId="FootnoteTextChar">
    <w:name w:val="Footnote Text Char"/>
    <w:aliases w:val="Char Char Char Char,Char Char Char1"/>
    <w:basedOn w:val="DefaultParagraphFont"/>
    <w:link w:val="FootnoteText"/>
    <w:uiPriority w:val="99"/>
    <w:rsid w:val="000F1AE7"/>
    <w:rPr>
      <w:sz w:val="20"/>
      <w:szCs w:val="20"/>
    </w:rPr>
  </w:style>
  <w:style w:type="character" w:styleId="FootnoteReference">
    <w:name w:val="footnote reference"/>
    <w:basedOn w:val="DefaultParagraphFont"/>
    <w:uiPriority w:val="99"/>
    <w:semiHidden/>
    <w:unhideWhenUsed/>
    <w:rsid w:val="000F1AE7"/>
    <w:rPr>
      <w:vertAlign w:val="superscript"/>
    </w:rPr>
  </w:style>
  <w:style w:type="paragraph" w:styleId="Revision">
    <w:name w:val="Revision"/>
    <w:hidden/>
    <w:uiPriority w:val="99"/>
    <w:semiHidden/>
    <w:rsid w:val="009D4601"/>
    <w:pPr>
      <w:spacing w:after="0" w:line="240" w:lineRule="auto"/>
    </w:pPr>
  </w:style>
  <w:style w:type="paragraph" w:styleId="BalloonText">
    <w:name w:val="Balloon Text"/>
    <w:basedOn w:val="Normal"/>
    <w:link w:val="BalloonTextChar"/>
    <w:uiPriority w:val="99"/>
    <w:semiHidden/>
    <w:unhideWhenUsed/>
    <w:rsid w:val="009D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01"/>
    <w:rPr>
      <w:rFonts w:ascii="Tahoma" w:hAnsi="Tahoma" w:cs="Tahoma"/>
      <w:sz w:val="16"/>
      <w:szCs w:val="16"/>
    </w:rPr>
  </w:style>
  <w:style w:type="character" w:styleId="Hyperlink">
    <w:name w:val="Hyperlink"/>
    <w:basedOn w:val="DefaultParagraphFont"/>
    <w:uiPriority w:val="99"/>
    <w:unhideWhenUsed/>
    <w:rsid w:val="00DB2FCD"/>
    <w:rPr>
      <w:color w:val="0000FF" w:themeColor="hyperlink"/>
      <w:u w:val="single"/>
    </w:rPr>
  </w:style>
  <w:style w:type="paragraph" w:styleId="ListParagraph">
    <w:name w:val="List Paragraph"/>
    <w:basedOn w:val="Normal"/>
    <w:uiPriority w:val="34"/>
    <w:qFormat/>
    <w:rsid w:val="00A84237"/>
    <w:pPr>
      <w:ind w:left="720"/>
      <w:contextualSpacing/>
    </w:pPr>
  </w:style>
  <w:style w:type="character" w:styleId="CommentReference">
    <w:name w:val="annotation reference"/>
    <w:basedOn w:val="DefaultParagraphFont"/>
    <w:uiPriority w:val="99"/>
    <w:semiHidden/>
    <w:unhideWhenUsed/>
    <w:rsid w:val="006418F9"/>
    <w:rPr>
      <w:sz w:val="16"/>
      <w:szCs w:val="16"/>
    </w:rPr>
  </w:style>
  <w:style w:type="paragraph" w:styleId="CommentText">
    <w:name w:val="annotation text"/>
    <w:basedOn w:val="Normal"/>
    <w:link w:val="CommentTextChar"/>
    <w:uiPriority w:val="99"/>
    <w:semiHidden/>
    <w:unhideWhenUsed/>
    <w:rsid w:val="006418F9"/>
    <w:pPr>
      <w:spacing w:line="240" w:lineRule="auto"/>
    </w:pPr>
    <w:rPr>
      <w:sz w:val="20"/>
      <w:szCs w:val="20"/>
    </w:rPr>
  </w:style>
  <w:style w:type="character" w:customStyle="1" w:styleId="CommentTextChar">
    <w:name w:val="Comment Text Char"/>
    <w:basedOn w:val="DefaultParagraphFont"/>
    <w:link w:val="CommentText"/>
    <w:uiPriority w:val="99"/>
    <w:semiHidden/>
    <w:rsid w:val="006418F9"/>
    <w:rPr>
      <w:sz w:val="20"/>
      <w:szCs w:val="20"/>
    </w:rPr>
  </w:style>
  <w:style w:type="paragraph" w:styleId="CommentSubject">
    <w:name w:val="annotation subject"/>
    <w:basedOn w:val="CommentText"/>
    <w:next w:val="CommentText"/>
    <w:link w:val="CommentSubjectChar"/>
    <w:uiPriority w:val="99"/>
    <w:semiHidden/>
    <w:unhideWhenUsed/>
    <w:rsid w:val="006418F9"/>
    <w:rPr>
      <w:b/>
      <w:bCs/>
    </w:rPr>
  </w:style>
  <w:style w:type="character" w:customStyle="1" w:styleId="CommentSubjectChar">
    <w:name w:val="Comment Subject Char"/>
    <w:basedOn w:val="CommentTextChar"/>
    <w:link w:val="CommentSubject"/>
    <w:uiPriority w:val="99"/>
    <w:semiHidden/>
    <w:rsid w:val="006418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6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9B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69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69B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3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B1"/>
  </w:style>
  <w:style w:type="paragraph" w:styleId="Footer">
    <w:name w:val="footer"/>
    <w:basedOn w:val="Normal"/>
    <w:link w:val="FooterChar"/>
    <w:uiPriority w:val="99"/>
    <w:unhideWhenUsed/>
    <w:rsid w:val="00836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B1"/>
  </w:style>
  <w:style w:type="paragraph" w:styleId="FootnoteText">
    <w:name w:val="footnote text"/>
    <w:aliases w:val="Char Char Char,Char Char"/>
    <w:basedOn w:val="Normal"/>
    <w:link w:val="FootnoteTextChar"/>
    <w:uiPriority w:val="99"/>
    <w:unhideWhenUsed/>
    <w:rsid w:val="000F1AE7"/>
    <w:pPr>
      <w:spacing w:after="0" w:line="240" w:lineRule="auto"/>
    </w:pPr>
    <w:rPr>
      <w:sz w:val="20"/>
      <w:szCs w:val="20"/>
    </w:rPr>
  </w:style>
  <w:style w:type="character" w:customStyle="1" w:styleId="FootnoteTextChar">
    <w:name w:val="Footnote Text Char"/>
    <w:aliases w:val="Char Char Char Char,Char Char Char1"/>
    <w:basedOn w:val="DefaultParagraphFont"/>
    <w:link w:val="FootnoteText"/>
    <w:uiPriority w:val="99"/>
    <w:rsid w:val="000F1AE7"/>
    <w:rPr>
      <w:sz w:val="20"/>
      <w:szCs w:val="20"/>
    </w:rPr>
  </w:style>
  <w:style w:type="character" w:styleId="FootnoteReference">
    <w:name w:val="footnote reference"/>
    <w:basedOn w:val="DefaultParagraphFont"/>
    <w:uiPriority w:val="99"/>
    <w:semiHidden/>
    <w:unhideWhenUsed/>
    <w:rsid w:val="000F1AE7"/>
    <w:rPr>
      <w:vertAlign w:val="superscript"/>
    </w:rPr>
  </w:style>
  <w:style w:type="paragraph" w:styleId="Revision">
    <w:name w:val="Revision"/>
    <w:hidden/>
    <w:uiPriority w:val="99"/>
    <w:semiHidden/>
    <w:rsid w:val="009D4601"/>
    <w:pPr>
      <w:spacing w:after="0" w:line="240" w:lineRule="auto"/>
    </w:pPr>
  </w:style>
  <w:style w:type="paragraph" w:styleId="BalloonText">
    <w:name w:val="Balloon Text"/>
    <w:basedOn w:val="Normal"/>
    <w:link w:val="BalloonTextChar"/>
    <w:uiPriority w:val="99"/>
    <w:semiHidden/>
    <w:unhideWhenUsed/>
    <w:rsid w:val="009D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01"/>
    <w:rPr>
      <w:rFonts w:ascii="Tahoma" w:hAnsi="Tahoma" w:cs="Tahoma"/>
      <w:sz w:val="16"/>
      <w:szCs w:val="16"/>
    </w:rPr>
  </w:style>
  <w:style w:type="character" w:styleId="Hyperlink">
    <w:name w:val="Hyperlink"/>
    <w:basedOn w:val="DefaultParagraphFont"/>
    <w:uiPriority w:val="99"/>
    <w:unhideWhenUsed/>
    <w:rsid w:val="00DB2FCD"/>
    <w:rPr>
      <w:color w:val="0000FF" w:themeColor="hyperlink"/>
      <w:u w:val="single"/>
    </w:rPr>
  </w:style>
  <w:style w:type="paragraph" w:styleId="ListParagraph">
    <w:name w:val="List Paragraph"/>
    <w:basedOn w:val="Normal"/>
    <w:uiPriority w:val="34"/>
    <w:qFormat/>
    <w:rsid w:val="00A84237"/>
    <w:pPr>
      <w:ind w:left="720"/>
      <w:contextualSpacing/>
    </w:pPr>
  </w:style>
  <w:style w:type="character" w:styleId="CommentReference">
    <w:name w:val="annotation reference"/>
    <w:basedOn w:val="DefaultParagraphFont"/>
    <w:uiPriority w:val="99"/>
    <w:semiHidden/>
    <w:unhideWhenUsed/>
    <w:rsid w:val="006418F9"/>
    <w:rPr>
      <w:sz w:val="16"/>
      <w:szCs w:val="16"/>
    </w:rPr>
  </w:style>
  <w:style w:type="paragraph" w:styleId="CommentText">
    <w:name w:val="annotation text"/>
    <w:basedOn w:val="Normal"/>
    <w:link w:val="CommentTextChar"/>
    <w:uiPriority w:val="99"/>
    <w:semiHidden/>
    <w:unhideWhenUsed/>
    <w:rsid w:val="006418F9"/>
    <w:pPr>
      <w:spacing w:line="240" w:lineRule="auto"/>
    </w:pPr>
    <w:rPr>
      <w:sz w:val="20"/>
      <w:szCs w:val="20"/>
    </w:rPr>
  </w:style>
  <w:style w:type="character" w:customStyle="1" w:styleId="CommentTextChar">
    <w:name w:val="Comment Text Char"/>
    <w:basedOn w:val="DefaultParagraphFont"/>
    <w:link w:val="CommentText"/>
    <w:uiPriority w:val="99"/>
    <w:semiHidden/>
    <w:rsid w:val="006418F9"/>
    <w:rPr>
      <w:sz w:val="20"/>
      <w:szCs w:val="20"/>
    </w:rPr>
  </w:style>
  <w:style w:type="paragraph" w:styleId="CommentSubject">
    <w:name w:val="annotation subject"/>
    <w:basedOn w:val="CommentText"/>
    <w:next w:val="CommentText"/>
    <w:link w:val="CommentSubjectChar"/>
    <w:uiPriority w:val="99"/>
    <w:semiHidden/>
    <w:unhideWhenUsed/>
    <w:rsid w:val="006418F9"/>
    <w:rPr>
      <w:b/>
      <w:bCs/>
    </w:rPr>
  </w:style>
  <w:style w:type="character" w:customStyle="1" w:styleId="CommentSubjectChar">
    <w:name w:val="Comment Subject Char"/>
    <w:basedOn w:val="CommentTextChar"/>
    <w:link w:val="CommentSubject"/>
    <w:uiPriority w:val="99"/>
    <w:semiHidden/>
    <w:rsid w:val="00641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deprivation-of-liberty-standards-dols-consultation-response/department-of-health-response-to-the-law-commissions-consultation-on-mental-capacity-and-deprivation-of-liberty" TargetMode="External"/><Relationship Id="rId2" Type="http://schemas.openxmlformats.org/officeDocument/2006/relationships/hyperlink" Target="http://www.cqc.org.uk/sites/default/files/20151209_deprivation_of_liberty_safeguards_2014-15.pdf" TargetMode="External"/><Relationship Id="rId1" Type="http://schemas.openxmlformats.org/officeDocument/2006/relationships/hyperlink" Target="http://www.guardian.co.uk/social-care-network/2012/apr/02/deprivation-liberty-safeguards-impro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2DC8-D32F-4A90-BF65-4B6CFE09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48</Pages>
  <Words>7508</Words>
  <Characters>42799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Fanning</dc:creator>
  <cp:lastModifiedBy>John Fanning</cp:lastModifiedBy>
  <cp:revision>5</cp:revision>
  <cp:lastPrinted>2016-06-22T15:12:00Z</cp:lastPrinted>
  <dcterms:created xsi:type="dcterms:W3CDTF">2016-06-22T16:47:00Z</dcterms:created>
  <dcterms:modified xsi:type="dcterms:W3CDTF">2016-06-30T11:17:00Z</dcterms:modified>
</cp:coreProperties>
</file>