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18" w:rsidRPr="009429F0" w:rsidRDefault="00D80DDD" w:rsidP="00C37EAE">
      <w:pPr>
        <w:spacing w:line="240" w:lineRule="auto"/>
        <w:rPr>
          <w:b/>
          <w:sz w:val="28"/>
          <w:szCs w:val="28"/>
        </w:rPr>
      </w:pPr>
      <w:bookmarkStart w:id="0" w:name="_GoBack"/>
      <w:bookmarkEnd w:id="0"/>
      <w:r>
        <w:rPr>
          <w:b/>
          <w:sz w:val="28"/>
          <w:szCs w:val="28"/>
        </w:rPr>
        <w:t xml:space="preserve">Title: </w:t>
      </w:r>
      <w:r w:rsidR="000558B9" w:rsidRPr="009429F0">
        <w:rPr>
          <w:b/>
          <w:sz w:val="28"/>
          <w:szCs w:val="28"/>
        </w:rPr>
        <w:t>C</w:t>
      </w:r>
      <w:r w:rsidR="009A2918" w:rsidRPr="009429F0">
        <w:rPr>
          <w:b/>
          <w:sz w:val="28"/>
          <w:szCs w:val="28"/>
        </w:rPr>
        <w:t xml:space="preserve">hange in diagnosis </w:t>
      </w:r>
      <w:r w:rsidR="000558B9" w:rsidRPr="009429F0">
        <w:rPr>
          <w:b/>
          <w:sz w:val="28"/>
          <w:szCs w:val="28"/>
        </w:rPr>
        <w:t>on fit notes within</w:t>
      </w:r>
      <w:r w:rsidR="009A2918" w:rsidRPr="009429F0">
        <w:rPr>
          <w:b/>
          <w:sz w:val="28"/>
          <w:szCs w:val="28"/>
        </w:rPr>
        <w:t xml:space="preserve"> an episode of certified sickness absence</w:t>
      </w:r>
    </w:p>
    <w:p w:rsidR="00CA321B" w:rsidRDefault="00D80DDD" w:rsidP="00C37EAE">
      <w:pPr>
        <w:spacing w:line="240" w:lineRule="auto"/>
        <w:rPr>
          <w:b/>
          <w:sz w:val="24"/>
          <w:szCs w:val="24"/>
        </w:rPr>
      </w:pPr>
      <w:r>
        <w:rPr>
          <w:b/>
          <w:sz w:val="24"/>
          <w:szCs w:val="24"/>
        </w:rPr>
        <w:t>Short title: Change in diagnosis on fit notes</w:t>
      </w:r>
    </w:p>
    <w:p w:rsidR="00D80DDD" w:rsidRPr="00D80DDD" w:rsidRDefault="00D80DDD" w:rsidP="00C37EAE">
      <w:pPr>
        <w:spacing w:line="240" w:lineRule="auto"/>
        <w:rPr>
          <w:b/>
          <w:sz w:val="24"/>
          <w:szCs w:val="24"/>
        </w:rPr>
      </w:pPr>
      <w:r>
        <w:rPr>
          <w:b/>
          <w:sz w:val="24"/>
          <w:szCs w:val="24"/>
        </w:rPr>
        <w:t>Article category: Health Service Research</w:t>
      </w:r>
    </w:p>
    <w:p w:rsidR="00D80DDD" w:rsidRDefault="00D80DDD" w:rsidP="00C37EAE">
      <w:pPr>
        <w:spacing w:after="0" w:line="240" w:lineRule="auto"/>
        <w:rPr>
          <w:rFonts w:ascii="Arial" w:hAnsi="Arial" w:cs="Arial"/>
          <w:sz w:val="20"/>
          <w:szCs w:val="20"/>
        </w:rPr>
      </w:pPr>
    </w:p>
    <w:p w:rsidR="00D80DDD" w:rsidRDefault="00D80DDD"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Chris </w:t>
      </w:r>
      <w:proofErr w:type="spellStart"/>
      <w:r w:rsidRPr="009429F0">
        <w:rPr>
          <w:rFonts w:ascii="Arial" w:hAnsi="Arial" w:cs="Arial"/>
          <w:sz w:val="20"/>
          <w:szCs w:val="20"/>
        </w:rPr>
        <w:t>Shiels</w:t>
      </w:r>
      <w:r w:rsidR="005E378A" w:rsidRPr="009429F0">
        <w:rPr>
          <w:rFonts w:ascii="Arial" w:hAnsi="Arial" w:cs="Arial"/>
          <w:sz w:val="20"/>
          <w:szCs w:val="20"/>
          <w:vertAlign w:val="superscript"/>
        </w:rPr>
        <w:t>a</w:t>
      </w:r>
      <w:proofErr w:type="spellEnd"/>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Mark </w:t>
      </w:r>
      <w:proofErr w:type="spellStart"/>
      <w:r w:rsidRPr="009429F0">
        <w:rPr>
          <w:rFonts w:ascii="Arial" w:hAnsi="Arial" w:cs="Arial"/>
          <w:sz w:val="20"/>
          <w:szCs w:val="20"/>
        </w:rPr>
        <w:t>Gabbay</w:t>
      </w:r>
      <w:r w:rsidR="005E378A" w:rsidRPr="009429F0">
        <w:rPr>
          <w:rFonts w:ascii="Arial" w:hAnsi="Arial" w:cs="Arial"/>
          <w:sz w:val="20"/>
          <w:szCs w:val="20"/>
          <w:vertAlign w:val="superscript"/>
        </w:rPr>
        <w:t>a</w:t>
      </w:r>
      <w:proofErr w:type="spellEnd"/>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Jim </w:t>
      </w:r>
      <w:proofErr w:type="spellStart"/>
      <w:r w:rsidRPr="009429F0">
        <w:rPr>
          <w:rFonts w:ascii="Arial" w:hAnsi="Arial" w:cs="Arial"/>
          <w:sz w:val="20"/>
          <w:szCs w:val="20"/>
        </w:rPr>
        <w:t>Hillage</w:t>
      </w:r>
      <w:r w:rsidR="005E378A" w:rsidRPr="009429F0">
        <w:rPr>
          <w:rFonts w:ascii="Arial" w:hAnsi="Arial" w:cs="Arial"/>
          <w:sz w:val="20"/>
          <w:szCs w:val="20"/>
          <w:vertAlign w:val="superscript"/>
        </w:rPr>
        <w:t>b</w:t>
      </w:r>
      <w:proofErr w:type="spellEnd"/>
      <w:r w:rsidR="00D80DDD">
        <w:rPr>
          <w:rFonts w:ascii="Arial" w:hAnsi="Arial" w:cs="Arial"/>
          <w:sz w:val="20"/>
          <w:szCs w:val="20"/>
          <w:vertAlign w:val="superscript"/>
        </w:rPr>
        <w:t xml:space="preserve"> </w:t>
      </w:r>
    </w:p>
    <w:p w:rsidR="00CA321B" w:rsidRPr="009429F0" w:rsidRDefault="00CA321B" w:rsidP="00C37EAE">
      <w:pPr>
        <w:spacing w:after="0" w:line="240" w:lineRule="auto"/>
        <w:rPr>
          <w:rFonts w:ascii="Arial" w:hAnsi="Arial" w:cs="Arial"/>
          <w:sz w:val="20"/>
          <w:szCs w:val="20"/>
        </w:rPr>
      </w:pPr>
    </w:p>
    <w:p w:rsidR="00CA321B" w:rsidRPr="009429F0" w:rsidRDefault="005E378A" w:rsidP="00C37EAE">
      <w:pPr>
        <w:spacing w:after="0" w:line="240" w:lineRule="auto"/>
        <w:rPr>
          <w:rFonts w:ascii="Arial" w:hAnsi="Arial" w:cs="Arial"/>
          <w:sz w:val="20"/>
          <w:szCs w:val="20"/>
        </w:rPr>
      </w:pPr>
      <w:r w:rsidRPr="009429F0">
        <w:rPr>
          <w:rFonts w:ascii="Arial" w:hAnsi="Arial" w:cs="Arial"/>
          <w:sz w:val="20"/>
          <w:szCs w:val="20"/>
        </w:rPr>
        <w:t>a</w:t>
      </w:r>
      <w:r w:rsidR="00CA321B" w:rsidRPr="009429F0">
        <w:rPr>
          <w:rFonts w:ascii="Arial" w:hAnsi="Arial" w:cs="Arial"/>
          <w:sz w:val="20"/>
          <w:szCs w:val="20"/>
        </w:rPr>
        <w:t>. Division of Health Services Research, University of Liverpool, United Kingdom</w:t>
      </w:r>
    </w:p>
    <w:p w:rsidR="00CA321B" w:rsidRPr="009429F0" w:rsidRDefault="005E378A" w:rsidP="00C37EAE">
      <w:pPr>
        <w:spacing w:after="0" w:line="240" w:lineRule="auto"/>
        <w:rPr>
          <w:rFonts w:ascii="Arial" w:hAnsi="Arial" w:cs="Arial"/>
          <w:sz w:val="20"/>
          <w:szCs w:val="20"/>
        </w:rPr>
      </w:pPr>
      <w:r w:rsidRPr="009429F0">
        <w:rPr>
          <w:rFonts w:ascii="Arial" w:hAnsi="Arial" w:cs="Arial"/>
          <w:sz w:val="20"/>
          <w:szCs w:val="20"/>
        </w:rPr>
        <w:t>b</w:t>
      </w:r>
      <w:r w:rsidR="00CA321B" w:rsidRPr="009429F0">
        <w:rPr>
          <w:rFonts w:ascii="Arial" w:hAnsi="Arial" w:cs="Arial"/>
          <w:sz w:val="20"/>
          <w:szCs w:val="20"/>
        </w:rPr>
        <w:t>. Institute for Employment Studies, Brighton, United Kingdom</w:t>
      </w: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Correspondence:</w:t>
      </w:r>
    </w:p>
    <w:p w:rsidR="00CA321B" w:rsidRPr="009429F0" w:rsidRDefault="00D80DDD" w:rsidP="00C37EAE">
      <w:pPr>
        <w:spacing w:after="0" w:line="240" w:lineRule="auto"/>
        <w:rPr>
          <w:rFonts w:ascii="Arial" w:hAnsi="Arial" w:cs="Arial"/>
          <w:sz w:val="20"/>
          <w:szCs w:val="20"/>
        </w:rPr>
      </w:pPr>
      <w:r>
        <w:rPr>
          <w:rFonts w:ascii="Arial" w:hAnsi="Arial" w:cs="Arial"/>
          <w:sz w:val="20"/>
          <w:szCs w:val="20"/>
        </w:rPr>
        <w:t xml:space="preserve">Professor M.B. </w:t>
      </w:r>
      <w:r w:rsidR="00CA321B" w:rsidRPr="009429F0">
        <w:rPr>
          <w:rFonts w:ascii="Arial" w:hAnsi="Arial" w:cs="Arial"/>
          <w:sz w:val="20"/>
          <w:szCs w:val="20"/>
        </w:rPr>
        <w:t xml:space="preserve">Gabbay,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Division of Health Services Research,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University of Liverpool,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1</w:t>
      </w:r>
      <w:r w:rsidRPr="009429F0">
        <w:rPr>
          <w:rFonts w:ascii="Arial" w:hAnsi="Arial" w:cs="Arial"/>
          <w:sz w:val="20"/>
          <w:szCs w:val="20"/>
          <w:vertAlign w:val="superscript"/>
        </w:rPr>
        <w:t>st</w:t>
      </w:r>
      <w:r w:rsidRPr="009429F0">
        <w:rPr>
          <w:rFonts w:ascii="Arial" w:hAnsi="Arial" w:cs="Arial"/>
          <w:sz w:val="20"/>
          <w:szCs w:val="20"/>
        </w:rPr>
        <w:t xml:space="preserve"> Floor Block B,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Waterhouse Building, </w:t>
      </w:r>
    </w:p>
    <w:p w:rsidR="00CA321B" w:rsidRPr="009429F0" w:rsidRDefault="00CA321B" w:rsidP="00C37EAE">
      <w:pPr>
        <w:spacing w:after="0" w:line="240" w:lineRule="auto"/>
        <w:rPr>
          <w:rFonts w:ascii="Arial" w:hAnsi="Arial" w:cs="Arial"/>
          <w:sz w:val="20"/>
          <w:szCs w:val="20"/>
        </w:rPr>
      </w:pPr>
      <w:proofErr w:type="gramStart"/>
      <w:r w:rsidRPr="009429F0">
        <w:rPr>
          <w:rFonts w:ascii="Arial" w:hAnsi="Arial" w:cs="Arial"/>
          <w:sz w:val="20"/>
          <w:szCs w:val="20"/>
        </w:rPr>
        <w:t>Liverpool  L69</w:t>
      </w:r>
      <w:proofErr w:type="gramEnd"/>
      <w:r w:rsidRPr="009429F0">
        <w:rPr>
          <w:rFonts w:ascii="Arial" w:hAnsi="Arial" w:cs="Arial"/>
          <w:sz w:val="20"/>
          <w:szCs w:val="20"/>
        </w:rPr>
        <w:t xml:space="preserve"> 3GE,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United Kingdom. </w:t>
      </w:r>
    </w:p>
    <w:p w:rsidR="00CA321B" w:rsidRPr="009429F0" w:rsidRDefault="00CA321B" w:rsidP="00C37EAE">
      <w:pPr>
        <w:spacing w:after="0" w:line="240" w:lineRule="auto"/>
        <w:rPr>
          <w:rFonts w:ascii="Arial" w:hAnsi="Arial" w:cs="Arial"/>
          <w:sz w:val="20"/>
          <w:szCs w:val="20"/>
        </w:rPr>
      </w:pPr>
      <w:r w:rsidRPr="009429F0">
        <w:rPr>
          <w:rFonts w:ascii="Arial" w:hAnsi="Arial" w:cs="Arial"/>
          <w:sz w:val="20"/>
          <w:szCs w:val="20"/>
        </w:rPr>
        <w:t xml:space="preserve">Email: </w:t>
      </w:r>
      <w:hyperlink r:id="rId9" w:history="1">
        <w:r w:rsidRPr="009429F0">
          <w:rPr>
            <w:rStyle w:val="Hyperlink"/>
            <w:rFonts w:ascii="Arial" w:hAnsi="Arial" w:cs="Arial"/>
            <w:sz w:val="20"/>
            <w:szCs w:val="20"/>
          </w:rPr>
          <w:t>mbg@liv.ac.uk</w:t>
        </w:r>
      </w:hyperlink>
    </w:p>
    <w:p w:rsidR="00CA321B" w:rsidRPr="009429F0" w:rsidRDefault="00CA321B" w:rsidP="00C37EAE">
      <w:pPr>
        <w:spacing w:line="240" w:lineRule="auto"/>
        <w:rPr>
          <w:rFonts w:ascii="Arial" w:hAnsi="Arial" w:cs="Arial"/>
          <w:b/>
          <w:sz w:val="20"/>
          <w:szCs w:val="20"/>
        </w:rPr>
      </w:pPr>
    </w:p>
    <w:p w:rsidR="00CA321B" w:rsidRPr="009429F0" w:rsidRDefault="00CA321B" w:rsidP="00C37EAE">
      <w:pPr>
        <w:spacing w:line="240" w:lineRule="auto"/>
        <w:rPr>
          <w:rFonts w:ascii="Arial" w:hAnsi="Arial" w:cs="Arial"/>
          <w:b/>
          <w:sz w:val="20"/>
          <w:szCs w:val="20"/>
        </w:rPr>
      </w:pPr>
      <w:r w:rsidRPr="009429F0">
        <w:rPr>
          <w:rFonts w:ascii="Arial" w:hAnsi="Arial" w:cs="Arial"/>
          <w:b/>
          <w:sz w:val="20"/>
          <w:szCs w:val="20"/>
        </w:rPr>
        <w:br w:type="page"/>
      </w:r>
    </w:p>
    <w:p w:rsidR="00CA321B" w:rsidRPr="009429F0" w:rsidRDefault="00CA321B" w:rsidP="00076477">
      <w:pPr>
        <w:spacing w:line="480" w:lineRule="auto"/>
        <w:rPr>
          <w:rFonts w:ascii="Arial" w:hAnsi="Arial" w:cs="Arial"/>
          <w:b/>
          <w:sz w:val="20"/>
          <w:szCs w:val="20"/>
        </w:rPr>
      </w:pPr>
    </w:p>
    <w:p w:rsidR="009A2918" w:rsidRPr="009429F0" w:rsidRDefault="00CA321B" w:rsidP="00076477">
      <w:pPr>
        <w:spacing w:line="480" w:lineRule="auto"/>
        <w:rPr>
          <w:rFonts w:ascii="Arial" w:hAnsi="Arial" w:cs="Arial"/>
          <w:b/>
          <w:sz w:val="20"/>
          <w:szCs w:val="20"/>
        </w:rPr>
      </w:pPr>
      <w:r w:rsidRPr="009429F0">
        <w:rPr>
          <w:rFonts w:ascii="Arial" w:hAnsi="Arial" w:cs="Arial"/>
          <w:b/>
          <w:sz w:val="20"/>
          <w:szCs w:val="20"/>
        </w:rPr>
        <w:t>Abstract</w:t>
      </w:r>
    </w:p>
    <w:p w:rsidR="007C537E" w:rsidRPr="009429F0" w:rsidRDefault="00372E6A" w:rsidP="00076477">
      <w:pPr>
        <w:spacing w:after="120" w:line="480" w:lineRule="auto"/>
        <w:rPr>
          <w:rFonts w:ascii="Arial" w:hAnsi="Arial" w:cs="Arial"/>
          <w:sz w:val="20"/>
          <w:szCs w:val="20"/>
        </w:rPr>
      </w:pPr>
      <w:r w:rsidRPr="009429F0">
        <w:rPr>
          <w:rFonts w:ascii="Arial" w:hAnsi="Arial" w:cs="Arial"/>
          <w:i/>
          <w:sz w:val="20"/>
          <w:szCs w:val="20"/>
        </w:rPr>
        <w:t>Background</w:t>
      </w:r>
      <w:r w:rsidR="003400AF" w:rsidRPr="009429F0">
        <w:rPr>
          <w:rFonts w:ascii="Arial" w:hAnsi="Arial" w:cs="Arial"/>
          <w:sz w:val="20"/>
          <w:szCs w:val="20"/>
        </w:rPr>
        <w:t xml:space="preserve"> </w:t>
      </w:r>
      <w:r w:rsidR="007C537E" w:rsidRPr="009429F0">
        <w:rPr>
          <w:rFonts w:ascii="Arial" w:hAnsi="Arial" w:cs="Arial"/>
          <w:sz w:val="20"/>
          <w:szCs w:val="20"/>
        </w:rPr>
        <w:t xml:space="preserve">Little consideration has </w:t>
      </w:r>
      <w:r w:rsidR="00952B10" w:rsidRPr="009429F0">
        <w:rPr>
          <w:rFonts w:ascii="Arial" w:hAnsi="Arial" w:cs="Arial"/>
          <w:sz w:val="20"/>
          <w:szCs w:val="20"/>
        </w:rPr>
        <w:t xml:space="preserve">previously </w:t>
      </w:r>
      <w:r w:rsidR="007C537E" w:rsidRPr="009429F0">
        <w:rPr>
          <w:rFonts w:ascii="Arial" w:hAnsi="Arial" w:cs="Arial"/>
          <w:sz w:val="20"/>
          <w:szCs w:val="20"/>
        </w:rPr>
        <w:t>been given to the implications of a change in diagnosis during a sickness certific</w:t>
      </w:r>
      <w:r w:rsidRPr="009429F0">
        <w:rPr>
          <w:rFonts w:ascii="Arial" w:hAnsi="Arial" w:cs="Arial"/>
          <w:sz w:val="20"/>
          <w:szCs w:val="20"/>
        </w:rPr>
        <w:t xml:space="preserve">ation episode. </w:t>
      </w:r>
    </w:p>
    <w:p w:rsidR="00372E6A" w:rsidRPr="009429F0" w:rsidRDefault="00372E6A" w:rsidP="00076477">
      <w:pPr>
        <w:spacing w:after="120" w:line="480" w:lineRule="auto"/>
        <w:rPr>
          <w:rFonts w:ascii="Arial" w:hAnsi="Arial" w:cs="Arial"/>
          <w:sz w:val="20"/>
          <w:szCs w:val="20"/>
        </w:rPr>
      </w:pPr>
      <w:r w:rsidRPr="009429F0">
        <w:rPr>
          <w:rFonts w:ascii="Arial" w:hAnsi="Arial" w:cs="Arial"/>
          <w:i/>
          <w:sz w:val="20"/>
          <w:szCs w:val="20"/>
        </w:rPr>
        <w:t>Objective</w:t>
      </w:r>
      <w:r w:rsidRPr="009429F0">
        <w:rPr>
          <w:rFonts w:ascii="Arial" w:hAnsi="Arial" w:cs="Arial"/>
          <w:sz w:val="20"/>
          <w:szCs w:val="20"/>
        </w:rPr>
        <w:t xml:space="preserve"> </w:t>
      </w:r>
      <w:r w:rsidR="00805686" w:rsidRPr="009429F0">
        <w:rPr>
          <w:rFonts w:ascii="Arial" w:hAnsi="Arial" w:cs="Arial"/>
          <w:sz w:val="20"/>
          <w:szCs w:val="20"/>
        </w:rPr>
        <w:t xml:space="preserve">To report the </w:t>
      </w:r>
      <w:r w:rsidRPr="009429F0">
        <w:rPr>
          <w:rFonts w:ascii="Arial" w:hAnsi="Arial" w:cs="Arial"/>
          <w:sz w:val="20"/>
          <w:szCs w:val="20"/>
        </w:rPr>
        <w:t>extent and patterns of change</w:t>
      </w:r>
      <w:r w:rsidR="00C06C19" w:rsidRPr="009429F0">
        <w:rPr>
          <w:rFonts w:ascii="Arial" w:hAnsi="Arial" w:cs="Arial"/>
          <w:sz w:val="20"/>
          <w:szCs w:val="20"/>
        </w:rPr>
        <w:t xml:space="preserve"> in diagnosis </w:t>
      </w:r>
      <w:r w:rsidRPr="009429F0">
        <w:rPr>
          <w:rFonts w:ascii="Arial" w:hAnsi="Arial" w:cs="Arial"/>
          <w:sz w:val="20"/>
          <w:szCs w:val="20"/>
        </w:rPr>
        <w:t>and to identify factors associated with likelihood of change.</w:t>
      </w:r>
    </w:p>
    <w:p w:rsidR="007C537E" w:rsidRPr="009429F0" w:rsidRDefault="007C537E" w:rsidP="00076477">
      <w:pPr>
        <w:spacing w:after="120" w:line="480" w:lineRule="auto"/>
        <w:rPr>
          <w:rFonts w:ascii="Arial" w:hAnsi="Arial" w:cs="Arial"/>
          <w:sz w:val="20"/>
          <w:szCs w:val="20"/>
        </w:rPr>
      </w:pPr>
      <w:r w:rsidRPr="009429F0">
        <w:rPr>
          <w:rFonts w:ascii="Arial" w:hAnsi="Arial" w:cs="Arial"/>
          <w:i/>
          <w:sz w:val="20"/>
          <w:szCs w:val="20"/>
        </w:rPr>
        <w:t>Methods</w:t>
      </w:r>
      <w:r w:rsidRPr="009429F0">
        <w:rPr>
          <w:rFonts w:ascii="Arial" w:hAnsi="Arial" w:cs="Arial"/>
          <w:sz w:val="20"/>
          <w:szCs w:val="20"/>
        </w:rPr>
        <w:t xml:space="preserve"> </w:t>
      </w:r>
      <w:r w:rsidR="00B0356B">
        <w:rPr>
          <w:rFonts w:ascii="Arial" w:hAnsi="Arial" w:cs="Arial"/>
          <w:sz w:val="20"/>
          <w:szCs w:val="20"/>
        </w:rPr>
        <w:t>Sixty-</w:t>
      </w:r>
      <w:r w:rsidR="00EC4405" w:rsidRPr="009429F0">
        <w:rPr>
          <w:rFonts w:ascii="Arial" w:hAnsi="Arial" w:cs="Arial"/>
          <w:sz w:val="20"/>
          <w:szCs w:val="20"/>
        </w:rPr>
        <w:t xml:space="preserve">eight general practices in </w:t>
      </w:r>
      <w:r w:rsidR="00FA5DB9" w:rsidRPr="009429F0">
        <w:rPr>
          <w:rFonts w:ascii="Arial" w:hAnsi="Arial" w:cs="Arial"/>
          <w:sz w:val="20"/>
          <w:szCs w:val="20"/>
        </w:rPr>
        <w:t>the UK recorded details of</w:t>
      </w:r>
      <w:r w:rsidR="00EC4405" w:rsidRPr="009429F0">
        <w:rPr>
          <w:rFonts w:ascii="Arial" w:hAnsi="Arial" w:cs="Arial"/>
          <w:sz w:val="20"/>
          <w:szCs w:val="20"/>
        </w:rPr>
        <w:t xml:space="preserve"> sickness certificate</w:t>
      </w:r>
      <w:r w:rsidR="00FA5DB9" w:rsidRPr="009429F0">
        <w:rPr>
          <w:rFonts w:ascii="Arial" w:hAnsi="Arial" w:cs="Arial"/>
          <w:sz w:val="20"/>
          <w:szCs w:val="20"/>
        </w:rPr>
        <w:t>s</w:t>
      </w:r>
      <w:r w:rsidR="00EC4405" w:rsidRPr="009429F0">
        <w:rPr>
          <w:rFonts w:ascii="Arial" w:hAnsi="Arial" w:cs="Arial"/>
          <w:sz w:val="20"/>
          <w:szCs w:val="20"/>
        </w:rPr>
        <w:t xml:space="preserve"> (fit note</w:t>
      </w:r>
      <w:r w:rsidR="00FA5DB9" w:rsidRPr="009429F0">
        <w:rPr>
          <w:rFonts w:ascii="Arial" w:hAnsi="Arial" w:cs="Arial"/>
          <w:sz w:val="20"/>
          <w:szCs w:val="20"/>
        </w:rPr>
        <w:t>s</w:t>
      </w:r>
      <w:r w:rsidR="00EC4405" w:rsidRPr="009429F0">
        <w:rPr>
          <w:rFonts w:ascii="Arial" w:hAnsi="Arial" w:cs="Arial"/>
          <w:sz w:val="20"/>
          <w:szCs w:val="20"/>
        </w:rPr>
        <w:t>) issued to patients in a 12 month data collection period</w:t>
      </w:r>
      <w:r w:rsidRPr="009429F0">
        <w:rPr>
          <w:rFonts w:ascii="Arial" w:hAnsi="Arial" w:cs="Arial"/>
          <w:sz w:val="20"/>
          <w:szCs w:val="20"/>
        </w:rPr>
        <w:t xml:space="preserve">. </w:t>
      </w:r>
      <w:r w:rsidR="00952B10" w:rsidRPr="009429F0">
        <w:rPr>
          <w:rFonts w:ascii="Arial" w:hAnsi="Arial" w:cs="Arial"/>
          <w:sz w:val="20"/>
          <w:szCs w:val="20"/>
        </w:rPr>
        <w:t>Diagnoses on fit notes were assigned to</w:t>
      </w:r>
      <w:r w:rsidR="00425242" w:rsidRPr="009429F0">
        <w:rPr>
          <w:rFonts w:ascii="Arial" w:hAnsi="Arial" w:cs="Arial"/>
          <w:sz w:val="20"/>
          <w:szCs w:val="20"/>
        </w:rPr>
        <w:t xml:space="preserve"> modified READ categories.</w:t>
      </w:r>
    </w:p>
    <w:p w:rsidR="00EC4405" w:rsidRPr="009429F0" w:rsidRDefault="007C537E" w:rsidP="00076477">
      <w:pPr>
        <w:spacing w:after="120" w:line="480" w:lineRule="auto"/>
        <w:rPr>
          <w:rFonts w:ascii="Arial" w:hAnsi="Arial" w:cs="Arial"/>
          <w:sz w:val="20"/>
          <w:szCs w:val="20"/>
        </w:rPr>
      </w:pPr>
      <w:r w:rsidRPr="009429F0">
        <w:rPr>
          <w:rFonts w:ascii="Arial" w:hAnsi="Arial" w:cs="Arial"/>
          <w:i/>
          <w:sz w:val="20"/>
          <w:szCs w:val="20"/>
        </w:rPr>
        <w:t>Results</w:t>
      </w:r>
      <w:r w:rsidRPr="009429F0">
        <w:rPr>
          <w:rFonts w:ascii="Arial" w:hAnsi="Arial" w:cs="Arial"/>
          <w:sz w:val="20"/>
          <w:szCs w:val="20"/>
        </w:rPr>
        <w:t xml:space="preserve"> </w:t>
      </w:r>
      <w:r w:rsidR="00D85CDB" w:rsidRPr="009429F0">
        <w:rPr>
          <w:rFonts w:ascii="Arial" w:hAnsi="Arial" w:cs="Arial"/>
          <w:sz w:val="20"/>
          <w:szCs w:val="20"/>
        </w:rPr>
        <w:t xml:space="preserve">Over 23% </w:t>
      </w:r>
      <w:r w:rsidR="00090C1C" w:rsidRPr="009429F0">
        <w:rPr>
          <w:rFonts w:ascii="Arial" w:hAnsi="Arial" w:cs="Arial"/>
          <w:sz w:val="20"/>
          <w:szCs w:val="20"/>
        </w:rPr>
        <w:t xml:space="preserve">(3,841/16,400) </w:t>
      </w:r>
      <w:r w:rsidR="00EC4405" w:rsidRPr="009429F0">
        <w:rPr>
          <w:rFonts w:ascii="Arial" w:hAnsi="Arial" w:cs="Arial"/>
          <w:sz w:val="20"/>
          <w:szCs w:val="20"/>
        </w:rPr>
        <w:t xml:space="preserve">of episodes consisting of more than one sickness certificate had a change in diagnosis during the course of the episode. </w:t>
      </w:r>
      <w:r w:rsidR="00A776CE" w:rsidRPr="009429F0">
        <w:rPr>
          <w:rFonts w:ascii="Arial" w:hAnsi="Arial" w:cs="Arial"/>
          <w:sz w:val="20"/>
          <w:szCs w:val="20"/>
        </w:rPr>
        <w:t xml:space="preserve">Over 4% (438/10,398) of initial physical health episodes had a later mental health diagnosis. </w:t>
      </w:r>
      <w:r w:rsidR="00D85CDB" w:rsidRPr="009429F0">
        <w:rPr>
          <w:rFonts w:ascii="Arial" w:hAnsi="Arial" w:cs="Arial"/>
          <w:sz w:val="20"/>
          <w:szCs w:val="20"/>
        </w:rPr>
        <w:t xml:space="preserve">Lowest rate of change was found within episodes with an initial mental health diagnosis, the highest when an unspecified </w:t>
      </w:r>
      <w:r w:rsidR="0073282D" w:rsidRPr="009429F0">
        <w:rPr>
          <w:rFonts w:ascii="Arial" w:hAnsi="Arial" w:cs="Arial"/>
          <w:sz w:val="20"/>
          <w:szCs w:val="20"/>
        </w:rPr>
        <w:t>physical symptom</w:t>
      </w:r>
      <w:r w:rsidR="00D85CDB" w:rsidRPr="009429F0">
        <w:rPr>
          <w:rFonts w:ascii="Arial" w:hAnsi="Arial" w:cs="Arial"/>
          <w:sz w:val="20"/>
          <w:szCs w:val="20"/>
        </w:rPr>
        <w:t xml:space="preserve"> was entered on the first fit note in the episode.  A change in diagnosis was more likely when the total duration of the episode was longer, the episode included more fit notes and the patient was living in a socially deprived neighbourhood. Episodes where the patient had been issued fit notes by more than one GP were more likely to have a change in diagnosis.</w:t>
      </w:r>
    </w:p>
    <w:p w:rsidR="0070260A" w:rsidRPr="009429F0" w:rsidRDefault="00425242" w:rsidP="00076477">
      <w:pPr>
        <w:spacing w:after="120" w:line="480" w:lineRule="auto"/>
        <w:rPr>
          <w:rFonts w:ascii="Arial" w:hAnsi="Arial" w:cs="Arial"/>
          <w:sz w:val="20"/>
          <w:szCs w:val="20"/>
        </w:rPr>
      </w:pPr>
      <w:r w:rsidRPr="009429F0">
        <w:rPr>
          <w:rFonts w:ascii="Arial" w:hAnsi="Arial" w:cs="Arial"/>
          <w:i/>
          <w:sz w:val="20"/>
          <w:szCs w:val="20"/>
        </w:rPr>
        <w:t>Conclusion</w:t>
      </w:r>
      <w:r w:rsidR="007C537E" w:rsidRPr="009429F0">
        <w:rPr>
          <w:rFonts w:ascii="Arial" w:hAnsi="Arial" w:cs="Arial"/>
          <w:sz w:val="20"/>
          <w:szCs w:val="20"/>
        </w:rPr>
        <w:t xml:space="preserve"> </w:t>
      </w:r>
      <w:r w:rsidR="006345F9" w:rsidRPr="009429F0">
        <w:rPr>
          <w:rFonts w:ascii="Arial" w:hAnsi="Arial" w:cs="Arial"/>
          <w:sz w:val="20"/>
          <w:szCs w:val="20"/>
        </w:rPr>
        <w:t xml:space="preserve">Change in diagnosis on fit notes is much less common when </w:t>
      </w:r>
      <w:r w:rsidR="00267FF5" w:rsidRPr="009429F0">
        <w:rPr>
          <w:rFonts w:ascii="Arial" w:hAnsi="Arial" w:cs="Arial"/>
          <w:sz w:val="20"/>
          <w:szCs w:val="20"/>
        </w:rPr>
        <w:t>the patient has a psychological health problem.</w:t>
      </w:r>
    </w:p>
    <w:p w:rsidR="0070260A" w:rsidRPr="009429F0" w:rsidRDefault="0070260A" w:rsidP="00076477">
      <w:pPr>
        <w:spacing w:after="120" w:line="480" w:lineRule="auto"/>
        <w:rPr>
          <w:rFonts w:ascii="Arial" w:hAnsi="Arial" w:cs="Arial"/>
          <w:sz w:val="20"/>
          <w:szCs w:val="20"/>
        </w:rPr>
      </w:pPr>
    </w:p>
    <w:p w:rsidR="0070260A" w:rsidRPr="009429F0" w:rsidRDefault="0070260A" w:rsidP="00076477">
      <w:pPr>
        <w:spacing w:after="120" w:line="480" w:lineRule="auto"/>
        <w:rPr>
          <w:rFonts w:ascii="Arial" w:hAnsi="Arial" w:cs="Arial"/>
          <w:sz w:val="20"/>
          <w:szCs w:val="20"/>
        </w:rPr>
      </w:pPr>
      <w:r w:rsidRPr="009429F0">
        <w:rPr>
          <w:rFonts w:ascii="Arial" w:hAnsi="Arial" w:cs="Arial"/>
          <w:b/>
          <w:sz w:val="20"/>
          <w:szCs w:val="20"/>
        </w:rPr>
        <w:t>Key</w:t>
      </w:r>
      <w:r w:rsidR="002A0BD1" w:rsidRPr="009429F0">
        <w:rPr>
          <w:rFonts w:ascii="Arial" w:hAnsi="Arial" w:cs="Arial"/>
          <w:b/>
          <w:sz w:val="20"/>
          <w:szCs w:val="20"/>
        </w:rPr>
        <w:t xml:space="preserve"> </w:t>
      </w:r>
      <w:r w:rsidRPr="009429F0">
        <w:rPr>
          <w:rFonts w:ascii="Arial" w:hAnsi="Arial" w:cs="Arial"/>
          <w:b/>
          <w:sz w:val="20"/>
          <w:szCs w:val="20"/>
        </w:rPr>
        <w:t>words</w:t>
      </w:r>
      <w:r w:rsidR="002A0BD1" w:rsidRPr="009429F0">
        <w:rPr>
          <w:rFonts w:ascii="Arial" w:hAnsi="Arial" w:cs="Arial"/>
          <w:sz w:val="20"/>
          <w:szCs w:val="20"/>
        </w:rPr>
        <w:t xml:space="preserve">: sickness absence, sickness certification, change in diagnosis, sick leave, </w:t>
      </w:r>
      <w:r w:rsidRPr="009429F0">
        <w:rPr>
          <w:rFonts w:ascii="Arial" w:hAnsi="Arial" w:cs="Arial"/>
          <w:sz w:val="20"/>
          <w:szCs w:val="20"/>
        </w:rPr>
        <w:t>sick-listing</w:t>
      </w:r>
    </w:p>
    <w:p w:rsidR="009A2918" w:rsidRPr="009429F0" w:rsidRDefault="009A2918" w:rsidP="00076477">
      <w:pPr>
        <w:spacing w:line="480" w:lineRule="auto"/>
        <w:rPr>
          <w:rFonts w:ascii="Arial" w:hAnsi="Arial" w:cs="Arial"/>
          <w:b/>
          <w:sz w:val="20"/>
          <w:szCs w:val="20"/>
        </w:rPr>
      </w:pPr>
    </w:p>
    <w:p w:rsidR="00CA321B" w:rsidRPr="009429F0" w:rsidRDefault="00CA321B" w:rsidP="00076477">
      <w:pPr>
        <w:spacing w:line="480" w:lineRule="auto"/>
        <w:rPr>
          <w:rFonts w:ascii="Arial" w:hAnsi="Arial" w:cs="Arial"/>
          <w:b/>
          <w:sz w:val="20"/>
          <w:szCs w:val="20"/>
        </w:rPr>
      </w:pPr>
      <w:r w:rsidRPr="009429F0">
        <w:rPr>
          <w:rFonts w:ascii="Arial" w:hAnsi="Arial" w:cs="Arial"/>
          <w:b/>
          <w:sz w:val="20"/>
          <w:szCs w:val="20"/>
        </w:rPr>
        <w:br w:type="page"/>
      </w:r>
    </w:p>
    <w:p w:rsidR="00CA321B" w:rsidRPr="009429F0" w:rsidRDefault="00CA321B" w:rsidP="00076477">
      <w:pPr>
        <w:spacing w:line="480" w:lineRule="auto"/>
        <w:rPr>
          <w:rFonts w:ascii="Arial" w:hAnsi="Arial" w:cs="Arial"/>
          <w:b/>
          <w:sz w:val="20"/>
          <w:szCs w:val="20"/>
        </w:rPr>
      </w:pPr>
    </w:p>
    <w:p w:rsidR="00960599" w:rsidRPr="009429F0" w:rsidRDefault="00CA321B" w:rsidP="00076477">
      <w:pPr>
        <w:spacing w:line="480" w:lineRule="auto"/>
        <w:rPr>
          <w:rFonts w:ascii="Arial" w:hAnsi="Arial" w:cs="Arial"/>
          <w:b/>
          <w:sz w:val="20"/>
          <w:szCs w:val="20"/>
        </w:rPr>
      </w:pPr>
      <w:r w:rsidRPr="009429F0">
        <w:rPr>
          <w:rFonts w:ascii="Arial" w:hAnsi="Arial" w:cs="Arial"/>
          <w:b/>
          <w:sz w:val="20"/>
          <w:szCs w:val="20"/>
        </w:rPr>
        <w:t>Introduction</w:t>
      </w:r>
    </w:p>
    <w:p w:rsidR="00C22197" w:rsidRPr="009429F0" w:rsidRDefault="008101D3" w:rsidP="00076477">
      <w:pPr>
        <w:spacing w:line="480" w:lineRule="auto"/>
        <w:rPr>
          <w:rFonts w:ascii="Arial" w:hAnsi="Arial" w:cs="Arial"/>
          <w:b/>
          <w:sz w:val="20"/>
          <w:szCs w:val="20"/>
        </w:rPr>
      </w:pPr>
      <w:r w:rsidRPr="009429F0">
        <w:rPr>
          <w:rFonts w:ascii="Arial" w:hAnsi="Arial" w:cs="Arial"/>
          <w:sz w:val="20"/>
          <w:szCs w:val="20"/>
        </w:rPr>
        <w:t>Absence from work through ill-health</w:t>
      </w:r>
      <w:r w:rsidRPr="009429F0">
        <w:rPr>
          <w:rFonts w:ascii="Arial" w:hAnsi="Arial" w:cs="Arial"/>
          <w:b/>
          <w:sz w:val="20"/>
          <w:szCs w:val="20"/>
        </w:rPr>
        <w:t xml:space="preserve"> </w:t>
      </w:r>
      <w:r w:rsidR="00960599" w:rsidRPr="009429F0">
        <w:rPr>
          <w:rFonts w:ascii="Arial" w:hAnsi="Arial" w:cs="Arial"/>
          <w:sz w:val="20"/>
          <w:szCs w:val="20"/>
        </w:rPr>
        <w:t xml:space="preserve">has serious consequences for the individual employee, their employer, and the wider economy (in terms of lost productivity and state spending on sickness benefits). </w:t>
      </w:r>
      <w:r w:rsidR="00C22197" w:rsidRPr="009429F0">
        <w:rPr>
          <w:rFonts w:ascii="Arial" w:hAnsi="Arial" w:cs="Arial"/>
          <w:sz w:val="20"/>
          <w:szCs w:val="20"/>
        </w:rPr>
        <w:t>It is estimated that around 131 million working days were lost in the UK in 2011 due to sickness absence, representing over 2% of all working time and 4.5 days per worker</w:t>
      </w:r>
      <w:r w:rsidRPr="009429F0">
        <w:rPr>
          <w:rFonts w:ascii="Arial" w:hAnsi="Arial" w:cs="Arial"/>
          <w:sz w:val="20"/>
          <w:szCs w:val="20"/>
        </w:rPr>
        <w:t xml:space="preserve"> </w:t>
      </w:r>
      <w:r w:rsidR="00E81E7E" w:rsidRPr="009429F0">
        <w:rPr>
          <w:rFonts w:ascii="Arial" w:hAnsi="Arial" w:cs="Arial"/>
          <w:color w:val="0070C0"/>
          <w:sz w:val="20"/>
          <w:szCs w:val="20"/>
        </w:rPr>
        <w:t>(</w:t>
      </w:r>
      <w:r w:rsidR="00540E07" w:rsidRPr="009429F0">
        <w:rPr>
          <w:rFonts w:ascii="Arial" w:hAnsi="Arial" w:cs="Arial"/>
          <w:color w:val="0070C0"/>
          <w:sz w:val="20"/>
          <w:szCs w:val="20"/>
        </w:rPr>
        <w:t>1</w:t>
      </w:r>
      <w:r w:rsidR="00E81E7E" w:rsidRPr="009429F0">
        <w:rPr>
          <w:rFonts w:ascii="Arial" w:hAnsi="Arial" w:cs="Arial"/>
          <w:color w:val="0070C0"/>
          <w:sz w:val="20"/>
          <w:szCs w:val="20"/>
        </w:rPr>
        <w:t>)</w:t>
      </w:r>
      <w:r w:rsidR="00C22197" w:rsidRPr="009429F0">
        <w:rPr>
          <w:rFonts w:ascii="Arial" w:hAnsi="Arial" w:cs="Arial"/>
          <w:sz w:val="20"/>
          <w:szCs w:val="20"/>
        </w:rPr>
        <w:t>. The associ</w:t>
      </w:r>
      <w:r w:rsidR="00952B10" w:rsidRPr="009429F0">
        <w:rPr>
          <w:rFonts w:ascii="Arial" w:hAnsi="Arial" w:cs="Arial"/>
          <w:sz w:val="20"/>
          <w:szCs w:val="20"/>
        </w:rPr>
        <w:t>ated direct costs in benefit were £13 billion, plus £9 billion paid by employers in the form of sick pay</w:t>
      </w:r>
      <w:r w:rsidR="00C22197" w:rsidRPr="009429F0">
        <w:rPr>
          <w:rFonts w:ascii="Arial" w:hAnsi="Arial" w:cs="Arial"/>
          <w:sz w:val="20"/>
          <w:szCs w:val="20"/>
        </w:rPr>
        <w:t xml:space="preserve">. Similar rates of absence are found in other European countries, including France, Germany and the Netherlands </w:t>
      </w:r>
      <w:r w:rsidR="00E81E7E" w:rsidRPr="009429F0">
        <w:rPr>
          <w:rFonts w:ascii="Arial" w:hAnsi="Arial" w:cs="Arial"/>
          <w:color w:val="0070C0"/>
          <w:sz w:val="20"/>
          <w:szCs w:val="20"/>
        </w:rPr>
        <w:t>(</w:t>
      </w:r>
      <w:r w:rsidR="00540E07" w:rsidRPr="009429F0">
        <w:rPr>
          <w:rFonts w:ascii="Arial" w:hAnsi="Arial" w:cs="Arial"/>
          <w:color w:val="0070C0"/>
          <w:sz w:val="20"/>
          <w:szCs w:val="20"/>
        </w:rPr>
        <w:t>2</w:t>
      </w:r>
      <w:r w:rsidR="00E81E7E" w:rsidRPr="009429F0">
        <w:rPr>
          <w:rFonts w:ascii="Arial" w:hAnsi="Arial" w:cs="Arial"/>
          <w:color w:val="0070C0"/>
          <w:sz w:val="20"/>
          <w:szCs w:val="20"/>
        </w:rPr>
        <w:t>)</w:t>
      </w:r>
      <w:r w:rsidR="00C22197" w:rsidRPr="009429F0">
        <w:rPr>
          <w:rFonts w:ascii="Arial" w:hAnsi="Arial" w:cs="Arial"/>
          <w:sz w:val="20"/>
          <w:szCs w:val="20"/>
        </w:rPr>
        <w:t xml:space="preserve">. Reducing levels of sickness absence </w:t>
      </w:r>
      <w:r w:rsidR="00BC1A79" w:rsidRPr="009429F0">
        <w:rPr>
          <w:rFonts w:ascii="Arial" w:hAnsi="Arial" w:cs="Arial"/>
          <w:sz w:val="20"/>
          <w:szCs w:val="20"/>
        </w:rPr>
        <w:t>remains an important welfare policy objective</w:t>
      </w:r>
      <w:r w:rsidR="00C22197" w:rsidRPr="009429F0">
        <w:rPr>
          <w:rFonts w:ascii="Arial" w:hAnsi="Arial" w:cs="Arial"/>
          <w:sz w:val="20"/>
          <w:szCs w:val="20"/>
        </w:rPr>
        <w:t xml:space="preserve"> for governments in the European Un</w:t>
      </w:r>
      <w:r w:rsidR="00617E48" w:rsidRPr="009429F0">
        <w:rPr>
          <w:rFonts w:ascii="Arial" w:hAnsi="Arial" w:cs="Arial"/>
          <w:sz w:val="20"/>
          <w:szCs w:val="20"/>
        </w:rPr>
        <w:t xml:space="preserve">ion (EU). </w:t>
      </w:r>
      <w:r w:rsidR="009F6544" w:rsidRPr="009429F0">
        <w:rPr>
          <w:rFonts w:ascii="Arial" w:hAnsi="Arial" w:cs="Arial"/>
          <w:sz w:val="20"/>
          <w:szCs w:val="20"/>
        </w:rPr>
        <w:t xml:space="preserve">In the UK, recommendations made in two key government-commissioned reports have led to important changes in the process of sickness certification itself </w:t>
      </w:r>
      <w:r w:rsidR="006C58CB" w:rsidRPr="009429F0">
        <w:rPr>
          <w:rFonts w:ascii="Arial" w:hAnsi="Arial" w:cs="Arial"/>
          <w:sz w:val="20"/>
          <w:szCs w:val="20"/>
        </w:rPr>
        <w:t xml:space="preserve">and led to new </w:t>
      </w:r>
      <w:r w:rsidR="009F6544" w:rsidRPr="009429F0">
        <w:rPr>
          <w:rFonts w:ascii="Arial" w:hAnsi="Arial" w:cs="Arial"/>
          <w:sz w:val="20"/>
          <w:szCs w:val="20"/>
        </w:rPr>
        <w:t>measures aimed at preventing transiti</w:t>
      </w:r>
      <w:r w:rsidR="0086137A" w:rsidRPr="009429F0">
        <w:rPr>
          <w:rFonts w:ascii="Arial" w:hAnsi="Arial" w:cs="Arial"/>
          <w:sz w:val="20"/>
          <w:szCs w:val="20"/>
        </w:rPr>
        <w:t>on to long-te</w:t>
      </w:r>
      <w:r w:rsidR="006C58CB" w:rsidRPr="009429F0">
        <w:rPr>
          <w:rFonts w:ascii="Arial" w:hAnsi="Arial" w:cs="Arial"/>
          <w:sz w:val="20"/>
          <w:szCs w:val="20"/>
        </w:rPr>
        <w:t>rm incapacity</w:t>
      </w:r>
      <w:r w:rsidR="009F6544" w:rsidRPr="009429F0">
        <w:rPr>
          <w:rFonts w:ascii="Arial" w:hAnsi="Arial" w:cs="Arial"/>
          <w:sz w:val="20"/>
          <w:szCs w:val="20"/>
        </w:rPr>
        <w:t xml:space="preserve"> </w:t>
      </w:r>
      <w:r w:rsidR="00E81E7E" w:rsidRPr="009429F0">
        <w:rPr>
          <w:rFonts w:ascii="Arial" w:hAnsi="Arial" w:cs="Arial"/>
          <w:color w:val="0070C0"/>
          <w:sz w:val="20"/>
          <w:szCs w:val="20"/>
        </w:rPr>
        <w:t>(</w:t>
      </w:r>
      <w:r w:rsidR="007A5FD5" w:rsidRPr="009429F0">
        <w:rPr>
          <w:rFonts w:ascii="Arial" w:hAnsi="Arial" w:cs="Arial"/>
          <w:color w:val="0070C0"/>
          <w:sz w:val="20"/>
          <w:szCs w:val="20"/>
        </w:rPr>
        <w:t>2,3</w:t>
      </w:r>
      <w:r w:rsidR="00E81E7E" w:rsidRPr="009429F0">
        <w:rPr>
          <w:rFonts w:ascii="Arial" w:hAnsi="Arial" w:cs="Arial"/>
          <w:color w:val="0070C0"/>
          <w:sz w:val="20"/>
          <w:szCs w:val="20"/>
        </w:rPr>
        <w:t>)</w:t>
      </w:r>
      <w:r w:rsidR="009F6544" w:rsidRPr="009429F0">
        <w:rPr>
          <w:rFonts w:ascii="Arial" w:hAnsi="Arial" w:cs="Arial"/>
          <w:sz w:val="20"/>
          <w:szCs w:val="20"/>
        </w:rPr>
        <w:t>.</w:t>
      </w:r>
      <w:r w:rsidR="00DD60B6" w:rsidRPr="009429F0">
        <w:rPr>
          <w:rFonts w:ascii="Arial" w:hAnsi="Arial" w:cs="Arial"/>
          <w:sz w:val="20"/>
          <w:szCs w:val="20"/>
        </w:rPr>
        <w:t xml:space="preserve"> One of these recommendations was for a change in sickness certificate from a ‘sick note’ to a ‘fit note</w:t>
      </w:r>
      <w:r w:rsidR="00B211C2" w:rsidRPr="009429F0">
        <w:rPr>
          <w:rFonts w:ascii="Arial" w:hAnsi="Arial" w:cs="Arial"/>
          <w:sz w:val="20"/>
          <w:szCs w:val="20"/>
        </w:rPr>
        <w:t>’ (implemented in 2010).</w:t>
      </w:r>
    </w:p>
    <w:p w:rsidR="002E06CF" w:rsidRPr="009429F0" w:rsidRDefault="006F750C" w:rsidP="00076477">
      <w:pPr>
        <w:spacing w:line="480" w:lineRule="auto"/>
        <w:rPr>
          <w:rFonts w:ascii="Arial" w:hAnsi="Arial" w:cs="Arial"/>
          <w:sz w:val="20"/>
          <w:szCs w:val="20"/>
        </w:rPr>
      </w:pPr>
      <w:r w:rsidRPr="009429F0">
        <w:rPr>
          <w:rFonts w:ascii="Arial" w:hAnsi="Arial" w:cs="Arial"/>
          <w:sz w:val="20"/>
          <w:szCs w:val="20"/>
        </w:rPr>
        <w:t>The perception of work incapacity as a pote</w:t>
      </w:r>
      <w:r w:rsidR="00617E48" w:rsidRPr="009429F0">
        <w:rPr>
          <w:rFonts w:ascii="Arial" w:hAnsi="Arial" w:cs="Arial"/>
          <w:sz w:val="20"/>
          <w:szCs w:val="20"/>
        </w:rPr>
        <w:t xml:space="preserve">ntial public health problem </w:t>
      </w:r>
      <w:r w:rsidRPr="009429F0">
        <w:rPr>
          <w:rFonts w:ascii="Arial" w:hAnsi="Arial" w:cs="Arial"/>
          <w:sz w:val="20"/>
          <w:szCs w:val="20"/>
        </w:rPr>
        <w:t>has led to increasing academic interest in various aspects of sickness absence and its certification.</w:t>
      </w:r>
      <w:r w:rsidR="00877F1B" w:rsidRPr="009429F0">
        <w:rPr>
          <w:rFonts w:ascii="Arial" w:hAnsi="Arial" w:cs="Arial"/>
          <w:sz w:val="20"/>
          <w:szCs w:val="20"/>
        </w:rPr>
        <w:t xml:space="preserve"> A majority of studies have attempted to identify employee, patient or diagnostic factors associated with the type and leng</w:t>
      </w:r>
      <w:r w:rsidR="00617E48" w:rsidRPr="009429F0">
        <w:rPr>
          <w:rFonts w:ascii="Arial" w:hAnsi="Arial" w:cs="Arial"/>
          <w:sz w:val="20"/>
          <w:szCs w:val="20"/>
        </w:rPr>
        <w:t xml:space="preserve">th of sick leave episodes </w:t>
      </w:r>
      <w:r w:rsidR="00E81E7E" w:rsidRPr="009429F0">
        <w:rPr>
          <w:rFonts w:ascii="Arial" w:hAnsi="Arial" w:cs="Arial"/>
          <w:color w:val="0070C0"/>
          <w:sz w:val="20"/>
          <w:szCs w:val="20"/>
        </w:rPr>
        <w:t>(</w:t>
      </w:r>
      <w:r w:rsidR="0058769A" w:rsidRPr="009429F0">
        <w:rPr>
          <w:rFonts w:ascii="Arial" w:hAnsi="Arial" w:cs="Arial"/>
          <w:color w:val="0070C0"/>
          <w:sz w:val="20"/>
          <w:szCs w:val="20"/>
        </w:rPr>
        <w:t>4</w:t>
      </w:r>
      <w:r w:rsidR="00E81E7E" w:rsidRPr="009429F0">
        <w:rPr>
          <w:rFonts w:ascii="Arial" w:hAnsi="Arial" w:cs="Arial"/>
          <w:color w:val="0070C0"/>
          <w:sz w:val="20"/>
          <w:szCs w:val="20"/>
        </w:rPr>
        <w:t>)</w:t>
      </w:r>
      <w:r w:rsidR="00877F1B" w:rsidRPr="009429F0">
        <w:rPr>
          <w:rFonts w:ascii="Arial" w:hAnsi="Arial" w:cs="Arial"/>
          <w:sz w:val="20"/>
          <w:szCs w:val="20"/>
        </w:rPr>
        <w:t>. Other studies have focused more on the process of sick</w:t>
      </w:r>
      <w:r w:rsidR="00D2256B" w:rsidRPr="009429F0">
        <w:rPr>
          <w:rFonts w:ascii="Arial" w:hAnsi="Arial" w:cs="Arial"/>
          <w:sz w:val="20"/>
          <w:szCs w:val="20"/>
        </w:rPr>
        <w:t xml:space="preserve">ness certification itself </w:t>
      </w:r>
      <w:r w:rsidR="00E81E7E" w:rsidRPr="009429F0">
        <w:rPr>
          <w:rFonts w:ascii="Arial" w:hAnsi="Arial" w:cs="Arial"/>
          <w:color w:val="0070C0"/>
          <w:sz w:val="20"/>
          <w:szCs w:val="20"/>
        </w:rPr>
        <w:t>(</w:t>
      </w:r>
      <w:r w:rsidR="0058769A" w:rsidRPr="009429F0">
        <w:rPr>
          <w:rFonts w:ascii="Arial" w:hAnsi="Arial" w:cs="Arial"/>
          <w:color w:val="0070C0"/>
          <w:sz w:val="20"/>
          <w:szCs w:val="20"/>
        </w:rPr>
        <w:t>5</w:t>
      </w:r>
      <w:r w:rsidR="00E81E7E" w:rsidRPr="009429F0">
        <w:rPr>
          <w:rFonts w:ascii="Arial" w:hAnsi="Arial" w:cs="Arial"/>
          <w:color w:val="0070C0"/>
          <w:sz w:val="20"/>
          <w:szCs w:val="20"/>
        </w:rPr>
        <w:t>)</w:t>
      </w:r>
      <w:r w:rsidR="008C6873" w:rsidRPr="009429F0">
        <w:rPr>
          <w:rFonts w:ascii="Arial" w:hAnsi="Arial" w:cs="Arial"/>
          <w:color w:val="0070C0"/>
          <w:sz w:val="20"/>
          <w:szCs w:val="20"/>
        </w:rPr>
        <w:t xml:space="preserve"> </w:t>
      </w:r>
      <w:r w:rsidR="008C6873" w:rsidRPr="009429F0">
        <w:rPr>
          <w:rFonts w:ascii="Arial" w:hAnsi="Arial" w:cs="Arial"/>
          <w:sz w:val="20"/>
          <w:szCs w:val="20"/>
        </w:rPr>
        <w:t>and</w:t>
      </w:r>
      <w:r w:rsidR="00877F1B" w:rsidRPr="009429F0">
        <w:rPr>
          <w:rFonts w:ascii="Arial" w:hAnsi="Arial" w:cs="Arial"/>
          <w:sz w:val="20"/>
          <w:szCs w:val="20"/>
        </w:rPr>
        <w:t xml:space="preserve"> attitudes of general practitioners (GPs) to their role in certifying sickness absence</w:t>
      </w:r>
      <w:r w:rsidR="00D2256B" w:rsidRPr="009429F0">
        <w:rPr>
          <w:rFonts w:ascii="Arial" w:hAnsi="Arial" w:cs="Arial"/>
          <w:sz w:val="20"/>
          <w:szCs w:val="20"/>
        </w:rPr>
        <w:t xml:space="preserve"> </w:t>
      </w:r>
      <w:r w:rsidR="00E81E7E" w:rsidRPr="009429F0">
        <w:rPr>
          <w:rFonts w:ascii="Arial" w:hAnsi="Arial" w:cs="Arial"/>
          <w:color w:val="0070C0"/>
          <w:sz w:val="20"/>
          <w:szCs w:val="20"/>
        </w:rPr>
        <w:t>(</w:t>
      </w:r>
      <w:r w:rsidR="0058769A" w:rsidRPr="009429F0">
        <w:rPr>
          <w:rFonts w:ascii="Arial" w:hAnsi="Arial" w:cs="Arial"/>
          <w:color w:val="0070C0"/>
          <w:sz w:val="20"/>
          <w:szCs w:val="20"/>
        </w:rPr>
        <w:t>6,7</w:t>
      </w:r>
      <w:r w:rsidR="00E81E7E" w:rsidRPr="009429F0">
        <w:rPr>
          <w:rFonts w:ascii="Arial" w:hAnsi="Arial" w:cs="Arial"/>
          <w:color w:val="0070C0"/>
          <w:sz w:val="20"/>
          <w:szCs w:val="20"/>
        </w:rPr>
        <w:t>)</w:t>
      </w:r>
      <w:r w:rsidR="008C6873" w:rsidRPr="009429F0">
        <w:rPr>
          <w:rFonts w:ascii="Arial" w:hAnsi="Arial" w:cs="Arial"/>
          <w:sz w:val="20"/>
          <w:szCs w:val="20"/>
        </w:rPr>
        <w:t xml:space="preserve">. </w:t>
      </w:r>
      <w:r w:rsidR="00877F1B" w:rsidRPr="009429F0">
        <w:rPr>
          <w:rFonts w:ascii="Arial" w:hAnsi="Arial" w:cs="Arial"/>
          <w:sz w:val="20"/>
          <w:szCs w:val="20"/>
        </w:rPr>
        <w:t xml:space="preserve"> In recent years there has been a renewed interest in factors </w:t>
      </w:r>
      <w:r w:rsidR="002E06CF" w:rsidRPr="009429F0">
        <w:rPr>
          <w:rFonts w:ascii="Arial" w:hAnsi="Arial" w:cs="Arial"/>
          <w:sz w:val="20"/>
          <w:szCs w:val="20"/>
        </w:rPr>
        <w:t xml:space="preserve">leading to an increased risk of recurrence of </w:t>
      </w:r>
      <w:r w:rsidR="008C6873" w:rsidRPr="009429F0">
        <w:rPr>
          <w:rFonts w:ascii="Arial" w:hAnsi="Arial" w:cs="Arial"/>
          <w:sz w:val="20"/>
          <w:szCs w:val="20"/>
        </w:rPr>
        <w:t xml:space="preserve">medically-certified </w:t>
      </w:r>
      <w:r w:rsidR="002E06CF" w:rsidRPr="009429F0">
        <w:rPr>
          <w:rFonts w:ascii="Arial" w:hAnsi="Arial" w:cs="Arial"/>
          <w:sz w:val="20"/>
          <w:szCs w:val="20"/>
        </w:rPr>
        <w:t>sickness absence after a return to work, for employees with any diagno</w:t>
      </w:r>
      <w:r w:rsidR="008C6873" w:rsidRPr="009429F0">
        <w:rPr>
          <w:rFonts w:ascii="Arial" w:hAnsi="Arial" w:cs="Arial"/>
          <w:sz w:val="20"/>
          <w:szCs w:val="20"/>
        </w:rPr>
        <w:t xml:space="preserve">sis </w:t>
      </w:r>
      <w:r w:rsidR="00E81E7E" w:rsidRPr="009429F0">
        <w:rPr>
          <w:rFonts w:ascii="Arial" w:hAnsi="Arial" w:cs="Arial"/>
          <w:color w:val="0070C0"/>
          <w:sz w:val="20"/>
          <w:szCs w:val="20"/>
        </w:rPr>
        <w:t>(</w:t>
      </w:r>
      <w:r w:rsidR="00CE03AE" w:rsidRPr="009429F0">
        <w:rPr>
          <w:rFonts w:ascii="Arial" w:hAnsi="Arial" w:cs="Arial"/>
          <w:color w:val="0070C0"/>
          <w:sz w:val="20"/>
          <w:szCs w:val="20"/>
        </w:rPr>
        <w:t>8</w:t>
      </w:r>
      <w:r w:rsidR="00E81E7E" w:rsidRPr="009429F0">
        <w:rPr>
          <w:rFonts w:ascii="Arial" w:hAnsi="Arial" w:cs="Arial"/>
          <w:color w:val="0070C0"/>
          <w:sz w:val="20"/>
          <w:szCs w:val="20"/>
        </w:rPr>
        <w:t>)</w:t>
      </w:r>
      <w:r w:rsidR="002E06CF" w:rsidRPr="009429F0">
        <w:rPr>
          <w:rFonts w:ascii="Arial" w:hAnsi="Arial" w:cs="Arial"/>
          <w:sz w:val="20"/>
          <w:szCs w:val="20"/>
        </w:rPr>
        <w:t>, and for those with mental health or</w:t>
      </w:r>
      <w:r w:rsidR="008C6873" w:rsidRPr="009429F0">
        <w:rPr>
          <w:rFonts w:ascii="Arial" w:hAnsi="Arial" w:cs="Arial"/>
          <w:sz w:val="20"/>
          <w:szCs w:val="20"/>
        </w:rPr>
        <w:t xml:space="preserve"> musculoskeletal problems</w:t>
      </w:r>
      <w:r w:rsidR="00FC7FA3" w:rsidRPr="009429F0">
        <w:rPr>
          <w:rFonts w:ascii="Arial" w:hAnsi="Arial" w:cs="Arial"/>
          <w:sz w:val="20"/>
          <w:szCs w:val="20"/>
        </w:rPr>
        <w:t xml:space="preserve"> </w:t>
      </w:r>
      <w:r w:rsidR="00E81E7E" w:rsidRPr="009429F0">
        <w:rPr>
          <w:rFonts w:ascii="Arial" w:hAnsi="Arial" w:cs="Arial"/>
          <w:color w:val="0070C0"/>
          <w:sz w:val="20"/>
          <w:szCs w:val="20"/>
        </w:rPr>
        <w:t>(</w:t>
      </w:r>
      <w:r w:rsidR="00CE03AE" w:rsidRPr="009429F0">
        <w:rPr>
          <w:rFonts w:ascii="Arial" w:hAnsi="Arial" w:cs="Arial"/>
          <w:color w:val="0070C0"/>
          <w:sz w:val="20"/>
          <w:szCs w:val="20"/>
        </w:rPr>
        <w:t>9,10</w:t>
      </w:r>
      <w:r w:rsidR="00E81E7E" w:rsidRPr="009429F0">
        <w:rPr>
          <w:rFonts w:ascii="Arial" w:hAnsi="Arial" w:cs="Arial"/>
          <w:color w:val="0070C0"/>
          <w:sz w:val="20"/>
          <w:szCs w:val="20"/>
        </w:rPr>
        <w:t>)</w:t>
      </w:r>
      <w:r w:rsidR="002E06CF" w:rsidRPr="009429F0">
        <w:rPr>
          <w:rFonts w:ascii="Arial" w:hAnsi="Arial" w:cs="Arial"/>
          <w:sz w:val="20"/>
          <w:szCs w:val="20"/>
        </w:rPr>
        <w:t>.</w:t>
      </w:r>
    </w:p>
    <w:p w:rsidR="009C6C26" w:rsidRPr="009429F0" w:rsidRDefault="002E06CF" w:rsidP="00076477">
      <w:pPr>
        <w:spacing w:line="480" w:lineRule="auto"/>
        <w:rPr>
          <w:rFonts w:ascii="Arial" w:hAnsi="Arial" w:cs="Arial"/>
          <w:sz w:val="20"/>
          <w:szCs w:val="20"/>
        </w:rPr>
      </w:pPr>
      <w:r w:rsidRPr="009429F0">
        <w:rPr>
          <w:rFonts w:ascii="Arial" w:hAnsi="Arial" w:cs="Arial"/>
          <w:sz w:val="20"/>
          <w:szCs w:val="20"/>
        </w:rPr>
        <w:t xml:space="preserve">However, one important aspect of sickness certification yet to be covered to any real extent concerns the lack of stability in a certified sickness episode due to a change of diagnosis during the course of the period of </w:t>
      </w:r>
      <w:r w:rsidR="00EB3B43" w:rsidRPr="009429F0">
        <w:rPr>
          <w:rFonts w:ascii="Arial" w:hAnsi="Arial" w:cs="Arial"/>
          <w:sz w:val="20"/>
          <w:szCs w:val="20"/>
        </w:rPr>
        <w:t>the episode</w:t>
      </w:r>
      <w:r w:rsidR="00B605A7" w:rsidRPr="009429F0">
        <w:rPr>
          <w:rFonts w:ascii="Arial" w:hAnsi="Arial" w:cs="Arial"/>
          <w:sz w:val="20"/>
          <w:szCs w:val="20"/>
        </w:rPr>
        <w:t xml:space="preserve"> </w:t>
      </w:r>
      <w:r w:rsidR="00E81E7E" w:rsidRPr="009429F0">
        <w:rPr>
          <w:rFonts w:ascii="Arial" w:hAnsi="Arial" w:cs="Arial"/>
          <w:color w:val="0070C0"/>
          <w:sz w:val="20"/>
          <w:szCs w:val="20"/>
        </w:rPr>
        <w:t>(</w:t>
      </w:r>
      <w:r w:rsidR="00CE03AE" w:rsidRPr="009429F0">
        <w:rPr>
          <w:rFonts w:ascii="Arial" w:hAnsi="Arial" w:cs="Arial"/>
          <w:color w:val="0070C0"/>
          <w:sz w:val="20"/>
          <w:szCs w:val="20"/>
        </w:rPr>
        <w:t>11</w:t>
      </w:r>
      <w:r w:rsidR="00E81E7E" w:rsidRPr="009429F0">
        <w:rPr>
          <w:rFonts w:ascii="Arial" w:hAnsi="Arial" w:cs="Arial"/>
          <w:color w:val="0070C0"/>
          <w:sz w:val="20"/>
          <w:szCs w:val="20"/>
        </w:rPr>
        <w:t>)</w:t>
      </w:r>
      <w:r w:rsidR="002167FA" w:rsidRPr="009429F0">
        <w:rPr>
          <w:rFonts w:ascii="Arial" w:hAnsi="Arial" w:cs="Arial"/>
          <w:sz w:val="20"/>
          <w:szCs w:val="20"/>
        </w:rPr>
        <w:t xml:space="preserve">. </w:t>
      </w:r>
      <w:r w:rsidR="00C06C19" w:rsidRPr="009429F0">
        <w:rPr>
          <w:rFonts w:ascii="Arial" w:hAnsi="Arial" w:cs="Arial"/>
          <w:sz w:val="20"/>
          <w:szCs w:val="20"/>
        </w:rPr>
        <w:t xml:space="preserve"> </w:t>
      </w:r>
      <w:r w:rsidR="009C6C26" w:rsidRPr="009429F0">
        <w:rPr>
          <w:rFonts w:ascii="Arial" w:hAnsi="Arial" w:cs="Arial"/>
          <w:sz w:val="20"/>
          <w:szCs w:val="20"/>
        </w:rPr>
        <w:t>The extent and nature of such diagnostic change may raise other issues not directly related to sickness certification, such as GP ‘subjectivity’ in reaching a diagnosis and the pattern of comorbidities (particularly co-existence of physical and psychological health problems).</w:t>
      </w:r>
    </w:p>
    <w:p w:rsidR="00AF2EF2" w:rsidRPr="009429F0" w:rsidRDefault="00AF2EF2" w:rsidP="00076477">
      <w:pPr>
        <w:spacing w:line="480" w:lineRule="auto"/>
        <w:rPr>
          <w:rFonts w:ascii="Arial" w:hAnsi="Arial" w:cs="Arial"/>
          <w:sz w:val="20"/>
          <w:szCs w:val="20"/>
        </w:rPr>
      </w:pPr>
      <w:r w:rsidRPr="009429F0">
        <w:rPr>
          <w:rFonts w:ascii="Arial" w:hAnsi="Arial" w:cs="Arial"/>
          <w:sz w:val="20"/>
          <w:szCs w:val="20"/>
        </w:rPr>
        <w:t>Identifying an episode including sickness certificates wi</w:t>
      </w:r>
      <w:r w:rsidR="009C6C26" w:rsidRPr="009429F0">
        <w:rPr>
          <w:rFonts w:ascii="Arial" w:hAnsi="Arial" w:cs="Arial"/>
          <w:sz w:val="20"/>
          <w:szCs w:val="20"/>
        </w:rPr>
        <w:t xml:space="preserve">th different diagnoses </w:t>
      </w:r>
      <w:r w:rsidRPr="009429F0">
        <w:rPr>
          <w:rFonts w:ascii="Arial" w:hAnsi="Arial" w:cs="Arial"/>
          <w:sz w:val="20"/>
          <w:szCs w:val="20"/>
        </w:rPr>
        <w:t xml:space="preserve">has potential implications for all agencies in the sickness certification and benefits systems. Firstly, co-morbidities experienced by the patient/employee will impact upon treatment options, time needed to recover and the duration of sick </w:t>
      </w:r>
      <w:r w:rsidRPr="009429F0">
        <w:rPr>
          <w:rFonts w:ascii="Arial" w:hAnsi="Arial" w:cs="Arial"/>
          <w:sz w:val="20"/>
          <w:szCs w:val="20"/>
        </w:rPr>
        <w:lastRenderedPageBreak/>
        <w:t xml:space="preserve">leave. Secondly, any return-to-work advice provided by the GP (or occupational health physician) will need to take account of possibly different levels of functional impairment. Thirdly, the agency responsible for </w:t>
      </w:r>
      <w:r w:rsidR="009A1AC1" w:rsidRPr="009429F0">
        <w:rPr>
          <w:rFonts w:ascii="Arial" w:hAnsi="Arial" w:cs="Arial"/>
          <w:sz w:val="20"/>
          <w:szCs w:val="20"/>
        </w:rPr>
        <w:t xml:space="preserve">assessing a claim for sickness or incapacity-related benefit (for instance, Employment </w:t>
      </w:r>
      <w:r w:rsidR="00C86366" w:rsidRPr="009429F0">
        <w:rPr>
          <w:rFonts w:ascii="Arial" w:hAnsi="Arial" w:cs="Arial"/>
          <w:sz w:val="20"/>
          <w:szCs w:val="20"/>
        </w:rPr>
        <w:t xml:space="preserve">and </w:t>
      </w:r>
      <w:r w:rsidR="009A1AC1" w:rsidRPr="009429F0">
        <w:rPr>
          <w:rFonts w:ascii="Arial" w:hAnsi="Arial" w:cs="Arial"/>
          <w:sz w:val="20"/>
          <w:szCs w:val="20"/>
        </w:rPr>
        <w:t>Support Allowance in the UK)</w:t>
      </w:r>
      <w:r w:rsidRPr="009429F0">
        <w:rPr>
          <w:rFonts w:ascii="Arial" w:hAnsi="Arial" w:cs="Arial"/>
          <w:sz w:val="20"/>
          <w:szCs w:val="20"/>
        </w:rPr>
        <w:t xml:space="preserve"> </w:t>
      </w:r>
      <w:r w:rsidR="009A1AC1" w:rsidRPr="009429F0">
        <w:rPr>
          <w:rFonts w:ascii="Arial" w:hAnsi="Arial" w:cs="Arial"/>
          <w:sz w:val="20"/>
          <w:szCs w:val="20"/>
        </w:rPr>
        <w:t>will need to consider the different diagnoses in their assessment proc</w:t>
      </w:r>
      <w:r w:rsidR="00952B10" w:rsidRPr="009429F0">
        <w:rPr>
          <w:rFonts w:ascii="Arial" w:hAnsi="Arial" w:cs="Arial"/>
          <w:sz w:val="20"/>
          <w:szCs w:val="20"/>
        </w:rPr>
        <w:t>edures</w:t>
      </w:r>
      <w:r w:rsidR="009A1AC1" w:rsidRPr="009429F0">
        <w:rPr>
          <w:rFonts w:ascii="Arial" w:hAnsi="Arial" w:cs="Arial"/>
          <w:sz w:val="20"/>
          <w:szCs w:val="20"/>
        </w:rPr>
        <w:t xml:space="preserve">. In an academic sense, the need to appropriately code </w:t>
      </w:r>
      <w:r w:rsidR="0086137A" w:rsidRPr="009429F0">
        <w:rPr>
          <w:rFonts w:ascii="Arial" w:hAnsi="Arial" w:cs="Arial"/>
          <w:sz w:val="20"/>
          <w:szCs w:val="20"/>
        </w:rPr>
        <w:t>“mixed diagnosis”</w:t>
      </w:r>
      <w:r w:rsidR="009A1AC1" w:rsidRPr="009429F0">
        <w:rPr>
          <w:rFonts w:ascii="Arial" w:hAnsi="Arial" w:cs="Arial"/>
          <w:sz w:val="20"/>
          <w:szCs w:val="20"/>
        </w:rPr>
        <w:t xml:space="preserve"> episodes will be a concern to researchers working in the field of sickness absence and its certification, particularly those who </w:t>
      </w:r>
      <w:r w:rsidR="00420CB5" w:rsidRPr="009429F0">
        <w:rPr>
          <w:rFonts w:ascii="Arial" w:hAnsi="Arial" w:cs="Arial"/>
          <w:sz w:val="20"/>
          <w:szCs w:val="20"/>
        </w:rPr>
        <w:t>are seeking to identify a causal relationship between the diagnostic reason for incapacity and the outcomes of sickness certification (such as longer duration).</w:t>
      </w:r>
    </w:p>
    <w:p w:rsidR="00C22197" w:rsidRPr="009429F0" w:rsidRDefault="009A06D0" w:rsidP="00076477">
      <w:pPr>
        <w:spacing w:line="480" w:lineRule="auto"/>
        <w:rPr>
          <w:rFonts w:ascii="Arial" w:hAnsi="Arial" w:cs="Arial"/>
          <w:sz w:val="20"/>
          <w:szCs w:val="20"/>
        </w:rPr>
      </w:pPr>
      <w:r w:rsidRPr="009429F0">
        <w:rPr>
          <w:rFonts w:ascii="Arial" w:hAnsi="Arial" w:cs="Arial"/>
          <w:sz w:val="20"/>
          <w:szCs w:val="20"/>
        </w:rPr>
        <w:t xml:space="preserve">This study uses a large database of </w:t>
      </w:r>
      <w:r w:rsidR="006C58CB" w:rsidRPr="009429F0">
        <w:rPr>
          <w:rFonts w:ascii="Arial" w:hAnsi="Arial" w:cs="Arial"/>
          <w:sz w:val="20"/>
          <w:szCs w:val="20"/>
        </w:rPr>
        <w:t xml:space="preserve">certified sickness episodes and individual sickness certificates (‘fit notes’) </w:t>
      </w:r>
      <w:r w:rsidRPr="009429F0">
        <w:rPr>
          <w:rFonts w:ascii="Arial" w:hAnsi="Arial" w:cs="Arial"/>
          <w:sz w:val="20"/>
          <w:szCs w:val="20"/>
        </w:rPr>
        <w:t>i</w:t>
      </w:r>
      <w:r w:rsidR="006C58CB" w:rsidRPr="009429F0">
        <w:rPr>
          <w:rFonts w:ascii="Arial" w:hAnsi="Arial" w:cs="Arial"/>
          <w:sz w:val="20"/>
          <w:szCs w:val="20"/>
        </w:rPr>
        <w:t xml:space="preserve">n the UK </w:t>
      </w:r>
      <w:r w:rsidRPr="009429F0">
        <w:rPr>
          <w:rFonts w:ascii="Arial" w:hAnsi="Arial" w:cs="Arial"/>
          <w:sz w:val="20"/>
          <w:szCs w:val="20"/>
        </w:rPr>
        <w:t xml:space="preserve">in order to </w:t>
      </w:r>
      <w:r w:rsidR="00B74D58" w:rsidRPr="009429F0">
        <w:rPr>
          <w:rFonts w:ascii="Arial" w:hAnsi="Arial" w:cs="Arial"/>
          <w:sz w:val="20"/>
          <w:szCs w:val="20"/>
        </w:rPr>
        <w:t>examine three aspects of within-episode change of diagnosis.</w:t>
      </w:r>
    </w:p>
    <w:p w:rsidR="00B74D58" w:rsidRPr="009429F0" w:rsidRDefault="00B74D58" w:rsidP="00076477">
      <w:pPr>
        <w:spacing w:line="480" w:lineRule="auto"/>
        <w:rPr>
          <w:rFonts w:ascii="Arial" w:hAnsi="Arial" w:cs="Arial"/>
          <w:sz w:val="20"/>
          <w:szCs w:val="20"/>
        </w:rPr>
      </w:pPr>
      <w:r w:rsidRPr="009429F0">
        <w:rPr>
          <w:rFonts w:ascii="Arial" w:hAnsi="Arial" w:cs="Arial"/>
          <w:sz w:val="20"/>
          <w:szCs w:val="20"/>
        </w:rPr>
        <w:t>(</w:t>
      </w:r>
      <w:proofErr w:type="spellStart"/>
      <w:r w:rsidRPr="009429F0">
        <w:rPr>
          <w:rFonts w:ascii="Arial" w:hAnsi="Arial" w:cs="Arial"/>
          <w:sz w:val="20"/>
          <w:szCs w:val="20"/>
        </w:rPr>
        <w:t>i</w:t>
      </w:r>
      <w:proofErr w:type="spellEnd"/>
      <w:r w:rsidRPr="009429F0">
        <w:rPr>
          <w:rFonts w:ascii="Arial" w:hAnsi="Arial" w:cs="Arial"/>
          <w:sz w:val="20"/>
          <w:szCs w:val="20"/>
        </w:rPr>
        <w:t xml:space="preserve">) The number of </w:t>
      </w:r>
      <w:r w:rsidR="0086137A" w:rsidRPr="009429F0">
        <w:rPr>
          <w:rFonts w:ascii="Arial" w:hAnsi="Arial" w:cs="Arial"/>
          <w:sz w:val="20"/>
          <w:szCs w:val="20"/>
        </w:rPr>
        <w:t>“mixed diagnosis”</w:t>
      </w:r>
      <w:r w:rsidRPr="009429F0">
        <w:rPr>
          <w:rFonts w:ascii="Arial" w:hAnsi="Arial" w:cs="Arial"/>
          <w:sz w:val="20"/>
          <w:szCs w:val="20"/>
        </w:rPr>
        <w:t xml:space="preserve"> episodes, by duration of episode and the diagnosis on the first fit note in the episode.</w:t>
      </w:r>
    </w:p>
    <w:p w:rsidR="00B74D58" w:rsidRPr="009429F0" w:rsidRDefault="00B74D58" w:rsidP="00076477">
      <w:pPr>
        <w:spacing w:line="480" w:lineRule="auto"/>
        <w:rPr>
          <w:rFonts w:ascii="Arial" w:hAnsi="Arial" w:cs="Arial"/>
          <w:sz w:val="20"/>
          <w:szCs w:val="20"/>
        </w:rPr>
      </w:pPr>
      <w:r w:rsidRPr="009429F0">
        <w:rPr>
          <w:rFonts w:ascii="Arial" w:hAnsi="Arial" w:cs="Arial"/>
          <w:sz w:val="20"/>
          <w:szCs w:val="20"/>
        </w:rPr>
        <w:t>(ii) The specific diagnostic categories that were the ‘destination’ of any changes.</w:t>
      </w:r>
    </w:p>
    <w:p w:rsidR="00B74D58" w:rsidRPr="009429F0" w:rsidRDefault="00B74D58" w:rsidP="00076477">
      <w:pPr>
        <w:spacing w:line="480" w:lineRule="auto"/>
        <w:rPr>
          <w:rFonts w:ascii="Arial" w:hAnsi="Arial" w:cs="Arial"/>
          <w:sz w:val="20"/>
          <w:szCs w:val="20"/>
        </w:rPr>
      </w:pPr>
      <w:r w:rsidRPr="009429F0">
        <w:rPr>
          <w:rFonts w:ascii="Arial" w:hAnsi="Arial" w:cs="Arial"/>
          <w:sz w:val="20"/>
          <w:szCs w:val="20"/>
        </w:rPr>
        <w:t xml:space="preserve">(iii) Episode-, patient-, GP- and general practice-based factors associated with likelihood of having a </w:t>
      </w:r>
      <w:r w:rsidR="0086137A" w:rsidRPr="009429F0">
        <w:rPr>
          <w:rFonts w:ascii="Arial" w:hAnsi="Arial" w:cs="Arial"/>
          <w:sz w:val="20"/>
          <w:szCs w:val="20"/>
        </w:rPr>
        <w:t>“mixed diagnosis”</w:t>
      </w:r>
      <w:r w:rsidRPr="009429F0">
        <w:rPr>
          <w:rFonts w:ascii="Arial" w:hAnsi="Arial" w:cs="Arial"/>
          <w:sz w:val="20"/>
          <w:szCs w:val="20"/>
        </w:rPr>
        <w:t xml:space="preserve"> episode of certified sickness absence.</w:t>
      </w:r>
    </w:p>
    <w:p w:rsidR="00960599" w:rsidRPr="009429F0" w:rsidRDefault="00960599" w:rsidP="00076477">
      <w:pPr>
        <w:spacing w:line="480" w:lineRule="auto"/>
        <w:rPr>
          <w:rFonts w:ascii="Arial" w:hAnsi="Arial" w:cs="Arial"/>
          <w:b/>
          <w:sz w:val="20"/>
          <w:szCs w:val="20"/>
        </w:rPr>
      </w:pPr>
    </w:p>
    <w:p w:rsidR="00D3585F" w:rsidRPr="009429F0" w:rsidRDefault="00425242" w:rsidP="00076477">
      <w:pPr>
        <w:spacing w:line="480" w:lineRule="auto"/>
        <w:rPr>
          <w:rFonts w:ascii="Arial" w:hAnsi="Arial" w:cs="Arial"/>
          <w:b/>
          <w:sz w:val="20"/>
          <w:szCs w:val="20"/>
        </w:rPr>
      </w:pPr>
      <w:r w:rsidRPr="009429F0">
        <w:rPr>
          <w:rFonts w:ascii="Arial" w:hAnsi="Arial" w:cs="Arial"/>
          <w:b/>
          <w:sz w:val="20"/>
          <w:szCs w:val="20"/>
        </w:rPr>
        <w:t>Methods</w:t>
      </w:r>
    </w:p>
    <w:p w:rsidR="00D3585F" w:rsidRPr="009429F0" w:rsidRDefault="00D3585F" w:rsidP="00076477">
      <w:pPr>
        <w:spacing w:line="480" w:lineRule="auto"/>
        <w:rPr>
          <w:rFonts w:ascii="Arial" w:hAnsi="Arial" w:cs="Arial"/>
          <w:i/>
          <w:sz w:val="20"/>
          <w:szCs w:val="20"/>
        </w:rPr>
      </w:pPr>
      <w:r w:rsidRPr="009429F0">
        <w:rPr>
          <w:rFonts w:ascii="Arial" w:hAnsi="Arial" w:cs="Arial"/>
          <w:i/>
          <w:sz w:val="20"/>
          <w:szCs w:val="20"/>
        </w:rPr>
        <w:t>Collection of sickness certification data</w:t>
      </w:r>
    </w:p>
    <w:p w:rsidR="003400AF" w:rsidRPr="009429F0" w:rsidRDefault="00D3585F" w:rsidP="00076477">
      <w:pPr>
        <w:spacing w:line="480" w:lineRule="auto"/>
        <w:rPr>
          <w:rFonts w:ascii="Arial" w:hAnsi="Arial" w:cs="Arial"/>
          <w:sz w:val="20"/>
          <w:szCs w:val="20"/>
        </w:rPr>
      </w:pPr>
      <w:r w:rsidRPr="009429F0">
        <w:rPr>
          <w:rFonts w:ascii="Arial" w:hAnsi="Arial" w:cs="Arial"/>
          <w:sz w:val="20"/>
          <w:szCs w:val="20"/>
        </w:rPr>
        <w:t xml:space="preserve">Sickness certification (‘fit note’) data for the study was generated from two projects commissioned and funded by the UK Department for Work and Pensions (DWP): the national evaluation of the fit note </w:t>
      </w:r>
      <w:r w:rsidR="006345F9" w:rsidRPr="009429F0">
        <w:rPr>
          <w:rFonts w:ascii="Arial" w:hAnsi="Arial" w:cs="Arial"/>
          <w:sz w:val="20"/>
          <w:szCs w:val="20"/>
        </w:rPr>
        <w:t xml:space="preserve">(2011-2012) </w:t>
      </w:r>
      <w:r w:rsidRPr="009429F0">
        <w:rPr>
          <w:rFonts w:ascii="Arial" w:hAnsi="Arial" w:cs="Arial"/>
          <w:sz w:val="20"/>
          <w:szCs w:val="20"/>
        </w:rPr>
        <w:t>and the evaluation of Fit for Work Service (FFWS) pilots</w:t>
      </w:r>
      <w:r w:rsidR="006345F9" w:rsidRPr="009429F0">
        <w:rPr>
          <w:rFonts w:ascii="Arial" w:hAnsi="Arial" w:cs="Arial"/>
          <w:sz w:val="20"/>
          <w:szCs w:val="20"/>
        </w:rPr>
        <w:t xml:space="preserve"> (2011-2013)</w:t>
      </w:r>
      <w:r w:rsidRPr="009429F0">
        <w:rPr>
          <w:rFonts w:ascii="Arial" w:hAnsi="Arial" w:cs="Arial"/>
          <w:sz w:val="20"/>
          <w:szCs w:val="20"/>
        </w:rPr>
        <w:t>. The former recruited 49 general practices from five geographical areas of the UK (Scotland, Wales, Derbyshire, North West and South East England). The latter involved 19 practices sited in three FFWS pilot sites (Greater Manchester, Leicestershire and North Staffordshire). These practices varied in list size (small, medium and large), location (urban, suburban, rural) and level of deprivation</w:t>
      </w:r>
      <w:r w:rsidR="008101D3" w:rsidRPr="009429F0">
        <w:rPr>
          <w:rFonts w:ascii="Arial" w:hAnsi="Arial" w:cs="Arial"/>
          <w:sz w:val="20"/>
          <w:szCs w:val="20"/>
        </w:rPr>
        <w:t xml:space="preserve"> of their patient population</w:t>
      </w:r>
      <w:r w:rsidRPr="009429F0">
        <w:rPr>
          <w:rFonts w:ascii="Arial" w:hAnsi="Arial" w:cs="Arial"/>
          <w:sz w:val="20"/>
          <w:szCs w:val="20"/>
        </w:rPr>
        <w:t xml:space="preserve">. </w:t>
      </w:r>
      <w:r w:rsidR="00952B10" w:rsidRPr="009429F0">
        <w:rPr>
          <w:rFonts w:ascii="Arial" w:hAnsi="Arial" w:cs="Arial"/>
          <w:sz w:val="20"/>
          <w:szCs w:val="20"/>
        </w:rPr>
        <w:t>Data were</w:t>
      </w:r>
      <w:r w:rsidR="003400AF" w:rsidRPr="009429F0">
        <w:rPr>
          <w:rFonts w:ascii="Arial" w:hAnsi="Arial" w:cs="Arial"/>
          <w:sz w:val="20"/>
          <w:szCs w:val="20"/>
        </w:rPr>
        <w:t xml:space="preserve"> coll</w:t>
      </w:r>
      <w:r w:rsidR="006345F9" w:rsidRPr="009429F0">
        <w:rPr>
          <w:rFonts w:ascii="Arial" w:hAnsi="Arial" w:cs="Arial"/>
          <w:sz w:val="20"/>
          <w:szCs w:val="20"/>
        </w:rPr>
        <w:t>ected for a period of 12 months at each practice.</w:t>
      </w:r>
    </w:p>
    <w:p w:rsidR="00D3585F" w:rsidRPr="009429F0" w:rsidRDefault="00D3585F" w:rsidP="00076477">
      <w:pPr>
        <w:spacing w:line="480" w:lineRule="auto"/>
        <w:rPr>
          <w:rFonts w:ascii="Arial" w:hAnsi="Arial" w:cs="Arial"/>
          <w:sz w:val="20"/>
          <w:szCs w:val="20"/>
        </w:rPr>
      </w:pPr>
      <w:r w:rsidRPr="009429F0">
        <w:rPr>
          <w:rFonts w:ascii="Arial" w:hAnsi="Arial" w:cs="Arial"/>
          <w:sz w:val="20"/>
          <w:szCs w:val="20"/>
        </w:rPr>
        <w:t xml:space="preserve">In addition to the details on the note (date of issue, diagnosis, period to abstain from work, whether the patient ‘may be fit’ to do some work, whether the patient needed to be re-assessed at the expiry of the </w:t>
      </w:r>
      <w:r w:rsidRPr="009429F0">
        <w:rPr>
          <w:rFonts w:ascii="Arial" w:hAnsi="Arial" w:cs="Arial"/>
          <w:sz w:val="20"/>
          <w:szCs w:val="20"/>
        </w:rPr>
        <w:lastRenderedPageBreak/>
        <w:t>note and the certifying GP) a number of additional items were collected from the patient practice record that have been shown to influence sickness absence risk. These included gender, year of birth and post code. The latter was transformed by practice staff into a neighbourhood deprivation score for the patient</w:t>
      </w:r>
      <w:r w:rsidR="0089670A" w:rsidRPr="009429F0">
        <w:rPr>
          <w:rFonts w:ascii="Arial" w:hAnsi="Arial" w:cs="Arial"/>
          <w:sz w:val="20"/>
          <w:szCs w:val="20"/>
        </w:rPr>
        <w:t xml:space="preserve"> (on the basis of the score patients were then assigned to a quintile of lower-level Super Output Areas or Data Zones in their respective country)</w:t>
      </w:r>
      <w:r w:rsidRPr="009429F0">
        <w:rPr>
          <w:rFonts w:ascii="Arial" w:hAnsi="Arial" w:cs="Arial"/>
          <w:sz w:val="20"/>
          <w:szCs w:val="20"/>
        </w:rPr>
        <w:t xml:space="preserve">. </w:t>
      </w:r>
      <w:r w:rsidR="003400AF" w:rsidRPr="009429F0">
        <w:rPr>
          <w:rFonts w:ascii="Arial" w:hAnsi="Arial" w:cs="Arial"/>
          <w:sz w:val="20"/>
          <w:szCs w:val="20"/>
        </w:rPr>
        <w:t xml:space="preserve"> </w:t>
      </w:r>
      <w:r w:rsidRPr="009429F0">
        <w:rPr>
          <w:rFonts w:ascii="Arial" w:hAnsi="Arial" w:cs="Arial"/>
          <w:sz w:val="20"/>
          <w:szCs w:val="20"/>
        </w:rPr>
        <w:t>A more detailed description of the data collection process is provided elsewhere by the authors</w:t>
      </w:r>
      <w:r w:rsidR="00FC7FA3" w:rsidRPr="009429F0">
        <w:rPr>
          <w:rFonts w:ascii="Arial" w:hAnsi="Arial" w:cs="Arial"/>
          <w:sz w:val="20"/>
          <w:szCs w:val="20"/>
        </w:rPr>
        <w:t xml:space="preserve"> </w:t>
      </w:r>
      <w:r w:rsidR="00E81E7E" w:rsidRPr="009429F0">
        <w:rPr>
          <w:rFonts w:ascii="Arial" w:hAnsi="Arial" w:cs="Arial"/>
          <w:color w:val="0070C0"/>
          <w:sz w:val="20"/>
          <w:szCs w:val="20"/>
        </w:rPr>
        <w:t>(</w:t>
      </w:r>
      <w:r w:rsidR="00CE03AE" w:rsidRPr="009429F0">
        <w:rPr>
          <w:rFonts w:ascii="Arial" w:hAnsi="Arial" w:cs="Arial"/>
          <w:color w:val="0070C0"/>
          <w:sz w:val="20"/>
          <w:szCs w:val="20"/>
        </w:rPr>
        <w:t>12</w:t>
      </w:r>
      <w:r w:rsidR="00E81E7E" w:rsidRPr="009429F0">
        <w:rPr>
          <w:rFonts w:ascii="Arial" w:hAnsi="Arial" w:cs="Arial"/>
          <w:color w:val="0070C0"/>
          <w:sz w:val="20"/>
          <w:szCs w:val="20"/>
        </w:rPr>
        <w:t>)</w:t>
      </w:r>
      <w:r w:rsidRPr="009429F0">
        <w:rPr>
          <w:rFonts w:ascii="Arial" w:hAnsi="Arial" w:cs="Arial"/>
          <w:sz w:val="20"/>
          <w:szCs w:val="20"/>
        </w:rPr>
        <w:t>.</w:t>
      </w:r>
      <w:r w:rsidRPr="009429F0">
        <w:rPr>
          <w:rFonts w:ascii="Arial" w:hAnsi="Arial" w:cs="Arial"/>
          <w:color w:val="FF0000"/>
          <w:sz w:val="20"/>
          <w:szCs w:val="20"/>
          <w:vertAlign w:val="superscript"/>
        </w:rPr>
        <w:t xml:space="preserve"> </w:t>
      </w:r>
      <w:r w:rsidRPr="009429F0">
        <w:rPr>
          <w:rFonts w:ascii="Arial" w:hAnsi="Arial" w:cs="Arial"/>
          <w:sz w:val="20"/>
          <w:szCs w:val="20"/>
        </w:rPr>
        <w:t>Ethical approval for data collection was obtained from the (UK) National Research Ethics Service in June 2011.</w:t>
      </w:r>
    </w:p>
    <w:p w:rsidR="00D3585F" w:rsidRPr="009429F0" w:rsidRDefault="00D3585F" w:rsidP="00076477">
      <w:pPr>
        <w:spacing w:line="480" w:lineRule="auto"/>
        <w:rPr>
          <w:rFonts w:ascii="Arial" w:hAnsi="Arial" w:cs="Arial"/>
          <w:i/>
          <w:sz w:val="20"/>
          <w:szCs w:val="20"/>
        </w:rPr>
      </w:pPr>
      <w:r w:rsidRPr="009429F0">
        <w:rPr>
          <w:rFonts w:ascii="Arial" w:hAnsi="Arial" w:cs="Arial"/>
          <w:i/>
          <w:sz w:val="20"/>
          <w:szCs w:val="20"/>
        </w:rPr>
        <w:t>Episodes of certified sickness absence</w:t>
      </w:r>
    </w:p>
    <w:p w:rsidR="003400AF" w:rsidRPr="009429F0" w:rsidRDefault="00D3585F" w:rsidP="00076477">
      <w:pPr>
        <w:spacing w:line="480" w:lineRule="auto"/>
        <w:rPr>
          <w:rFonts w:ascii="Arial" w:hAnsi="Arial" w:cs="Arial"/>
          <w:sz w:val="20"/>
          <w:szCs w:val="20"/>
        </w:rPr>
      </w:pPr>
      <w:r w:rsidRPr="009429F0">
        <w:rPr>
          <w:rFonts w:ascii="Arial" w:hAnsi="Arial" w:cs="Arial"/>
          <w:sz w:val="20"/>
          <w:szCs w:val="20"/>
        </w:rPr>
        <w:t xml:space="preserve">The individual fit notes issued to a patient during the period of data collection were collapsed into certified sickness ‘episodes’. An episode consisted of a period of </w:t>
      </w:r>
      <w:r w:rsidRPr="009429F0">
        <w:rPr>
          <w:rFonts w:ascii="Arial" w:hAnsi="Arial" w:cs="Arial"/>
          <w:i/>
          <w:sz w:val="20"/>
          <w:szCs w:val="20"/>
        </w:rPr>
        <w:t>continuous</w:t>
      </w:r>
      <w:r w:rsidRPr="009429F0">
        <w:rPr>
          <w:rFonts w:ascii="Arial" w:hAnsi="Arial" w:cs="Arial"/>
          <w:sz w:val="20"/>
          <w:szCs w:val="20"/>
        </w:rPr>
        <w:t xml:space="preserve"> sickness absence certified by one or more fit notes. A new episode was deemed to have commenced if a fit note was issued more than 14 days after the expiry of a previous sickness certificate. </w:t>
      </w:r>
      <w:r w:rsidR="00F604A3" w:rsidRPr="009429F0">
        <w:rPr>
          <w:rFonts w:ascii="Arial" w:hAnsi="Arial" w:cs="Arial"/>
          <w:sz w:val="20"/>
          <w:szCs w:val="20"/>
        </w:rPr>
        <w:t>This interval makes an allowance for the patient possibly returning to work and completing a 7-day period of self-certification.</w:t>
      </w:r>
    </w:p>
    <w:p w:rsidR="00D3585F" w:rsidRPr="009429F0" w:rsidRDefault="00D3585F" w:rsidP="00076477">
      <w:pPr>
        <w:spacing w:line="480" w:lineRule="auto"/>
        <w:rPr>
          <w:rFonts w:ascii="Arial" w:hAnsi="Arial" w:cs="Arial"/>
          <w:i/>
          <w:sz w:val="20"/>
          <w:szCs w:val="20"/>
        </w:rPr>
      </w:pPr>
      <w:r w:rsidRPr="009429F0">
        <w:rPr>
          <w:rFonts w:ascii="Arial" w:hAnsi="Arial" w:cs="Arial"/>
          <w:i/>
          <w:sz w:val="20"/>
          <w:szCs w:val="20"/>
        </w:rPr>
        <w:t>Diagn</w:t>
      </w:r>
      <w:r w:rsidR="006D69F0" w:rsidRPr="009429F0">
        <w:rPr>
          <w:rFonts w:ascii="Arial" w:hAnsi="Arial" w:cs="Arial"/>
          <w:i/>
          <w:sz w:val="20"/>
          <w:szCs w:val="20"/>
        </w:rPr>
        <w:t>ostic classification of fit notes</w:t>
      </w:r>
    </w:p>
    <w:p w:rsidR="00013003" w:rsidRPr="009429F0" w:rsidRDefault="00D3585F" w:rsidP="00076477">
      <w:pPr>
        <w:spacing w:line="480" w:lineRule="auto"/>
        <w:rPr>
          <w:rFonts w:ascii="Arial" w:hAnsi="Arial" w:cs="Arial"/>
          <w:sz w:val="20"/>
          <w:szCs w:val="20"/>
        </w:rPr>
      </w:pPr>
      <w:r w:rsidRPr="009429F0">
        <w:rPr>
          <w:rFonts w:ascii="Arial" w:hAnsi="Arial" w:cs="Arial"/>
          <w:sz w:val="20"/>
          <w:szCs w:val="20"/>
        </w:rPr>
        <w:t xml:space="preserve">In classifying the health (or related) problem recorded as the reason for the patient’s sickness absence and its </w:t>
      </w:r>
      <w:r w:rsidR="00425242" w:rsidRPr="009429F0">
        <w:rPr>
          <w:rFonts w:ascii="Arial" w:hAnsi="Arial" w:cs="Arial"/>
          <w:sz w:val="20"/>
          <w:szCs w:val="20"/>
        </w:rPr>
        <w:t xml:space="preserve">certification, the broad READ </w:t>
      </w:r>
      <w:r w:rsidR="00952B10" w:rsidRPr="009429F0">
        <w:rPr>
          <w:rFonts w:ascii="Arial" w:hAnsi="Arial" w:cs="Arial"/>
          <w:sz w:val="20"/>
          <w:szCs w:val="20"/>
        </w:rPr>
        <w:t xml:space="preserve">coding </w:t>
      </w:r>
      <w:r w:rsidRPr="009429F0">
        <w:rPr>
          <w:rFonts w:ascii="Arial" w:hAnsi="Arial" w:cs="Arial"/>
          <w:sz w:val="20"/>
          <w:szCs w:val="20"/>
        </w:rPr>
        <w:t xml:space="preserve">categories were used as a starting point. However, the categories that were eventually utilised in the study were significantly adapted in order to reflect the types of problem that were commonly cited on fit notes issued by the GPs in the </w:t>
      </w:r>
      <w:r w:rsidR="006D69F0" w:rsidRPr="009429F0">
        <w:rPr>
          <w:rFonts w:ascii="Arial" w:hAnsi="Arial" w:cs="Arial"/>
          <w:sz w:val="20"/>
          <w:szCs w:val="20"/>
        </w:rPr>
        <w:t>studies sourcing the data. For instance</w:t>
      </w:r>
      <w:r w:rsidRPr="009429F0">
        <w:rPr>
          <w:rFonts w:ascii="Arial" w:hAnsi="Arial" w:cs="Arial"/>
          <w:sz w:val="20"/>
          <w:szCs w:val="20"/>
        </w:rPr>
        <w:t>, a “post op recovery” category was used to classi</w:t>
      </w:r>
      <w:r w:rsidR="006D69F0" w:rsidRPr="009429F0">
        <w:rPr>
          <w:rFonts w:ascii="Arial" w:hAnsi="Arial" w:cs="Arial"/>
          <w:sz w:val="20"/>
          <w:szCs w:val="20"/>
        </w:rPr>
        <w:t xml:space="preserve">fy the fit notes </w:t>
      </w:r>
      <w:r w:rsidRPr="009429F0">
        <w:rPr>
          <w:rFonts w:ascii="Arial" w:hAnsi="Arial" w:cs="Arial"/>
          <w:sz w:val="20"/>
          <w:szCs w:val="20"/>
        </w:rPr>
        <w:t>of those patients who were advised to abstain from their usual work in order to recover from a recent surgical operation.</w:t>
      </w:r>
      <w:r w:rsidR="000277AA" w:rsidRPr="009429F0">
        <w:rPr>
          <w:rFonts w:ascii="Arial" w:hAnsi="Arial" w:cs="Arial"/>
          <w:sz w:val="20"/>
          <w:szCs w:val="20"/>
        </w:rPr>
        <w:t xml:space="preserve"> A ‘</w:t>
      </w:r>
      <w:r w:rsidR="0073282D" w:rsidRPr="009429F0">
        <w:rPr>
          <w:rFonts w:ascii="Arial" w:hAnsi="Arial" w:cs="Arial"/>
          <w:sz w:val="20"/>
          <w:szCs w:val="20"/>
        </w:rPr>
        <w:t>physical symptom</w:t>
      </w:r>
      <w:r w:rsidR="000277AA" w:rsidRPr="009429F0">
        <w:rPr>
          <w:rFonts w:ascii="Arial" w:hAnsi="Arial" w:cs="Arial"/>
          <w:sz w:val="20"/>
          <w:szCs w:val="20"/>
        </w:rPr>
        <w:t>’ category was used to assign</w:t>
      </w:r>
      <w:r w:rsidR="0073282D" w:rsidRPr="009429F0">
        <w:rPr>
          <w:rFonts w:ascii="Arial" w:hAnsi="Arial" w:cs="Arial"/>
          <w:sz w:val="20"/>
          <w:szCs w:val="20"/>
        </w:rPr>
        <w:t xml:space="preserve"> those fit notes citing a symptom rather than a specific diagnosis </w:t>
      </w:r>
      <w:r w:rsidR="000277AA" w:rsidRPr="009429F0">
        <w:rPr>
          <w:rFonts w:ascii="Arial" w:hAnsi="Arial" w:cs="Arial"/>
          <w:sz w:val="20"/>
          <w:szCs w:val="20"/>
        </w:rPr>
        <w:t>(</w:t>
      </w:r>
      <w:proofErr w:type="spellStart"/>
      <w:r w:rsidR="000277AA" w:rsidRPr="009429F0">
        <w:rPr>
          <w:rFonts w:ascii="Arial" w:hAnsi="Arial" w:cs="Arial"/>
          <w:sz w:val="20"/>
          <w:szCs w:val="20"/>
        </w:rPr>
        <w:t>eg</w:t>
      </w:r>
      <w:proofErr w:type="spellEnd"/>
      <w:r w:rsidR="000277AA" w:rsidRPr="009429F0">
        <w:rPr>
          <w:rFonts w:ascii="Arial" w:hAnsi="Arial" w:cs="Arial"/>
          <w:sz w:val="20"/>
          <w:szCs w:val="20"/>
        </w:rPr>
        <w:t>. “headaches”, “dizziness”, “pain in….”.</w:t>
      </w:r>
      <w:r w:rsidR="0073282D" w:rsidRPr="009429F0">
        <w:rPr>
          <w:rFonts w:ascii="Arial" w:hAnsi="Arial" w:cs="Arial"/>
          <w:sz w:val="20"/>
          <w:szCs w:val="20"/>
        </w:rPr>
        <w:t>).</w:t>
      </w:r>
    </w:p>
    <w:p w:rsidR="00D3585F" w:rsidRPr="009429F0" w:rsidRDefault="00D3585F" w:rsidP="00076477">
      <w:pPr>
        <w:spacing w:line="480" w:lineRule="auto"/>
        <w:rPr>
          <w:rFonts w:ascii="Arial" w:hAnsi="Arial" w:cs="Arial"/>
          <w:i/>
          <w:sz w:val="20"/>
          <w:szCs w:val="20"/>
        </w:rPr>
      </w:pPr>
      <w:r w:rsidRPr="009429F0">
        <w:rPr>
          <w:rFonts w:ascii="Arial" w:hAnsi="Arial" w:cs="Arial"/>
          <w:i/>
          <w:sz w:val="20"/>
          <w:szCs w:val="20"/>
        </w:rPr>
        <w:t>Statistical analysis</w:t>
      </w:r>
    </w:p>
    <w:p w:rsidR="00305779" w:rsidRPr="009429F0" w:rsidRDefault="00305779" w:rsidP="00076477">
      <w:pPr>
        <w:spacing w:line="480" w:lineRule="auto"/>
        <w:rPr>
          <w:rFonts w:ascii="Arial" w:hAnsi="Arial" w:cs="Arial"/>
          <w:sz w:val="20"/>
          <w:szCs w:val="20"/>
        </w:rPr>
      </w:pPr>
      <w:r w:rsidRPr="009429F0">
        <w:rPr>
          <w:rFonts w:ascii="Arial" w:hAnsi="Arial" w:cs="Arial"/>
          <w:sz w:val="20"/>
          <w:szCs w:val="20"/>
        </w:rPr>
        <w:t>Only fit notes where a single diagnosis had been entered as the reason</w:t>
      </w:r>
      <w:r w:rsidR="00DE5F58" w:rsidRPr="009429F0">
        <w:rPr>
          <w:rFonts w:ascii="Arial" w:hAnsi="Arial" w:cs="Arial"/>
          <w:sz w:val="20"/>
          <w:szCs w:val="20"/>
        </w:rPr>
        <w:t xml:space="preserve"> for work incapacity were </w:t>
      </w:r>
      <w:r w:rsidRPr="009429F0">
        <w:rPr>
          <w:rFonts w:ascii="Arial" w:hAnsi="Arial" w:cs="Arial"/>
          <w:sz w:val="20"/>
          <w:szCs w:val="20"/>
        </w:rPr>
        <w:t xml:space="preserve">included in analysis. Episodes including one or more </w:t>
      </w:r>
      <w:r w:rsidR="00A52411" w:rsidRPr="009429F0">
        <w:rPr>
          <w:rFonts w:ascii="Arial" w:hAnsi="Arial" w:cs="Arial"/>
          <w:sz w:val="20"/>
          <w:szCs w:val="20"/>
        </w:rPr>
        <w:t>sickness certificates with multiple diagnoses were excluded.</w:t>
      </w:r>
    </w:p>
    <w:p w:rsidR="00D3585F" w:rsidRPr="009429F0" w:rsidRDefault="00D3585F" w:rsidP="00076477">
      <w:pPr>
        <w:spacing w:line="480" w:lineRule="auto"/>
        <w:rPr>
          <w:rFonts w:ascii="Arial" w:hAnsi="Arial" w:cs="Arial"/>
          <w:sz w:val="20"/>
          <w:szCs w:val="20"/>
        </w:rPr>
      </w:pPr>
      <w:r w:rsidRPr="009429F0">
        <w:rPr>
          <w:rFonts w:ascii="Arial" w:hAnsi="Arial" w:cs="Arial"/>
          <w:sz w:val="20"/>
          <w:szCs w:val="20"/>
        </w:rPr>
        <w:lastRenderedPageBreak/>
        <w:t xml:space="preserve">Simple percentages are used in reporting the proportions of patient episodes that involved a </w:t>
      </w:r>
      <w:r w:rsidR="007642D5" w:rsidRPr="009429F0">
        <w:rPr>
          <w:rFonts w:ascii="Arial" w:hAnsi="Arial" w:cs="Arial"/>
          <w:sz w:val="20"/>
          <w:szCs w:val="20"/>
        </w:rPr>
        <w:t>change from a fit note in one diagnostic category to a note in another category, and for reporting proportions changing from one specific diagnostic category to another.</w:t>
      </w:r>
    </w:p>
    <w:p w:rsidR="00013003" w:rsidRPr="009429F0" w:rsidRDefault="007677C2" w:rsidP="00076477">
      <w:pPr>
        <w:spacing w:line="480" w:lineRule="auto"/>
        <w:rPr>
          <w:rFonts w:ascii="Arial" w:hAnsi="Arial" w:cs="Arial"/>
          <w:sz w:val="20"/>
          <w:szCs w:val="20"/>
        </w:rPr>
      </w:pPr>
      <w:r w:rsidRPr="009429F0">
        <w:rPr>
          <w:rFonts w:ascii="Arial" w:hAnsi="Arial" w:cs="Arial"/>
          <w:sz w:val="20"/>
          <w:szCs w:val="20"/>
        </w:rPr>
        <w:t xml:space="preserve">Independent effects on likelihood of having a </w:t>
      </w:r>
      <w:r w:rsidR="0086137A" w:rsidRPr="009429F0">
        <w:rPr>
          <w:rFonts w:ascii="Arial" w:hAnsi="Arial" w:cs="Arial"/>
          <w:sz w:val="20"/>
          <w:szCs w:val="20"/>
        </w:rPr>
        <w:t>“mixed diagnosis”</w:t>
      </w:r>
      <w:r w:rsidRPr="009429F0">
        <w:rPr>
          <w:rFonts w:ascii="Arial" w:hAnsi="Arial" w:cs="Arial"/>
          <w:sz w:val="20"/>
          <w:szCs w:val="20"/>
        </w:rPr>
        <w:t xml:space="preserve"> episode were estimated in a logistic regression model. In order to account for the hierarchical nature of the data a mixed-effects (multilevel) model was run, with patient, GP and general practice included as random intercepts. For each independent covariate in the model </w:t>
      </w:r>
      <w:r w:rsidR="008101D3" w:rsidRPr="009429F0">
        <w:rPr>
          <w:rFonts w:ascii="Arial" w:hAnsi="Arial" w:cs="Arial"/>
          <w:sz w:val="20"/>
          <w:szCs w:val="20"/>
        </w:rPr>
        <w:t>the Odds Ratio (OR</w:t>
      </w:r>
      <w:r w:rsidRPr="009429F0">
        <w:rPr>
          <w:rFonts w:ascii="Arial" w:hAnsi="Arial" w:cs="Arial"/>
          <w:sz w:val="20"/>
          <w:szCs w:val="20"/>
        </w:rPr>
        <w:t>), 95% Confidence I</w:t>
      </w:r>
      <w:r w:rsidR="007A5FD5" w:rsidRPr="009429F0">
        <w:rPr>
          <w:rFonts w:ascii="Arial" w:hAnsi="Arial" w:cs="Arial"/>
          <w:sz w:val="20"/>
          <w:szCs w:val="20"/>
        </w:rPr>
        <w:t>nterval</w:t>
      </w:r>
      <w:r w:rsidR="008101D3" w:rsidRPr="009429F0">
        <w:rPr>
          <w:rFonts w:ascii="Arial" w:hAnsi="Arial" w:cs="Arial"/>
          <w:sz w:val="20"/>
          <w:szCs w:val="20"/>
        </w:rPr>
        <w:t xml:space="preserve"> and associated p-value</w:t>
      </w:r>
      <w:r w:rsidRPr="009429F0">
        <w:rPr>
          <w:rFonts w:ascii="Arial" w:hAnsi="Arial" w:cs="Arial"/>
          <w:sz w:val="20"/>
          <w:szCs w:val="20"/>
        </w:rPr>
        <w:t xml:space="preserve"> are reported</w:t>
      </w:r>
      <w:r w:rsidR="00013003" w:rsidRPr="009429F0">
        <w:rPr>
          <w:rFonts w:ascii="Arial" w:hAnsi="Arial" w:cs="Arial"/>
          <w:sz w:val="20"/>
          <w:szCs w:val="20"/>
        </w:rPr>
        <w:t>.</w:t>
      </w:r>
      <w:r w:rsidR="00036321" w:rsidRPr="009429F0">
        <w:rPr>
          <w:rFonts w:ascii="Arial" w:hAnsi="Arial" w:cs="Arial"/>
          <w:sz w:val="20"/>
          <w:szCs w:val="20"/>
        </w:rPr>
        <w:t xml:space="preserve"> A</w:t>
      </w:r>
      <w:r w:rsidR="00013003" w:rsidRPr="009429F0">
        <w:rPr>
          <w:rFonts w:ascii="Arial" w:hAnsi="Arial" w:cs="Arial"/>
          <w:sz w:val="20"/>
          <w:szCs w:val="20"/>
        </w:rPr>
        <w:t xml:space="preserve"> conventional criterion of statistical significance (P&lt;0.05) was used.</w:t>
      </w:r>
    </w:p>
    <w:p w:rsidR="00013003" w:rsidRPr="009429F0" w:rsidRDefault="00013003" w:rsidP="00076477">
      <w:pPr>
        <w:spacing w:line="480" w:lineRule="auto"/>
        <w:rPr>
          <w:rFonts w:ascii="Arial" w:hAnsi="Arial" w:cs="Arial"/>
          <w:sz w:val="20"/>
          <w:szCs w:val="20"/>
        </w:rPr>
      </w:pPr>
      <w:r w:rsidRPr="009429F0">
        <w:rPr>
          <w:rFonts w:ascii="Arial" w:hAnsi="Arial" w:cs="Arial"/>
          <w:sz w:val="20"/>
          <w:szCs w:val="20"/>
        </w:rPr>
        <w:t>Data were analysed using SPSS for Windows 22 and Stata IC 10.</w:t>
      </w:r>
    </w:p>
    <w:p w:rsidR="00A912E0" w:rsidRPr="009429F0" w:rsidRDefault="00A912E0" w:rsidP="00076477">
      <w:pPr>
        <w:spacing w:line="480" w:lineRule="auto"/>
        <w:rPr>
          <w:rFonts w:ascii="Arial" w:hAnsi="Arial" w:cs="Arial"/>
          <w:sz w:val="20"/>
          <w:szCs w:val="20"/>
        </w:rPr>
      </w:pPr>
    </w:p>
    <w:p w:rsidR="00A912E0" w:rsidRPr="009429F0" w:rsidRDefault="005778AC" w:rsidP="00076477">
      <w:pPr>
        <w:spacing w:line="480" w:lineRule="auto"/>
        <w:rPr>
          <w:rFonts w:ascii="Arial" w:hAnsi="Arial" w:cs="Arial"/>
          <w:b/>
          <w:sz w:val="20"/>
          <w:szCs w:val="20"/>
        </w:rPr>
      </w:pPr>
      <w:r w:rsidRPr="009429F0">
        <w:rPr>
          <w:rFonts w:ascii="Arial" w:hAnsi="Arial" w:cs="Arial"/>
          <w:b/>
          <w:sz w:val="20"/>
          <w:szCs w:val="20"/>
        </w:rPr>
        <w:t>Results</w:t>
      </w:r>
    </w:p>
    <w:p w:rsidR="0089670A" w:rsidRPr="009429F0" w:rsidRDefault="0089670A" w:rsidP="00076477">
      <w:pPr>
        <w:spacing w:line="480" w:lineRule="auto"/>
        <w:rPr>
          <w:rFonts w:ascii="Arial" w:hAnsi="Arial" w:cs="Arial"/>
          <w:i/>
          <w:sz w:val="20"/>
          <w:szCs w:val="20"/>
        </w:rPr>
      </w:pPr>
      <w:r w:rsidRPr="009429F0">
        <w:rPr>
          <w:rFonts w:ascii="Arial" w:hAnsi="Arial" w:cs="Arial"/>
          <w:i/>
          <w:sz w:val="20"/>
          <w:szCs w:val="20"/>
        </w:rPr>
        <w:t>General practices collecting fit note data for the study</w:t>
      </w:r>
    </w:p>
    <w:p w:rsidR="0089670A" w:rsidRPr="009429F0" w:rsidRDefault="0089670A" w:rsidP="00076477">
      <w:pPr>
        <w:spacing w:line="480" w:lineRule="auto"/>
        <w:rPr>
          <w:rFonts w:ascii="Arial" w:hAnsi="Arial" w:cs="Arial"/>
          <w:sz w:val="20"/>
          <w:szCs w:val="20"/>
        </w:rPr>
      </w:pPr>
      <w:r w:rsidRPr="009429F0">
        <w:rPr>
          <w:rFonts w:ascii="Arial" w:hAnsi="Arial" w:cs="Arial"/>
          <w:sz w:val="20"/>
          <w:szCs w:val="20"/>
        </w:rPr>
        <w:t>A quarter (n=17) of the 68 general practices in the study had large patient list sizes (&gt;10,000 registered patients), while 22 (32%) had lists consisting of f</w:t>
      </w:r>
      <w:r w:rsidR="001B5F92" w:rsidRPr="009429F0">
        <w:rPr>
          <w:rFonts w:ascii="Arial" w:hAnsi="Arial" w:cs="Arial"/>
          <w:sz w:val="20"/>
          <w:szCs w:val="20"/>
        </w:rPr>
        <w:t>ewer than 5,000 patients (Table 1). Forty-</w:t>
      </w:r>
      <w:r w:rsidRPr="009429F0">
        <w:rPr>
          <w:rFonts w:ascii="Arial" w:hAnsi="Arial" w:cs="Arial"/>
          <w:sz w:val="20"/>
          <w:szCs w:val="20"/>
        </w:rPr>
        <w:t>five (66%) practices were located in urban or suburban areas, the rem</w:t>
      </w:r>
      <w:r w:rsidR="005F52CC" w:rsidRPr="009429F0">
        <w:rPr>
          <w:rFonts w:ascii="Arial" w:hAnsi="Arial" w:cs="Arial"/>
          <w:sz w:val="20"/>
          <w:szCs w:val="20"/>
        </w:rPr>
        <w:t>ainder in rural parts of the UK</w:t>
      </w:r>
      <w:r w:rsidR="001B5F92" w:rsidRPr="009429F0">
        <w:rPr>
          <w:rFonts w:ascii="Arial" w:hAnsi="Arial" w:cs="Arial"/>
          <w:sz w:val="20"/>
          <w:szCs w:val="20"/>
        </w:rPr>
        <w:t xml:space="preserve">. Seven hundred and forty-three different GPs </w:t>
      </w:r>
      <w:r w:rsidR="00873A10" w:rsidRPr="009429F0">
        <w:rPr>
          <w:rFonts w:ascii="Arial" w:hAnsi="Arial" w:cs="Arial"/>
          <w:sz w:val="20"/>
          <w:szCs w:val="20"/>
        </w:rPr>
        <w:t xml:space="preserve">(210 full-time, 244 part-time and 289 locums) </w:t>
      </w:r>
      <w:r w:rsidR="001B5F92" w:rsidRPr="009429F0">
        <w:rPr>
          <w:rFonts w:ascii="Arial" w:hAnsi="Arial" w:cs="Arial"/>
          <w:sz w:val="20"/>
          <w:szCs w:val="20"/>
        </w:rPr>
        <w:t>issued at least one fit note for the study.</w:t>
      </w:r>
    </w:p>
    <w:p w:rsidR="00013003" w:rsidRPr="009429F0" w:rsidRDefault="0089670A" w:rsidP="00076477">
      <w:pPr>
        <w:spacing w:line="480" w:lineRule="auto"/>
        <w:rPr>
          <w:rFonts w:ascii="Arial" w:hAnsi="Arial" w:cs="Arial"/>
          <w:i/>
          <w:sz w:val="20"/>
          <w:szCs w:val="20"/>
        </w:rPr>
      </w:pPr>
      <w:r w:rsidRPr="009429F0">
        <w:rPr>
          <w:rFonts w:ascii="Arial" w:hAnsi="Arial" w:cs="Arial"/>
          <w:i/>
          <w:sz w:val="20"/>
          <w:szCs w:val="20"/>
        </w:rPr>
        <w:t>Patients, f</w:t>
      </w:r>
      <w:r w:rsidR="00013003" w:rsidRPr="009429F0">
        <w:rPr>
          <w:rFonts w:ascii="Arial" w:hAnsi="Arial" w:cs="Arial"/>
          <w:i/>
          <w:sz w:val="20"/>
          <w:szCs w:val="20"/>
        </w:rPr>
        <w:t>it notes and episodes</w:t>
      </w:r>
    </w:p>
    <w:p w:rsidR="00A52411" w:rsidRPr="009429F0" w:rsidRDefault="00AB73F0" w:rsidP="00076477">
      <w:pPr>
        <w:spacing w:line="480" w:lineRule="auto"/>
        <w:rPr>
          <w:rFonts w:ascii="Arial" w:hAnsi="Arial" w:cs="Arial"/>
          <w:sz w:val="20"/>
          <w:szCs w:val="20"/>
        </w:rPr>
      </w:pPr>
      <w:r w:rsidRPr="009429F0">
        <w:rPr>
          <w:rFonts w:ascii="Arial" w:hAnsi="Arial" w:cs="Arial"/>
          <w:sz w:val="20"/>
          <w:szCs w:val="20"/>
        </w:rPr>
        <w:t>The 68 general practices provided information on 79,502 fit notes issued to 33,695 patients in a 12-month data collection period. From t</w:t>
      </w:r>
      <w:r w:rsidR="00952B10" w:rsidRPr="009429F0">
        <w:rPr>
          <w:rFonts w:ascii="Arial" w:hAnsi="Arial" w:cs="Arial"/>
          <w:sz w:val="20"/>
          <w:szCs w:val="20"/>
        </w:rPr>
        <w:t>he fit note data a total of 42,</w:t>
      </w:r>
      <w:r w:rsidRPr="009429F0">
        <w:rPr>
          <w:rFonts w:ascii="Arial" w:hAnsi="Arial" w:cs="Arial"/>
          <w:sz w:val="20"/>
          <w:szCs w:val="20"/>
        </w:rPr>
        <w:t>271 discrete episodes of continuous certified sickness absence, consisting of one or more fit notes, were identified</w:t>
      </w:r>
      <w:r w:rsidR="001B5F92" w:rsidRPr="009429F0">
        <w:rPr>
          <w:rFonts w:ascii="Arial" w:hAnsi="Arial" w:cs="Arial"/>
          <w:sz w:val="20"/>
          <w:szCs w:val="20"/>
        </w:rPr>
        <w:t>. Ne</w:t>
      </w:r>
      <w:r w:rsidR="004125D0" w:rsidRPr="009429F0">
        <w:rPr>
          <w:rFonts w:ascii="Arial" w:hAnsi="Arial" w:cs="Arial"/>
          <w:sz w:val="20"/>
          <w:szCs w:val="20"/>
        </w:rPr>
        <w:t>arly five percent of certified sickness episodes (n=2,046) contained complex fit notes with more than one listed diagnosis, and were excluded from subsequent analysis. Of the remaining 40,225 episodes that were included in analysis, 16,400 (</w:t>
      </w:r>
      <w:r w:rsidR="00F96D1A" w:rsidRPr="009429F0">
        <w:rPr>
          <w:rFonts w:ascii="Arial" w:hAnsi="Arial" w:cs="Arial"/>
          <w:sz w:val="20"/>
          <w:szCs w:val="20"/>
        </w:rPr>
        <w:t>40.8%) consisted of more than a single fit note.</w:t>
      </w:r>
      <w:r w:rsidR="001B5F92" w:rsidRPr="009429F0">
        <w:rPr>
          <w:rFonts w:ascii="Arial" w:hAnsi="Arial" w:cs="Arial"/>
          <w:sz w:val="20"/>
          <w:szCs w:val="20"/>
        </w:rPr>
        <w:t xml:space="preserve"> Fifty-six percent of the 40,225 episodes were</w:t>
      </w:r>
      <w:r w:rsidR="00232116" w:rsidRPr="009429F0">
        <w:rPr>
          <w:rFonts w:ascii="Arial" w:hAnsi="Arial" w:cs="Arial"/>
          <w:sz w:val="20"/>
          <w:szCs w:val="20"/>
        </w:rPr>
        <w:t xml:space="preserve"> experienced by female patients and</w:t>
      </w:r>
      <w:r w:rsidR="001B5F92" w:rsidRPr="009429F0">
        <w:rPr>
          <w:rFonts w:ascii="Arial" w:hAnsi="Arial" w:cs="Arial"/>
          <w:sz w:val="20"/>
          <w:szCs w:val="20"/>
        </w:rPr>
        <w:t xml:space="preserve"> 31% by those aged over 50</w:t>
      </w:r>
      <w:r w:rsidR="00232116" w:rsidRPr="009429F0">
        <w:rPr>
          <w:rFonts w:ascii="Arial" w:hAnsi="Arial" w:cs="Arial"/>
          <w:sz w:val="20"/>
          <w:szCs w:val="20"/>
        </w:rPr>
        <w:t>. Nearly</w:t>
      </w:r>
      <w:r w:rsidR="001B5F92" w:rsidRPr="009429F0">
        <w:rPr>
          <w:rFonts w:ascii="Arial" w:hAnsi="Arial" w:cs="Arial"/>
          <w:sz w:val="20"/>
          <w:szCs w:val="20"/>
        </w:rPr>
        <w:t xml:space="preserve"> 28% </w:t>
      </w:r>
      <w:r w:rsidR="00232116" w:rsidRPr="009429F0">
        <w:rPr>
          <w:rFonts w:ascii="Arial" w:hAnsi="Arial" w:cs="Arial"/>
          <w:sz w:val="20"/>
          <w:szCs w:val="20"/>
        </w:rPr>
        <w:t>of episodes were assigned to</w:t>
      </w:r>
      <w:r w:rsidR="001B5F92" w:rsidRPr="009429F0">
        <w:rPr>
          <w:rFonts w:ascii="Arial" w:hAnsi="Arial" w:cs="Arial"/>
          <w:sz w:val="20"/>
          <w:szCs w:val="20"/>
        </w:rPr>
        <w:t xml:space="preserve"> patients living in one of the 20% most deprived neighbourhoods in the</w:t>
      </w:r>
      <w:r w:rsidR="00232116" w:rsidRPr="009429F0">
        <w:rPr>
          <w:rFonts w:ascii="Arial" w:hAnsi="Arial" w:cs="Arial"/>
          <w:sz w:val="20"/>
          <w:szCs w:val="20"/>
        </w:rPr>
        <w:t>ir</w:t>
      </w:r>
      <w:r w:rsidR="001B5F92" w:rsidRPr="009429F0">
        <w:rPr>
          <w:rFonts w:ascii="Arial" w:hAnsi="Arial" w:cs="Arial"/>
          <w:sz w:val="20"/>
          <w:szCs w:val="20"/>
        </w:rPr>
        <w:t xml:space="preserve"> country</w:t>
      </w:r>
      <w:r w:rsidR="00232116" w:rsidRPr="009429F0">
        <w:rPr>
          <w:rFonts w:ascii="Arial" w:hAnsi="Arial" w:cs="Arial"/>
          <w:sz w:val="20"/>
          <w:szCs w:val="20"/>
        </w:rPr>
        <w:t>, 15% to those residing in the quintile of least deprived neighbourhoods</w:t>
      </w:r>
      <w:r w:rsidR="001B5F92" w:rsidRPr="009429F0">
        <w:rPr>
          <w:rFonts w:ascii="Arial" w:hAnsi="Arial" w:cs="Arial"/>
          <w:sz w:val="20"/>
          <w:szCs w:val="20"/>
        </w:rPr>
        <w:t xml:space="preserve">. </w:t>
      </w:r>
    </w:p>
    <w:p w:rsidR="00AB73F0" w:rsidRPr="009429F0" w:rsidRDefault="009D53E5" w:rsidP="00076477">
      <w:pPr>
        <w:spacing w:line="480" w:lineRule="auto"/>
        <w:rPr>
          <w:rFonts w:ascii="Arial" w:hAnsi="Arial" w:cs="Arial"/>
          <w:color w:val="FF0000"/>
          <w:sz w:val="20"/>
          <w:szCs w:val="20"/>
        </w:rPr>
      </w:pPr>
      <w:r w:rsidRPr="009429F0">
        <w:rPr>
          <w:rFonts w:ascii="Arial" w:hAnsi="Arial" w:cs="Arial"/>
          <w:color w:val="FF0000"/>
          <w:sz w:val="20"/>
          <w:szCs w:val="20"/>
        </w:rPr>
        <w:t>Table 1</w:t>
      </w:r>
    </w:p>
    <w:p w:rsidR="00CE6537" w:rsidRPr="009429F0" w:rsidRDefault="001A72F9" w:rsidP="00076477">
      <w:pPr>
        <w:spacing w:line="480" w:lineRule="auto"/>
        <w:rPr>
          <w:rFonts w:ascii="Arial" w:hAnsi="Arial" w:cs="Arial"/>
          <w:i/>
          <w:sz w:val="20"/>
          <w:szCs w:val="20"/>
        </w:rPr>
      </w:pPr>
      <w:r w:rsidRPr="009429F0">
        <w:rPr>
          <w:rFonts w:ascii="Arial" w:hAnsi="Arial" w:cs="Arial"/>
          <w:i/>
          <w:sz w:val="20"/>
          <w:szCs w:val="20"/>
        </w:rPr>
        <w:lastRenderedPageBreak/>
        <w:t>Duration of episodes and d</w:t>
      </w:r>
      <w:r w:rsidR="00E008AC" w:rsidRPr="009429F0">
        <w:rPr>
          <w:rFonts w:ascii="Arial" w:hAnsi="Arial" w:cs="Arial"/>
          <w:i/>
          <w:sz w:val="20"/>
          <w:szCs w:val="20"/>
        </w:rPr>
        <w:t>iagnostic category</w:t>
      </w:r>
      <w:r w:rsidRPr="009429F0">
        <w:rPr>
          <w:rFonts w:ascii="Arial" w:hAnsi="Arial" w:cs="Arial"/>
          <w:i/>
          <w:sz w:val="20"/>
          <w:szCs w:val="20"/>
        </w:rPr>
        <w:t xml:space="preserve"> of first fit note </w:t>
      </w:r>
    </w:p>
    <w:p w:rsidR="00F96D1A" w:rsidRPr="009429F0" w:rsidRDefault="00484467" w:rsidP="00076477">
      <w:pPr>
        <w:spacing w:line="480" w:lineRule="auto"/>
        <w:rPr>
          <w:rFonts w:ascii="Arial" w:hAnsi="Arial" w:cs="Arial"/>
          <w:i/>
          <w:sz w:val="20"/>
          <w:szCs w:val="20"/>
        </w:rPr>
      </w:pPr>
      <w:r w:rsidRPr="009429F0">
        <w:rPr>
          <w:rFonts w:ascii="Arial" w:hAnsi="Arial" w:cs="Arial"/>
          <w:i/>
          <w:sz w:val="20"/>
          <w:szCs w:val="20"/>
        </w:rPr>
        <w:t>All episodes</w:t>
      </w:r>
      <w:r w:rsidR="005778AC" w:rsidRPr="009429F0">
        <w:rPr>
          <w:rFonts w:ascii="Arial" w:hAnsi="Arial" w:cs="Arial"/>
          <w:i/>
          <w:sz w:val="20"/>
          <w:szCs w:val="20"/>
        </w:rPr>
        <w:t xml:space="preserve">:  </w:t>
      </w:r>
      <w:r w:rsidR="00B0356B">
        <w:rPr>
          <w:rFonts w:ascii="Arial" w:hAnsi="Arial" w:cs="Arial"/>
          <w:sz w:val="20"/>
          <w:szCs w:val="20"/>
        </w:rPr>
        <w:t>Fifty-</w:t>
      </w:r>
      <w:r w:rsidR="00F96D1A" w:rsidRPr="009429F0">
        <w:rPr>
          <w:rFonts w:ascii="Arial" w:hAnsi="Arial" w:cs="Arial"/>
          <w:sz w:val="20"/>
          <w:szCs w:val="20"/>
        </w:rPr>
        <w:t>nine percent (n= 23,663</w:t>
      </w:r>
      <w:r w:rsidRPr="009429F0">
        <w:rPr>
          <w:rFonts w:ascii="Arial" w:hAnsi="Arial" w:cs="Arial"/>
          <w:sz w:val="20"/>
          <w:szCs w:val="20"/>
        </w:rPr>
        <w:t>) of all episodes were relati</w:t>
      </w:r>
      <w:r w:rsidR="00F96D1A" w:rsidRPr="009429F0">
        <w:rPr>
          <w:rFonts w:ascii="Arial" w:hAnsi="Arial" w:cs="Arial"/>
          <w:sz w:val="20"/>
          <w:szCs w:val="20"/>
        </w:rPr>
        <w:t>vely short (&lt; 30 days), but nearly</w:t>
      </w:r>
      <w:r w:rsidRPr="009429F0">
        <w:rPr>
          <w:rFonts w:ascii="Arial" w:hAnsi="Arial" w:cs="Arial"/>
          <w:sz w:val="20"/>
          <w:szCs w:val="20"/>
        </w:rPr>
        <w:t xml:space="preserve"> 5%</w:t>
      </w:r>
      <w:r w:rsidR="00B15089" w:rsidRPr="009429F0">
        <w:rPr>
          <w:rFonts w:ascii="Arial" w:hAnsi="Arial" w:cs="Arial"/>
          <w:sz w:val="20"/>
          <w:szCs w:val="20"/>
        </w:rPr>
        <w:t xml:space="preserve"> (n= 1,835</w:t>
      </w:r>
      <w:r w:rsidR="000E294A" w:rsidRPr="009429F0">
        <w:rPr>
          <w:rFonts w:ascii="Arial" w:hAnsi="Arial" w:cs="Arial"/>
          <w:sz w:val="20"/>
          <w:szCs w:val="20"/>
        </w:rPr>
        <w:t>)</w:t>
      </w:r>
      <w:r w:rsidRPr="009429F0">
        <w:rPr>
          <w:rFonts w:ascii="Arial" w:hAnsi="Arial" w:cs="Arial"/>
          <w:sz w:val="20"/>
          <w:szCs w:val="20"/>
        </w:rPr>
        <w:t xml:space="preserve"> lasted over 6 months</w:t>
      </w:r>
      <w:r w:rsidR="00B0356B">
        <w:rPr>
          <w:rFonts w:ascii="Arial" w:hAnsi="Arial" w:cs="Arial"/>
          <w:sz w:val="20"/>
          <w:szCs w:val="20"/>
        </w:rPr>
        <w:t>. Thirty-</w:t>
      </w:r>
      <w:r w:rsidR="00B15089" w:rsidRPr="009429F0">
        <w:rPr>
          <w:rFonts w:ascii="Arial" w:hAnsi="Arial" w:cs="Arial"/>
          <w:sz w:val="20"/>
          <w:szCs w:val="20"/>
        </w:rPr>
        <w:t>one percent (n=12,610</w:t>
      </w:r>
      <w:r w:rsidR="00E008AC" w:rsidRPr="009429F0">
        <w:rPr>
          <w:rFonts w:ascii="Arial" w:hAnsi="Arial" w:cs="Arial"/>
          <w:sz w:val="20"/>
          <w:szCs w:val="20"/>
        </w:rPr>
        <w:t xml:space="preserve">) of episodes had a first fit note issued for a </w:t>
      </w:r>
      <w:r w:rsidR="007C1D18" w:rsidRPr="009429F0">
        <w:rPr>
          <w:rFonts w:ascii="Arial" w:hAnsi="Arial" w:cs="Arial"/>
          <w:sz w:val="20"/>
          <w:szCs w:val="20"/>
        </w:rPr>
        <w:t>mental disorder and</w:t>
      </w:r>
      <w:r w:rsidR="00B15089" w:rsidRPr="009429F0">
        <w:rPr>
          <w:rFonts w:ascii="Arial" w:hAnsi="Arial" w:cs="Arial"/>
          <w:sz w:val="20"/>
          <w:szCs w:val="20"/>
        </w:rPr>
        <w:t xml:space="preserve"> 13% (n=5,244</w:t>
      </w:r>
      <w:r w:rsidR="00E008AC" w:rsidRPr="009429F0">
        <w:rPr>
          <w:rFonts w:ascii="Arial" w:hAnsi="Arial" w:cs="Arial"/>
          <w:sz w:val="20"/>
          <w:szCs w:val="20"/>
        </w:rPr>
        <w:t>) for a musc</w:t>
      </w:r>
      <w:r w:rsidR="007C1D18" w:rsidRPr="009429F0">
        <w:rPr>
          <w:rFonts w:ascii="Arial" w:hAnsi="Arial" w:cs="Arial"/>
          <w:sz w:val="20"/>
          <w:szCs w:val="20"/>
        </w:rPr>
        <w:t>ul</w:t>
      </w:r>
      <w:r w:rsidR="00E008AC" w:rsidRPr="009429F0">
        <w:rPr>
          <w:rFonts w:ascii="Arial" w:hAnsi="Arial" w:cs="Arial"/>
          <w:sz w:val="20"/>
          <w:szCs w:val="20"/>
        </w:rPr>
        <w:t>oskeletal problem</w:t>
      </w:r>
      <w:r w:rsidR="00B15089" w:rsidRPr="009429F0">
        <w:rPr>
          <w:rFonts w:ascii="Arial" w:hAnsi="Arial" w:cs="Arial"/>
          <w:sz w:val="20"/>
          <w:szCs w:val="20"/>
        </w:rPr>
        <w:t>. Nine percent (n=3,888</w:t>
      </w:r>
      <w:r w:rsidR="007C1D18" w:rsidRPr="009429F0">
        <w:rPr>
          <w:rFonts w:ascii="Arial" w:hAnsi="Arial" w:cs="Arial"/>
          <w:sz w:val="20"/>
          <w:szCs w:val="20"/>
        </w:rPr>
        <w:t xml:space="preserve">) of first fit notes were issued to the patient for an unspecified </w:t>
      </w:r>
      <w:r w:rsidR="00A776CE" w:rsidRPr="009429F0">
        <w:rPr>
          <w:rFonts w:ascii="Arial" w:hAnsi="Arial" w:cs="Arial"/>
          <w:sz w:val="20"/>
          <w:szCs w:val="20"/>
        </w:rPr>
        <w:t>p</w:t>
      </w:r>
      <w:r w:rsidR="0073282D" w:rsidRPr="009429F0">
        <w:rPr>
          <w:rFonts w:ascii="Arial" w:hAnsi="Arial" w:cs="Arial"/>
          <w:sz w:val="20"/>
          <w:szCs w:val="20"/>
        </w:rPr>
        <w:t>hysical symptom</w:t>
      </w:r>
      <w:r w:rsidR="007C1D18" w:rsidRPr="009429F0">
        <w:rPr>
          <w:rFonts w:ascii="Arial" w:hAnsi="Arial" w:cs="Arial"/>
          <w:sz w:val="20"/>
          <w:szCs w:val="20"/>
        </w:rPr>
        <w:t xml:space="preserve"> rat</w:t>
      </w:r>
      <w:r w:rsidR="00F96D1A" w:rsidRPr="009429F0">
        <w:rPr>
          <w:rFonts w:ascii="Arial" w:hAnsi="Arial" w:cs="Arial"/>
          <w:sz w:val="20"/>
          <w:szCs w:val="20"/>
        </w:rPr>
        <w:t>her than a definitive diagnosis</w:t>
      </w:r>
      <w:r w:rsidR="007C1D18" w:rsidRPr="009429F0">
        <w:rPr>
          <w:rFonts w:ascii="Arial" w:hAnsi="Arial" w:cs="Arial"/>
          <w:sz w:val="20"/>
          <w:szCs w:val="20"/>
        </w:rPr>
        <w:t xml:space="preserve"> </w:t>
      </w:r>
      <w:r w:rsidR="000221FF" w:rsidRPr="009429F0">
        <w:rPr>
          <w:rFonts w:ascii="Arial" w:hAnsi="Arial" w:cs="Arial"/>
          <w:sz w:val="20"/>
          <w:szCs w:val="20"/>
        </w:rPr>
        <w:t>(</w:t>
      </w:r>
      <w:r w:rsidR="009D53E5" w:rsidRPr="009429F0">
        <w:rPr>
          <w:rFonts w:ascii="Arial" w:hAnsi="Arial" w:cs="Arial"/>
          <w:sz w:val="20"/>
          <w:szCs w:val="20"/>
        </w:rPr>
        <w:t>Table 2</w:t>
      </w:r>
      <w:r w:rsidR="00F96D1A" w:rsidRPr="009429F0">
        <w:rPr>
          <w:rFonts w:ascii="Arial" w:hAnsi="Arial" w:cs="Arial"/>
          <w:sz w:val="20"/>
          <w:szCs w:val="20"/>
        </w:rPr>
        <w:t>).</w:t>
      </w:r>
    </w:p>
    <w:p w:rsidR="000E294A" w:rsidRPr="009429F0" w:rsidRDefault="000E294A" w:rsidP="00076477">
      <w:pPr>
        <w:spacing w:line="480" w:lineRule="auto"/>
        <w:rPr>
          <w:rFonts w:ascii="Arial" w:hAnsi="Arial" w:cs="Arial"/>
          <w:sz w:val="20"/>
          <w:szCs w:val="20"/>
        </w:rPr>
      </w:pPr>
      <w:r w:rsidRPr="009429F0">
        <w:rPr>
          <w:rFonts w:ascii="Arial" w:hAnsi="Arial" w:cs="Arial"/>
          <w:i/>
          <w:sz w:val="20"/>
          <w:szCs w:val="20"/>
        </w:rPr>
        <w:t>Multiple fit note (&gt;1) episodes</w:t>
      </w:r>
      <w:r w:rsidR="005778AC" w:rsidRPr="009429F0">
        <w:rPr>
          <w:rFonts w:ascii="Arial" w:hAnsi="Arial" w:cs="Arial"/>
          <w:i/>
          <w:sz w:val="20"/>
          <w:szCs w:val="20"/>
        </w:rPr>
        <w:t xml:space="preserve">:  </w:t>
      </w:r>
      <w:r w:rsidR="00B15089" w:rsidRPr="009429F0">
        <w:rPr>
          <w:rFonts w:ascii="Arial" w:hAnsi="Arial" w:cs="Arial"/>
          <w:sz w:val="20"/>
          <w:szCs w:val="20"/>
        </w:rPr>
        <w:t>Of the 16,40</w:t>
      </w:r>
      <w:r w:rsidRPr="009429F0">
        <w:rPr>
          <w:rFonts w:ascii="Arial" w:hAnsi="Arial" w:cs="Arial"/>
          <w:sz w:val="20"/>
          <w:szCs w:val="20"/>
        </w:rPr>
        <w:t>0 episodes consisting of more than one fit note (m</w:t>
      </w:r>
      <w:r w:rsidR="00B15089" w:rsidRPr="009429F0">
        <w:rPr>
          <w:rFonts w:ascii="Arial" w:hAnsi="Arial" w:cs="Arial"/>
          <w:sz w:val="20"/>
          <w:szCs w:val="20"/>
        </w:rPr>
        <w:t xml:space="preserve">ultiple fit note episodes), </w:t>
      </w:r>
      <w:r w:rsidRPr="009429F0">
        <w:rPr>
          <w:rFonts w:ascii="Arial" w:hAnsi="Arial" w:cs="Arial"/>
          <w:sz w:val="20"/>
          <w:szCs w:val="20"/>
        </w:rPr>
        <w:t>shorter episodes (&lt;30 days) acco</w:t>
      </w:r>
      <w:r w:rsidR="00B15089" w:rsidRPr="009429F0">
        <w:rPr>
          <w:rFonts w:ascii="Arial" w:hAnsi="Arial" w:cs="Arial"/>
          <w:sz w:val="20"/>
          <w:szCs w:val="20"/>
        </w:rPr>
        <w:t xml:space="preserve">unted for 29% (n=4,730) and </w:t>
      </w:r>
      <w:r w:rsidRPr="009429F0">
        <w:rPr>
          <w:rFonts w:ascii="Arial" w:hAnsi="Arial" w:cs="Arial"/>
          <w:sz w:val="20"/>
          <w:szCs w:val="20"/>
        </w:rPr>
        <w:t>long-t</w:t>
      </w:r>
      <w:r w:rsidR="00B15089" w:rsidRPr="009429F0">
        <w:rPr>
          <w:rFonts w:ascii="Arial" w:hAnsi="Arial" w:cs="Arial"/>
          <w:sz w:val="20"/>
          <w:szCs w:val="20"/>
        </w:rPr>
        <w:t>erm (&gt; 6 month) episodes 10% (n=1,637</w:t>
      </w:r>
      <w:r w:rsidRPr="009429F0">
        <w:rPr>
          <w:rFonts w:ascii="Arial" w:hAnsi="Arial" w:cs="Arial"/>
          <w:sz w:val="20"/>
          <w:szCs w:val="20"/>
        </w:rPr>
        <w:t>) of the total. Men</w:t>
      </w:r>
      <w:r w:rsidR="00B15089" w:rsidRPr="009429F0">
        <w:rPr>
          <w:rFonts w:ascii="Arial" w:hAnsi="Arial" w:cs="Arial"/>
          <w:sz w:val="20"/>
          <w:szCs w:val="20"/>
        </w:rPr>
        <w:t>tal disorders accounted for nearly 37% (n=6,002</w:t>
      </w:r>
      <w:r w:rsidRPr="009429F0">
        <w:rPr>
          <w:rFonts w:ascii="Arial" w:hAnsi="Arial" w:cs="Arial"/>
          <w:sz w:val="20"/>
          <w:szCs w:val="20"/>
        </w:rPr>
        <w:t>) of dia</w:t>
      </w:r>
      <w:r w:rsidR="00B15089" w:rsidRPr="009429F0">
        <w:rPr>
          <w:rFonts w:ascii="Arial" w:hAnsi="Arial" w:cs="Arial"/>
          <w:sz w:val="20"/>
          <w:szCs w:val="20"/>
        </w:rPr>
        <w:t>gnoses on the first fit note</w:t>
      </w:r>
      <w:r w:rsidR="00317C8B" w:rsidRPr="009429F0">
        <w:rPr>
          <w:rFonts w:ascii="Arial" w:hAnsi="Arial" w:cs="Arial"/>
          <w:sz w:val="20"/>
          <w:szCs w:val="20"/>
        </w:rPr>
        <w:t>s</w:t>
      </w:r>
      <w:r w:rsidRPr="009429F0">
        <w:rPr>
          <w:rFonts w:ascii="Arial" w:hAnsi="Arial" w:cs="Arial"/>
          <w:sz w:val="20"/>
          <w:szCs w:val="20"/>
        </w:rPr>
        <w:t>.</w:t>
      </w:r>
      <w:r w:rsidR="00317C8B" w:rsidRPr="009429F0">
        <w:rPr>
          <w:rFonts w:ascii="Arial" w:hAnsi="Arial" w:cs="Arial"/>
          <w:sz w:val="20"/>
          <w:szCs w:val="20"/>
        </w:rPr>
        <w:t xml:space="preserve"> Nearly 61% (n=9,969) of episodes included sickness certificates issued</w:t>
      </w:r>
      <w:r w:rsidR="00AB2B1D" w:rsidRPr="009429F0">
        <w:rPr>
          <w:rFonts w:ascii="Arial" w:hAnsi="Arial" w:cs="Arial"/>
          <w:sz w:val="20"/>
          <w:szCs w:val="20"/>
        </w:rPr>
        <w:t xml:space="preserve"> by more than one GP.</w:t>
      </w:r>
    </w:p>
    <w:p w:rsidR="001B5F92" w:rsidRPr="009429F0" w:rsidRDefault="001B5F92" w:rsidP="00076477">
      <w:pPr>
        <w:spacing w:line="480" w:lineRule="auto"/>
        <w:rPr>
          <w:rFonts w:ascii="Arial" w:hAnsi="Arial" w:cs="Arial"/>
          <w:color w:val="FF0000"/>
          <w:sz w:val="20"/>
          <w:szCs w:val="20"/>
        </w:rPr>
      </w:pPr>
      <w:r w:rsidRPr="009429F0">
        <w:rPr>
          <w:rFonts w:ascii="Arial" w:hAnsi="Arial" w:cs="Arial"/>
          <w:color w:val="FF0000"/>
          <w:sz w:val="20"/>
          <w:szCs w:val="20"/>
        </w:rPr>
        <w:t>Table 2</w:t>
      </w:r>
    </w:p>
    <w:p w:rsidR="00A912E0" w:rsidRPr="009429F0" w:rsidRDefault="008C6873" w:rsidP="00076477">
      <w:pPr>
        <w:spacing w:line="480" w:lineRule="auto"/>
        <w:rPr>
          <w:rFonts w:ascii="Arial" w:hAnsi="Arial" w:cs="Arial"/>
          <w:i/>
          <w:sz w:val="20"/>
          <w:szCs w:val="20"/>
        </w:rPr>
      </w:pPr>
      <w:r w:rsidRPr="009429F0">
        <w:rPr>
          <w:rFonts w:ascii="Arial" w:hAnsi="Arial" w:cs="Arial"/>
          <w:i/>
          <w:sz w:val="20"/>
          <w:szCs w:val="20"/>
        </w:rPr>
        <w:t>“M</w:t>
      </w:r>
      <w:r w:rsidR="0086137A" w:rsidRPr="009429F0">
        <w:rPr>
          <w:rFonts w:ascii="Arial" w:hAnsi="Arial" w:cs="Arial"/>
          <w:i/>
          <w:sz w:val="20"/>
          <w:szCs w:val="20"/>
        </w:rPr>
        <w:t>ixed diagnosis”</w:t>
      </w:r>
      <w:r w:rsidR="00B9096A" w:rsidRPr="009429F0">
        <w:rPr>
          <w:rFonts w:ascii="Arial" w:hAnsi="Arial" w:cs="Arial"/>
          <w:i/>
          <w:sz w:val="20"/>
          <w:szCs w:val="20"/>
        </w:rPr>
        <w:t xml:space="preserve"> episodes</w:t>
      </w:r>
    </w:p>
    <w:p w:rsidR="00B9096A" w:rsidRPr="009429F0" w:rsidRDefault="00317C8B" w:rsidP="00076477">
      <w:pPr>
        <w:spacing w:line="480" w:lineRule="auto"/>
        <w:rPr>
          <w:rFonts w:ascii="Arial" w:hAnsi="Arial" w:cs="Arial"/>
          <w:sz w:val="20"/>
          <w:szCs w:val="20"/>
        </w:rPr>
      </w:pPr>
      <w:r w:rsidRPr="009429F0">
        <w:rPr>
          <w:rFonts w:ascii="Arial" w:hAnsi="Arial" w:cs="Arial"/>
          <w:sz w:val="20"/>
          <w:szCs w:val="20"/>
        </w:rPr>
        <w:t>A total of 3,841</w:t>
      </w:r>
      <w:r w:rsidR="00B9096A" w:rsidRPr="009429F0">
        <w:rPr>
          <w:rFonts w:ascii="Arial" w:hAnsi="Arial" w:cs="Arial"/>
          <w:sz w:val="20"/>
          <w:szCs w:val="20"/>
        </w:rPr>
        <w:t xml:space="preserve"> episodes included a fit note within a diagnostic category that differed from the category of the first fit note in the episode</w:t>
      </w:r>
      <w:r w:rsidRPr="009429F0">
        <w:rPr>
          <w:rFonts w:ascii="Arial" w:hAnsi="Arial" w:cs="Arial"/>
          <w:sz w:val="20"/>
          <w:szCs w:val="20"/>
        </w:rPr>
        <w:t xml:space="preserve"> (nearly 10% of all episodes and over 23% of </w:t>
      </w:r>
      <w:r w:rsidR="008609FA" w:rsidRPr="009429F0">
        <w:rPr>
          <w:rFonts w:ascii="Arial" w:hAnsi="Arial" w:cs="Arial"/>
          <w:sz w:val="20"/>
          <w:szCs w:val="20"/>
        </w:rPr>
        <w:t xml:space="preserve">those </w:t>
      </w:r>
      <w:r w:rsidRPr="009429F0">
        <w:rPr>
          <w:rFonts w:ascii="Arial" w:hAnsi="Arial" w:cs="Arial"/>
          <w:sz w:val="20"/>
          <w:szCs w:val="20"/>
        </w:rPr>
        <w:t>episodes containing more than one fit note</w:t>
      </w:r>
      <w:r w:rsidR="008609FA" w:rsidRPr="009429F0">
        <w:rPr>
          <w:rFonts w:ascii="Arial" w:hAnsi="Arial" w:cs="Arial"/>
          <w:sz w:val="20"/>
          <w:szCs w:val="20"/>
        </w:rPr>
        <w:t>)</w:t>
      </w:r>
      <w:r w:rsidR="00A4112B" w:rsidRPr="009429F0">
        <w:rPr>
          <w:rFonts w:ascii="Arial" w:hAnsi="Arial" w:cs="Arial"/>
          <w:sz w:val="20"/>
          <w:szCs w:val="20"/>
        </w:rPr>
        <w:t xml:space="preserve">. Prevalence of </w:t>
      </w:r>
      <w:r w:rsidR="0086137A" w:rsidRPr="009429F0">
        <w:rPr>
          <w:rFonts w:ascii="Arial" w:hAnsi="Arial" w:cs="Arial"/>
          <w:sz w:val="20"/>
          <w:szCs w:val="20"/>
        </w:rPr>
        <w:t>“mixed diagnosis”</w:t>
      </w:r>
      <w:r w:rsidR="00A4112B" w:rsidRPr="009429F0">
        <w:rPr>
          <w:rFonts w:ascii="Arial" w:hAnsi="Arial" w:cs="Arial"/>
          <w:sz w:val="20"/>
          <w:szCs w:val="20"/>
        </w:rPr>
        <w:t xml:space="preserve"> episod</w:t>
      </w:r>
      <w:r w:rsidR="008609FA" w:rsidRPr="009429F0">
        <w:rPr>
          <w:rFonts w:ascii="Arial" w:hAnsi="Arial" w:cs="Arial"/>
          <w:sz w:val="20"/>
          <w:szCs w:val="20"/>
        </w:rPr>
        <w:t>es varied according to total duration of the episode and the diagnosis on the first fit not</w:t>
      </w:r>
      <w:r w:rsidR="005235E3" w:rsidRPr="009429F0">
        <w:rPr>
          <w:rFonts w:ascii="Arial" w:hAnsi="Arial" w:cs="Arial"/>
          <w:sz w:val="20"/>
          <w:szCs w:val="20"/>
        </w:rPr>
        <w:t xml:space="preserve">e </w:t>
      </w:r>
      <w:r w:rsidR="000221FF" w:rsidRPr="009429F0">
        <w:rPr>
          <w:rFonts w:ascii="Arial" w:hAnsi="Arial" w:cs="Arial"/>
          <w:sz w:val="20"/>
          <w:szCs w:val="20"/>
        </w:rPr>
        <w:t>(</w:t>
      </w:r>
      <w:r w:rsidR="009D53E5" w:rsidRPr="009429F0">
        <w:rPr>
          <w:rFonts w:ascii="Arial" w:hAnsi="Arial" w:cs="Arial"/>
          <w:sz w:val="20"/>
          <w:szCs w:val="20"/>
        </w:rPr>
        <w:t>Table 3</w:t>
      </w:r>
      <w:r w:rsidR="00A4112B" w:rsidRPr="009429F0">
        <w:rPr>
          <w:rFonts w:ascii="Arial" w:hAnsi="Arial" w:cs="Arial"/>
          <w:sz w:val="20"/>
          <w:szCs w:val="20"/>
        </w:rPr>
        <w:t>).</w:t>
      </w:r>
    </w:p>
    <w:p w:rsidR="00A912E0" w:rsidRPr="009429F0" w:rsidRDefault="008609FA" w:rsidP="00076477">
      <w:pPr>
        <w:spacing w:line="480" w:lineRule="auto"/>
        <w:rPr>
          <w:rFonts w:ascii="Arial" w:hAnsi="Arial" w:cs="Arial"/>
          <w:sz w:val="20"/>
          <w:szCs w:val="20"/>
        </w:rPr>
      </w:pPr>
      <w:r w:rsidRPr="009429F0">
        <w:rPr>
          <w:rFonts w:ascii="Arial" w:hAnsi="Arial" w:cs="Arial"/>
          <w:sz w:val="20"/>
          <w:szCs w:val="20"/>
        </w:rPr>
        <w:t>Less than</w:t>
      </w:r>
      <w:r w:rsidR="003810A0" w:rsidRPr="009429F0">
        <w:rPr>
          <w:rFonts w:ascii="Arial" w:hAnsi="Arial" w:cs="Arial"/>
          <w:sz w:val="20"/>
          <w:szCs w:val="20"/>
        </w:rPr>
        <w:t xml:space="preserve"> 4% of all episodes</w:t>
      </w:r>
      <w:r w:rsidR="000C164B" w:rsidRPr="009429F0">
        <w:rPr>
          <w:rFonts w:ascii="Arial" w:hAnsi="Arial" w:cs="Arial"/>
          <w:sz w:val="20"/>
          <w:szCs w:val="20"/>
        </w:rPr>
        <w:t xml:space="preserve"> (</w:t>
      </w:r>
      <w:r w:rsidRPr="009429F0">
        <w:rPr>
          <w:rFonts w:ascii="Arial" w:hAnsi="Arial" w:cs="Arial"/>
          <w:sz w:val="20"/>
          <w:szCs w:val="20"/>
        </w:rPr>
        <w:t xml:space="preserve">nearly </w:t>
      </w:r>
      <w:r w:rsidR="003810A0" w:rsidRPr="009429F0">
        <w:rPr>
          <w:rFonts w:ascii="Arial" w:hAnsi="Arial" w:cs="Arial"/>
          <w:sz w:val="20"/>
          <w:szCs w:val="20"/>
        </w:rPr>
        <w:t>19</w:t>
      </w:r>
      <w:r w:rsidR="000C164B" w:rsidRPr="009429F0">
        <w:rPr>
          <w:rFonts w:ascii="Arial" w:hAnsi="Arial" w:cs="Arial"/>
          <w:sz w:val="20"/>
          <w:szCs w:val="20"/>
        </w:rPr>
        <w:t>% of multiple fit note episodes)</w:t>
      </w:r>
      <w:r w:rsidR="003810A0" w:rsidRPr="009429F0">
        <w:rPr>
          <w:rFonts w:ascii="Arial" w:hAnsi="Arial" w:cs="Arial"/>
          <w:sz w:val="20"/>
          <w:szCs w:val="20"/>
        </w:rPr>
        <w:t xml:space="preserve"> completed within 30 days</w:t>
      </w:r>
      <w:r w:rsidR="000C164B" w:rsidRPr="009429F0">
        <w:rPr>
          <w:rFonts w:ascii="Arial" w:hAnsi="Arial" w:cs="Arial"/>
          <w:sz w:val="20"/>
          <w:szCs w:val="20"/>
        </w:rPr>
        <w:t xml:space="preserve"> were </w:t>
      </w:r>
      <w:r w:rsidR="0086137A" w:rsidRPr="009429F0">
        <w:rPr>
          <w:rFonts w:ascii="Arial" w:hAnsi="Arial" w:cs="Arial"/>
          <w:sz w:val="20"/>
          <w:szCs w:val="20"/>
        </w:rPr>
        <w:t>“mixed diagnosis”</w:t>
      </w:r>
      <w:r w:rsidR="000C164B" w:rsidRPr="009429F0">
        <w:rPr>
          <w:rFonts w:ascii="Arial" w:hAnsi="Arial" w:cs="Arial"/>
          <w:sz w:val="20"/>
          <w:szCs w:val="20"/>
        </w:rPr>
        <w:t xml:space="preserve"> episodes. However, when the episode lasted longer than six months, the proportion of episodes where there was a change in diagnostic category of fit note </w:t>
      </w:r>
      <w:r w:rsidRPr="009429F0">
        <w:rPr>
          <w:rFonts w:ascii="Arial" w:hAnsi="Arial" w:cs="Arial"/>
          <w:sz w:val="20"/>
          <w:szCs w:val="20"/>
        </w:rPr>
        <w:t>rose to nearly 29% (32</w:t>
      </w:r>
      <w:r w:rsidR="0087018D" w:rsidRPr="009429F0">
        <w:rPr>
          <w:rFonts w:ascii="Arial" w:hAnsi="Arial" w:cs="Arial"/>
          <w:sz w:val="20"/>
          <w:szCs w:val="20"/>
        </w:rPr>
        <w:t xml:space="preserve">% of </w:t>
      </w:r>
      <w:r w:rsidRPr="009429F0">
        <w:rPr>
          <w:rFonts w:ascii="Arial" w:hAnsi="Arial" w:cs="Arial"/>
          <w:sz w:val="20"/>
          <w:szCs w:val="20"/>
        </w:rPr>
        <w:t xml:space="preserve">long-term </w:t>
      </w:r>
      <w:r w:rsidR="0087018D" w:rsidRPr="009429F0">
        <w:rPr>
          <w:rFonts w:ascii="Arial" w:hAnsi="Arial" w:cs="Arial"/>
          <w:sz w:val="20"/>
          <w:szCs w:val="20"/>
        </w:rPr>
        <w:t>episodes consisting of more than one fit note).</w:t>
      </w:r>
    </w:p>
    <w:p w:rsidR="0087018D" w:rsidRPr="009429F0" w:rsidRDefault="0087018D" w:rsidP="00076477">
      <w:pPr>
        <w:spacing w:line="480" w:lineRule="auto"/>
        <w:rPr>
          <w:rFonts w:ascii="Arial" w:hAnsi="Arial" w:cs="Arial"/>
          <w:sz w:val="20"/>
          <w:szCs w:val="20"/>
        </w:rPr>
      </w:pPr>
      <w:r w:rsidRPr="009429F0">
        <w:rPr>
          <w:rFonts w:ascii="Arial" w:hAnsi="Arial" w:cs="Arial"/>
          <w:sz w:val="20"/>
          <w:szCs w:val="20"/>
        </w:rPr>
        <w:t xml:space="preserve">Episodes where the first fit note was issued for a mental disorder had the lowest proportion of </w:t>
      </w:r>
      <w:r w:rsidR="0086137A" w:rsidRPr="009429F0">
        <w:rPr>
          <w:rFonts w:ascii="Arial" w:hAnsi="Arial" w:cs="Arial"/>
          <w:sz w:val="20"/>
          <w:szCs w:val="20"/>
        </w:rPr>
        <w:t>“mixed diagnosis”</w:t>
      </w:r>
      <w:r w:rsidR="008609FA" w:rsidRPr="009429F0">
        <w:rPr>
          <w:rFonts w:ascii="Arial" w:hAnsi="Arial" w:cs="Arial"/>
          <w:sz w:val="20"/>
          <w:szCs w:val="20"/>
        </w:rPr>
        <w:t xml:space="preserve"> episodes (only 3% of total episodes and 6</w:t>
      </w:r>
      <w:r w:rsidRPr="009429F0">
        <w:rPr>
          <w:rFonts w:ascii="Arial" w:hAnsi="Arial" w:cs="Arial"/>
          <w:sz w:val="20"/>
          <w:szCs w:val="20"/>
        </w:rPr>
        <w:t xml:space="preserve">% of multiple fit note episodes). </w:t>
      </w:r>
      <w:r w:rsidR="00E47E78" w:rsidRPr="009429F0">
        <w:rPr>
          <w:rFonts w:ascii="Arial" w:hAnsi="Arial" w:cs="Arial"/>
          <w:sz w:val="20"/>
          <w:szCs w:val="20"/>
        </w:rPr>
        <w:t xml:space="preserve">When a </w:t>
      </w:r>
      <w:r w:rsidR="00A776CE" w:rsidRPr="009429F0">
        <w:rPr>
          <w:rFonts w:ascii="Arial" w:hAnsi="Arial" w:cs="Arial"/>
          <w:sz w:val="20"/>
          <w:szCs w:val="20"/>
        </w:rPr>
        <w:t>p</w:t>
      </w:r>
      <w:r w:rsidR="0073282D" w:rsidRPr="009429F0">
        <w:rPr>
          <w:rFonts w:ascii="Arial" w:hAnsi="Arial" w:cs="Arial"/>
          <w:sz w:val="20"/>
          <w:szCs w:val="20"/>
        </w:rPr>
        <w:t>hysical symptom</w:t>
      </w:r>
      <w:r w:rsidR="00E47E78" w:rsidRPr="009429F0">
        <w:rPr>
          <w:rFonts w:ascii="Arial" w:hAnsi="Arial" w:cs="Arial"/>
          <w:sz w:val="20"/>
          <w:szCs w:val="20"/>
        </w:rPr>
        <w:t xml:space="preserve"> rather than a diagnosis was cited as the reason for initially certifying sickness absence, there was a high prevalence of </w:t>
      </w:r>
      <w:r w:rsidR="0086137A" w:rsidRPr="009429F0">
        <w:rPr>
          <w:rFonts w:ascii="Arial" w:hAnsi="Arial" w:cs="Arial"/>
          <w:sz w:val="20"/>
          <w:szCs w:val="20"/>
        </w:rPr>
        <w:t>“mixed diagnosis”</w:t>
      </w:r>
      <w:r w:rsidR="00E47E78" w:rsidRPr="009429F0">
        <w:rPr>
          <w:rFonts w:ascii="Arial" w:hAnsi="Arial" w:cs="Arial"/>
          <w:sz w:val="20"/>
          <w:szCs w:val="20"/>
        </w:rPr>
        <w:t xml:space="preserve"> episodes</w:t>
      </w:r>
      <w:r w:rsidR="008609FA" w:rsidRPr="009429F0">
        <w:rPr>
          <w:rFonts w:ascii="Arial" w:hAnsi="Arial" w:cs="Arial"/>
          <w:sz w:val="20"/>
          <w:szCs w:val="20"/>
        </w:rPr>
        <w:t>. Over a fifth of all episodes</w:t>
      </w:r>
      <w:r w:rsidR="00B50A75" w:rsidRPr="009429F0">
        <w:rPr>
          <w:rFonts w:ascii="Arial" w:hAnsi="Arial" w:cs="Arial"/>
          <w:sz w:val="20"/>
          <w:szCs w:val="20"/>
        </w:rPr>
        <w:t>,</w:t>
      </w:r>
      <w:r w:rsidR="008609FA" w:rsidRPr="009429F0">
        <w:rPr>
          <w:rFonts w:ascii="Arial" w:hAnsi="Arial" w:cs="Arial"/>
          <w:sz w:val="20"/>
          <w:szCs w:val="20"/>
        </w:rPr>
        <w:t xml:space="preserve"> and half</w:t>
      </w:r>
      <w:r w:rsidR="00A44A8D" w:rsidRPr="009429F0">
        <w:rPr>
          <w:rFonts w:ascii="Arial" w:hAnsi="Arial" w:cs="Arial"/>
          <w:sz w:val="20"/>
          <w:szCs w:val="20"/>
        </w:rPr>
        <w:t xml:space="preserve"> of multiple fit note</w:t>
      </w:r>
      <w:r w:rsidR="00B50A75" w:rsidRPr="009429F0">
        <w:rPr>
          <w:rFonts w:ascii="Arial" w:hAnsi="Arial" w:cs="Arial"/>
          <w:sz w:val="20"/>
          <w:szCs w:val="20"/>
        </w:rPr>
        <w:t xml:space="preserve"> episodes, </w:t>
      </w:r>
      <w:r w:rsidR="00A44A8D" w:rsidRPr="009429F0">
        <w:rPr>
          <w:rFonts w:ascii="Arial" w:hAnsi="Arial" w:cs="Arial"/>
          <w:sz w:val="20"/>
          <w:szCs w:val="20"/>
        </w:rPr>
        <w:t xml:space="preserve">where a </w:t>
      </w:r>
      <w:r w:rsidR="00A776CE" w:rsidRPr="009429F0">
        <w:rPr>
          <w:rFonts w:ascii="Arial" w:hAnsi="Arial" w:cs="Arial"/>
          <w:sz w:val="20"/>
          <w:szCs w:val="20"/>
        </w:rPr>
        <w:t>p</w:t>
      </w:r>
      <w:r w:rsidR="0073282D" w:rsidRPr="009429F0">
        <w:rPr>
          <w:rFonts w:ascii="Arial" w:hAnsi="Arial" w:cs="Arial"/>
          <w:sz w:val="20"/>
          <w:szCs w:val="20"/>
        </w:rPr>
        <w:t>hysical symptom</w:t>
      </w:r>
      <w:r w:rsidR="00A44A8D" w:rsidRPr="009429F0">
        <w:rPr>
          <w:rFonts w:ascii="Arial" w:hAnsi="Arial" w:cs="Arial"/>
          <w:sz w:val="20"/>
          <w:szCs w:val="20"/>
        </w:rPr>
        <w:t xml:space="preserve"> was on the first sickness certificate had a change to anothe</w:t>
      </w:r>
      <w:r w:rsidR="001617F0" w:rsidRPr="009429F0">
        <w:rPr>
          <w:rFonts w:ascii="Arial" w:hAnsi="Arial" w:cs="Arial"/>
          <w:sz w:val="20"/>
          <w:szCs w:val="20"/>
        </w:rPr>
        <w:t>r diagnostic category later in the</w:t>
      </w:r>
      <w:r w:rsidR="00A44A8D" w:rsidRPr="009429F0">
        <w:rPr>
          <w:rFonts w:ascii="Arial" w:hAnsi="Arial" w:cs="Arial"/>
          <w:sz w:val="20"/>
          <w:szCs w:val="20"/>
        </w:rPr>
        <w:t xml:space="preserve"> episode</w:t>
      </w:r>
      <w:r w:rsidR="00B50A75" w:rsidRPr="009429F0">
        <w:rPr>
          <w:rFonts w:ascii="Arial" w:hAnsi="Arial" w:cs="Arial"/>
          <w:sz w:val="20"/>
          <w:szCs w:val="20"/>
        </w:rPr>
        <w:t xml:space="preserve">. High rates of change </w:t>
      </w:r>
      <w:r w:rsidR="00A44A8D" w:rsidRPr="009429F0">
        <w:rPr>
          <w:rFonts w:ascii="Arial" w:hAnsi="Arial" w:cs="Arial"/>
          <w:sz w:val="20"/>
          <w:szCs w:val="20"/>
        </w:rPr>
        <w:t>were also found for</w:t>
      </w:r>
      <w:r w:rsidR="00B50A75" w:rsidRPr="009429F0">
        <w:rPr>
          <w:rFonts w:ascii="Arial" w:hAnsi="Arial" w:cs="Arial"/>
          <w:sz w:val="20"/>
          <w:szCs w:val="20"/>
        </w:rPr>
        <w:t xml:space="preserve"> multiple fit note</w:t>
      </w:r>
      <w:r w:rsidR="00A44A8D" w:rsidRPr="009429F0">
        <w:rPr>
          <w:rFonts w:ascii="Arial" w:hAnsi="Arial" w:cs="Arial"/>
          <w:sz w:val="20"/>
          <w:szCs w:val="20"/>
        </w:rPr>
        <w:t xml:space="preserve"> </w:t>
      </w:r>
      <w:r w:rsidR="00A44A8D" w:rsidRPr="009429F0">
        <w:rPr>
          <w:rFonts w:ascii="Arial" w:hAnsi="Arial" w:cs="Arial"/>
          <w:sz w:val="20"/>
          <w:szCs w:val="20"/>
        </w:rPr>
        <w:lastRenderedPageBreak/>
        <w:t>episodes where the initial diagnosis related to a digestive problem or a viral/infectious illness</w:t>
      </w:r>
      <w:r w:rsidR="00B50A75" w:rsidRPr="009429F0">
        <w:rPr>
          <w:rFonts w:ascii="Arial" w:hAnsi="Arial" w:cs="Arial"/>
          <w:sz w:val="20"/>
          <w:szCs w:val="20"/>
        </w:rPr>
        <w:t xml:space="preserve"> (42% and 39% respectively)</w:t>
      </w:r>
      <w:r w:rsidR="00A44A8D" w:rsidRPr="009429F0">
        <w:rPr>
          <w:rFonts w:ascii="Arial" w:hAnsi="Arial" w:cs="Arial"/>
          <w:sz w:val="20"/>
          <w:szCs w:val="20"/>
        </w:rPr>
        <w:t>.</w:t>
      </w:r>
    </w:p>
    <w:p w:rsidR="00DD17FD" w:rsidRPr="009429F0" w:rsidRDefault="009D53E5" w:rsidP="00076477">
      <w:pPr>
        <w:spacing w:line="480" w:lineRule="auto"/>
        <w:rPr>
          <w:rFonts w:ascii="Arial" w:hAnsi="Arial" w:cs="Arial"/>
          <w:color w:val="FF0000"/>
          <w:sz w:val="20"/>
          <w:szCs w:val="20"/>
        </w:rPr>
      </w:pPr>
      <w:r w:rsidRPr="009429F0">
        <w:rPr>
          <w:rFonts w:ascii="Arial" w:hAnsi="Arial" w:cs="Arial"/>
          <w:color w:val="FF0000"/>
          <w:sz w:val="20"/>
          <w:szCs w:val="20"/>
        </w:rPr>
        <w:t>Table 3</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“Destination” diagnostic categories</w:t>
      </w:r>
    </w:p>
    <w:p w:rsidR="004A7E22" w:rsidRPr="009429F0" w:rsidRDefault="009D53E5" w:rsidP="00076477">
      <w:pPr>
        <w:spacing w:line="480" w:lineRule="auto"/>
        <w:rPr>
          <w:rFonts w:ascii="Arial" w:hAnsi="Arial" w:cs="Arial"/>
          <w:sz w:val="20"/>
          <w:szCs w:val="20"/>
        </w:rPr>
      </w:pPr>
      <w:r w:rsidRPr="009429F0">
        <w:rPr>
          <w:rFonts w:ascii="Arial" w:hAnsi="Arial" w:cs="Arial"/>
          <w:sz w:val="20"/>
          <w:szCs w:val="20"/>
        </w:rPr>
        <w:t>Table 4</w:t>
      </w:r>
      <w:r w:rsidR="004A7E22" w:rsidRPr="009429F0">
        <w:rPr>
          <w:rFonts w:ascii="Arial" w:hAnsi="Arial" w:cs="Arial"/>
          <w:sz w:val="20"/>
          <w:szCs w:val="20"/>
        </w:rPr>
        <w:t xml:space="preserve"> reports the distribution of change to specific diagnostic categories for a multiple fit note episode with a given diagnosis on the first fit note.</w:t>
      </w:r>
    </w:p>
    <w:p w:rsidR="0017661A" w:rsidRPr="009429F0" w:rsidRDefault="0017661A" w:rsidP="00076477">
      <w:pPr>
        <w:spacing w:line="480" w:lineRule="auto"/>
        <w:rPr>
          <w:rFonts w:ascii="Arial" w:hAnsi="Arial" w:cs="Arial"/>
          <w:sz w:val="20"/>
          <w:szCs w:val="20"/>
        </w:rPr>
      </w:pPr>
      <w:r w:rsidRPr="009429F0">
        <w:rPr>
          <w:rFonts w:ascii="Arial" w:hAnsi="Arial" w:cs="Arial"/>
          <w:sz w:val="20"/>
          <w:szCs w:val="20"/>
        </w:rPr>
        <w:t>Nearly 11% of episodes w</w:t>
      </w:r>
      <w:r w:rsidR="004A7E22" w:rsidRPr="009429F0">
        <w:rPr>
          <w:rFonts w:ascii="Arial" w:hAnsi="Arial" w:cs="Arial"/>
          <w:sz w:val="20"/>
          <w:szCs w:val="20"/>
        </w:rPr>
        <w:t xml:space="preserve">here a </w:t>
      </w:r>
      <w:r w:rsidR="00A776CE" w:rsidRPr="009429F0">
        <w:rPr>
          <w:rFonts w:ascii="Arial" w:hAnsi="Arial" w:cs="Arial"/>
          <w:sz w:val="20"/>
          <w:szCs w:val="20"/>
        </w:rPr>
        <w:t>p</w:t>
      </w:r>
      <w:r w:rsidR="0073282D" w:rsidRPr="009429F0">
        <w:rPr>
          <w:rFonts w:ascii="Arial" w:hAnsi="Arial" w:cs="Arial"/>
          <w:sz w:val="20"/>
          <w:szCs w:val="20"/>
        </w:rPr>
        <w:t>hysical symptom</w:t>
      </w:r>
      <w:r w:rsidR="004A7E22" w:rsidRPr="009429F0">
        <w:rPr>
          <w:rFonts w:ascii="Arial" w:hAnsi="Arial" w:cs="Arial"/>
          <w:sz w:val="20"/>
          <w:szCs w:val="20"/>
        </w:rPr>
        <w:t xml:space="preserve"> only was cited on the initial fit note</w:t>
      </w:r>
      <w:r w:rsidRPr="009429F0">
        <w:rPr>
          <w:rFonts w:ascii="Arial" w:hAnsi="Arial" w:cs="Arial"/>
          <w:sz w:val="20"/>
          <w:szCs w:val="20"/>
        </w:rPr>
        <w:t xml:space="preserve"> included subsequent sickness certification for a musculoskeletal probl</w:t>
      </w:r>
      <w:r w:rsidR="006D69F0" w:rsidRPr="009429F0">
        <w:rPr>
          <w:rFonts w:ascii="Arial" w:hAnsi="Arial" w:cs="Arial"/>
          <w:sz w:val="20"/>
          <w:szCs w:val="20"/>
        </w:rPr>
        <w:t>em</w:t>
      </w:r>
      <w:r w:rsidR="004A7E22" w:rsidRPr="009429F0">
        <w:rPr>
          <w:rFonts w:ascii="Arial" w:hAnsi="Arial" w:cs="Arial"/>
          <w:sz w:val="20"/>
          <w:szCs w:val="20"/>
        </w:rPr>
        <w:t xml:space="preserve">. </w:t>
      </w:r>
      <w:r w:rsidR="006D69F0" w:rsidRPr="009429F0">
        <w:rPr>
          <w:rFonts w:ascii="Arial" w:hAnsi="Arial" w:cs="Arial"/>
          <w:sz w:val="20"/>
          <w:szCs w:val="20"/>
        </w:rPr>
        <w:t xml:space="preserve">The </w:t>
      </w:r>
      <w:r w:rsidR="00A776CE" w:rsidRPr="009429F0">
        <w:rPr>
          <w:rFonts w:ascii="Arial" w:hAnsi="Arial" w:cs="Arial"/>
          <w:sz w:val="20"/>
          <w:szCs w:val="20"/>
        </w:rPr>
        <w:t>p</w:t>
      </w:r>
      <w:r w:rsidR="0073282D" w:rsidRPr="009429F0">
        <w:rPr>
          <w:rFonts w:ascii="Arial" w:hAnsi="Arial" w:cs="Arial"/>
          <w:sz w:val="20"/>
          <w:szCs w:val="20"/>
        </w:rPr>
        <w:t>hysical symptom</w:t>
      </w:r>
      <w:r w:rsidR="006D69F0" w:rsidRPr="009429F0">
        <w:rPr>
          <w:rFonts w:ascii="Arial" w:hAnsi="Arial" w:cs="Arial"/>
          <w:sz w:val="20"/>
          <w:szCs w:val="20"/>
        </w:rPr>
        <w:t xml:space="preserve"> category was also an important destination category for episodes with various initial diagnoses. Twelve percent of episodes with a first fit note for an injury had a later certificate issued for a </w:t>
      </w:r>
      <w:r w:rsidR="00A776CE" w:rsidRPr="009429F0">
        <w:rPr>
          <w:rFonts w:ascii="Arial" w:hAnsi="Arial" w:cs="Arial"/>
          <w:sz w:val="20"/>
          <w:szCs w:val="20"/>
        </w:rPr>
        <w:t>p</w:t>
      </w:r>
      <w:r w:rsidR="0073282D" w:rsidRPr="009429F0">
        <w:rPr>
          <w:rFonts w:ascii="Arial" w:hAnsi="Arial" w:cs="Arial"/>
          <w:sz w:val="20"/>
          <w:szCs w:val="20"/>
        </w:rPr>
        <w:t>hysical symptom</w:t>
      </w:r>
      <w:r w:rsidR="006D69F0" w:rsidRPr="009429F0">
        <w:rPr>
          <w:rFonts w:ascii="Arial" w:hAnsi="Arial" w:cs="Arial"/>
          <w:sz w:val="20"/>
          <w:szCs w:val="20"/>
        </w:rPr>
        <w:t xml:space="preserve"> only. A relatively high rate (9%) of change to a </w:t>
      </w:r>
      <w:r w:rsidR="00A776CE" w:rsidRPr="009429F0">
        <w:rPr>
          <w:rFonts w:ascii="Arial" w:hAnsi="Arial" w:cs="Arial"/>
          <w:sz w:val="20"/>
          <w:szCs w:val="20"/>
        </w:rPr>
        <w:t>p</w:t>
      </w:r>
      <w:r w:rsidR="0073282D" w:rsidRPr="009429F0">
        <w:rPr>
          <w:rFonts w:ascii="Arial" w:hAnsi="Arial" w:cs="Arial"/>
          <w:sz w:val="20"/>
          <w:szCs w:val="20"/>
        </w:rPr>
        <w:t>hysical symptom</w:t>
      </w:r>
      <w:r w:rsidR="006D69F0" w:rsidRPr="009429F0">
        <w:rPr>
          <w:rFonts w:ascii="Arial" w:hAnsi="Arial" w:cs="Arial"/>
          <w:sz w:val="20"/>
          <w:szCs w:val="20"/>
        </w:rPr>
        <w:t xml:space="preserve"> was also found when the initial </w:t>
      </w:r>
      <w:r w:rsidR="006F3FE8" w:rsidRPr="009429F0">
        <w:rPr>
          <w:rFonts w:ascii="Arial" w:hAnsi="Arial" w:cs="Arial"/>
          <w:sz w:val="20"/>
          <w:szCs w:val="20"/>
        </w:rPr>
        <w:t xml:space="preserve">diagnosis was in the Digestive </w:t>
      </w:r>
      <w:r w:rsidR="006D69F0" w:rsidRPr="009429F0">
        <w:rPr>
          <w:rFonts w:ascii="Arial" w:hAnsi="Arial" w:cs="Arial"/>
          <w:sz w:val="20"/>
          <w:szCs w:val="20"/>
        </w:rPr>
        <w:t xml:space="preserve">or Infection/Viral categories. </w:t>
      </w:r>
      <w:r w:rsidRPr="009429F0">
        <w:rPr>
          <w:rFonts w:ascii="Arial" w:hAnsi="Arial" w:cs="Arial"/>
          <w:sz w:val="20"/>
          <w:szCs w:val="20"/>
        </w:rPr>
        <w:t>The Mental Disorder category was also a significant destination category for episodes with initial diagnoses within the Digestive (nearly 10%)</w:t>
      </w:r>
      <w:r w:rsidR="002D7C7A" w:rsidRPr="009429F0">
        <w:rPr>
          <w:rFonts w:ascii="Arial" w:hAnsi="Arial" w:cs="Arial"/>
          <w:sz w:val="20"/>
          <w:szCs w:val="20"/>
        </w:rPr>
        <w:t xml:space="preserve">, Infection/Viral (9%), </w:t>
      </w:r>
      <w:r w:rsidR="00795EF8" w:rsidRPr="009429F0">
        <w:rPr>
          <w:rFonts w:ascii="Arial" w:hAnsi="Arial" w:cs="Arial"/>
          <w:sz w:val="20"/>
          <w:szCs w:val="20"/>
        </w:rPr>
        <w:t>p</w:t>
      </w:r>
      <w:r w:rsidR="0073282D" w:rsidRPr="009429F0">
        <w:rPr>
          <w:rFonts w:ascii="Arial" w:hAnsi="Arial" w:cs="Arial"/>
          <w:sz w:val="20"/>
          <w:szCs w:val="20"/>
        </w:rPr>
        <w:t>hysical symptom</w:t>
      </w:r>
      <w:r w:rsidR="006D69F0" w:rsidRPr="009429F0">
        <w:rPr>
          <w:rFonts w:ascii="Arial" w:hAnsi="Arial" w:cs="Arial"/>
          <w:sz w:val="20"/>
          <w:szCs w:val="20"/>
        </w:rPr>
        <w:t xml:space="preserve"> (8%), </w:t>
      </w:r>
      <w:r w:rsidR="002D7C7A" w:rsidRPr="009429F0">
        <w:rPr>
          <w:rFonts w:ascii="Arial" w:hAnsi="Arial" w:cs="Arial"/>
          <w:sz w:val="20"/>
          <w:szCs w:val="20"/>
        </w:rPr>
        <w:t>Pregnancy (7</w:t>
      </w:r>
      <w:r w:rsidR="006D69F0" w:rsidRPr="009429F0">
        <w:rPr>
          <w:rFonts w:ascii="Arial" w:hAnsi="Arial" w:cs="Arial"/>
          <w:sz w:val="20"/>
          <w:szCs w:val="20"/>
        </w:rPr>
        <w:t>%) and Musculoskeletal (6%) cat</w:t>
      </w:r>
      <w:r w:rsidR="002D7C7A" w:rsidRPr="009429F0">
        <w:rPr>
          <w:rFonts w:ascii="Arial" w:hAnsi="Arial" w:cs="Arial"/>
          <w:sz w:val="20"/>
          <w:szCs w:val="20"/>
        </w:rPr>
        <w:t>egories</w:t>
      </w:r>
      <w:r w:rsidR="006D69F0" w:rsidRPr="009429F0">
        <w:rPr>
          <w:rFonts w:ascii="Arial" w:hAnsi="Arial" w:cs="Arial"/>
          <w:sz w:val="20"/>
          <w:szCs w:val="20"/>
        </w:rPr>
        <w:t>.</w:t>
      </w:r>
      <w:r w:rsidR="00A776CE" w:rsidRPr="009429F0">
        <w:rPr>
          <w:rFonts w:ascii="Arial" w:hAnsi="Arial" w:cs="Arial"/>
          <w:sz w:val="20"/>
          <w:szCs w:val="20"/>
        </w:rPr>
        <w:t xml:space="preserve"> In total, 438 (4.2%) of the 10,398 episodes with an initial physical health diagnosis included a later fit note for a mental health problem.</w:t>
      </w:r>
    </w:p>
    <w:p w:rsidR="00BE2A8A" w:rsidRPr="009429F0" w:rsidRDefault="009D53E5" w:rsidP="00076477">
      <w:pPr>
        <w:spacing w:line="480" w:lineRule="auto"/>
        <w:rPr>
          <w:rFonts w:ascii="Arial" w:hAnsi="Arial" w:cs="Arial"/>
          <w:color w:val="FF0000"/>
          <w:sz w:val="20"/>
          <w:szCs w:val="20"/>
        </w:rPr>
      </w:pPr>
      <w:r w:rsidRPr="009429F0">
        <w:rPr>
          <w:rFonts w:ascii="Arial" w:hAnsi="Arial" w:cs="Arial"/>
          <w:color w:val="FF0000"/>
          <w:sz w:val="20"/>
          <w:szCs w:val="20"/>
        </w:rPr>
        <w:t>Table 4</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Factors indep</w:t>
      </w:r>
      <w:r w:rsidR="005778AC" w:rsidRPr="009429F0">
        <w:rPr>
          <w:rFonts w:ascii="Arial" w:hAnsi="Arial" w:cs="Arial"/>
          <w:i/>
          <w:sz w:val="20"/>
          <w:szCs w:val="20"/>
        </w:rPr>
        <w:t>endently associated with change in diagnosis</w:t>
      </w:r>
    </w:p>
    <w:p w:rsidR="004A7E22" w:rsidRPr="009429F0" w:rsidRDefault="002D7C7A" w:rsidP="00076477">
      <w:pPr>
        <w:spacing w:line="480" w:lineRule="auto"/>
        <w:rPr>
          <w:rFonts w:ascii="Arial" w:hAnsi="Arial" w:cs="Arial"/>
          <w:sz w:val="20"/>
          <w:szCs w:val="20"/>
        </w:rPr>
      </w:pPr>
      <w:r w:rsidRPr="009429F0">
        <w:rPr>
          <w:rFonts w:ascii="Arial" w:hAnsi="Arial" w:cs="Arial"/>
          <w:sz w:val="20"/>
          <w:szCs w:val="20"/>
        </w:rPr>
        <w:t>The 16,400</w:t>
      </w:r>
      <w:r w:rsidR="004A7E22" w:rsidRPr="009429F0">
        <w:rPr>
          <w:rFonts w:ascii="Arial" w:hAnsi="Arial" w:cs="Arial"/>
          <w:sz w:val="20"/>
          <w:szCs w:val="20"/>
        </w:rPr>
        <w:t xml:space="preserve"> multiple fit note episodes were entered into a multilevel random-intercept logistic regression model, in order to estimate independent effects of a range of episode-, patient-</w:t>
      </w:r>
      <w:proofErr w:type="gramStart"/>
      <w:r w:rsidR="004A7E22" w:rsidRPr="009429F0">
        <w:rPr>
          <w:rFonts w:ascii="Arial" w:hAnsi="Arial" w:cs="Arial"/>
          <w:sz w:val="20"/>
          <w:szCs w:val="20"/>
        </w:rPr>
        <w:t>,GP</w:t>
      </w:r>
      <w:proofErr w:type="gramEnd"/>
      <w:r w:rsidR="004A7E22" w:rsidRPr="009429F0">
        <w:rPr>
          <w:rFonts w:ascii="Arial" w:hAnsi="Arial" w:cs="Arial"/>
          <w:sz w:val="20"/>
          <w:szCs w:val="20"/>
        </w:rPr>
        <w:t>- and general practice-based factors on the risk of having a “mixed diagnosis” episode. Random intercepts wer</w:t>
      </w:r>
      <w:r w:rsidR="000F1456" w:rsidRPr="009429F0">
        <w:rPr>
          <w:rFonts w:ascii="Arial" w:hAnsi="Arial" w:cs="Arial"/>
          <w:sz w:val="20"/>
          <w:szCs w:val="20"/>
        </w:rPr>
        <w:t>e included for patient (n=14,594</w:t>
      </w:r>
      <w:r w:rsidR="004A7E22" w:rsidRPr="009429F0">
        <w:rPr>
          <w:rFonts w:ascii="Arial" w:hAnsi="Arial" w:cs="Arial"/>
          <w:sz w:val="20"/>
          <w:szCs w:val="20"/>
        </w:rPr>
        <w:t>), GP cer</w:t>
      </w:r>
      <w:r w:rsidR="000F1456" w:rsidRPr="009429F0">
        <w:rPr>
          <w:rFonts w:ascii="Arial" w:hAnsi="Arial" w:cs="Arial"/>
          <w:sz w:val="20"/>
          <w:szCs w:val="20"/>
        </w:rPr>
        <w:t>tifying the first fit note (n=68</w:t>
      </w:r>
      <w:r w:rsidR="004A7E22" w:rsidRPr="009429F0">
        <w:rPr>
          <w:rFonts w:ascii="Arial" w:hAnsi="Arial" w:cs="Arial"/>
          <w:sz w:val="20"/>
          <w:szCs w:val="20"/>
        </w:rPr>
        <w:t>1) and general practice (n=68). Results of the regression a</w:t>
      </w:r>
      <w:r w:rsidR="000221FF" w:rsidRPr="009429F0">
        <w:rPr>
          <w:rFonts w:ascii="Arial" w:hAnsi="Arial" w:cs="Arial"/>
          <w:sz w:val="20"/>
          <w:szCs w:val="20"/>
        </w:rPr>
        <w:t xml:space="preserve">nalysis are presented in </w:t>
      </w:r>
      <w:r w:rsidR="009D53E5" w:rsidRPr="009429F0">
        <w:rPr>
          <w:rFonts w:ascii="Arial" w:hAnsi="Arial" w:cs="Arial"/>
          <w:sz w:val="20"/>
          <w:szCs w:val="20"/>
        </w:rPr>
        <w:t>Table 5</w:t>
      </w:r>
      <w:r w:rsidR="004A7E22" w:rsidRPr="009429F0">
        <w:rPr>
          <w:rFonts w:ascii="Arial" w:hAnsi="Arial" w:cs="Arial"/>
          <w:sz w:val="20"/>
          <w:szCs w:val="20"/>
        </w:rPr>
        <w:t>.</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The diagnostic category with the lowest rate of “mixed diagnosis” episodes, Mental Disorder, was used as a reference category.  Compared to reference, the odds of having an episode with more than one diagnosis was considerably and significantly raised when the first fit note of an episode was a </w:t>
      </w:r>
      <w:r w:rsidR="00A776CE" w:rsidRPr="009429F0">
        <w:rPr>
          <w:rFonts w:ascii="Arial" w:hAnsi="Arial" w:cs="Arial"/>
          <w:sz w:val="20"/>
          <w:szCs w:val="20"/>
        </w:rPr>
        <w:t>p</w:t>
      </w:r>
      <w:r w:rsidR="0073282D" w:rsidRPr="009429F0">
        <w:rPr>
          <w:rFonts w:ascii="Arial" w:hAnsi="Arial" w:cs="Arial"/>
          <w:sz w:val="20"/>
          <w:szCs w:val="20"/>
        </w:rPr>
        <w:t>hysical symptom</w:t>
      </w:r>
      <w:r w:rsidR="0065211B" w:rsidRPr="009429F0">
        <w:rPr>
          <w:rFonts w:ascii="Arial" w:hAnsi="Arial" w:cs="Arial"/>
          <w:sz w:val="20"/>
          <w:szCs w:val="20"/>
        </w:rPr>
        <w:t xml:space="preserve"> (OR=14.4, 95% CI 12.3-16.9</w:t>
      </w:r>
      <w:r w:rsidRPr="009429F0">
        <w:rPr>
          <w:rFonts w:ascii="Arial" w:hAnsi="Arial" w:cs="Arial"/>
          <w:sz w:val="20"/>
          <w:szCs w:val="20"/>
        </w:rPr>
        <w:t>), within the Infection/Vira</w:t>
      </w:r>
      <w:r w:rsidR="0065211B" w:rsidRPr="009429F0">
        <w:rPr>
          <w:rFonts w:ascii="Arial" w:hAnsi="Arial" w:cs="Arial"/>
          <w:sz w:val="20"/>
          <w:szCs w:val="20"/>
        </w:rPr>
        <w:t>l category (OR=12.3, 95% CI 9.71</w:t>
      </w:r>
      <w:r w:rsidRPr="009429F0">
        <w:rPr>
          <w:rFonts w:ascii="Arial" w:hAnsi="Arial" w:cs="Arial"/>
          <w:sz w:val="20"/>
          <w:szCs w:val="20"/>
        </w:rPr>
        <w:t>-15.6) or a digesti</w:t>
      </w:r>
      <w:r w:rsidR="0065211B" w:rsidRPr="009429F0">
        <w:rPr>
          <w:rFonts w:ascii="Arial" w:hAnsi="Arial" w:cs="Arial"/>
          <w:sz w:val="20"/>
          <w:szCs w:val="20"/>
        </w:rPr>
        <w:t>ve problem (OR=11.4, 95% CI 9.04-14.6</w:t>
      </w:r>
      <w:r w:rsidRPr="009429F0">
        <w:rPr>
          <w:rFonts w:ascii="Arial" w:hAnsi="Arial" w:cs="Arial"/>
          <w:sz w:val="20"/>
          <w:szCs w:val="20"/>
        </w:rPr>
        <w:t xml:space="preserve">). Longer duration of the episode and the number of </w:t>
      </w:r>
      <w:r w:rsidRPr="009429F0">
        <w:rPr>
          <w:rFonts w:ascii="Arial" w:hAnsi="Arial" w:cs="Arial"/>
          <w:sz w:val="20"/>
          <w:szCs w:val="20"/>
        </w:rPr>
        <w:lastRenderedPageBreak/>
        <w:t>constituent fit notes were associated with increased risk of a change in diagnosis. Compared to a &lt;30 day episode, having an episode longer than six months significantly increased likelihood of the “mi</w:t>
      </w:r>
      <w:r w:rsidR="0065211B" w:rsidRPr="009429F0">
        <w:rPr>
          <w:rFonts w:ascii="Arial" w:hAnsi="Arial" w:cs="Arial"/>
          <w:sz w:val="20"/>
          <w:szCs w:val="20"/>
        </w:rPr>
        <w:t>xed diagnosis” outcome (OR= 2.23, 95% CI 1.90-2.62</w:t>
      </w:r>
      <w:r w:rsidRPr="009429F0">
        <w:rPr>
          <w:rFonts w:ascii="Arial" w:hAnsi="Arial" w:cs="Arial"/>
          <w:sz w:val="20"/>
          <w:szCs w:val="20"/>
        </w:rPr>
        <w:t>). When the episode included five or more sickness certificates the odds of outcome wer</w:t>
      </w:r>
      <w:r w:rsidR="0065211B" w:rsidRPr="009429F0">
        <w:rPr>
          <w:rFonts w:ascii="Arial" w:hAnsi="Arial" w:cs="Arial"/>
          <w:sz w:val="20"/>
          <w:szCs w:val="20"/>
        </w:rPr>
        <w:t>e significantly raised (OR= 2.82</w:t>
      </w:r>
      <w:r w:rsidRPr="009429F0">
        <w:rPr>
          <w:rFonts w:ascii="Arial" w:hAnsi="Arial" w:cs="Arial"/>
          <w:sz w:val="20"/>
          <w:szCs w:val="20"/>
        </w:rPr>
        <w:t>, 95% CI 2.47-3.24)</w:t>
      </w:r>
      <w:r w:rsidR="00A52411" w:rsidRPr="009429F0">
        <w:rPr>
          <w:rFonts w:ascii="Arial" w:hAnsi="Arial" w:cs="Arial"/>
          <w:sz w:val="20"/>
          <w:szCs w:val="20"/>
        </w:rPr>
        <w:t xml:space="preserve">, compared to </w:t>
      </w:r>
      <w:r w:rsidRPr="009429F0">
        <w:rPr>
          <w:rFonts w:ascii="Arial" w:hAnsi="Arial" w:cs="Arial"/>
          <w:sz w:val="20"/>
          <w:szCs w:val="20"/>
        </w:rPr>
        <w:t>episodes</w:t>
      </w:r>
      <w:r w:rsidR="00A52411" w:rsidRPr="009429F0">
        <w:rPr>
          <w:rFonts w:ascii="Arial" w:hAnsi="Arial" w:cs="Arial"/>
          <w:sz w:val="20"/>
          <w:szCs w:val="20"/>
        </w:rPr>
        <w:t xml:space="preserve"> with two constituent fit notes</w:t>
      </w:r>
      <w:r w:rsidRPr="009429F0">
        <w:rPr>
          <w:rFonts w:ascii="Arial" w:hAnsi="Arial" w:cs="Arial"/>
          <w:sz w:val="20"/>
          <w:szCs w:val="20"/>
        </w:rPr>
        <w:t>.</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One patient factor was independently and significantly associated with having a change in diagnosis within the episode. Patients living in the most socially deprived neighbour</w:t>
      </w:r>
      <w:r w:rsidR="0065211B" w:rsidRPr="009429F0">
        <w:rPr>
          <w:rFonts w:ascii="Arial" w:hAnsi="Arial" w:cs="Arial"/>
          <w:sz w:val="20"/>
          <w:szCs w:val="20"/>
        </w:rPr>
        <w:t>hoods (compared to living in one of the least deprived, OR=1.21 95% CI 1.04-1.40</w:t>
      </w:r>
      <w:r w:rsidRPr="009429F0">
        <w:rPr>
          <w:rFonts w:ascii="Arial" w:hAnsi="Arial" w:cs="Arial"/>
          <w:sz w:val="20"/>
          <w:szCs w:val="20"/>
        </w:rPr>
        <w:t>) were significantly more likely to have a “mixed diagnosis” episode.</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When the fit notes included in an episode had been issued by different GPs there was significantly more likelihood that diagnoses would change within the episode (OR=1.41, 95% CI 1.29-1.54).</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The gender and </w:t>
      </w:r>
      <w:r w:rsidR="0065211B" w:rsidRPr="009429F0">
        <w:rPr>
          <w:rFonts w:ascii="Arial" w:hAnsi="Arial" w:cs="Arial"/>
          <w:sz w:val="20"/>
          <w:szCs w:val="20"/>
        </w:rPr>
        <w:t>age of the patient and the two</w:t>
      </w:r>
      <w:r w:rsidRPr="009429F0">
        <w:rPr>
          <w:rFonts w:ascii="Arial" w:hAnsi="Arial" w:cs="Arial"/>
          <w:sz w:val="20"/>
          <w:szCs w:val="20"/>
        </w:rPr>
        <w:t xml:space="preserve"> general practice-level covariates included in the model (patient li</w:t>
      </w:r>
      <w:r w:rsidR="0065211B" w:rsidRPr="009429F0">
        <w:rPr>
          <w:rFonts w:ascii="Arial" w:hAnsi="Arial" w:cs="Arial"/>
          <w:sz w:val="20"/>
          <w:szCs w:val="20"/>
        </w:rPr>
        <w:t>st size, rural/urban location</w:t>
      </w:r>
      <w:r w:rsidRPr="009429F0">
        <w:rPr>
          <w:rFonts w:ascii="Arial" w:hAnsi="Arial" w:cs="Arial"/>
          <w:sz w:val="20"/>
          <w:szCs w:val="20"/>
        </w:rPr>
        <w:t>) were not significantly associated with increased risk of outcome.</w:t>
      </w:r>
    </w:p>
    <w:p w:rsidR="004A7E22" w:rsidRPr="009429F0" w:rsidRDefault="009D53E5" w:rsidP="00076477">
      <w:pPr>
        <w:spacing w:line="480" w:lineRule="auto"/>
        <w:rPr>
          <w:rFonts w:ascii="Arial" w:hAnsi="Arial" w:cs="Arial"/>
          <w:color w:val="FF0000"/>
          <w:sz w:val="20"/>
          <w:szCs w:val="20"/>
        </w:rPr>
      </w:pPr>
      <w:r w:rsidRPr="009429F0">
        <w:rPr>
          <w:rFonts w:ascii="Arial" w:hAnsi="Arial" w:cs="Arial"/>
          <w:color w:val="FF0000"/>
          <w:sz w:val="20"/>
          <w:szCs w:val="20"/>
        </w:rPr>
        <w:t>Table 5</w:t>
      </w:r>
    </w:p>
    <w:p w:rsidR="004A7E22" w:rsidRPr="009429F0" w:rsidRDefault="005778AC" w:rsidP="00076477">
      <w:pPr>
        <w:spacing w:line="480" w:lineRule="auto"/>
        <w:rPr>
          <w:rFonts w:ascii="Arial" w:hAnsi="Arial" w:cs="Arial"/>
          <w:b/>
          <w:sz w:val="20"/>
          <w:szCs w:val="20"/>
        </w:rPr>
      </w:pPr>
      <w:r w:rsidRPr="009429F0">
        <w:rPr>
          <w:rFonts w:ascii="Arial" w:hAnsi="Arial" w:cs="Arial"/>
          <w:b/>
          <w:sz w:val="20"/>
          <w:szCs w:val="20"/>
        </w:rPr>
        <w:t>Discussion</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Summary of findings</w:t>
      </w:r>
    </w:p>
    <w:p w:rsidR="004A7E22" w:rsidRPr="009429F0" w:rsidRDefault="003E1547" w:rsidP="00076477">
      <w:pPr>
        <w:spacing w:line="480" w:lineRule="auto"/>
        <w:rPr>
          <w:rFonts w:ascii="Arial" w:hAnsi="Arial" w:cs="Arial"/>
          <w:sz w:val="20"/>
          <w:szCs w:val="20"/>
        </w:rPr>
      </w:pPr>
      <w:r w:rsidRPr="009429F0">
        <w:rPr>
          <w:rFonts w:ascii="Arial" w:hAnsi="Arial" w:cs="Arial"/>
          <w:sz w:val="20"/>
          <w:szCs w:val="20"/>
        </w:rPr>
        <w:t>Nearly</w:t>
      </w:r>
      <w:r w:rsidR="004A7E22" w:rsidRPr="009429F0">
        <w:rPr>
          <w:rFonts w:ascii="Arial" w:hAnsi="Arial" w:cs="Arial"/>
          <w:sz w:val="20"/>
          <w:szCs w:val="20"/>
        </w:rPr>
        <w:t xml:space="preserve"> a quarter of episodes consisting of more than one sickness certificate had a change in diagnosis during the course of the episode. The diagnostic stability of the episode was most likely when the initial certificate had been issued for a mental disorder presented by the patient. The likelihood of having a “mixed diagnosis” episode increased when an unspecified </w:t>
      </w:r>
      <w:r w:rsidR="00A776CE" w:rsidRPr="009429F0">
        <w:rPr>
          <w:rFonts w:ascii="Arial" w:hAnsi="Arial" w:cs="Arial"/>
          <w:sz w:val="20"/>
          <w:szCs w:val="20"/>
        </w:rPr>
        <w:t>p</w:t>
      </w:r>
      <w:r w:rsidR="0073282D" w:rsidRPr="009429F0">
        <w:rPr>
          <w:rFonts w:ascii="Arial" w:hAnsi="Arial" w:cs="Arial"/>
          <w:sz w:val="20"/>
          <w:szCs w:val="20"/>
        </w:rPr>
        <w:t>hysical symptom</w:t>
      </w:r>
      <w:r w:rsidR="004A7E22" w:rsidRPr="009429F0">
        <w:rPr>
          <w:rFonts w:ascii="Arial" w:hAnsi="Arial" w:cs="Arial"/>
          <w:sz w:val="20"/>
          <w:szCs w:val="20"/>
        </w:rPr>
        <w:t xml:space="preserve"> was the reason for the initial sickness certification, the total duration of the episode was longer, the episode included more fit notes and the patient was living in a socially deprived neighbourhood. Episodes where the patient had been issued fit notes by more than one GP were more likely to have a change in diagnosis.</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Strengths and limitations</w:t>
      </w:r>
    </w:p>
    <w:p w:rsidR="00952B10" w:rsidRPr="009429F0" w:rsidRDefault="004A7E22" w:rsidP="00076477">
      <w:pPr>
        <w:spacing w:line="480" w:lineRule="auto"/>
        <w:rPr>
          <w:rFonts w:ascii="Arial" w:hAnsi="Arial" w:cs="Arial"/>
          <w:sz w:val="20"/>
          <w:szCs w:val="20"/>
        </w:rPr>
      </w:pPr>
      <w:r w:rsidRPr="009429F0">
        <w:rPr>
          <w:rFonts w:ascii="Arial" w:hAnsi="Arial" w:cs="Arial"/>
          <w:sz w:val="20"/>
          <w:szCs w:val="20"/>
        </w:rPr>
        <w:t>The major strength of the study lies in the opportunity to acce</w:t>
      </w:r>
      <w:r w:rsidR="004A6520" w:rsidRPr="009429F0">
        <w:rPr>
          <w:rFonts w:ascii="Arial" w:hAnsi="Arial" w:cs="Arial"/>
          <w:sz w:val="20"/>
          <w:szCs w:val="20"/>
        </w:rPr>
        <w:t xml:space="preserve">ss information on fit notes </w:t>
      </w:r>
      <w:r w:rsidR="00562F34" w:rsidRPr="009429F0">
        <w:rPr>
          <w:rFonts w:ascii="Arial" w:hAnsi="Arial" w:cs="Arial"/>
          <w:sz w:val="20"/>
          <w:szCs w:val="20"/>
        </w:rPr>
        <w:t>issued throughout</w:t>
      </w:r>
      <w:r w:rsidR="004A6520" w:rsidRPr="009429F0">
        <w:rPr>
          <w:rFonts w:ascii="Arial" w:hAnsi="Arial" w:cs="Arial"/>
          <w:sz w:val="20"/>
          <w:szCs w:val="20"/>
        </w:rPr>
        <w:t xml:space="preserve"> the episode, and to link the episode to a specific patient</w:t>
      </w:r>
      <w:r w:rsidRPr="009429F0">
        <w:rPr>
          <w:rFonts w:ascii="Arial" w:hAnsi="Arial" w:cs="Arial"/>
          <w:sz w:val="20"/>
          <w:szCs w:val="20"/>
        </w:rPr>
        <w:t xml:space="preserve">. </w:t>
      </w:r>
      <w:r w:rsidR="00562F34" w:rsidRPr="009429F0">
        <w:rPr>
          <w:rFonts w:ascii="Arial" w:hAnsi="Arial" w:cs="Arial"/>
          <w:sz w:val="20"/>
          <w:szCs w:val="20"/>
        </w:rPr>
        <w:t xml:space="preserve">This access to constituent sickness certificates in a single </w:t>
      </w:r>
      <w:r w:rsidR="004A6520" w:rsidRPr="009429F0">
        <w:rPr>
          <w:rFonts w:ascii="Arial" w:hAnsi="Arial" w:cs="Arial"/>
          <w:sz w:val="20"/>
          <w:szCs w:val="20"/>
        </w:rPr>
        <w:t xml:space="preserve">episode had not previously been available to sickness certification studies using episode data held in large national registers (such as </w:t>
      </w:r>
      <w:proofErr w:type="spellStart"/>
      <w:r w:rsidR="004A6520" w:rsidRPr="009429F0">
        <w:rPr>
          <w:rFonts w:ascii="Arial" w:hAnsi="Arial" w:cs="Arial"/>
          <w:sz w:val="20"/>
          <w:szCs w:val="20"/>
        </w:rPr>
        <w:t>MiDAS</w:t>
      </w:r>
      <w:proofErr w:type="spellEnd"/>
      <w:r w:rsidR="004A6520" w:rsidRPr="009429F0">
        <w:rPr>
          <w:rFonts w:ascii="Arial" w:hAnsi="Arial" w:cs="Arial"/>
          <w:sz w:val="20"/>
          <w:szCs w:val="20"/>
        </w:rPr>
        <w:t xml:space="preserve"> in Sweden and NAV in Norway)</w:t>
      </w:r>
      <w:r w:rsidR="00387BA3" w:rsidRPr="009429F0">
        <w:rPr>
          <w:rFonts w:ascii="Arial" w:hAnsi="Arial" w:cs="Arial"/>
          <w:sz w:val="20"/>
          <w:szCs w:val="20"/>
        </w:rPr>
        <w:t xml:space="preserve"> </w:t>
      </w:r>
      <w:r w:rsidR="00387BA3" w:rsidRPr="009429F0">
        <w:rPr>
          <w:rFonts w:ascii="Arial" w:hAnsi="Arial" w:cs="Arial"/>
          <w:color w:val="365F91" w:themeColor="accent1" w:themeShade="BF"/>
          <w:sz w:val="20"/>
          <w:szCs w:val="20"/>
        </w:rPr>
        <w:t>(11)</w:t>
      </w:r>
      <w:r w:rsidR="00387BA3" w:rsidRPr="009429F0">
        <w:rPr>
          <w:rFonts w:ascii="Arial" w:hAnsi="Arial" w:cs="Arial"/>
          <w:sz w:val="20"/>
          <w:szCs w:val="20"/>
        </w:rPr>
        <w:t>.</w:t>
      </w:r>
    </w:p>
    <w:p w:rsidR="00562F34" w:rsidRPr="009429F0" w:rsidRDefault="00562F34" w:rsidP="00076477">
      <w:pPr>
        <w:spacing w:line="480" w:lineRule="auto"/>
        <w:rPr>
          <w:rFonts w:ascii="Arial" w:hAnsi="Arial" w:cs="Arial"/>
          <w:sz w:val="20"/>
          <w:szCs w:val="20"/>
        </w:rPr>
      </w:pPr>
      <w:r w:rsidRPr="009429F0">
        <w:rPr>
          <w:rFonts w:ascii="Arial" w:hAnsi="Arial" w:cs="Arial"/>
          <w:sz w:val="20"/>
          <w:szCs w:val="20"/>
        </w:rPr>
        <w:lastRenderedPageBreak/>
        <w:t xml:space="preserve">The data collection for the study relied on a manual method of collection, before the introduction of the electronic fit note in the UK. It was difficult to audit the data collection procedures at all 68 general practices, and we have to accept the possibility that some information on fit notes issued in the 12 months may have not been received by the research team. However, </w:t>
      </w:r>
      <w:r w:rsidR="00792CDE" w:rsidRPr="009429F0">
        <w:rPr>
          <w:rFonts w:ascii="Arial" w:hAnsi="Arial" w:cs="Arial"/>
          <w:sz w:val="20"/>
          <w:szCs w:val="20"/>
        </w:rPr>
        <w:t>it is unlikely that the magnitude of any missing data would seriously challenge the findings of this ‘change in diagnosis’ study.</w:t>
      </w:r>
    </w:p>
    <w:p w:rsidR="004A7E22" w:rsidRPr="009429F0" w:rsidRDefault="00792CDE" w:rsidP="00076477">
      <w:pPr>
        <w:spacing w:line="480" w:lineRule="auto"/>
        <w:rPr>
          <w:rFonts w:ascii="Arial" w:hAnsi="Arial" w:cs="Arial"/>
          <w:sz w:val="20"/>
          <w:szCs w:val="20"/>
        </w:rPr>
      </w:pPr>
      <w:r w:rsidRPr="009429F0">
        <w:rPr>
          <w:rFonts w:ascii="Arial" w:hAnsi="Arial" w:cs="Arial"/>
          <w:sz w:val="20"/>
          <w:szCs w:val="20"/>
        </w:rPr>
        <w:t xml:space="preserve">Because we were forced to rely </w:t>
      </w:r>
      <w:r w:rsidR="004A7E22" w:rsidRPr="009429F0">
        <w:rPr>
          <w:rFonts w:ascii="Arial" w:hAnsi="Arial" w:cs="Arial"/>
          <w:sz w:val="20"/>
          <w:szCs w:val="20"/>
        </w:rPr>
        <w:t>on the general practice medical record as a source of patient info</w:t>
      </w:r>
      <w:r w:rsidRPr="009429F0">
        <w:rPr>
          <w:rFonts w:ascii="Arial" w:hAnsi="Arial" w:cs="Arial"/>
          <w:sz w:val="20"/>
          <w:szCs w:val="20"/>
        </w:rPr>
        <w:t xml:space="preserve">rmation to support the fit note </w:t>
      </w:r>
      <w:r w:rsidR="004A7E22" w:rsidRPr="009429F0">
        <w:rPr>
          <w:rFonts w:ascii="Arial" w:hAnsi="Arial" w:cs="Arial"/>
          <w:sz w:val="20"/>
          <w:szCs w:val="20"/>
        </w:rPr>
        <w:t>data</w:t>
      </w:r>
      <w:r w:rsidRPr="009429F0">
        <w:rPr>
          <w:rFonts w:ascii="Arial" w:hAnsi="Arial" w:cs="Arial"/>
          <w:sz w:val="20"/>
          <w:szCs w:val="20"/>
        </w:rPr>
        <w:t>, w</w:t>
      </w:r>
      <w:r w:rsidR="004A7E22" w:rsidRPr="009429F0">
        <w:rPr>
          <w:rFonts w:ascii="Arial" w:hAnsi="Arial" w:cs="Arial"/>
          <w:sz w:val="20"/>
          <w:szCs w:val="20"/>
        </w:rPr>
        <w:t>e were not able to collect other patient data that may have made a significant contribution to the explanatory models. For instance, information about the patient’s occupation is not routinely recorded in general practices in the UK (even when the patient is a long-term sickness absentee).</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Relation to previous research</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To the best of our knowledge there has only been one previous study with a similar primary focus on change in diagnosis. A register-based study in Sweden looked at differences in the diagnostic chapters of the first and last sickness certificates in episodes of sickness benefit </w:t>
      </w:r>
      <w:r w:rsidR="00E81E7E" w:rsidRPr="009429F0">
        <w:rPr>
          <w:rFonts w:ascii="Arial" w:hAnsi="Arial" w:cs="Arial"/>
          <w:color w:val="0070C0"/>
          <w:sz w:val="20"/>
          <w:szCs w:val="20"/>
        </w:rPr>
        <w:t>(</w:t>
      </w:r>
      <w:r w:rsidR="00CE03AE" w:rsidRPr="009429F0">
        <w:rPr>
          <w:rFonts w:ascii="Arial" w:hAnsi="Arial" w:cs="Arial"/>
          <w:color w:val="0070C0"/>
          <w:sz w:val="20"/>
          <w:szCs w:val="20"/>
        </w:rPr>
        <w:t>11</w:t>
      </w:r>
      <w:r w:rsidR="00E81E7E" w:rsidRPr="009429F0">
        <w:rPr>
          <w:rFonts w:ascii="Arial" w:hAnsi="Arial" w:cs="Arial"/>
          <w:color w:val="0070C0"/>
          <w:sz w:val="20"/>
          <w:szCs w:val="20"/>
        </w:rPr>
        <w:t>)</w:t>
      </w:r>
      <w:r w:rsidRPr="009429F0">
        <w:rPr>
          <w:rFonts w:ascii="Arial" w:hAnsi="Arial" w:cs="Arial"/>
          <w:sz w:val="20"/>
          <w:szCs w:val="20"/>
        </w:rPr>
        <w:t xml:space="preserve">. A number of their findings were similar to those found in our later study. Change in diagnosis was least prevalent in mental disorder and musculoskeletal episodes and more likely in episodes where the initial certificate was coded to the </w:t>
      </w:r>
      <w:r w:rsidR="00DC1C2D" w:rsidRPr="009429F0">
        <w:rPr>
          <w:rFonts w:ascii="Arial" w:hAnsi="Arial" w:cs="Arial"/>
          <w:sz w:val="20"/>
          <w:szCs w:val="20"/>
        </w:rPr>
        <w:t>S</w:t>
      </w:r>
      <w:r w:rsidR="0073282D" w:rsidRPr="009429F0">
        <w:rPr>
          <w:rFonts w:ascii="Arial" w:hAnsi="Arial" w:cs="Arial"/>
          <w:sz w:val="20"/>
          <w:szCs w:val="20"/>
        </w:rPr>
        <w:t>ymptom</w:t>
      </w:r>
      <w:r w:rsidRPr="009429F0">
        <w:rPr>
          <w:rFonts w:ascii="Arial" w:hAnsi="Arial" w:cs="Arial"/>
          <w:sz w:val="20"/>
          <w:szCs w:val="20"/>
        </w:rPr>
        <w:t>s and Signs diagnostic chapter. The study also found that change of diagnosis was more prevalent in the longer episodes. The previous study did not include any measure of patient deprivation or a record of the doctor issuing the medical certificates.</w:t>
      </w:r>
    </w:p>
    <w:p w:rsidR="004A7E22" w:rsidRPr="009429F0" w:rsidRDefault="004A7E22" w:rsidP="00076477">
      <w:pPr>
        <w:spacing w:line="480" w:lineRule="auto"/>
        <w:rPr>
          <w:rFonts w:ascii="Arial" w:hAnsi="Arial" w:cs="Arial"/>
          <w:i/>
          <w:sz w:val="20"/>
          <w:szCs w:val="20"/>
        </w:rPr>
      </w:pPr>
      <w:r w:rsidRPr="009429F0">
        <w:rPr>
          <w:rFonts w:ascii="Arial" w:hAnsi="Arial" w:cs="Arial"/>
          <w:i/>
          <w:sz w:val="20"/>
          <w:szCs w:val="20"/>
        </w:rPr>
        <w:t>Implications of findings</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As might be expected, the likelihood of the patient receiving different diagnoses in a single period of sick leave increased with the number of days of certified sickness absence and number of fit notes issued. A longer episode would allow more time for the patient to develop further (possibly related) problems or for previously undetected conditions to be diagnosed. It is interesting that while patients with an initial mental health diagnosis tended to receive later fit notes for a similar psychological health problem, significant numbers of episodes where a fit note was initially issued for a physical problem included a subsequent certificate for a mental health diagnosis. There is evidence that prolonged absence from the labour force (for any reason) has a detrimental effect on mental health and that, conversely, satisfactory employment is beneficial to psychological health </w:t>
      </w:r>
      <w:r w:rsidR="00E81E7E" w:rsidRPr="009429F0">
        <w:rPr>
          <w:rFonts w:ascii="Arial" w:hAnsi="Arial" w:cs="Arial"/>
          <w:color w:val="0070C0"/>
          <w:sz w:val="20"/>
          <w:szCs w:val="20"/>
        </w:rPr>
        <w:t>(</w:t>
      </w:r>
      <w:r w:rsidR="00CE03AE" w:rsidRPr="009429F0">
        <w:rPr>
          <w:rFonts w:ascii="Arial" w:hAnsi="Arial" w:cs="Arial"/>
          <w:color w:val="0070C0"/>
          <w:sz w:val="20"/>
          <w:szCs w:val="20"/>
        </w:rPr>
        <w:t>13,14</w:t>
      </w:r>
      <w:r w:rsidR="00E81E7E" w:rsidRPr="009429F0">
        <w:rPr>
          <w:rFonts w:ascii="Arial" w:hAnsi="Arial" w:cs="Arial"/>
          <w:color w:val="0070C0"/>
          <w:sz w:val="20"/>
          <w:szCs w:val="20"/>
        </w:rPr>
        <w:t>)</w:t>
      </w:r>
      <w:r w:rsidRPr="009429F0">
        <w:rPr>
          <w:rFonts w:ascii="Arial" w:hAnsi="Arial" w:cs="Arial"/>
          <w:color w:val="FF0000"/>
          <w:sz w:val="20"/>
          <w:szCs w:val="20"/>
        </w:rPr>
        <w:t>.</w:t>
      </w:r>
      <w:r w:rsidRPr="009429F0">
        <w:rPr>
          <w:rFonts w:ascii="Arial" w:hAnsi="Arial" w:cs="Arial"/>
          <w:sz w:val="20"/>
          <w:szCs w:val="20"/>
        </w:rPr>
        <w:t xml:space="preserve"> Over half of the episodes where a first fit note </w:t>
      </w:r>
      <w:r w:rsidRPr="009429F0">
        <w:rPr>
          <w:rFonts w:ascii="Arial" w:hAnsi="Arial" w:cs="Arial"/>
          <w:sz w:val="20"/>
          <w:szCs w:val="20"/>
        </w:rPr>
        <w:lastRenderedPageBreak/>
        <w:t xml:space="preserve">was issued for a </w:t>
      </w:r>
      <w:r w:rsidR="00A776CE" w:rsidRPr="009429F0">
        <w:rPr>
          <w:rFonts w:ascii="Arial" w:hAnsi="Arial" w:cs="Arial"/>
          <w:sz w:val="20"/>
          <w:szCs w:val="20"/>
        </w:rPr>
        <w:t>p</w:t>
      </w:r>
      <w:r w:rsidR="0073282D" w:rsidRPr="009429F0">
        <w:rPr>
          <w:rFonts w:ascii="Arial" w:hAnsi="Arial" w:cs="Arial"/>
          <w:sz w:val="20"/>
          <w:szCs w:val="20"/>
        </w:rPr>
        <w:t>hysical symptom</w:t>
      </w:r>
      <w:r w:rsidRPr="009429F0">
        <w:rPr>
          <w:rFonts w:ascii="Arial" w:hAnsi="Arial" w:cs="Arial"/>
          <w:sz w:val="20"/>
          <w:szCs w:val="20"/>
        </w:rPr>
        <w:t xml:space="preserve"> included a later definitive diagnosis. This may reflect the time required to diagnose a medical problem after initial presentation of </w:t>
      </w:r>
      <w:r w:rsidR="00A776CE" w:rsidRPr="009429F0">
        <w:rPr>
          <w:rFonts w:ascii="Arial" w:hAnsi="Arial" w:cs="Arial"/>
          <w:sz w:val="20"/>
          <w:szCs w:val="20"/>
        </w:rPr>
        <w:t>p</w:t>
      </w:r>
      <w:r w:rsidR="0073282D" w:rsidRPr="009429F0">
        <w:rPr>
          <w:rFonts w:ascii="Arial" w:hAnsi="Arial" w:cs="Arial"/>
          <w:sz w:val="20"/>
          <w:szCs w:val="20"/>
        </w:rPr>
        <w:t>hysical symptom</w:t>
      </w:r>
      <w:r w:rsidRPr="009429F0">
        <w:rPr>
          <w:rFonts w:ascii="Arial" w:hAnsi="Arial" w:cs="Arial"/>
          <w:sz w:val="20"/>
          <w:szCs w:val="20"/>
        </w:rPr>
        <w:t xml:space="preserve">s (possibly following results of medical investigations). More difficult to interpret are those episodes where a fit note for a </w:t>
      </w:r>
      <w:r w:rsidR="00A776CE" w:rsidRPr="009429F0">
        <w:rPr>
          <w:rFonts w:ascii="Arial" w:hAnsi="Arial" w:cs="Arial"/>
          <w:sz w:val="20"/>
          <w:szCs w:val="20"/>
        </w:rPr>
        <w:t>p</w:t>
      </w:r>
      <w:r w:rsidR="0073282D" w:rsidRPr="009429F0">
        <w:rPr>
          <w:rFonts w:ascii="Arial" w:hAnsi="Arial" w:cs="Arial"/>
          <w:sz w:val="20"/>
          <w:szCs w:val="20"/>
        </w:rPr>
        <w:t>hysical symptom</w:t>
      </w:r>
      <w:r w:rsidRPr="009429F0">
        <w:rPr>
          <w:rFonts w:ascii="Arial" w:hAnsi="Arial" w:cs="Arial"/>
          <w:sz w:val="20"/>
          <w:szCs w:val="20"/>
        </w:rPr>
        <w:t xml:space="preserve"> followed an initial diagnosis. In these cases the </w:t>
      </w:r>
      <w:r w:rsidR="00A776CE" w:rsidRPr="009429F0">
        <w:rPr>
          <w:rFonts w:ascii="Arial" w:hAnsi="Arial" w:cs="Arial"/>
          <w:sz w:val="20"/>
          <w:szCs w:val="20"/>
        </w:rPr>
        <w:t>p</w:t>
      </w:r>
      <w:r w:rsidR="0073282D" w:rsidRPr="009429F0">
        <w:rPr>
          <w:rFonts w:ascii="Arial" w:hAnsi="Arial" w:cs="Arial"/>
          <w:sz w:val="20"/>
          <w:szCs w:val="20"/>
        </w:rPr>
        <w:t>hysical symptom</w:t>
      </w:r>
      <w:r w:rsidRPr="009429F0">
        <w:rPr>
          <w:rFonts w:ascii="Arial" w:hAnsi="Arial" w:cs="Arial"/>
          <w:sz w:val="20"/>
          <w:szCs w:val="20"/>
        </w:rPr>
        <w:t xml:space="preserve"> may be a consequence of the initial physical health problem (for instance, the pain following an injury). Comorbidity of health problems has obvious implications for the patient in terms of quality of life and treatment, but may also prolong the period of time required to recover and return to work. It is known that different diagnoses are associated with varying periods of work incapacity </w:t>
      </w:r>
      <w:r w:rsidR="00E81E7E" w:rsidRPr="009429F0">
        <w:rPr>
          <w:rFonts w:ascii="Arial" w:hAnsi="Arial" w:cs="Arial"/>
          <w:color w:val="0070C0"/>
          <w:sz w:val="20"/>
          <w:szCs w:val="20"/>
        </w:rPr>
        <w:t>(</w:t>
      </w:r>
      <w:r w:rsidR="00CE03AE" w:rsidRPr="009429F0">
        <w:rPr>
          <w:rFonts w:ascii="Arial" w:hAnsi="Arial" w:cs="Arial"/>
          <w:color w:val="0070C0"/>
          <w:sz w:val="20"/>
          <w:szCs w:val="20"/>
        </w:rPr>
        <w:t>12</w:t>
      </w:r>
      <w:r w:rsidR="00E81E7E" w:rsidRPr="009429F0">
        <w:rPr>
          <w:rFonts w:ascii="Arial" w:hAnsi="Arial" w:cs="Arial"/>
          <w:color w:val="0070C0"/>
          <w:sz w:val="20"/>
          <w:szCs w:val="20"/>
        </w:rPr>
        <w:t>)</w:t>
      </w:r>
      <w:r w:rsidRPr="009429F0">
        <w:rPr>
          <w:rFonts w:ascii="Arial" w:hAnsi="Arial" w:cs="Arial"/>
          <w:sz w:val="20"/>
          <w:szCs w:val="20"/>
        </w:rPr>
        <w:t xml:space="preserve">. There is evidence that many long-term sickness absentees have multifaceted medical problems, often including co-morbidity of psychiatric and somatic disease </w:t>
      </w:r>
      <w:r w:rsidR="00E81E7E" w:rsidRPr="009429F0">
        <w:rPr>
          <w:rFonts w:ascii="Arial" w:hAnsi="Arial" w:cs="Arial"/>
          <w:color w:val="0070C0"/>
          <w:sz w:val="20"/>
          <w:szCs w:val="20"/>
        </w:rPr>
        <w:t>(</w:t>
      </w:r>
      <w:r w:rsidR="00CE03AE" w:rsidRPr="009429F0">
        <w:rPr>
          <w:rFonts w:ascii="Arial" w:hAnsi="Arial" w:cs="Arial"/>
          <w:color w:val="0070C0"/>
          <w:sz w:val="20"/>
          <w:szCs w:val="20"/>
        </w:rPr>
        <w:t>15</w:t>
      </w:r>
      <w:r w:rsidR="00E81E7E" w:rsidRPr="009429F0">
        <w:rPr>
          <w:rFonts w:ascii="Arial" w:hAnsi="Arial" w:cs="Arial"/>
          <w:color w:val="0070C0"/>
          <w:sz w:val="20"/>
          <w:szCs w:val="20"/>
        </w:rPr>
        <w:t>)</w:t>
      </w:r>
      <w:r w:rsidRPr="009429F0">
        <w:rPr>
          <w:rFonts w:ascii="Arial" w:hAnsi="Arial" w:cs="Arial"/>
          <w:sz w:val="20"/>
          <w:szCs w:val="20"/>
        </w:rPr>
        <w:t>.</w:t>
      </w:r>
      <w:r w:rsidR="005235E3" w:rsidRPr="009429F0">
        <w:rPr>
          <w:rFonts w:ascii="Arial" w:hAnsi="Arial" w:cs="Arial"/>
          <w:sz w:val="20"/>
          <w:szCs w:val="20"/>
        </w:rPr>
        <w:t xml:space="preserve"> </w:t>
      </w:r>
      <w:r w:rsidRPr="009429F0">
        <w:rPr>
          <w:rFonts w:ascii="Arial" w:hAnsi="Arial" w:cs="Arial"/>
          <w:sz w:val="20"/>
          <w:szCs w:val="20"/>
        </w:rPr>
        <w:t xml:space="preserve">Comorbidity (and multi-morbidity) is more common </w:t>
      </w:r>
      <w:r w:rsidR="00E81E7E" w:rsidRPr="009429F0">
        <w:rPr>
          <w:rFonts w:ascii="Arial" w:hAnsi="Arial" w:cs="Arial"/>
          <w:color w:val="0070C0"/>
          <w:sz w:val="20"/>
          <w:szCs w:val="20"/>
        </w:rPr>
        <w:t>(</w:t>
      </w:r>
      <w:r w:rsidR="00CE03AE" w:rsidRPr="009429F0">
        <w:rPr>
          <w:rFonts w:ascii="Arial" w:hAnsi="Arial" w:cs="Arial"/>
          <w:color w:val="0070C0"/>
          <w:sz w:val="20"/>
          <w:szCs w:val="20"/>
        </w:rPr>
        <w:t>16</w:t>
      </w:r>
      <w:r w:rsidR="00E81E7E" w:rsidRPr="009429F0">
        <w:rPr>
          <w:rFonts w:ascii="Arial" w:hAnsi="Arial" w:cs="Arial"/>
          <w:color w:val="0070C0"/>
          <w:sz w:val="20"/>
          <w:szCs w:val="20"/>
        </w:rPr>
        <w:t>)</w:t>
      </w:r>
      <w:r w:rsidRPr="009429F0">
        <w:rPr>
          <w:rFonts w:ascii="Arial" w:hAnsi="Arial" w:cs="Arial"/>
          <w:color w:val="0070C0"/>
          <w:sz w:val="20"/>
          <w:szCs w:val="20"/>
        </w:rPr>
        <w:t xml:space="preserve"> </w:t>
      </w:r>
      <w:r w:rsidRPr="009429F0">
        <w:rPr>
          <w:rFonts w:ascii="Arial" w:hAnsi="Arial" w:cs="Arial"/>
          <w:sz w:val="20"/>
          <w:szCs w:val="20"/>
        </w:rPr>
        <w:t xml:space="preserve">and arrives earlier </w:t>
      </w:r>
      <w:r w:rsidR="00E81E7E" w:rsidRPr="009429F0">
        <w:rPr>
          <w:rFonts w:ascii="Arial" w:hAnsi="Arial" w:cs="Arial"/>
          <w:color w:val="0070C0"/>
          <w:sz w:val="20"/>
          <w:szCs w:val="20"/>
        </w:rPr>
        <w:t>(</w:t>
      </w:r>
      <w:r w:rsidR="00CE03AE" w:rsidRPr="009429F0">
        <w:rPr>
          <w:rFonts w:ascii="Arial" w:hAnsi="Arial" w:cs="Arial"/>
          <w:color w:val="0070C0"/>
          <w:sz w:val="20"/>
          <w:szCs w:val="20"/>
        </w:rPr>
        <w:t>17</w:t>
      </w:r>
      <w:r w:rsidR="00E81E7E" w:rsidRPr="009429F0">
        <w:rPr>
          <w:rFonts w:ascii="Arial" w:hAnsi="Arial" w:cs="Arial"/>
          <w:color w:val="0070C0"/>
          <w:sz w:val="20"/>
          <w:szCs w:val="20"/>
        </w:rPr>
        <w:t>)</w:t>
      </w:r>
      <w:r w:rsidRPr="009429F0">
        <w:rPr>
          <w:rFonts w:ascii="Arial" w:hAnsi="Arial" w:cs="Arial"/>
          <w:color w:val="0070C0"/>
          <w:sz w:val="20"/>
          <w:szCs w:val="20"/>
        </w:rPr>
        <w:t xml:space="preserve"> </w:t>
      </w:r>
      <w:r w:rsidRPr="009429F0">
        <w:rPr>
          <w:rFonts w:ascii="Arial" w:hAnsi="Arial" w:cs="Arial"/>
          <w:sz w:val="20"/>
          <w:szCs w:val="20"/>
        </w:rPr>
        <w:t>in people living in the most socially deprived areas compared to those in more affluent areas.</w:t>
      </w:r>
      <w:r w:rsidR="00DC1C2D" w:rsidRPr="009429F0">
        <w:rPr>
          <w:rFonts w:ascii="Arial" w:hAnsi="Arial" w:cs="Arial"/>
          <w:sz w:val="20"/>
          <w:szCs w:val="20"/>
        </w:rPr>
        <w:t xml:space="preserve"> This may partly explain the higher risk of a mixed diagnosis episode experienced by the more deprived patients in our study.</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We found that episodes where different GPs had issued fit notes were more likely to have more than one diagnosis. The low prevalence of sickness episodes certified by a single GP may be a product of relatively recent organisational and policy changes in the UK primary health care system that has led to </w:t>
      </w:r>
      <w:r w:rsidR="006F3FE8" w:rsidRPr="009429F0">
        <w:rPr>
          <w:rFonts w:ascii="Arial" w:hAnsi="Arial" w:cs="Arial"/>
          <w:sz w:val="20"/>
          <w:szCs w:val="20"/>
        </w:rPr>
        <w:t xml:space="preserve">an </w:t>
      </w:r>
      <w:r w:rsidRPr="009429F0">
        <w:rPr>
          <w:rFonts w:ascii="Arial" w:hAnsi="Arial" w:cs="Arial"/>
          <w:sz w:val="20"/>
          <w:szCs w:val="20"/>
        </w:rPr>
        <w:t xml:space="preserve">increase in larger group practices, GPs being more likely to be part-time, salaried and having shorter tenure, and a new GP contract marking the end of the patient’s ‘personal registration’ with a particular GP within a practice </w:t>
      </w:r>
      <w:r w:rsidR="00E81E7E" w:rsidRPr="009429F0">
        <w:rPr>
          <w:rFonts w:ascii="Arial" w:hAnsi="Arial" w:cs="Arial"/>
          <w:color w:val="0070C0"/>
          <w:sz w:val="20"/>
          <w:szCs w:val="20"/>
        </w:rPr>
        <w:t>(</w:t>
      </w:r>
      <w:r w:rsidR="00CE03AE" w:rsidRPr="009429F0">
        <w:rPr>
          <w:rFonts w:ascii="Arial" w:hAnsi="Arial" w:cs="Arial"/>
          <w:color w:val="0070C0"/>
          <w:sz w:val="20"/>
          <w:szCs w:val="20"/>
        </w:rPr>
        <w:t>18</w:t>
      </w:r>
      <w:r w:rsidR="00E81E7E" w:rsidRPr="009429F0">
        <w:rPr>
          <w:rFonts w:ascii="Arial" w:hAnsi="Arial" w:cs="Arial"/>
          <w:color w:val="0070C0"/>
          <w:sz w:val="20"/>
          <w:szCs w:val="20"/>
        </w:rPr>
        <w:t>)</w:t>
      </w:r>
      <w:r w:rsidRPr="009429F0">
        <w:rPr>
          <w:rFonts w:ascii="Arial" w:hAnsi="Arial" w:cs="Arial"/>
          <w:sz w:val="20"/>
          <w:szCs w:val="20"/>
        </w:rPr>
        <w:t>.  Alth</w:t>
      </w:r>
      <w:r w:rsidR="00A42994" w:rsidRPr="009429F0">
        <w:rPr>
          <w:rFonts w:ascii="Arial" w:hAnsi="Arial" w:cs="Arial"/>
          <w:sz w:val="20"/>
          <w:szCs w:val="20"/>
        </w:rPr>
        <w:t xml:space="preserve">ough “generalists” by training, </w:t>
      </w:r>
      <w:r w:rsidRPr="009429F0">
        <w:rPr>
          <w:rFonts w:ascii="Arial" w:hAnsi="Arial" w:cs="Arial"/>
          <w:sz w:val="20"/>
          <w:szCs w:val="20"/>
        </w:rPr>
        <w:t xml:space="preserve">different GPs working within a practice are likely to have their own diagnostic areas of interest.  This may result in a different interpretation of the same </w:t>
      </w:r>
      <w:r w:rsidR="0073282D" w:rsidRPr="009429F0">
        <w:rPr>
          <w:rFonts w:ascii="Arial" w:hAnsi="Arial" w:cs="Arial"/>
          <w:sz w:val="20"/>
          <w:szCs w:val="20"/>
        </w:rPr>
        <w:t>symptom</w:t>
      </w:r>
      <w:r w:rsidRPr="009429F0">
        <w:rPr>
          <w:rFonts w:ascii="Arial" w:hAnsi="Arial" w:cs="Arial"/>
          <w:sz w:val="20"/>
          <w:szCs w:val="20"/>
        </w:rPr>
        <w:t xml:space="preserve">s reported by a patient, and influence the diagnosis cited on the sickness certificate. It is also known that attitudes to the process of sickness certification itself vary across GPs, particularly in relation to the perceived appropriate role of the GP and what constitutes a valid reason for issuing a sickness certificate </w:t>
      </w:r>
      <w:r w:rsidR="00E81E7E" w:rsidRPr="009429F0">
        <w:rPr>
          <w:rFonts w:ascii="Arial" w:hAnsi="Arial" w:cs="Arial"/>
          <w:color w:val="0070C0"/>
          <w:sz w:val="20"/>
          <w:szCs w:val="20"/>
        </w:rPr>
        <w:t>(</w:t>
      </w:r>
      <w:r w:rsidR="00CE03AE" w:rsidRPr="009429F0">
        <w:rPr>
          <w:rFonts w:ascii="Arial" w:hAnsi="Arial" w:cs="Arial"/>
          <w:color w:val="0070C0"/>
          <w:sz w:val="20"/>
          <w:szCs w:val="20"/>
        </w:rPr>
        <w:t>19</w:t>
      </w:r>
      <w:r w:rsidR="00E81E7E" w:rsidRPr="009429F0">
        <w:rPr>
          <w:rFonts w:ascii="Arial" w:hAnsi="Arial" w:cs="Arial"/>
          <w:color w:val="0070C0"/>
          <w:sz w:val="20"/>
          <w:szCs w:val="20"/>
        </w:rPr>
        <w:t>)</w:t>
      </w:r>
      <w:r w:rsidRPr="009429F0">
        <w:rPr>
          <w:rFonts w:ascii="Arial" w:hAnsi="Arial" w:cs="Arial"/>
          <w:sz w:val="20"/>
          <w:szCs w:val="20"/>
        </w:rPr>
        <w:t xml:space="preserve">. GP attitudes to issuing a further sickness certificate, after a prior diagnosis by another GP, may also differ </w:t>
      </w:r>
      <w:r w:rsidR="00E81E7E" w:rsidRPr="009429F0">
        <w:rPr>
          <w:rFonts w:ascii="Arial" w:hAnsi="Arial" w:cs="Arial"/>
          <w:color w:val="0070C0"/>
          <w:sz w:val="20"/>
          <w:szCs w:val="20"/>
        </w:rPr>
        <w:t>(</w:t>
      </w:r>
      <w:r w:rsidR="00CE03AE" w:rsidRPr="009429F0">
        <w:rPr>
          <w:rFonts w:ascii="Arial" w:hAnsi="Arial" w:cs="Arial"/>
          <w:color w:val="0070C0"/>
          <w:sz w:val="20"/>
          <w:szCs w:val="20"/>
        </w:rPr>
        <w:t>20</w:t>
      </w:r>
      <w:r w:rsidR="00E81E7E" w:rsidRPr="009429F0">
        <w:rPr>
          <w:rFonts w:ascii="Arial" w:hAnsi="Arial" w:cs="Arial"/>
          <w:color w:val="0070C0"/>
          <w:sz w:val="20"/>
          <w:szCs w:val="20"/>
        </w:rPr>
        <w:t>)</w:t>
      </w:r>
      <w:r w:rsidRPr="009429F0">
        <w:rPr>
          <w:rFonts w:ascii="Arial" w:hAnsi="Arial" w:cs="Arial"/>
          <w:sz w:val="20"/>
          <w:szCs w:val="20"/>
        </w:rPr>
        <w:t xml:space="preserve">. A change in diagnosis within a certified sickness absence episode presents a challenge to the GP in relation to the most appropriate return-to-work advice to be offered the patient. Since the 2010 introduction of the fit note in the UK, there is evidence that such advice is more likely to be included in fit notes for particular diagnoses rather than others </w:t>
      </w:r>
      <w:r w:rsidR="00E81E7E" w:rsidRPr="009429F0">
        <w:rPr>
          <w:rFonts w:ascii="Arial" w:hAnsi="Arial" w:cs="Arial"/>
          <w:color w:val="0070C0"/>
          <w:sz w:val="20"/>
          <w:szCs w:val="20"/>
        </w:rPr>
        <w:t>(</w:t>
      </w:r>
      <w:r w:rsidR="00CE03AE" w:rsidRPr="009429F0">
        <w:rPr>
          <w:rFonts w:ascii="Arial" w:hAnsi="Arial" w:cs="Arial"/>
          <w:color w:val="0070C0"/>
          <w:sz w:val="20"/>
          <w:szCs w:val="20"/>
        </w:rPr>
        <w:t>21</w:t>
      </w:r>
      <w:r w:rsidR="00E81E7E" w:rsidRPr="009429F0">
        <w:rPr>
          <w:rFonts w:ascii="Arial" w:hAnsi="Arial" w:cs="Arial"/>
          <w:color w:val="0070C0"/>
          <w:sz w:val="20"/>
          <w:szCs w:val="20"/>
        </w:rPr>
        <w:t>)</w:t>
      </w:r>
      <w:r w:rsidRPr="009429F0">
        <w:rPr>
          <w:rFonts w:ascii="Arial" w:hAnsi="Arial" w:cs="Arial"/>
          <w:sz w:val="20"/>
          <w:szCs w:val="20"/>
        </w:rPr>
        <w:t>.</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The existence of different health problems within a longer period of sickness certification may also lead to difficulties in assessing eligibility for long-term incapacity and disability benefits. The assessment procedures used by the social insurance or other state agency responsible for making decisions on </w:t>
      </w:r>
      <w:r w:rsidRPr="009429F0">
        <w:rPr>
          <w:rFonts w:ascii="Arial" w:hAnsi="Arial" w:cs="Arial"/>
          <w:sz w:val="20"/>
          <w:szCs w:val="20"/>
        </w:rPr>
        <w:lastRenderedPageBreak/>
        <w:t xml:space="preserve">eligibility need to be flexible enough to deal with claimants with co-morbidities. If not, it may lead to a situation where those who are successful in their claims are healthier than those who did not meet the rigid eligibility criteria </w:t>
      </w:r>
      <w:r w:rsidR="00E81E7E" w:rsidRPr="009429F0">
        <w:rPr>
          <w:rFonts w:ascii="Arial" w:hAnsi="Arial" w:cs="Arial"/>
          <w:color w:val="0070C0"/>
          <w:sz w:val="20"/>
          <w:szCs w:val="20"/>
        </w:rPr>
        <w:t>(</w:t>
      </w:r>
      <w:r w:rsidR="00CE03AE" w:rsidRPr="009429F0">
        <w:rPr>
          <w:rFonts w:ascii="Arial" w:hAnsi="Arial" w:cs="Arial"/>
          <w:color w:val="0070C0"/>
          <w:sz w:val="20"/>
          <w:szCs w:val="20"/>
        </w:rPr>
        <w:t>11</w:t>
      </w:r>
      <w:r w:rsidR="006461BC" w:rsidRPr="009429F0">
        <w:rPr>
          <w:rFonts w:ascii="Arial" w:hAnsi="Arial" w:cs="Arial"/>
          <w:color w:val="0070C0"/>
          <w:sz w:val="20"/>
          <w:szCs w:val="20"/>
        </w:rPr>
        <w:t>,</w:t>
      </w:r>
      <w:r w:rsidR="00CE03AE" w:rsidRPr="009429F0">
        <w:rPr>
          <w:rFonts w:ascii="Arial" w:hAnsi="Arial" w:cs="Arial"/>
          <w:color w:val="0070C0"/>
          <w:sz w:val="20"/>
          <w:szCs w:val="20"/>
        </w:rPr>
        <w:t>22</w:t>
      </w:r>
      <w:r w:rsidR="00E81E7E" w:rsidRPr="009429F0">
        <w:rPr>
          <w:rFonts w:ascii="Arial" w:hAnsi="Arial" w:cs="Arial"/>
          <w:color w:val="0070C0"/>
          <w:sz w:val="20"/>
          <w:szCs w:val="20"/>
        </w:rPr>
        <w:t>)</w:t>
      </w:r>
      <w:r w:rsidRPr="009429F0">
        <w:rPr>
          <w:rFonts w:ascii="Arial" w:hAnsi="Arial" w:cs="Arial"/>
          <w:sz w:val="20"/>
          <w:szCs w:val="20"/>
        </w:rPr>
        <w:t xml:space="preserve">. Some social insurance systems have made special provision for claimants with multifaceted medical problems. For instance, Social Insurance Offices in Sweden routinely refer some long-term sickness absentees for a multi-disciplinary assessment that aims to provide a more accurate description of the patient’s functional capacity </w:t>
      </w:r>
      <w:r w:rsidR="00E81E7E" w:rsidRPr="009429F0">
        <w:rPr>
          <w:rFonts w:ascii="Arial" w:hAnsi="Arial" w:cs="Arial"/>
          <w:color w:val="0070C0"/>
          <w:sz w:val="20"/>
          <w:szCs w:val="20"/>
        </w:rPr>
        <w:t>(</w:t>
      </w:r>
      <w:r w:rsidR="00CE03AE" w:rsidRPr="009429F0">
        <w:rPr>
          <w:rFonts w:ascii="Arial" w:hAnsi="Arial" w:cs="Arial"/>
          <w:color w:val="0070C0"/>
          <w:sz w:val="20"/>
          <w:szCs w:val="20"/>
        </w:rPr>
        <w:t>23</w:t>
      </w:r>
      <w:r w:rsidR="00E81E7E" w:rsidRPr="009429F0">
        <w:rPr>
          <w:rFonts w:ascii="Arial" w:hAnsi="Arial" w:cs="Arial"/>
          <w:color w:val="0070C0"/>
          <w:sz w:val="20"/>
          <w:szCs w:val="20"/>
        </w:rPr>
        <w:t>)</w:t>
      </w:r>
      <w:r w:rsidRPr="009429F0">
        <w:rPr>
          <w:rFonts w:ascii="Arial" w:hAnsi="Arial" w:cs="Arial"/>
          <w:sz w:val="20"/>
          <w:szCs w:val="20"/>
        </w:rPr>
        <w:t xml:space="preserve">. Assessment can be particularly problematic when co-morbidity involves both physical and mental health conditions. In the UK, eligibility for the main incapacity-related benefit (Employment </w:t>
      </w:r>
      <w:r w:rsidR="00C86366" w:rsidRPr="009429F0">
        <w:rPr>
          <w:rFonts w:ascii="Arial" w:hAnsi="Arial" w:cs="Arial"/>
          <w:sz w:val="20"/>
          <w:szCs w:val="20"/>
        </w:rPr>
        <w:t xml:space="preserve">and </w:t>
      </w:r>
      <w:r w:rsidRPr="009429F0">
        <w:rPr>
          <w:rFonts w:ascii="Arial" w:hAnsi="Arial" w:cs="Arial"/>
          <w:sz w:val="20"/>
          <w:szCs w:val="20"/>
        </w:rPr>
        <w:t xml:space="preserve">Support Allowance) is largely based upon the outcome of a Work Capability Assessment (WCA). It has been argued that the WCA may involve an undue focus on a claimant’s physical conditions when mental health was the primary cause of incapacity </w:t>
      </w:r>
      <w:r w:rsidR="00E81E7E" w:rsidRPr="009429F0">
        <w:rPr>
          <w:rFonts w:ascii="Arial" w:hAnsi="Arial" w:cs="Arial"/>
          <w:color w:val="0070C0"/>
          <w:sz w:val="20"/>
          <w:szCs w:val="20"/>
        </w:rPr>
        <w:t>(</w:t>
      </w:r>
      <w:r w:rsidR="00CE03AE" w:rsidRPr="009429F0">
        <w:rPr>
          <w:rFonts w:ascii="Arial" w:hAnsi="Arial" w:cs="Arial"/>
          <w:color w:val="0070C0"/>
          <w:sz w:val="20"/>
          <w:szCs w:val="20"/>
        </w:rPr>
        <w:t>24</w:t>
      </w:r>
      <w:r w:rsidR="00E81E7E" w:rsidRPr="009429F0">
        <w:rPr>
          <w:rFonts w:ascii="Arial" w:hAnsi="Arial" w:cs="Arial"/>
          <w:color w:val="0070C0"/>
          <w:sz w:val="20"/>
          <w:szCs w:val="20"/>
        </w:rPr>
        <w:t>)</w:t>
      </w:r>
      <w:r w:rsidRPr="009429F0">
        <w:rPr>
          <w:rFonts w:ascii="Arial" w:hAnsi="Arial" w:cs="Arial"/>
          <w:sz w:val="20"/>
          <w:szCs w:val="20"/>
        </w:rPr>
        <w:t>.</w:t>
      </w:r>
    </w:p>
    <w:p w:rsidR="004A7E22" w:rsidRPr="009429F0" w:rsidRDefault="004A7E22" w:rsidP="00076477">
      <w:pPr>
        <w:spacing w:line="480" w:lineRule="auto"/>
        <w:rPr>
          <w:rFonts w:ascii="Arial" w:hAnsi="Arial" w:cs="Arial"/>
          <w:sz w:val="20"/>
          <w:szCs w:val="20"/>
        </w:rPr>
      </w:pPr>
      <w:r w:rsidRPr="009429F0">
        <w:rPr>
          <w:rFonts w:ascii="Arial" w:hAnsi="Arial" w:cs="Arial"/>
          <w:sz w:val="20"/>
          <w:szCs w:val="20"/>
        </w:rPr>
        <w:t xml:space="preserve">Finally, the findings of this study have important implications for those researchers working within the substantive area of sickness certification, particularly those conducting studies focusing upon the effect of particular diagnostic categories of sickness absence on specified outcomes (such as duration of work incapacity). A method of dealing with “mixed diagnosis” episodes needs to be developed. Past approaches to coding these types of episode, such as those based upon first diagnosis or a majority of diagnoses in the episode </w:t>
      </w:r>
      <w:r w:rsidR="00E81E7E" w:rsidRPr="009429F0">
        <w:rPr>
          <w:rFonts w:ascii="Arial" w:hAnsi="Arial" w:cs="Arial"/>
          <w:color w:val="0070C0"/>
          <w:sz w:val="20"/>
          <w:szCs w:val="20"/>
        </w:rPr>
        <w:t>(</w:t>
      </w:r>
      <w:r w:rsidR="00CE03AE" w:rsidRPr="009429F0">
        <w:rPr>
          <w:rFonts w:ascii="Arial" w:hAnsi="Arial" w:cs="Arial"/>
          <w:color w:val="0070C0"/>
          <w:sz w:val="20"/>
          <w:szCs w:val="20"/>
        </w:rPr>
        <w:t>12</w:t>
      </w:r>
      <w:r w:rsidR="00E81E7E" w:rsidRPr="009429F0">
        <w:rPr>
          <w:rFonts w:ascii="Arial" w:hAnsi="Arial" w:cs="Arial"/>
          <w:color w:val="0070C0"/>
          <w:sz w:val="20"/>
          <w:szCs w:val="20"/>
        </w:rPr>
        <w:t>)</w:t>
      </w:r>
      <w:r w:rsidRPr="009429F0">
        <w:rPr>
          <w:rFonts w:ascii="Arial" w:hAnsi="Arial" w:cs="Arial"/>
          <w:sz w:val="20"/>
          <w:szCs w:val="20"/>
        </w:rPr>
        <w:t xml:space="preserve">, may not be the most efficient way of measuring their effect. While this paper has focused upon change in diagnostic categories of sickness certification, it may also be desirable to investigate changes </w:t>
      </w:r>
      <w:r w:rsidRPr="009429F0">
        <w:rPr>
          <w:rFonts w:ascii="Arial" w:hAnsi="Arial" w:cs="Arial"/>
          <w:i/>
          <w:sz w:val="20"/>
          <w:szCs w:val="20"/>
        </w:rPr>
        <w:t>within</w:t>
      </w:r>
      <w:r w:rsidRPr="009429F0">
        <w:rPr>
          <w:rFonts w:ascii="Arial" w:hAnsi="Arial" w:cs="Arial"/>
          <w:sz w:val="20"/>
          <w:szCs w:val="20"/>
        </w:rPr>
        <w:t xml:space="preserve"> a diagnostic category. For instance within the Mental Disorder category, a change in diagnosis from ‘stress’ to ‘depression’ may have important clinical and incapacity-related implications. Further research in all relevant areas of diagnosis change is urgently needed.</w:t>
      </w:r>
    </w:p>
    <w:p w:rsidR="00425242" w:rsidRPr="009429F0" w:rsidRDefault="00425242" w:rsidP="00076477">
      <w:pPr>
        <w:spacing w:line="480" w:lineRule="auto"/>
        <w:rPr>
          <w:rFonts w:ascii="Arial" w:hAnsi="Arial" w:cs="Arial"/>
          <w:b/>
          <w:sz w:val="20"/>
          <w:szCs w:val="20"/>
        </w:rPr>
      </w:pPr>
      <w:r w:rsidRPr="009429F0">
        <w:rPr>
          <w:rFonts w:ascii="Arial" w:hAnsi="Arial" w:cs="Arial"/>
          <w:b/>
          <w:sz w:val="20"/>
          <w:szCs w:val="20"/>
        </w:rPr>
        <w:t xml:space="preserve">Declaration </w:t>
      </w:r>
    </w:p>
    <w:p w:rsidR="009C286C" w:rsidRPr="009429F0" w:rsidRDefault="009C286C" w:rsidP="00076477">
      <w:pPr>
        <w:spacing w:line="480" w:lineRule="auto"/>
        <w:rPr>
          <w:rFonts w:ascii="Arial" w:hAnsi="Arial" w:cs="Arial"/>
          <w:sz w:val="20"/>
          <w:szCs w:val="20"/>
        </w:rPr>
      </w:pPr>
      <w:r w:rsidRPr="009429F0">
        <w:rPr>
          <w:rFonts w:ascii="Arial" w:hAnsi="Arial" w:cs="Arial"/>
          <w:sz w:val="20"/>
          <w:szCs w:val="20"/>
        </w:rPr>
        <w:t xml:space="preserve">Funding: This work was supported by the UK Department for Work and Pensions (DWP), who </w:t>
      </w:r>
      <w:proofErr w:type="spellStart"/>
      <w:r w:rsidRPr="009429F0">
        <w:rPr>
          <w:rFonts w:ascii="Arial" w:hAnsi="Arial" w:cs="Arial"/>
          <w:sz w:val="20"/>
          <w:szCs w:val="20"/>
        </w:rPr>
        <w:t>funded</w:t>
      </w:r>
      <w:proofErr w:type="spellEnd"/>
      <w:r w:rsidRPr="009429F0">
        <w:rPr>
          <w:rFonts w:ascii="Arial" w:hAnsi="Arial" w:cs="Arial"/>
          <w:sz w:val="20"/>
          <w:szCs w:val="20"/>
        </w:rPr>
        <w:t xml:space="preserve"> the two evaluations providing data for the study. Professor Gabbay is part funded by (NIHR-National Institute for Health Research) CLAHRC-NWC. The views expressed are those of the authors and not necessarily those of the DWP, NHS, NIHR or the Department of Health.</w:t>
      </w:r>
    </w:p>
    <w:p w:rsidR="00425242" w:rsidRPr="009429F0" w:rsidRDefault="00425242" w:rsidP="00076477">
      <w:pPr>
        <w:spacing w:line="480" w:lineRule="auto"/>
        <w:rPr>
          <w:rFonts w:ascii="Arial" w:hAnsi="Arial" w:cs="Arial"/>
          <w:sz w:val="20"/>
          <w:szCs w:val="20"/>
        </w:rPr>
      </w:pPr>
    </w:p>
    <w:p w:rsidR="00425242" w:rsidRPr="009429F0" w:rsidRDefault="00425242" w:rsidP="00076477">
      <w:pPr>
        <w:spacing w:line="480" w:lineRule="auto"/>
        <w:rPr>
          <w:rFonts w:ascii="Arial" w:hAnsi="Arial" w:cs="Arial"/>
          <w:sz w:val="20"/>
          <w:szCs w:val="20"/>
        </w:rPr>
      </w:pPr>
      <w:r w:rsidRPr="009429F0">
        <w:rPr>
          <w:rFonts w:ascii="Arial" w:hAnsi="Arial" w:cs="Arial"/>
          <w:sz w:val="20"/>
          <w:szCs w:val="20"/>
        </w:rPr>
        <w:lastRenderedPageBreak/>
        <w:t>Ethical approval: this investigation complied with Resolution 196/96, which regulates human subject research. All the ethical principles contained in the Declaration of Helsinki were observed and the research project was approved by the (UK) National Research Ethics Service in June 2011.</w:t>
      </w:r>
    </w:p>
    <w:p w:rsidR="00425242" w:rsidRPr="009429F0" w:rsidRDefault="00425242" w:rsidP="00076477">
      <w:pPr>
        <w:spacing w:line="480" w:lineRule="auto"/>
        <w:rPr>
          <w:rFonts w:ascii="Arial" w:hAnsi="Arial" w:cs="Arial"/>
          <w:sz w:val="20"/>
          <w:szCs w:val="20"/>
        </w:rPr>
      </w:pPr>
      <w:r w:rsidRPr="009429F0">
        <w:rPr>
          <w:rFonts w:ascii="Arial" w:hAnsi="Arial" w:cs="Arial"/>
          <w:sz w:val="20"/>
          <w:szCs w:val="20"/>
        </w:rPr>
        <w:t>Conflict of interest: none.</w:t>
      </w:r>
    </w:p>
    <w:p w:rsidR="004A7E22" w:rsidRPr="009429F0" w:rsidRDefault="004A7E22" w:rsidP="00076477">
      <w:pPr>
        <w:spacing w:line="480" w:lineRule="auto"/>
        <w:rPr>
          <w:rFonts w:ascii="Arial" w:hAnsi="Arial" w:cs="Arial"/>
          <w:b/>
          <w:sz w:val="20"/>
          <w:szCs w:val="20"/>
        </w:rPr>
      </w:pPr>
    </w:p>
    <w:p w:rsidR="00DD17FD" w:rsidRPr="009429F0" w:rsidRDefault="00DD17FD" w:rsidP="00076477">
      <w:pPr>
        <w:spacing w:line="480" w:lineRule="auto"/>
        <w:rPr>
          <w:rFonts w:ascii="Arial" w:hAnsi="Arial" w:cs="Arial"/>
          <w:b/>
          <w:sz w:val="20"/>
          <w:szCs w:val="20"/>
        </w:rPr>
      </w:pPr>
    </w:p>
    <w:p w:rsidR="00305779" w:rsidRPr="009429F0" w:rsidRDefault="005778AC" w:rsidP="00076477">
      <w:pPr>
        <w:spacing w:line="480" w:lineRule="auto"/>
        <w:rPr>
          <w:rFonts w:ascii="Arial" w:hAnsi="Arial" w:cs="Arial"/>
          <w:b/>
          <w:sz w:val="20"/>
          <w:szCs w:val="20"/>
        </w:rPr>
      </w:pPr>
      <w:r w:rsidRPr="009429F0">
        <w:rPr>
          <w:rFonts w:ascii="Arial" w:hAnsi="Arial" w:cs="Arial"/>
          <w:b/>
          <w:sz w:val="20"/>
          <w:szCs w:val="20"/>
        </w:rPr>
        <w:t>References</w:t>
      </w:r>
    </w:p>
    <w:p w:rsidR="00305779" w:rsidRPr="009429F0" w:rsidRDefault="00305779" w:rsidP="00076477">
      <w:pPr>
        <w:spacing w:line="480" w:lineRule="auto"/>
        <w:rPr>
          <w:rFonts w:ascii="Arial" w:hAnsi="Arial" w:cs="Arial"/>
          <w:b/>
          <w:sz w:val="20"/>
          <w:szCs w:val="20"/>
        </w:rPr>
      </w:pPr>
      <w:r w:rsidRPr="009429F0">
        <w:rPr>
          <w:rFonts w:ascii="Arial" w:hAnsi="Arial" w:cs="Arial"/>
          <w:sz w:val="20"/>
          <w:szCs w:val="20"/>
        </w:rPr>
        <w:t>1</w:t>
      </w:r>
      <w:r w:rsidR="005E378A" w:rsidRPr="009429F0">
        <w:rPr>
          <w:rFonts w:ascii="Arial" w:hAnsi="Arial" w:cs="Arial"/>
          <w:sz w:val="20"/>
          <w:szCs w:val="20"/>
        </w:rPr>
        <w:t>.</w:t>
      </w:r>
      <w:r w:rsidRPr="009429F0">
        <w:rPr>
          <w:rFonts w:ascii="Arial" w:hAnsi="Arial" w:cs="Arial"/>
          <w:sz w:val="20"/>
          <w:szCs w:val="20"/>
        </w:rPr>
        <w:t xml:space="preserve">  Office for National Statistics (ONS). Sickness absence in the labour market, April 2012.</w:t>
      </w:r>
      <w:r w:rsidRPr="009429F0">
        <w:rPr>
          <w:rFonts w:ascii="Arial" w:hAnsi="Arial" w:cs="Arial"/>
          <w:b/>
          <w:sz w:val="20"/>
          <w:szCs w:val="20"/>
        </w:rPr>
        <w:t xml:space="preserve"> </w:t>
      </w:r>
      <w:hyperlink r:id="rId10" w:history="1">
        <w:r w:rsidRPr="009429F0">
          <w:rPr>
            <w:rStyle w:val="Hyperlink"/>
            <w:rFonts w:ascii="Arial" w:hAnsi="Arial" w:cs="Arial"/>
            <w:sz w:val="20"/>
            <w:szCs w:val="20"/>
          </w:rPr>
          <w:t>http://www.ons.gov.uk/ons/dcp171776_265016.pdf</w:t>
        </w:r>
      </w:hyperlink>
    </w:p>
    <w:p w:rsidR="00CE03AE" w:rsidRPr="009429F0" w:rsidRDefault="00305779" w:rsidP="00076477">
      <w:pPr>
        <w:spacing w:line="480" w:lineRule="auto"/>
        <w:rPr>
          <w:rFonts w:ascii="Arial" w:hAnsi="Arial" w:cs="Arial"/>
          <w:sz w:val="20"/>
          <w:szCs w:val="20"/>
        </w:rPr>
      </w:pPr>
      <w:r w:rsidRPr="009429F0">
        <w:rPr>
          <w:rFonts w:ascii="Arial" w:hAnsi="Arial" w:cs="Arial"/>
          <w:sz w:val="20"/>
          <w:szCs w:val="20"/>
        </w:rPr>
        <w:t>2</w:t>
      </w:r>
      <w:r w:rsidR="005E378A" w:rsidRPr="009429F0">
        <w:rPr>
          <w:rFonts w:ascii="Arial" w:hAnsi="Arial" w:cs="Arial"/>
          <w:sz w:val="20"/>
          <w:szCs w:val="20"/>
        </w:rPr>
        <w:t>.</w:t>
      </w:r>
      <w:r w:rsidRPr="009429F0">
        <w:rPr>
          <w:rFonts w:ascii="Arial" w:hAnsi="Arial" w:cs="Arial"/>
          <w:sz w:val="20"/>
          <w:szCs w:val="20"/>
        </w:rPr>
        <w:t xml:space="preserve">  Black C, Frost D. </w:t>
      </w:r>
      <w:r w:rsidRPr="009429F0">
        <w:rPr>
          <w:rFonts w:ascii="Arial" w:hAnsi="Arial" w:cs="Arial"/>
          <w:i/>
          <w:sz w:val="20"/>
          <w:szCs w:val="20"/>
        </w:rPr>
        <w:t>Health at work: an independent review of sickness absence</w:t>
      </w:r>
      <w:r w:rsidRPr="009429F0">
        <w:rPr>
          <w:rFonts w:ascii="Arial" w:hAnsi="Arial" w:cs="Arial"/>
          <w:sz w:val="20"/>
          <w:szCs w:val="20"/>
        </w:rPr>
        <w:t>. London: The Stationery Office 2011</w:t>
      </w:r>
      <w:r w:rsidR="005E378A" w:rsidRPr="009429F0">
        <w:rPr>
          <w:rFonts w:ascii="Arial" w:hAnsi="Arial" w:cs="Arial"/>
          <w:sz w:val="20"/>
          <w:szCs w:val="20"/>
        </w:rPr>
        <w:t>.</w:t>
      </w:r>
    </w:p>
    <w:p w:rsidR="00305779" w:rsidRPr="009429F0" w:rsidRDefault="00305779" w:rsidP="00076477">
      <w:pPr>
        <w:spacing w:line="480" w:lineRule="auto"/>
        <w:rPr>
          <w:rFonts w:ascii="Arial" w:hAnsi="Arial" w:cs="Arial"/>
          <w:sz w:val="20"/>
          <w:szCs w:val="20"/>
        </w:rPr>
      </w:pPr>
      <w:r w:rsidRPr="009429F0">
        <w:rPr>
          <w:rFonts w:ascii="Arial" w:hAnsi="Arial" w:cs="Arial"/>
          <w:sz w:val="20"/>
          <w:szCs w:val="20"/>
        </w:rPr>
        <w:t>3</w:t>
      </w:r>
      <w:r w:rsidR="005E378A" w:rsidRPr="009429F0">
        <w:rPr>
          <w:rFonts w:ascii="Arial" w:hAnsi="Arial" w:cs="Arial"/>
          <w:sz w:val="20"/>
          <w:szCs w:val="20"/>
        </w:rPr>
        <w:t>.</w:t>
      </w:r>
      <w:r w:rsidRPr="009429F0">
        <w:rPr>
          <w:rFonts w:ascii="Arial" w:hAnsi="Arial" w:cs="Arial"/>
          <w:sz w:val="20"/>
          <w:szCs w:val="20"/>
        </w:rPr>
        <w:t xml:space="preserve">  Black C. </w:t>
      </w:r>
      <w:r w:rsidRPr="009429F0">
        <w:rPr>
          <w:rFonts w:ascii="Arial" w:hAnsi="Arial" w:cs="Arial"/>
          <w:i/>
          <w:sz w:val="20"/>
          <w:szCs w:val="20"/>
        </w:rPr>
        <w:t>Working for a healthier tomorrow.</w:t>
      </w:r>
      <w:r w:rsidRPr="009429F0">
        <w:rPr>
          <w:rFonts w:ascii="Arial" w:hAnsi="Arial" w:cs="Arial"/>
          <w:sz w:val="20"/>
          <w:szCs w:val="20"/>
        </w:rPr>
        <w:t xml:space="preserve"> London: The Stationery Office 2008</w:t>
      </w:r>
      <w:r w:rsidR="005E378A" w:rsidRPr="009429F0">
        <w:rPr>
          <w:rFonts w:ascii="Arial" w:hAnsi="Arial" w:cs="Arial"/>
          <w:sz w:val="20"/>
          <w:szCs w:val="20"/>
        </w:rPr>
        <w:t>.</w:t>
      </w:r>
    </w:p>
    <w:p w:rsidR="00305779" w:rsidRPr="009429F0" w:rsidRDefault="00CE03AE" w:rsidP="00076477">
      <w:pPr>
        <w:autoSpaceDE w:val="0"/>
        <w:autoSpaceDN w:val="0"/>
        <w:adjustRightInd w:val="0"/>
        <w:spacing w:line="480" w:lineRule="auto"/>
        <w:rPr>
          <w:rFonts w:ascii="Arial" w:hAnsi="Arial" w:cs="Arial"/>
          <w:sz w:val="20"/>
          <w:szCs w:val="20"/>
        </w:rPr>
      </w:pPr>
      <w:r w:rsidRPr="009429F0">
        <w:rPr>
          <w:rFonts w:ascii="Arial" w:hAnsi="Arial" w:cs="Arial"/>
          <w:sz w:val="20"/>
          <w:szCs w:val="20"/>
        </w:rPr>
        <w:t>4</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Dekkers</w:t>
      </w:r>
      <w:proofErr w:type="spellEnd"/>
      <w:r w:rsidR="00305779" w:rsidRPr="009429F0">
        <w:rPr>
          <w:rFonts w:ascii="Arial" w:hAnsi="Arial" w:cs="Arial"/>
          <w:sz w:val="20"/>
          <w:szCs w:val="20"/>
        </w:rPr>
        <w:t xml:space="preserve">-Sanchez PM, </w:t>
      </w:r>
      <w:proofErr w:type="spellStart"/>
      <w:r w:rsidR="00305779" w:rsidRPr="009429F0">
        <w:rPr>
          <w:rFonts w:ascii="Arial" w:hAnsi="Arial" w:cs="Arial"/>
          <w:sz w:val="20"/>
          <w:szCs w:val="20"/>
        </w:rPr>
        <w:t>Hoving</w:t>
      </w:r>
      <w:proofErr w:type="spellEnd"/>
      <w:r w:rsidR="00305779" w:rsidRPr="009429F0">
        <w:rPr>
          <w:rFonts w:ascii="Arial" w:hAnsi="Arial" w:cs="Arial"/>
          <w:sz w:val="20"/>
          <w:szCs w:val="20"/>
        </w:rPr>
        <w:t xml:space="preserve"> JL, </w:t>
      </w:r>
      <w:proofErr w:type="spellStart"/>
      <w:r w:rsidR="00305779" w:rsidRPr="009429F0">
        <w:rPr>
          <w:rFonts w:ascii="Arial" w:hAnsi="Arial" w:cs="Arial"/>
          <w:sz w:val="20"/>
          <w:szCs w:val="20"/>
        </w:rPr>
        <w:t>Sluiter</w:t>
      </w:r>
      <w:proofErr w:type="spellEnd"/>
      <w:r w:rsidR="00305779" w:rsidRPr="009429F0">
        <w:rPr>
          <w:rFonts w:ascii="Arial" w:hAnsi="Arial" w:cs="Arial"/>
          <w:sz w:val="20"/>
          <w:szCs w:val="20"/>
        </w:rPr>
        <w:t xml:space="preserve"> JK, </w:t>
      </w:r>
      <w:proofErr w:type="spellStart"/>
      <w:r w:rsidR="00305779" w:rsidRPr="009429F0">
        <w:rPr>
          <w:rFonts w:ascii="Arial" w:hAnsi="Arial" w:cs="Arial"/>
          <w:sz w:val="20"/>
          <w:szCs w:val="20"/>
        </w:rPr>
        <w:t>Frings-Dresen</w:t>
      </w:r>
      <w:proofErr w:type="spellEnd"/>
      <w:r w:rsidR="00305779" w:rsidRPr="009429F0">
        <w:rPr>
          <w:rFonts w:ascii="Arial" w:hAnsi="Arial" w:cs="Arial"/>
          <w:sz w:val="20"/>
          <w:szCs w:val="20"/>
        </w:rPr>
        <w:t xml:space="preserve"> MHW. Factors associated with long-term sick-leave in sick-listed employees: a systematic review. </w:t>
      </w:r>
      <w:r w:rsidR="00305779" w:rsidRPr="009429F0">
        <w:rPr>
          <w:rFonts w:ascii="Arial" w:hAnsi="Arial" w:cs="Arial"/>
          <w:i/>
          <w:sz w:val="20"/>
          <w:szCs w:val="20"/>
        </w:rPr>
        <w:t>Occupational and Environmental Medicine</w:t>
      </w:r>
      <w:r w:rsidR="00305779" w:rsidRPr="009429F0">
        <w:rPr>
          <w:rFonts w:ascii="Arial" w:hAnsi="Arial" w:cs="Arial"/>
          <w:sz w:val="20"/>
          <w:szCs w:val="20"/>
        </w:rPr>
        <w:t xml:space="preserve"> 2008; 65: 152–7.</w:t>
      </w:r>
    </w:p>
    <w:p w:rsidR="00305779" w:rsidRPr="009429F0" w:rsidRDefault="00CE03AE" w:rsidP="00076477">
      <w:pPr>
        <w:spacing w:line="480" w:lineRule="auto"/>
        <w:rPr>
          <w:rFonts w:ascii="Arial" w:hAnsi="Arial" w:cs="Arial"/>
          <w:sz w:val="20"/>
          <w:szCs w:val="20"/>
        </w:rPr>
      </w:pPr>
      <w:r w:rsidRPr="009429F0">
        <w:rPr>
          <w:rFonts w:ascii="Arial" w:hAnsi="Arial" w:cs="Arial"/>
          <w:sz w:val="20"/>
          <w:szCs w:val="20"/>
        </w:rPr>
        <w:t>5</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Letrilliart</w:t>
      </w:r>
      <w:proofErr w:type="spellEnd"/>
      <w:r w:rsidR="00305779" w:rsidRPr="009429F0">
        <w:rPr>
          <w:rFonts w:ascii="Arial" w:hAnsi="Arial" w:cs="Arial"/>
          <w:sz w:val="20"/>
          <w:szCs w:val="20"/>
        </w:rPr>
        <w:t xml:space="preserve"> L, </w:t>
      </w:r>
      <w:proofErr w:type="spellStart"/>
      <w:r w:rsidR="00305779" w:rsidRPr="009429F0">
        <w:rPr>
          <w:rFonts w:ascii="Arial" w:hAnsi="Arial" w:cs="Arial"/>
          <w:sz w:val="20"/>
          <w:szCs w:val="20"/>
        </w:rPr>
        <w:t>Barrau</w:t>
      </w:r>
      <w:proofErr w:type="spellEnd"/>
      <w:r w:rsidR="00305779" w:rsidRPr="009429F0">
        <w:rPr>
          <w:rFonts w:ascii="Arial" w:hAnsi="Arial" w:cs="Arial"/>
          <w:sz w:val="20"/>
          <w:szCs w:val="20"/>
        </w:rPr>
        <w:t xml:space="preserve"> A. Difficulties with the sickness certification process in general practice and possible solutions: a systematic review</w:t>
      </w:r>
      <w:r w:rsidR="00305779" w:rsidRPr="009429F0">
        <w:rPr>
          <w:rFonts w:ascii="Arial" w:hAnsi="Arial" w:cs="Arial"/>
          <w:i/>
          <w:sz w:val="20"/>
          <w:szCs w:val="20"/>
        </w:rPr>
        <w:t>. European Journal of General Practice</w:t>
      </w:r>
      <w:r w:rsidR="00305779" w:rsidRPr="009429F0">
        <w:rPr>
          <w:rFonts w:ascii="Arial" w:hAnsi="Arial" w:cs="Arial"/>
          <w:sz w:val="20"/>
          <w:szCs w:val="20"/>
        </w:rPr>
        <w:t xml:space="preserve"> 2012; 18</w:t>
      </w:r>
      <w:r w:rsidR="00335406" w:rsidRPr="009429F0">
        <w:rPr>
          <w:rFonts w:ascii="Arial" w:hAnsi="Arial" w:cs="Arial"/>
          <w:sz w:val="20"/>
          <w:szCs w:val="20"/>
        </w:rPr>
        <w:t>:219-</w:t>
      </w:r>
      <w:r w:rsidR="00305779" w:rsidRPr="009429F0">
        <w:rPr>
          <w:rFonts w:ascii="Arial" w:hAnsi="Arial" w:cs="Arial"/>
          <w:sz w:val="20"/>
          <w:szCs w:val="20"/>
        </w:rPr>
        <w:t>28.</w:t>
      </w:r>
    </w:p>
    <w:p w:rsidR="00305779" w:rsidRPr="009429F0" w:rsidRDefault="00CE03AE" w:rsidP="00076477">
      <w:pPr>
        <w:spacing w:line="480" w:lineRule="auto"/>
        <w:rPr>
          <w:rFonts w:ascii="Arial" w:hAnsi="Arial" w:cs="Arial"/>
          <w:sz w:val="20"/>
          <w:szCs w:val="20"/>
        </w:rPr>
      </w:pPr>
      <w:r w:rsidRPr="009429F0">
        <w:rPr>
          <w:rFonts w:ascii="Arial" w:hAnsi="Arial" w:cs="Arial"/>
          <w:sz w:val="20"/>
          <w:szCs w:val="20"/>
        </w:rPr>
        <w:t>6</w:t>
      </w:r>
      <w:r w:rsidR="005E378A" w:rsidRPr="009429F0">
        <w:rPr>
          <w:rFonts w:ascii="Arial" w:hAnsi="Arial" w:cs="Arial"/>
          <w:sz w:val="20"/>
          <w:szCs w:val="20"/>
        </w:rPr>
        <w:t>.</w:t>
      </w:r>
      <w:r w:rsidR="00305779" w:rsidRPr="009429F0">
        <w:rPr>
          <w:rFonts w:ascii="Arial" w:hAnsi="Arial" w:cs="Arial"/>
          <w:sz w:val="20"/>
          <w:szCs w:val="20"/>
        </w:rPr>
        <w:t xml:space="preserve"> Hussey S, </w:t>
      </w:r>
      <w:proofErr w:type="spellStart"/>
      <w:r w:rsidR="00305779" w:rsidRPr="009429F0">
        <w:rPr>
          <w:rFonts w:ascii="Arial" w:hAnsi="Arial" w:cs="Arial"/>
          <w:sz w:val="20"/>
          <w:szCs w:val="20"/>
        </w:rPr>
        <w:t>Hoddinott</w:t>
      </w:r>
      <w:proofErr w:type="spellEnd"/>
      <w:r w:rsidR="00305779" w:rsidRPr="009429F0">
        <w:rPr>
          <w:rFonts w:ascii="Arial" w:hAnsi="Arial" w:cs="Arial"/>
          <w:sz w:val="20"/>
          <w:szCs w:val="20"/>
        </w:rPr>
        <w:t xml:space="preserve"> P, Wilson P, Dowell J, Barbour R. Sickness certification in the United Kingdom: qualitative study of views of general practitioners in Scotland. </w:t>
      </w:r>
      <w:r w:rsidR="00305779" w:rsidRPr="009429F0">
        <w:rPr>
          <w:rFonts w:ascii="Arial" w:hAnsi="Arial" w:cs="Arial"/>
          <w:i/>
          <w:sz w:val="20"/>
          <w:szCs w:val="20"/>
        </w:rPr>
        <w:t>British Medical Journal</w:t>
      </w:r>
      <w:r w:rsidR="00305779" w:rsidRPr="009429F0">
        <w:rPr>
          <w:rFonts w:ascii="Arial" w:hAnsi="Arial" w:cs="Arial"/>
          <w:sz w:val="20"/>
          <w:szCs w:val="20"/>
        </w:rPr>
        <w:t xml:space="preserve"> 2003; 328: 88-91.</w:t>
      </w:r>
    </w:p>
    <w:p w:rsidR="00305779" w:rsidRPr="009429F0" w:rsidRDefault="005D2419" w:rsidP="00076477">
      <w:pPr>
        <w:spacing w:line="480" w:lineRule="auto"/>
        <w:rPr>
          <w:rFonts w:ascii="Arial" w:hAnsi="Arial" w:cs="Arial"/>
          <w:bCs/>
          <w:sz w:val="20"/>
          <w:szCs w:val="20"/>
        </w:rPr>
      </w:pPr>
      <w:r w:rsidRPr="009429F0">
        <w:rPr>
          <w:rFonts w:ascii="Arial" w:hAnsi="Arial" w:cs="Arial"/>
          <w:bCs/>
          <w:sz w:val="20"/>
          <w:szCs w:val="20"/>
        </w:rPr>
        <w:t>7</w:t>
      </w:r>
      <w:r w:rsidR="005E378A" w:rsidRPr="009429F0">
        <w:rPr>
          <w:rFonts w:ascii="Arial" w:hAnsi="Arial" w:cs="Arial"/>
          <w:bCs/>
          <w:sz w:val="20"/>
          <w:szCs w:val="20"/>
        </w:rPr>
        <w:t>.</w:t>
      </w:r>
      <w:r w:rsidR="00305779" w:rsidRPr="009429F0">
        <w:rPr>
          <w:rFonts w:ascii="Arial" w:hAnsi="Arial" w:cs="Arial"/>
          <w:bCs/>
          <w:sz w:val="20"/>
          <w:szCs w:val="20"/>
        </w:rPr>
        <w:t xml:space="preserve"> Hann M, </w:t>
      </w:r>
      <w:proofErr w:type="spellStart"/>
      <w:r w:rsidR="00305779" w:rsidRPr="009429F0">
        <w:rPr>
          <w:rFonts w:ascii="Arial" w:hAnsi="Arial" w:cs="Arial"/>
          <w:bCs/>
          <w:sz w:val="20"/>
          <w:szCs w:val="20"/>
        </w:rPr>
        <w:t>Sibbald</w:t>
      </w:r>
      <w:proofErr w:type="spellEnd"/>
      <w:r w:rsidR="00305779" w:rsidRPr="009429F0">
        <w:rPr>
          <w:rFonts w:ascii="Arial" w:hAnsi="Arial" w:cs="Arial"/>
          <w:bCs/>
          <w:sz w:val="20"/>
          <w:szCs w:val="20"/>
        </w:rPr>
        <w:t xml:space="preserve"> B. </w:t>
      </w:r>
      <w:r w:rsidR="00305779" w:rsidRPr="009429F0">
        <w:rPr>
          <w:rFonts w:ascii="Arial" w:hAnsi="Arial" w:cs="Arial"/>
          <w:bCs/>
          <w:i/>
          <w:sz w:val="20"/>
          <w:szCs w:val="20"/>
        </w:rPr>
        <w:t>General Practitioners’ attitudes towards patients’ health and work, 2010–12</w:t>
      </w:r>
      <w:r w:rsidR="00335406" w:rsidRPr="009429F0">
        <w:rPr>
          <w:rFonts w:ascii="Arial" w:hAnsi="Arial" w:cs="Arial"/>
          <w:bCs/>
          <w:sz w:val="20"/>
          <w:szCs w:val="20"/>
        </w:rPr>
        <w:t>. DWP Research Report No 835. London: The Stationery Office</w:t>
      </w:r>
      <w:r w:rsidR="00305779" w:rsidRPr="009429F0">
        <w:rPr>
          <w:rFonts w:ascii="Arial" w:hAnsi="Arial" w:cs="Arial"/>
          <w:bCs/>
          <w:sz w:val="20"/>
          <w:szCs w:val="20"/>
        </w:rPr>
        <w:t xml:space="preserve"> 2013.</w:t>
      </w:r>
    </w:p>
    <w:p w:rsidR="00305779" w:rsidRPr="009429F0" w:rsidRDefault="005D2419" w:rsidP="00076477">
      <w:pPr>
        <w:shd w:val="clear" w:color="auto" w:fill="FFFFFF"/>
        <w:spacing w:before="240" w:line="480" w:lineRule="auto"/>
        <w:outlineLvl w:val="0"/>
        <w:rPr>
          <w:rFonts w:ascii="Arial" w:eastAsia="Times New Roman" w:hAnsi="Arial" w:cs="Arial"/>
          <w:bCs/>
          <w:color w:val="000000"/>
          <w:kern w:val="36"/>
          <w:sz w:val="20"/>
          <w:szCs w:val="20"/>
        </w:rPr>
      </w:pPr>
      <w:r w:rsidRPr="009429F0">
        <w:rPr>
          <w:rFonts w:ascii="Arial" w:eastAsia="Times New Roman" w:hAnsi="Arial" w:cs="Arial"/>
          <w:bCs/>
          <w:color w:val="000000"/>
          <w:kern w:val="36"/>
          <w:sz w:val="20"/>
          <w:szCs w:val="20"/>
        </w:rPr>
        <w:t>8</w:t>
      </w:r>
      <w:r w:rsidR="005E378A" w:rsidRPr="009429F0">
        <w:rPr>
          <w:rFonts w:ascii="Arial" w:eastAsia="Times New Roman" w:hAnsi="Arial" w:cs="Arial"/>
          <w:bCs/>
          <w:color w:val="000000"/>
          <w:kern w:val="36"/>
          <w:sz w:val="20"/>
          <w:szCs w:val="20"/>
        </w:rPr>
        <w:t>.</w:t>
      </w:r>
      <w:r w:rsidR="00305779" w:rsidRPr="009429F0">
        <w:rPr>
          <w:rFonts w:ascii="Arial" w:eastAsia="Times New Roman" w:hAnsi="Arial" w:cs="Arial"/>
          <w:bCs/>
          <w:color w:val="000000"/>
          <w:kern w:val="36"/>
          <w:sz w:val="20"/>
          <w:szCs w:val="20"/>
        </w:rPr>
        <w:t xml:space="preserve">  </w:t>
      </w:r>
      <w:proofErr w:type="spellStart"/>
      <w:r w:rsidR="00305779" w:rsidRPr="009429F0">
        <w:rPr>
          <w:rFonts w:ascii="Arial" w:eastAsia="Times New Roman" w:hAnsi="Arial" w:cs="Arial"/>
          <w:bCs/>
          <w:color w:val="000000"/>
          <w:kern w:val="36"/>
          <w:sz w:val="20"/>
          <w:szCs w:val="20"/>
        </w:rPr>
        <w:t>Roelen</w:t>
      </w:r>
      <w:proofErr w:type="spellEnd"/>
      <w:r w:rsidR="00305779" w:rsidRPr="009429F0">
        <w:rPr>
          <w:rFonts w:ascii="Arial" w:eastAsia="Times New Roman" w:hAnsi="Arial" w:cs="Arial"/>
          <w:bCs/>
          <w:color w:val="000000"/>
          <w:kern w:val="36"/>
          <w:sz w:val="20"/>
          <w:szCs w:val="20"/>
        </w:rPr>
        <w:t xml:space="preserve"> CAM, Koopmans PC, </w:t>
      </w:r>
      <w:proofErr w:type="spellStart"/>
      <w:r w:rsidR="00305779" w:rsidRPr="009429F0">
        <w:rPr>
          <w:rFonts w:ascii="Arial" w:eastAsia="Times New Roman" w:hAnsi="Arial" w:cs="Arial"/>
          <w:bCs/>
          <w:color w:val="000000"/>
          <w:kern w:val="36"/>
          <w:sz w:val="20"/>
          <w:szCs w:val="20"/>
        </w:rPr>
        <w:t>Anema</w:t>
      </w:r>
      <w:proofErr w:type="spellEnd"/>
      <w:r w:rsidR="00305779" w:rsidRPr="009429F0">
        <w:rPr>
          <w:rFonts w:ascii="Arial" w:eastAsia="Times New Roman" w:hAnsi="Arial" w:cs="Arial"/>
          <w:bCs/>
          <w:color w:val="000000"/>
          <w:kern w:val="36"/>
          <w:sz w:val="20"/>
          <w:szCs w:val="20"/>
        </w:rPr>
        <w:t xml:space="preserve"> JR, van der </w:t>
      </w:r>
      <w:proofErr w:type="spellStart"/>
      <w:r w:rsidR="00305779" w:rsidRPr="009429F0">
        <w:rPr>
          <w:rFonts w:ascii="Arial" w:eastAsia="Times New Roman" w:hAnsi="Arial" w:cs="Arial"/>
          <w:bCs/>
          <w:color w:val="000000"/>
          <w:kern w:val="36"/>
          <w:sz w:val="20"/>
          <w:szCs w:val="20"/>
        </w:rPr>
        <w:t>Beek</w:t>
      </w:r>
      <w:proofErr w:type="spellEnd"/>
      <w:r w:rsidR="00305779" w:rsidRPr="009429F0">
        <w:rPr>
          <w:rFonts w:ascii="Arial" w:eastAsia="Times New Roman" w:hAnsi="Arial" w:cs="Arial"/>
          <w:bCs/>
          <w:color w:val="000000"/>
          <w:kern w:val="36"/>
          <w:sz w:val="20"/>
          <w:szCs w:val="20"/>
        </w:rPr>
        <w:t xml:space="preserve"> AJ. Recurrence of medically certified sickness a</w:t>
      </w:r>
      <w:r w:rsidR="00335406" w:rsidRPr="009429F0">
        <w:rPr>
          <w:rFonts w:ascii="Arial" w:eastAsia="Times New Roman" w:hAnsi="Arial" w:cs="Arial"/>
          <w:bCs/>
          <w:color w:val="000000"/>
          <w:kern w:val="36"/>
          <w:sz w:val="20"/>
          <w:szCs w:val="20"/>
        </w:rPr>
        <w:t xml:space="preserve">bsence according to diagnosis: </w:t>
      </w:r>
      <w:r w:rsidR="00305779" w:rsidRPr="009429F0">
        <w:rPr>
          <w:rFonts w:ascii="Arial" w:eastAsia="Times New Roman" w:hAnsi="Arial" w:cs="Arial"/>
          <w:bCs/>
          <w:color w:val="000000"/>
          <w:kern w:val="36"/>
          <w:sz w:val="20"/>
          <w:szCs w:val="20"/>
        </w:rPr>
        <w:t xml:space="preserve">a sickness absence register study. </w:t>
      </w:r>
      <w:r w:rsidR="00305779" w:rsidRPr="009429F0">
        <w:rPr>
          <w:rFonts w:ascii="Arial" w:eastAsia="Times New Roman" w:hAnsi="Arial" w:cs="Arial"/>
          <w:bCs/>
          <w:i/>
          <w:color w:val="000000"/>
          <w:kern w:val="36"/>
          <w:sz w:val="20"/>
          <w:szCs w:val="20"/>
        </w:rPr>
        <w:t>Journal of Occupational Rehabilitation</w:t>
      </w:r>
      <w:r w:rsidR="00335406" w:rsidRPr="009429F0">
        <w:rPr>
          <w:rFonts w:ascii="Arial" w:eastAsia="Times New Roman" w:hAnsi="Arial" w:cs="Arial"/>
          <w:bCs/>
          <w:color w:val="000000"/>
          <w:kern w:val="36"/>
          <w:sz w:val="20"/>
          <w:szCs w:val="20"/>
        </w:rPr>
        <w:t xml:space="preserve"> 2010; 20: 113-</w:t>
      </w:r>
      <w:r w:rsidR="00305779" w:rsidRPr="009429F0">
        <w:rPr>
          <w:rFonts w:ascii="Arial" w:eastAsia="Times New Roman" w:hAnsi="Arial" w:cs="Arial"/>
          <w:bCs/>
          <w:color w:val="000000"/>
          <w:kern w:val="36"/>
          <w:sz w:val="20"/>
          <w:szCs w:val="20"/>
        </w:rPr>
        <w:t>21.</w:t>
      </w:r>
    </w:p>
    <w:p w:rsidR="00305779" w:rsidRPr="009429F0" w:rsidRDefault="005D2419" w:rsidP="00076477">
      <w:pPr>
        <w:shd w:val="clear" w:color="auto" w:fill="FFFFFF"/>
        <w:spacing w:before="240" w:line="480" w:lineRule="auto"/>
        <w:outlineLvl w:val="0"/>
        <w:rPr>
          <w:rFonts w:ascii="Arial" w:eastAsia="Times New Roman" w:hAnsi="Arial" w:cs="Arial"/>
          <w:bCs/>
          <w:color w:val="000000"/>
          <w:kern w:val="36"/>
          <w:sz w:val="20"/>
          <w:szCs w:val="20"/>
        </w:rPr>
      </w:pPr>
      <w:r w:rsidRPr="009429F0">
        <w:rPr>
          <w:rFonts w:ascii="Arial" w:eastAsia="Times New Roman" w:hAnsi="Arial" w:cs="Arial"/>
          <w:bCs/>
          <w:color w:val="000000"/>
          <w:kern w:val="36"/>
          <w:sz w:val="20"/>
          <w:szCs w:val="20"/>
        </w:rPr>
        <w:lastRenderedPageBreak/>
        <w:t>9</w:t>
      </w:r>
      <w:r w:rsidR="005E378A" w:rsidRPr="009429F0">
        <w:rPr>
          <w:rFonts w:ascii="Arial" w:eastAsia="Times New Roman" w:hAnsi="Arial" w:cs="Arial"/>
          <w:bCs/>
          <w:color w:val="000000"/>
          <w:kern w:val="36"/>
          <w:sz w:val="20"/>
          <w:szCs w:val="20"/>
        </w:rPr>
        <w:t>.</w:t>
      </w:r>
      <w:r w:rsidR="00305779" w:rsidRPr="009429F0">
        <w:rPr>
          <w:rFonts w:ascii="Arial" w:eastAsia="Times New Roman" w:hAnsi="Arial" w:cs="Arial"/>
          <w:bCs/>
          <w:color w:val="000000"/>
          <w:kern w:val="36"/>
          <w:sz w:val="20"/>
          <w:szCs w:val="20"/>
        </w:rPr>
        <w:t xml:space="preserve">  Koopmans PC, </w:t>
      </w:r>
      <w:proofErr w:type="spellStart"/>
      <w:r w:rsidR="00305779" w:rsidRPr="009429F0">
        <w:rPr>
          <w:rFonts w:ascii="Arial" w:eastAsia="Times New Roman" w:hAnsi="Arial" w:cs="Arial"/>
          <w:bCs/>
          <w:color w:val="000000"/>
          <w:kern w:val="36"/>
          <w:sz w:val="20"/>
          <w:szCs w:val="20"/>
        </w:rPr>
        <w:t>Bultmann</w:t>
      </w:r>
      <w:proofErr w:type="spellEnd"/>
      <w:r w:rsidR="00305779" w:rsidRPr="009429F0">
        <w:rPr>
          <w:rFonts w:ascii="Arial" w:eastAsia="Times New Roman" w:hAnsi="Arial" w:cs="Arial"/>
          <w:bCs/>
          <w:color w:val="000000"/>
          <w:kern w:val="36"/>
          <w:sz w:val="20"/>
          <w:szCs w:val="20"/>
        </w:rPr>
        <w:t xml:space="preserve"> U, </w:t>
      </w:r>
      <w:proofErr w:type="spellStart"/>
      <w:r w:rsidR="00305779" w:rsidRPr="009429F0">
        <w:rPr>
          <w:rFonts w:ascii="Arial" w:eastAsia="Times New Roman" w:hAnsi="Arial" w:cs="Arial"/>
          <w:bCs/>
          <w:color w:val="000000"/>
          <w:kern w:val="36"/>
          <w:sz w:val="20"/>
          <w:szCs w:val="20"/>
        </w:rPr>
        <w:t>Roelen</w:t>
      </w:r>
      <w:proofErr w:type="spellEnd"/>
      <w:r w:rsidR="00305779" w:rsidRPr="009429F0">
        <w:rPr>
          <w:rFonts w:ascii="Arial" w:eastAsia="Times New Roman" w:hAnsi="Arial" w:cs="Arial"/>
          <w:bCs/>
          <w:color w:val="000000"/>
          <w:kern w:val="36"/>
          <w:sz w:val="20"/>
          <w:szCs w:val="20"/>
        </w:rPr>
        <w:t xml:space="preserve"> CAM, </w:t>
      </w:r>
      <w:proofErr w:type="spellStart"/>
      <w:r w:rsidR="00305779" w:rsidRPr="009429F0">
        <w:rPr>
          <w:rFonts w:ascii="Arial" w:eastAsia="Times New Roman" w:hAnsi="Arial" w:cs="Arial"/>
          <w:bCs/>
          <w:color w:val="000000"/>
          <w:kern w:val="36"/>
          <w:sz w:val="20"/>
          <w:szCs w:val="20"/>
        </w:rPr>
        <w:t>Hoedeman</w:t>
      </w:r>
      <w:proofErr w:type="spellEnd"/>
      <w:r w:rsidR="00305779" w:rsidRPr="009429F0">
        <w:rPr>
          <w:rFonts w:ascii="Arial" w:eastAsia="Times New Roman" w:hAnsi="Arial" w:cs="Arial"/>
          <w:bCs/>
          <w:color w:val="000000"/>
          <w:kern w:val="36"/>
          <w:sz w:val="20"/>
          <w:szCs w:val="20"/>
        </w:rPr>
        <w:t xml:space="preserve"> R, van der Klink JJL, </w:t>
      </w:r>
      <w:proofErr w:type="spellStart"/>
      <w:r w:rsidR="00305779" w:rsidRPr="009429F0">
        <w:rPr>
          <w:rFonts w:ascii="Arial" w:eastAsia="Times New Roman" w:hAnsi="Arial" w:cs="Arial"/>
          <w:bCs/>
          <w:color w:val="000000"/>
          <w:kern w:val="36"/>
          <w:sz w:val="20"/>
          <w:szCs w:val="20"/>
        </w:rPr>
        <w:t>Groothoff</w:t>
      </w:r>
      <w:proofErr w:type="spellEnd"/>
      <w:r w:rsidR="00305779" w:rsidRPr="009429F0">
        <w:rPr>
          <w:rFonts w:ascii="Arial" w:eastAsia="Times New Roman" w:hAnsi="Arial" w:cs="Arial"/>
          <w:bCs/>
          <w:color w:val="000000"/>
          <w:kern w:val="36"/>
          <w:sz w:val="20"/>
          <w:szCs w:val="20"/>
        </w:rPr>
        <w:t xml:space="preserve"> JW. Recurrence of sickness absence due to common mental disorders.  </w:t>
      </w:r>
      <w:r w:rsidR="00305779" w:rsidRPr="009429F0">
        <w:rPr>
          <w:rFonts w:ascii="Arial" w:eastAsia="Times New Roman" w:hAnsi="Arial" w:cs="Arial"/>
          <w:bCs/>
          <w:i/>
          <w:color w:val="000000"/>
          <w:kern w:val="36"/>
          <w:sz w:val="20"/>
          <w:szCs w:val="20"/>
        </w:rPr>
        <w:t>International Archives of Occupational and Environmental Health</w:t>
      </w:r>
      <w:r w:rsidR="00305779" w:rsidRPr="009429F0">
        <w:rPr>
          <w:rFonts w:ascii="Arial" w:eastAsia="Times New Roman" w:hAnsi="Arial" w:cs="Arial"/>
          <w:bCs/>
          <w:color w:val="000000"/>
          <w:kern w:val="36"/>
          <w:sz w:val="20"/>
          <w:szCs w:val="20"/>
        </w:rPr>
        <w:t xml:space="preserve"> 2011; 84: 193-201.</w:t>
      </w:r>
    </w:p>
    <w:p w:rsidR="00305779" w:rsidRPr="009429F0" w:rsidRDefault="005D2419" w:rsidP="00076477">
      <w:pPr>
        <w:autoSpaceDE w:val="0"/>
        <w:autoSpaceDN w:val="0"/>
        <w:adjustRightInd w:val="0"/>
        <w:spacing w:line="480" w:lineRule="auto"/>
        <w:rPr>
          <w:rFonts w:ascii="Arial" w:eastAsia="Times New Roman" w:hAnsi="Arial" w:cs="Arial"/>
          <w:bCs/>
          <w:color w:val="000000"/>
          <w:kern w:val="36"/>
          <w:sz w:val="20"/>
          <w:szCs w:val="20"/>
        </w:rPr>
      </w:pPr>
      <w:r w:rsidRPr="009429F0">
        <w:rPr>
          <w:rFonts w:ascii="Arial" w:eastAsia="Times New Roman" w:hAnsi="Arial" w:cs="Arial"/>
          <w:bCs/>
          <w:color w:val="000000"/>
          <w:kern w:val="36"/>
          <w:sz w:val="20"/>
          <w:szCs w:val="20"/>
        </w:rPr>
        <w:t>10</w:t>
      </w:r>
      <w:r w:rsidR="005E378A" w:rsidRPr="009429F0">
        <w:rPr>
          <w:rFonts w:ascii="Arial" w:eastAsia="Times New Roman" w:hAnsi="Arial" w:cs="Arial"/>
          <w:bCs/>
          <w:color w:val="000000"/>
          <w:kern w:val="36"/>
          <w:sz w:val="20"/>
          <w:szCs w:val="20"/>
        </w:rPr>
        <w:t>.</w:t>
      </w:r>
      <w:r w:rsidR="00305779" w:rsidRPr="009429F0">
        <w:rPr>
          <w:rFonts w:ascii="Arial" w:eastAsia="Times New Roman" w:hAnsi="Arial" w:cs="Arial"/>
          <w:bCs/>
          <w:color w:val="000000"/>
          <w:kern w:val="36"/>
          <w:sz w:val="20"/>
          <w:szCs w:val="20"/>
        </w:rPr>
        <w:t xml:space="preserve">  Wynne-Jones G, C</w:t>
      </w:r>
      <w:r w:rsidR="00335406" w:rsidRPr="009429F0">
        <w:rPr>
          <w:rFonts w:ascii="Arial" w:eastAsia="Times New Roman" w:hAnsi="Arial" w:cs="Arial"/>
          <w:bCs/>
          <w:color w:val="000000"/>
          <w:kern w:val="36"/>
          <w:sz w:val="20"/>
          <w:szCs w:val="20"/>
        </w:rPr>
        <w:t>owen J, Jordan JL</w:t>
      </w:r>
      <w:r w:rsidR="005778AC" w:rsidRPr="009429F0">
        <w:rPr>
          <w:rFonts w:ascii="Arial" w:eastAsia="Times New Roman" w:hAnsi="Arial" w:cs="Arial"/>
          <w:bCs/>
          <w:color w:val="000000"/>
          <w:kern w:val="36"/>
          <w:sz w:val="20"/>
          <w:szCs w:val="20"/>
        </w:rPr>
        <w:t xml:space="preserve"> </w:t>
      </w:r>
      <w:r w:rsidR="005778AC" w:rsidRPr="009429F0">
        <w:rPr>
          <w:rFonts w:ascii="Arial" w:eastAsia="Times New Roman" w:hAnsi="Arial" w:cs="Arial"/>
          <w:bCs/>
          <w:i/>
          <w:color w:val="000000"/>
          <w:kern w:val="36"/>
          <w:sz w:val="20"/>
          <w:szCs w:val="20"/>
        </w:rPr>
        <w:t>et al</w:t>
      </w:r>
      <w:r w:rsidR="00305779" w:rsidRPr="009429F0">
        <w:rPr>
          <w:rFonts w:ascii="Arial" w:eastAsia="Times New Roman" w:hAnsi="Arial" w:cs="Arial"/>
          <w:bCs/>
          <w:color w:val="000000"/>
          <w:kern w:val="36"/>
          <w:sz w:val="20"/>
          <w:szCs w:val="20"/>
        </w:rPr>
        <w:t xml:space="preserve">. Absence from work and return to work in people with back pain: a systematic review and meta-analysis. </w:t>
      </w:r>
      <w:r w:rsidR="00305779" w:rsidRPr="009429F0">
        <w:rPr>
          <w:rFonts w:ascii="Arial" w:eastAsia="Times New Roman" w:hAnsi="Arial" w:cs="Arial"/>
          <w:bCs/>
          <w:i/>
          <w:color w:val="000000"/>
          <w:kern w:val="36"/>
          <w:sz w:val="20"/>
          <w:szCs w:val="20"/>
        </w:rPr>
        <w:t>Occupational and Environmental Medicine</w:t>
      </w:r>
      <w:r w:rsidR="00335406" w:rsidRPr="009429F0">
        <w:rPr>
          <w:rFonts w:ascii="Arial" w:eastAsia="Times New Roman" w:hAnsi="Arial" w:cs="Arial"/>
          <w:bCs/>
          <w:color w:val="000000"/>
          <w:kern w:val="36"/>
          <w:sz w:val="20"/>
          <w:szCs w:val="20"/>
        </w:rPr>
        <w:t xml:space="preserve"> 2014; 71: 448-</w:t>
      </w:r>
      <w:r w:rsidR="00305779" w:rsidRPr="009429F0">
        <w:rPr>
          <w:rFonts w:ascii="Arial" w:eastAsia="Times New Roman" w:hAnsi="Arial" w:cs="Arial"/>
          <w:bCs/>
          <w:color w:val="000000"/>
          <w:kern w:val="36"/>
          <w:sz w:val="20"/>
          <w:szCs w:val="20"/>
        </w:rPr>
        <w:t>56.</w:t>
      </w:r>
    </w:p>
    <w:p w:rsidR="00305779" w:rsidRPr="009429F0" w:rsidRDefault="005D2419" w:rsidP="00076477">
      <w:pPr>
        <w:autoSpaceDE w:val="0"/>
        <w:autoSpaceDN w:val="0"/>
        <w:adjustRightInd w:val="0"/>
        <w:spacing w:line="480" w:lineRule="auto"/>
        <w:rPr>
          <w:rFonts w:ascii="Arial" w:eastAsia="Times New Roman" w:hAnsi="Arial" w:cs="Arial"/>
          <w:bCs/>
          <w:color w:val="000000"/>
          <w:kern w:val="36"/>
          <w:sz w:val="20"/>
          <w:szCs w:val="20"/>
        </w:rPr>
      </w:pPr>
      <w:r w:rsidRPr="009429F0">
        <w:rPr>
          <w:rFonts w:ascii="Arial" w:eastAsia="Times New Roman" w:hAnsi="Arial" w:cs="Arial"/>
          <w:bCs/>
          <w:color w:val="000000"/>
          <w:kern w:val="36"/>
          <w:sz w:val="20"/>
          <w:szCs w:val="20"/>
        </w:rPr>
        <w:t>11</w:t>
      </w:r>
      <w:r w:rsidR="005E378A" w:rsidRPr="009429F0">
        <w:rPr>
          <w:rFonts w:ascii="Arial" w:eastAsia="Times New Roman" w:hAnsi="Arial" w:cs="Arial"/>
          <w:bCs/>
          <w:color w:val="000000"/>
          <w:kern w:val="36"/>
          <w:sz w:val="20"/>
          <w:szCs w:val="20"/>
        </w:rPr>
        <w:t>.</w:t>
      </w:r>
      <w:r w:rsidR="00305779" w:rsidRPr="009429F0">
        <w:rPr>
          <w:rFonts w:ascii="Arial" w:eastAsia="Times New Roman" w:hAnsi="Arial" w:cs="Arial"/>
          <w:bCs/>
          <w:color w:val="000000"/>
          <w:kern w:val="36"/>
          <w:sz w:val="20"/>
          <w:szCs w:val="20"/>
        </w:rPr>
        <w:t xml:space="preserve"> </w:t>
      </w:r>
      <w:proofErr w:type="spellStart"/>
      <w:r w:rsidR="00305779" w:rsidRPr="009429F0">
        <w:rPr>
          <w:rFonts w:ascii="Arial" w:eastAsia="Times New Roman" w:hAnsi="Arial" w:cs="Arial"/>
          <w:bCs/>
          <w:color w:val="000000"/>
          <w:kern w:val="36"/>
          <w:sz w:val="20"/>
          <w:szCs w:val="20"/>
        </w:rPr>
        <w:t>Leijon</w:t>
      </w:r>
      <w:proofErr w:type="spellEnd"/>
      <w:r w:rsidR="00305779" w:rsidRPr="009429F0">
        <w:rPr>
          <w:rFonts w:ascii="Arial" w:eastAsia="Times New Roman" w:hAnsi="Arial" w:cs="Arial"/>
          <w:bCs/>
          <w:color w:val="000000"/>
          <w:kern w:val="36"/>
          <w:sz w:val="20"/>
          <w:szCs w:val="20"/>
        </w:rPr>
        <w:t xml:space="preserve"> O, Josephson M, </w:t>
      </w:r>
      <w:proofErr w:type="spellStart"/>
      <w:r w:rsidR="00305779" w:rsidRPr="009429F0">
        <w:rPr>
          <w:rFonts w:ascii="Arial" w:eastAsia="Times New Roman" w:hAnsi="Arial" w:cs="Arial"/>
          <w:bCs/>
          <w:color w:val="000000"/>
          <w:kern w:val="36"/>
          <w:sz w:val="20"/>
          <w:szCs w:val="20"/>
        </w:rPr>
        <w:t>Osterlund</w:t>
      </w:r>
      <w:proofErr w:type="spellEnd"/>
      <w:r w:rsidR="00305779" w:rsidRPr="009429F0">
        <w:rPr>
          <w:rFonts w:ascii="Arial" w:eastAsia="Times New Roman" w:hAnsi="Arial" w:cs="Arial"/>
          <w:bCs/>
          <w:color w:val="000000"/>
          <w:kern w:val="36"/>
          <w:sz w:val="20"/>
          <w:szCs w:val="20"/>
        </w:rPr>
        <w:t xml:space="preserve"> N. How common is change in primary diagnosis during an episode of sickness benefit?  A register study of medical sickness certificates issued 2010-2012 in Sweden. </w:t>
      </w:r>
      <w:r w:rsidR="00305779" w:rsidRPr="009429F0">
        <w:rPr>
          <w:rFonts w:ascii="Arial" w:eastAsia="Times New Roman" w:hAnsi="Arial" w:cs="Arial"/>
          <w:bCs/>
          <w:i/>
          <w:color w:val="000000"/>
          <w:kern w:val="36"/>
          <w:sz w:val="20"/>
          <w:szCs w:val="20"/>
        </w:rPr>
        <w:t>Scandinavian Journal of Public Health</w:t>
      </w:r>
      <w:r w:rsidR="00305779" w:rsidRPr="009429F0">
        <w:rPr>
          <w:rFonts w:ascii="Arial" w:eastAsia="Times New Roman" w:hAnsi="Arial" w:cs="Arial"/>
          <w:bCs/>
          <w:color w:val="000000"/>
          <w:kern w:val="36"/>
          <w:sz w:val="20"/>
          <w:szCs w:val="20"/>
        </w:rPr>
        <w:t xml:space="preserve"> 2015; 43: 44-51.</w:t>
      </w:r>
    </w:p>
    <w:p w:rsidR="00305779" w:rsidRPr="009429F0" w:rsidRDefault="005D2419" w:rsidP="00076477">
      <w:pPr>
        <w:shd w:val="clear" w:color="auto" w:fill="FFFFFF"/>
        <w:spacing w:before="240" w:after="120" w:line="480" w:lineRule="auto"/>
        <w:outlineLvl w:val="0"/>
        <w:rPr>
          <w:rFonts w:ascii="Arial" w:hAnsi="Arial" w:cs="Arial"/>
          <w:sz w:val="20"/>
          <w:szCs w:val="20"/>
        </w:rPr>
      </w:pPr>
      <w:r w:rsidRPr="009429F0">
        <w:rPr>
          <w:rFonts w:ascii="Arial" w:hAnsi="Arial" w:cs="Arial"/>
          <w:sz w:val="20"/>
          <w:szCs w:val="20"/>
        </w:rPr>
        <w:t>12</w:t>
      </w:r>
      <w:r w:rsidR="005E378A" w:rsidRPr="009429F0">
        <w:rPr>
          <w:rFonts w:ascii="Arial" w:hAnsi="Arial" w:cs="Arial"/>
          <w:sz w:val="20"/>
          <w:szCs w:val="20"/>
        </w:rPr>
        <w:t>.</w:t>
      </w:r>
      <w:r w:rsidR="00305779" w:rsidRPr="009429F0">
        <w:rPr>
          <w:rFonts w:ascii="Arial" w:hAnsi="Arial" w:cs="Arial"/>
          <w:sz w:val="20"/>
          <w:szCs w:val="20"/>
        </w:rPr>
        <w:t xml:space="preserve">  Shiels C, Hillage J, Pollard E, Gabbay M. </w:t>
      </w:r>
      <w:r w:rsidR="00305779" w:rsidRPr="009429F0">
        <w:rPr>
          <w:rFonts w:ascii="Arial" w:hAnsi="Arial" w:cs="Arial"/>
          <w:i/>
          <w:sz w:val="20"/>
          <w:szCs w:val="20"/>
        </w:rPr>
        <w:t>National evaluation of the Statement of Fitness for Work (Fit note): quantitative survey of fit notes</w:t>
      </w:r>
      <w:r w:rsidR="00305779" w:rsidRPr="009429F0">
        <w:rPr>
          <w:rFonts w:ascii="Arial" w:hAnsi="Arial" w:cs="Arial"/>
          <w:sz w:val="20"/>
          <w:szCs w:val="20"/>
        </w:rPr>
        <w:t>. D</w:t>
      </w:r>
      <w:r w:rsidR="00335406" w:rsidRPr="009429F0">
        <w:rPr>
          <w:rFonts w:ascii="Arial" w:hAnsi="Arial" w:cs="Arial"/>
          <w:sz w:val="20"/>
          <w:szCs w:val="20"/>
        </w:rPr>
        <w:t xml:space="preserve">WP Research Report No 841. London: The Stationery Office </w:t>
      </w:r>
      <w:r w:rsidR="00305779" w:rsidRPr="009429F0">
        <w:rPr>
          <w:rFonts w:ascii="Arial" w:hAnsi="Arial" w:cs="Arial"/>
          <w:sz w:val="20"/>
          <w:szCs w:val="20"/>
        </w:rPr>
        <w:t>2013.</w:t>
      </w:r>
    </w:p>
    <w:p w:rsidR="00305779" w:rsidRPr="009429F0" w:rsidRDefault="005D2419" w:rsidP="00076477">
      <w:pPr>
        <w:spacing w:line="480" w:lineRule="auto"/>
        <w:rPr>
          <w:rFonts w:ascii="Arial" w:hAnsi="Arial" w:cs="Arial"/>
          <w:sz w:val="20"/>
          <w:szCs w:val="20"/>
        </w:rPr>
      </w:pPr>
      <w:r w:rsidRPr="009429F0">
        <w:rPr>
          <w:rFonts w:ascii="Arial" w:hAnsi="Arial" w:cs="Arial"/>
          <w:sz w:val="20"/>
          <w:szCs w:val="20"/>
        </w:rPr>
        <w:t>13</w:t>
      </w:r>
      <w:r w:rsidR="005E378A" w:rsidRPr="009429F0">
        <w:rPr>
          <w:rFonts w:ascii="Arial" w:hAnsi="Arial" w:cs="Arial"/>
          <w:sz w:val="20"/>
          <w:szCs w:val="20"/>
        </w:rPr>
        <w:t>.</w:t>
      </w:r>
      <w:r w:rsidR="00305779" w:rsidRPr="009429F0">
        <w:rPr>
          <w:rFonts w:ascii="Arial" w:hAnsi="Arial" w:cs="Arial"/>
          <w:sz w:val="20"/>
          <w:szCs w:val="20"/>
        </w:rPr>
        <w:t xml:space="preserve">  Waddell G, Burton K. </w:t>
      </w:r>
      <w:r w:rsidR="00305779" w:rsidRPr="009429F0">
        <w:rPr>
          <w:rFonts w:ascii="Arial" w:hAnsi="Arial" w:cs="Arial"/>
          <w:i/>
          <w:sz w:val="20"/>
          <w:szCs w:val="20"/>
        </w:rPr>
        <w:t>Is work good for your health and well-being</w:t>
      </w:r>
      <w:proofErr w:type="gramStart"/>
      <w:r w:rsidR="00305779" w:rsidRPr="009429F0">
        <w:rPr>
          <w:rFonts w:ascii="Arial" w:hAnsi="Arial" w:cs="Arial"/>
          <w:i/>
          <w:sz w:val="20"/>
          <w:szCs w:val="20"/>
        </w:rPr>
        <w:t>?.</w:t>
      </w:r>
      <w:proofErr w:type="gramEnd"/>
      <w:r w:rsidR="00305779" w:rsidRPr="009429F0">
        <w:rPr>
          <w:rFonts w:ascii="Arial" w:hAnsi="Arial" w:cs="Arial"/>
          <w:sz w:val="20"/>
          <w:szCs w:val="20"/>
        </w:rPr>
        <w:t xml:space="preserve">  London: The Stationery Office 2006</w:t>
      </w:r>
    </w:p>
    <w:p w:rsidR="00305779" w:rsidRPr="009429F0" w:rsidRDefault="005D2419" w:rsidP="00076477">
      <w:pPr>
        <w:spacing w:line="480" w:lineRule="auto"/>
        <w:rPr>
          <w:rFonts w:ascii="Arial" w:hAnsi="Arial" w:cs="Arial"/>
          <w:sz w:val="20"/>
          <w:szCs w:val="20"/>
        </w:rPr>
      </w:pPr>
      <w:r w:rsidRPr="009429F0">
        <w:rPr>
          <w:rFonts w:ascii="Arial" w:hAnsi="Arial" w:cs="Arial"/>
          <w:sz w:val="20"/>
          <w:szCs w:val="20"/>
        </w:rPr>
        <w:t>14</w:t>
      </w:r>
      <w:r w:rsidR="005E378A" w:rsidRPr="009429F0">
        <w:rPr>
          <w:rFonts w:ascii="Arial" w:hAnsi="Arial" w:cs="Arial"/>
          <w:sz w:val="20"/>
          <w:szCs w:val="20"/>
        </w:rPr>
        <w:t>.</w:t>
      </w:r>
      <w:r w:rsidR="00305779" w:rsidRPr="009429F0">
        <w:rPr>
          <w:rFonts w:ascii="Arial" w:hAnsi="Arial" w:cs="Arial"/>
          <w:sz w:val="20"/>
          <w:szCs w:val="20"/>
        </w:rPr>
        <w:t xml:space="preserve"> Department for Work and Pensions (DWP). </w:t>
      </w:r>
      <w:r w:rsidR="00305779" w:rsidRPr="009429F0">
        <w:rPr>
          <w:rFonts w:ascii="Arial" w:hAnsi="Arial" w:cs="Arial"/>
          <w:i/>
          <w:sz w:val="20"/>
          <w:szCs w:val="20"/>
        </w:rPr>
        <w:t>Working our way to better mental health: a framework for action.</w:t>
      </w:r>
      <w:r w:rsidR="00335406" w:rsidRPr="009429F0">
        <w:rPr>
          <w:rFonts w:ascii="Arial" w:hAnsi="Arial" w:cs="Arial"/>
          <w:sz w:val="20"/>
          <w:szCs w:val="20"/>
        </w:rPr>
        <w:t xml:space="preserve"> </w:t>
      </w:r>
      <w:r w:rsidR="00305779" w:rsidRPr="009429F0">
        <w:rPr>
          <w:rFonts w:ascii="Arial" w:hAnsi="Arial" w:cs="Arial"/>
          <w:sz w:val="20"/>
          <w:szCs w:val="20"/>
        </w:rPr>
        <w:t>London: The Stationery Office 2009.</w:t>
      </w:r>
    </w:p>
    <w:p w:rsidR="00305779" w:rsidRPr="009429F0" w:rsidRDefault="005D2419" w:rsidP="00076477">
      <w:pPr>
        <w:autoSpaceDE w:val="0"/>
        <w:autoSpaceDN w:val="0"/>
        <w:adjustRightInd w:val="0"/>
        <w:spacing w:line="480" w:lineRule="auto"/>
        <w:rPr>
          <w:rFonts w:ascii="Arial" w:hAnsi="Arial" w:cs="Arial"/>
          <w:sz w:val="20"/>
          <w:szCs w:val="20"/>
        </w:rPr>
      </w:pPr>
      <w:r w:rsidRPr="009429F0">
        <w:rPr>
          <w:rFonts w:ascii="Arial" w:hAnsi="Arial" w:cs="Arial"/>
          <w:sz w:val="20"/>
          <w:szCs w:val="20"/>
        </w:rPr>
        <w:t>15</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Buist-Bouwman</w:t>
      </w:r>
      <w:proofErr w:type="spellEnd"/>
      <w:r w:rsidR="00305779" w:rsidRPr="009429F0">
        <w:rPr>
          <w:rFonts w:ascii="Arial" w:hAnsi="Arial" w:cs="Arial"/>
          <w:sz w:val="20"/>
          <w:szCs w:val="20"/>
        </w:rPr>
        <w:t xml:space="preserve"> MA, de </w:t>
      </w:r>
      <w:proofErr w:type="spellStart"/>
      <w:r w:rsidR="00305779" w:rsidRPr="009429F0">
        <w:rPr>
          <w:rFonts w:ascii="Arial" w:hAnsi="Arial" w:cs="Arial"/>
          <w:sz w:val="20"/>
          <w:szCs w:val="20"/>
        </w:rPr>
        <w:t>Graaf</w:t>
      </w:r>
      <w:proofErr w:type="spellEnd"/>
      <w:r w:rsidR="00305779" w:rsidRPr="009429F0">
        <w:rPr>
          <w:rFonts w:ascii="Arial" w:hAnsi="Arial" w:cs="Arial"/>
          <w:sz w:val="20"/>
          <w:szCs w:val="20"/>
        </w:rPr>
        <w:t xml:space="preserve"> R, </w:t>
      </w:r>
      <w:proofErr w:type="spellStart"/>
      <w:r w:rsidR="00305779" w:rsidRPr="009429F0">
        <w:rPr>
          <w:rFonts w:ascii="Arial" w:hAnsi="Arial" w:cs="Arial"/>
          <w:sz w:val="20"/>
          <w:szCs w:val="20"/>
        </w:rPr>
        <w:t>Vollebergh</w:t>
      </w:r>
      <w:proofErr w:type="spellEnd"/>
      <w:r w:rsidR="00305779" w:rsidRPr="009429F0">
        <w:rPr>
          <w:rFonts w:ascii="Arial" w:hAnsi="Arial" w:cs="Arial"/>
          <w:sz w:val="20"/>
          <w:szCs w:val="20"/>
        </w:rPr>
        <w:t xml:space="preserve"> WA, </w:t>
      </w:r>
      <w:proofErr w:type="spellStart"/>
      <w:r w:rsidR="00305779" w:rsidRPr="009429F0">
        <w:rPr>
          <w:rFonts w:ascii="Arial" w:hAnsi="Arial" w:cs="Arial"/>
          <w:sz w:val="20"/>
          <w:szCs w:val="20"/>
        </w:rPr>
        <w:t>Ormel</w:t>
      </w:r>
      <w:proofErr w:type="spellEnd"/>
      <w:r w:rsidR="00305779" w:rsidRPr="009429F0">
        <w:rPr>
          <w:rFonts w:ascii="Arial" w:hAnsi="Arial" w:cs="Arial"/>
          <w:sz w:val="20"/>
          <w:szCs w:val="20"/>
        </w:rPr>
        <w:t xml:space="preserve"> J. Comorbidity of physical and mental disorders and the effect on work-loss days. </w:t>
      </w:r>
      <w:proofErr w:type="spellStart"/>
      <w:r w:rsidR="00305779" w:rsidRPr="009429F0">
        <w:rPr>
          <w:rFonts w:ascii="Arial" w:hAnsi="Arial" w:cs="Arial"/>
          <w:i/>
          <w:sz w:val="20"/>
          <w:szCs w:val="20"/>
        </w:rPr>
        <w:t>Acta</w:t>
      </w:r>
      <w:proofErr w:type="spellEnd"/>
      <w:r w:rsidR="00305779" w:rsidRPr="009429F0">
        <w:rPr>
          <w:rFonts w:ascii="Arial" w:hAnsi="Arial" w:cs="Arial"/>
          <w:i/>
          <w:sz w:val="20"/>
          <w:szCs w:val="20"/>
        </w:rPr>
        <w:t xml:space="preserve"> </w:t>
      </w:r>
      <w:proofErr w:type="spellStart"/>
      <w:r w:rsidR="00305779" w:rsidRPr="009429F0">
        <w:rPr>
          <w:rFonts w:ascii="Arial" w:hAnsi="Arial" w:cs="Arial"/>
          <w:i/>
          <w:sz w:val="20"/>
          <w:szCs w:val="20"/>
        </w:rPr>
        <w:t>Psychiatrica</w:t>
      </w:r>
      <w:proofErr w:type="spellEnd"/>
      <w:r w:rsidR="00305779" w:rsidRPr="009429F0">
        <w:rPr>
          <w:rFonts w:ascii="Arial" w:hAnsi="Arial" w:cs="Arial"/>
          <w:i/>
          <w:sz w:val="20"/>
          <w:szCs w:val="20"/>
        </w:rPr>
        <w:t xml:space="preserve"> </w:t>
      </w:r>
      <w:proofErr w:type="spellStart"/>
      <w:r w:rsidR="00305779" w:rsidRPr="009429F0">
        <w:rPr>
          <w:rFonts w:ascii="Arial" w:hAnsi="Arial" w:cs="Arial"/>
          <w:i/>
          <w:sz w:val="20"/>
          <w:szCs w:val="20"/>
        </w:rPr>
        <w:t>Scandinavica</w:t>
      </w:r>
      <w:proofErr w:type="spellEnd"/>
      <w:r w:rsidR="00335406" w:rsidRPr="009429F0">
        <w:rPr>
          <w:rFonts w:ascii="Arial" w:hAnsi="Arial" w:cs="Arial"/>
          <w:sz w:val="20"/>
          <w:szCs w:val="20"/>
        </w:rPr>
        <w:t xml:space="preserve"> 2005</w:t>
      </w:r>
      <w:proofErr w:type="gramStart"/>
      <w:r w:rsidR="00335406" w:rsidRPr="009429F0">
        <w:rPr>
          <w:rFonts w:ascii="Arial" w:hAnsi="Arial" w:cs="Arial"/>
          <w:sz w:val="20"/>
          <w:szCs w:val="20"/>
        </w:rPr>
        <w:t>;111</w:t>
      </w:r>
      <w:r w:rsidR="00CE03AE" w:rsidRPr="009429F0">
        <w:rPr>
          <w:rFonts w:ascii="Arial" w:hAnsi="Arial" w:cs="Arial"/>
          <w:sz w:val="20"/>
          <w:szCs w:val="20"/>
        </w:rPr>
        <w:t>:436</w:t>
      </w:r>
      <w:proofErr w:type="gramEnd"/>
      <w:r w:rsidR="00CE03AE" w:rsidRPr="009429F0">
        <w:rPr>
          <w:rFonts w:ascii="Arial" w:hAnsi="Arial" w:cs="Arial"/>
          <w:sz w:val="20"/>
          <w:szCs w:val="20"/>
        </w:rPr>
        <w:t>–43.</w:t>
      </w:r>
    </w:p>
    <w:p w:rsidR="00305779" w:rsidRPr="009429F0" w:rsidRDefault="005D2419" w:rsidP="00076477">
      <w:pPr>
        <w:spacing w:line="480" w:lineRule="auto"/>
        <w:rPr>
          <w:rFonts w:ascii="Arial" w:hAnsi="Arial" w:cs="Arial"/>
          <w:sz w:val="20"/>
          <w:szCs w:val="20"/>
        </w:rPr>
      </w:pPr>
      <w:r w:rsidRPr="009429F0">
        <w:rPr>
          <w:rFonts w:ascii="Arial" w:hAnsi="Arial" w:cs="Arial"/>
          <w:sz w:val="20"/>
          <w:szCs w:val="20"/>
        </w:rPr>
        <w:t>16</w:t>
      </w:r>
      <w:r w:rsidR="005E378A" w:rsidRPr="009429F0">
        <w:rPr>
          <w:rFonts w:ascii="Arial" w:hAnsi="Arial" w:cs="Arial"/>
          <w:sz w:val="20"/>
          <w:szCs w:val="20"/>
        </w:rPr>
        <w:t>.</w:t>
      </w:r>
      <w:r w:rsidR="00305779" w:rsidRPr="009429F0">
        <w:rPr>
          <w:rFonts w:ascii="Arial" w:hAnsi="Arial" w:cs="Arial"/>
          <w:sz w:val="20"/>
          <w:szCs w:val="20"/>
        </w:rPr>
        <w:t xml:space="preserve"> Charlton J, </w:t>
      </w:r>
      <w:proofErr w:type="spellStart"/>
      <w:r w:rsidR="00305779" w:rsidRPr="009429F0">
        <w:rPr>
          <w:rFonts w:ascii="Arial" w:hAnsi="Arial" w:cs="Arial"/>
          <w:sz w:val="20"/>
          <w:szCs w:val="20"/>
        </w:rPr>
        <w:t>Rudisill</w:t>
      </w:r>
      <w:proofErr w:type="spellEnd"/>
      <w:r w:rsidR="00305779" w:rsidRPr="009429F0">
        <w:rPr>
          <w:rFonts w:ascii="Arial" w:hAnsi="Arial" w:cs="Arial"/>
          <w:sz w:val="20"/>
          <w:szCs w:val="20"/>
        </w:rPr>
        <w:t xml:space="preserve"> C, </w:t>
      </w:r>
      <w:proofErr w:type="spellStart"/>
      <w:r w:rsidR="00305779" w:rsidRPr="009429F0">
        <w:rPr>
          <w:rFonts w:ascii="Arial" w:hAnsi="Arial" w:cs="Arial"/>
          <w:sz w:val="20"/>
          <w:szCs w:val="20"/>
        </w:rPr>
        <w:t>Bjattarai</w:t>
      </w:r>
      <w:proofErr w:type="spellEnd"/>
      <w:r w:rsidR="00305779" w:rsidRPr="009429F0">
        <w:rPr>
          <w:rFonts w:ascii="Arial" w:hAnsi="Arial" w:cs="Arial"/>
          <w:sz w:val="20"/>
          <w:szCs w:val="20"/>
        </w:rPr>
        <w:t xml:space="preserve"> N, </w:t>
      </w:r>
      <w:proofErr w:type="spellStart"/>
      <w:r w:rsidR="00305779" w:rsidRPr="009429F0">
        <w:rPr>
          <w:rFonts w:ascii="Arial" w:hAnsi="Arial" w:cs="Arial"/>
          <w:sz w:val="20"/>
          <w:szCs w:val="20"/>
        </w:rPr>
        <w:t>Gulliford</w:t>
      </w:r>
      <w:proofErr w:type="spellEnd"/>
      <w:r w:rsidR="00305779" w:rsidRPr="009429F0">
        <w:rPr>
          <w:rFonts w:ascii="Arial" w:hAnsi="Arial" w:cs="Arial"/>
          <w:sz w:val="20"/>
          <w:szCs w:val="20"/>
        </w:rPr>
        <w:t xml:space="preserve"> M. Impact of deprivation on occurrence, outcomes and health care costs of people with multiple morbidity</w:t>
      </w:r>
      <w:r w:rsidR="00305779" w:rsidRPr="009429F0">
        <w:rPr>
          <w:rFonts w:ascii="Arial" w:hAnsi="Arial" w:cs="Arial"/>
          <w:i/>
          <w:sz w:val="20"/>
          <w:szCs w:val="20"/>
        </w:rPr>
        <w:t xml:space="preserve">. Journal of Health Services Research and Policy </w:t>
      </w:r>
      <w:r w:rsidR="00335406" w:rsidRPr="009429F0">
        <w:rPr>
          <w:rFonts w:ascii="Arial" w:hAnsi="Arial" w:cs="Arial"/>
          <w:sz w:val="20"/>
          <w:szCs w:val="20"/>
        </w:rPr>
        <w:t>2013; 18: 215-</w:t>
      </w:r>
      <w:r w:rsidR="00305779" w:rsidRPr="009429F0">
        <w:rPr>
          <w:rFonts w:ascii="Arial" w:hAnsi="Arial" w:cs="Arial"/>
          <w:sz w:val="20"/>
          <w:szCs w:val="20"/>
        </w:rPr>
        <w:t xml:space="preserve">23. </w:t>
      </w:r>
    </w:p>
    <w:p w:rsidR="00305779" w:rsidRPr="009429F0" w:rsidRDefault="005D2419" w:rsidP="00076477">
      <w:pPr>
        <w:spacing w:line="480" w:lineRule="auto"/>
        <w:rPr>
          <w:rFonts w:ascii="Arial" w:hAnsi="Arial" w:cs="Arial"/>
          <w:sz w:val="20"/>
          <w:szCs w:val="20"/>
        </w:rPr>
      </w:pPr>
      <w:r w:rsidRPr="009429F0">
        <w:rPr>
          <w:rFonts w:ascii="Arial" w:hAnsi="Arial" w:cs="Arial"/>
          <w:sz w:val="20"/>
          <w:szCs w:val="20"/>
        </w:rPr>
        <w:t>17</w:t>
      </w:r>
      <w:r w:rsidR="005E378A" w:rsidRPr="009429F0">
        <w:rPr>
          <w:rFonts w:ascii="Arial" w:hAnsi="Arial" w:cs="Arial"/>
          <w:sz w:val="20"/>
          <w:szCs w:val="20"/>
        </w:rPr>
        <w:t>.</w:t>
      </w:r>
      <w:r w:rsidR="00305779" w:rsidRPr="009429F0">
        <w:rPr>
          <w:rFonts w:ascii="Arial" w:hAnsi="Arial" w:cs="Arial"/>
          <w:sz w:val="20"/>
          <w:szCs w:val="20"/>
        </w:rPr>
        <w:t xml:space="preserve"> Barnett K, Mercer SW, </w:t>
      </w:r>
      <w:proofErr w:type="spellStart"/>
      <w:r w:rsidR="00305779" w:rsidRPr="009429F0">
        <w:rPr>
          <w:rFonts w:ascii="Arial" w:hAnsi="Arial" w:cs="Arial"/>
          <w:sz w:val="20"/>
          <w:szCs w:val="20"/>
        </w:rPr>
        <w:t>Norbury</w:t>
      </w:r>
      <w:proofErr w:type="spellEnd"/>
      <w:r w:rsidR="00305779" w:rsidRPr="009429F0">
        <w:rPr>
          <w:rFonts w:ascii="Arial" w:hAnsi="Arial" w:cs="Arial"/>
          <w:sz w:val="20"/>
          <w:szCs w:val="20"/>
        </w:rPr>
        <w:t xml:space="preserve"> M, Watt G, Wyle S, Guthrie B. Epidemiology of </w:t>
      </w:r>
      <w:proofErr w:type="spellStart"/>
      <w:r w:rsidR="00305779" w:rsidRPr="009429F0">
        <w:rPr>
          <w:rFonts w:ascii="Arial" w:hAnsi="Arial" w:cs="Arial"/>
          <w:sz w:val="20"/>
          <w:szCs w:val="20"/>
        </w:rPr>
        <w:t>multimorbidity</w:t>
      </w:r>
      <w:proofErr w:type="spellEnd"/>
      <w:r w:rsidR="00305779" w:rsidRPr="009429F0">
        <w:rPr>
          <w:rFonts w:ascii="Arial" w:hAnsi="Arial" w:cs="Arial"/>
          <w:sz w:val="20"/>
          <w:szCs w:val="20"/>
        </w:rPr>
        <w:t xml:space="preserve"> and implications for health care, research and medical education: a cross-sectional study</w:t>
      </w:r>
      <w:r w:rsidR="00305779" w:rsidRPr="009429F0">
        <w:rPr>
          <w:rFonts w:ascii="Arial" w:hAnsi="Arial" w:cs="Arial"/>
          <w:i/>
          <w:sz w:val="20"/>
          <w:szCs w:val="20"/>
        </w:rPr>
        <w:t>. Lancet</w:t>
      </w:r>
      <w:r w:rsidR="00305779" w:rsidRPr="009429F0">
        <w:rPr>
          <w:rFonts w:ascii="Arial" w:hAnsi="Arial" w:cs="Arial"/>
          <w:sz w:val="20"/>
          <w:szCs w:val="20"/>
        </w:rPr>
        <w:t xml:space="preserve"> 2012; 380: 37-43.</w:t>
      </w:r>
    </w:p>
    <w:p w:rsidR="00305779" w:rsidRPr="009429F0" w:rsidRDefault="005D2419" w:rsidP="00076477">
      <w:pPr>
        <w:spacing w:line="480" w:lineRule="auto"/>
        <w:rPr>
          <w:rFonts w:ascii="Arial" w:hAnsi="Arial" w:cs="Arial"/>
          <w:sz w:val="20"/>
          <w:szCs w:val="20"/>
        </w:rPr>
      </w:pPr>
      <w:r w:rsidRPr="009429F0">
        <w:rPr>
          <w:rFonts w:ascii="Arial" w:hAnsi="Arial" w:cs="Arial"/>
          <w:sz w:val="20"/>
          <w:szCs w:val="20"/>
        </w:rPr>
        <w:t>18</w:t>
      </w:r>
      <w:r w:rsidR="005E378A" w:rsidRPr="009429F0">
        <w:rPr>
          <w:rFonts w:ascii="Arial" w:hAnsi="Arial" w:cs="Arial"/>
          <w:sz w:val="20"/>
          <w:szCs w:val="20"/>
        </w:rPr>
        <w:t>.</w:t>
      </w:r>
      <w:r w:rsidR="00305779" w:rsidRPr="009429F0">
        <w:rPr>
          <w:rFonts w:ascii="Arial" w:hAnsi="Arial" w:cs="Arial"/>
          <w:sz w:val="20"/>
          <w:szCs w:val="20"/>
        </w:rPr>
        <w:t xml:space="preserve"> Freeman G, Hughes J. Continuity of care and the patient experience. London: The Kings Fund 2010.</w:t>
      </w:r>
    </w:p>
    <w:p w:rsidR="00305779" w:rsidRPr="009429F0" w:rsidRDefault="005D2419" w:rsidP="00076477">
      <w:pPr>
        <w:autoSpaceDE w:val="0"/>
        <w:autoSpaceDN w:val="0"/>
        <w:adjustRightInd w:val="0"/>
        <w:spacing w:line="480" w:lineRule="auto"/>
        <w:rPr>
          <w:rFonts w:ascii="Arial" w:hAnsi="Arial" w:cs="Arial"/>
          <w:sz w:val="20"/>
          <w:szCs w:val="20"/>
        </w:rPr>
      </w:pPr>
      <w:r w:rsidRPr="009429F0">
        <w:rPr>
          <w:rFonts w:ascii="Arial" w:hAnsi="Arial" w:cs="Arial"/>
          <w:sz w:val="20"/>
          <w:szCs w:val="20"/>
        </w:rPr>
        <w:lastRenderedPageBreak/>
        <w:t>19</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Gerner</w:t>
      </w:r>
      <w:proofErr w:type="spellEnd"/>
      <w:r w:rsidR="00305779" w:rsidRPr="009429F0">
        <w:rPr>
          <w:rFonts w:ascii="Arial" w:hAnsi="Arial" w:cs="Arial"/>
          <w:sz w:val="20"/>
          <w:szCs w:val="20"/>
        </w:rPr>
        <w:t xml:space="preserve"> U, Alexanderson K. Issuing sickness certificates– a difficult task for physicians: a qualitative analysis of written statements in a Swedish survey. </w:t>
      </w:r>
      <w:r w:rsidR="00305779" w:rsidRPr="009429F0">
        <w:rPr>
          <w:rFonts w:ascii="Arial" w:hAnsi="Arial" w:cs="Arial"/>
          <w:i/>
          <w:iCs/>
          <w:sz w:val="20"/>
          <w:szCs w:val="20"/>
        </w:rPr>
        <w:t>Scandinavian Journal of Public Health</w:t>
      </w:r>
      <w:r w:rsidR="00305779" w:rsidRPr="009429F0">
        <w:rPr>
          <w:rFonts w:ascii="Arial" w:hAnsi="Arial" w:cs="Arial"/>
          <w:sz w:val="20"/>
          <w:szCs w:val="20"/>
        </w:rPr>
        <w:t xml:space="preserve"> 2009; 37:57–63.</w:t>
      </w:r>
    </w:p>
    <w:p w:rsidR="00305779" w:rsidRPr="009429F0" w:rsidRDefault="005D2419" w:rsidP="00076477">
      <w:pPr>
        <w:autoSpaceDE w:val="0"/>
        <w:autoSpaceDN w:val="0"/>
        <w:adjustRightInd w:val="0"/>
        <w:spacing w:line="480" w:lineRule="auto"/>
        <w:rPr>
          <w:rFonts w:ascii="Arial" w:hAnsi="Arial" w:cs="Arial"/>
          <w:sz w:val="20"/>
          <w:szCs w:val="20"/>
        </w:rPr>
      </w:pPr>
      <w:r w:rsidRPr="009429F0">
        <w:rPr>
          <w:rFonts w:ascii="Arial" w:hAnsi="Arial" w:cs="Arial"/>
          <w:sz w:val="20"/>
          <w:szCs w:val="20"/>
        </w:rPr>
        <w:t>20</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Winde</w:t>
      </w:r>
      <w:proofErr w:type="spellEnd"/>
      <w:r w:rsidR="00305779" w:rsidRPr="009429F0">
        <w:rPr>
          <w:rFonts w:ascii="Arial" w:hAnsi="Arial" w:cs="Arial"/>
          <w:sz w:val="20"/>
          <w:szCs w:val="20"/>
        </w:rPr>
        <w:t xml:space="preserve"> LD, Alexanderson K, </w:t>
      </w:r>
      <w:proofErr w:type="spellStart"/>
      <w:r w:rsidR="00305779" w:rsidRPr="009429F0">
        <w:rPr>
          <w:rFonts w:ascii="Arial" w:hAnsi="Arial" w:cs="Arial"/>
          <w:sz w:val="20"/>
          <w:szCs w:val="20"/>
        </w:rPr>
        <w:t>Carlsen</w:t>
      </w:r>
      <w:proofErr w:type="spellEnd"/>
      <w:r w:rsidR="00305779" w:rsidRPr="009429F0">
        <w:rPr>
          <w:rFonts w:ascii="Arial" w:hAnsi="Arial" w:cs="Arial"/>
          <w:sz w:val="20"/>
          <w:szCs w:val="20"/>
        </w:rPr>
        <w:t xml:space="preserve"> B, </w:t>
      </w:r>
      <w:proofErr w:type="spellStart"/>
      <w:r w:rsidR="00305779" w:rsidRPr="009429F0">
        <w:rPr>
          <w:rFonts w:ascii="Arial" w:hAnsi="Arial" w:cs="Arial"/>
          <w:sz w:val="20"/>
          <w:szCs w:val="20"/>
        </w:rPr>
        <w:t>Kjeldgård</w:t>
      </w:r>
      <w:proofErr w:type="spellEnd"/>
      <w:r w:rsidR="00305779" w:rsidRPr="009429F0">
        <w:rPr>
          <w:rFonts w:ascii="Arial" w:hAnsi="Arial" w:cs="Arial"/>
          <w:sz w:val="20"/>
          <w:szCs w:val="20"/>
        </w:rPr>
        <w:t xml:space="preserve"> L, </w:t>
      </w:r>
      <w:proofErr w:type="spellStart"/>
      <w:r w:rsidR="00305779" w:rsidRPr="009429F0">
        <w:rPr>
          <w:rFonts w:ascii="Arial" w:hAnsi="Arial" w:cs="Arial"/>
          <w:sz w:val="20"/>
          <w:szCs w:val="20"/>
        </w:rPr>
        <w:t>Wilteus</w:t>
      </w:r>
      <w:proofErr w:type="spellEnd"/>
      <w:r w:rsidR="00305779" w:rsidRPr="009429F0">
        <w:rPr>
          <w:rFonts w:ascii="Arial" w:hAnsi="Arial" w:cs="Arial"/>
          <w:sz w:val="20"/>
          <w:szCs w:val="20"/>
        </w:rPr>
        <w:t xml:space="preserve"> AL, </w:t>
      </w:r>
      <w:proofErr w:type="spellStart"/>
      <w:r w:rsidR="00305779" w:rsidRPr="009429F0">
        <w:rPr>
          <w:rFonts w:ascii="Arial" w:hAnsi="Arial" w:cs="Arial"/>
          <w:sz w:val="20"/>
          <w:szCs w:val="20"/>
        </w:rPr>
        <w:t>Gjesdal</w:t>
      </w:r>
      <w:proofErr w:type="spellEnd"/>
      <w:r w:rsidR="00305779" w:rsidRPr="009429F0">
        <w:rPr>
          <w:rFonts w:ascii="Arial" w:hAnsi="Arial" w:cs="Arial"/>
          <w:sz w:val="20"/>
          <w:szCs w:val="20"/>
        </w:rPr>
        <w:t xml:space="preserve"> S. General practitioners’ experiences with sickness certification: a comparison of survey data from Sweden and Norway. </w:t>
      </w:r>
      <w:r w:rsidR="00305779" w:rsidRPr="009429F0">
        <w:rPr>
          <w:rFonts w:ascii="Arial" w:hAnsi="Arial" w:cs="Arial"/>
          <w:i/>
          <w:iCs/>
          <w:sz w:val="20"/>
          <w:szCs w:val="20"/>
        </w:rPr>
        <w:t>BMC Family</w:t>
      </w:r>
      <w:r w:rsidR="00305779" w:rsidRPr="009429F0">
        <w:rPr>
          <w:rFonts w:ascii="Arial" w:hAnsi="Arial" w:cs="Arial"/>
          <w:sz w:val="20"/>
          <w:szCs w:val="20"/>
        </w:rPr>
        <w:t xml:space="preserve"> </w:t>
      </w:r>
      <w:r w:rsidR="00305779" w:rsidRPr="009429F0">
        <w:rPr>
          <w:rFonts w:ascii="Arial" w:hAnsi="Arial" w:cs="Arial"/>
          <w:i/>
          <w:iCs/>
          <w:sz w:val="20"/>
          <w:szCs w:val="20"/>
        </w:rPr>
        <w:t xml:space="preserve">Practice </w:t>
      </w:r>
      <w:r w:rsidR="00305779" w:rsidRPr="009429F0">
        <w:rPr>
          <w:rFonts w:ascii="Arial" w:hAnsi="Arial" w:cs="Arial"/>
          <w:sz w:val="20"/>
          <w:szCs w:val="20"/>
        </w:rPr>
        <w:t>2012; 13:10.</w:t>
      </w:r>
    </w:p>
    <w:p w:rsidR="00305779" w:rsidRPr="009429F0" w:rsidRDefault="005D2419" w:rsidP="00076477">
      <w:pPr>
        <w:autoSpaceDE w:val="0"/>
        <w:autoSpaceDN w:val="0"/>
        <w:adjustRightInd w:val="0"/>
        <w:spacing w:after="100" w:afterAutospacing="1" w:line="480" w:lineRule="auto"/>
        <w:rPr>
          <w:rFonts w:ascii="Arial" w:hAnsi="Arial" w:cs="Arial"/>
          <w:sz w:val="20"/>
          <w:szCs w:val="20"/>
        </w:rPr>
      </w:pPr>
      <w:r w:rsidRPr="009429F0">
        <w:rPr>
          <w:rFonts w:ascii="Arial" w:hAnsi="Arial" w:cs="Arial"/>
          <w:bCs/>
          <w:sz w:val="20"/>
          <w:szCs w:val="20"/>
        </w:rPr>
        <w:t>21</w:t>
      </w:r>
      <w:r w:rsidR="005E378A" w:rsidRPr="009429F0">
        <w:rPr>
          <w:rFonts w:ascii="Arial" w:hAnsi="Arial" w:cs="Arial"/>
          <w:bCs/>
          <w:sz w:val="20"/>
          <w:szCs w:val="20"/>
        </w:rPr>
        <w:t>.</w:t>
      </w:r>
      <w:r w:rsidR="00305779" w:rsidRPr="009429F0">
        <w:rPr>
          <w:rFonts w:ascii="Arial" w:hAnsi="Arial" w:cs="Arial"/>
          <w:bCs/>
          <w:sz w:val="20"/>
          <w:szCs w:val="20"/>
        </w:rPr>
        <w:t xml:space="preserve">  Shiels C, Gabbay M, Hillage J. Factors associated with prevalence and types of ‘may be fit’ advice on fit notes: a cross-sectional primary care analysis. </w:t>
      </w:r>
      <w:r w:rsidR="00305779" w:rsidRPr="009429F0">
        <w:rPr>
          <w:rFonts w:ascii="Arial" w:hAnsi="Arial" w:cs="Arial"/>
          <w:bCs/>
          <w:i/>
          <w:sz w:val="20"/>
          <w:szCs w:val="20"/>
        </w:rPr>
        <w:t>British Journal of General Practice</w:t>
      </w:r>
      <w:r w:rsidR="00305779" w:rsidRPr="009429F0">
        <w:rPr>
          <w:rFonts w:ascii="Arial" w:hAnsi="Arial" w:cs="Arial"/>
          <w:bCs/>
          <w:sz w:val="20"/>
          <w:szCs w:val="20"/>
        </w:rPr>
        <w:t xml:space="preserve"> 2014; </w:t>
      </w:r>
      <w:r w:rsidR="00E81E7E" w:rsidRPr="009429F0">
        <w:rPr>
          <w:rFonts w:ascii="Arial" w:hAnsi="Arial" w:cs="Arial"/>
          <w:sz w:val="20"/>
          <w:szCs w:val="20"/>
        </w:rPr>
        <w:t>64: 137–</w:t>
      </w:r>
      <w:r w:rsidR="00305779" w:rsidRPr="009429F0">
        <w:rPr>
          <w:rFonts w:ascii="Arial" w:hAnsi="Arial" w:cs="Arial"/>
          <w:sz w:val="20"/>
          <w:szCs w:val="20"/>
        </w:rPr>
        <w:t>43.</w:t>
      </w:r>
    </w:p>
    <w:p w:rsidR="00305779" w:rsidRPr="009429F0" w:rsidRDefault="005D2419" w:rsidP="00076477">
      <w:pPr>
        <w:autoSpaceDE w:val="0"/>
        <w:autoSpaceDN w:val="0"/>
        <w:adjustRightInd w:val="0"/>
        <w:spacing w:after="100" w:afterAutospacing="1" w:line="480" w:lineRule="auto"/>
        <w:rPr>
          <w:rFonts w:ascii="Arial" w:hAnsi="Arial" w:cs="Arial"/>
          <w:sz w:val="20"/>
          <w:szCs w:val="20"/>
        </w:rPr>
      </w:pPr>
      <w:r w:rsidRPr="009429F0">
        <w:rPr>
          <w:rFonts w:ascii="Arial" w:hAnsi="Arial" w:cs="Arial"/>
          <w:sz w:val="20"/>
          <w:szCs w:val="20"/>
        </w:rPr>
        <w:t>22</w:t>
      </w:r>
      <w:r w:rsidR="005E378A" w:rsidRPr="009429F0">
        <w:rPr>
          <w:rFonts w:ascii="Arial" w:hAnsi="Arial" w:cs="Arial"/>
          <w:sz w:val="20"/>
          <w:szCs w:val="20"/>
        </w:rPr>
        <w:t>.</w:t>
      </w:r>
      <w:r w:rsidR="00305779" w:rsidRPr="009429F0">
        <w:rPr>
          <w:rFonts w:ascii="Arial" w:hAnsi="Arial" w:cs="Arial"/>
          <w:sz w:val="20"/>
          <w:szCs w:val="20"/>
        </w:rPr>
        <w:t xml:space="preserve"> </w:t>
      </w:r>
      <w:proofErr w:type="spellStart"/>
      <w:r w:rsidR="00305779" w:rsidRPr="009429F0">
        <w:rPr>
          <w:rFonts w:ascii="Arial" w:hAnsi="Arial" w:cs="Arial"/>
          <w:sz w:val="20"/>
          <w:szCs w:val="20"/>
        </w:rPr>
        <w:t>Ydreborg</w:t>
      </w:r>
      <w:proofErr w:type="spellEnd"/>
      <w:r w:rsidR="00305779" w:rsidRPr="009429F0">
        <w:rPr>
          <w:rFonts w:ascii="Arial" w:hAnsi="Arial" w:cs="Arial"/>
          <w:sz w:val="20"/>
          <w:szCs w:val="20"/>
        </w:rPr>
        <w:t xml:space="preserve"> B, Ekberg K, </w:t>
      </w:r>
      <w:proofErr w:type="spellStart"/>
      <w:r w:rsidR="00305779" w:rsidRPr="009429F0">
        <w:rPr>
          <w:rFonts w:ascii="Arial" w:hAnsi="Arial" w:cs="Arial"/>
          <w:sz w:val="20"/>
          <w:szCs w:val="20"/>
        </w:rPr>
        <w:t>Nordlund</w:t>
      </w:r>
      <w:proofErr w:type="spellEnd"/>
      <w:r w:rsidR="00305779" w:rsidRPr="009429F0">
        <w:rPr>
          <w:rFonts w:ascii="Arial" w:hAnsi="Arial" w:cs="Arial"/>
          <w:sz w:val="20"/>
          <w:szCs w:val="20"/>
        </w:rPr>
        <w:t xml:space="preserve"> A. Health, quality of life, social network and use of health care: a comparison between those granted and those not granted disability pension</w:t>
      </w:r>
      <w:r w:rsidR="00305779" w:rsidRPr="009429F0">
        <w:rPr>
          <w:rFonts w:ascii="Arial" w:hAnsi="Arial" w:cs="Arial"/>
          <w:i/>
          <w:sz w:val="20"/>
          <w:szCs w:val="20"/>
        </w:rPr>
        <w:t>. Disability and Rehabilitation</w:t>
      </w:r>
      <w:r w:rsidR="00305779" w:rsidRPr="009429F0">
        <w:rPr>
          <w:rFonts w:ascii="Arial" w:hAnsi="Arial" w:cs="Arial"/>
          <w:sz w:val="20"/>
          <w:szCs w:val="20"/>
        </w:rPr>
        <w:t xml:space="preserve"> 2006; 28:25–32.</w:t>
      </w:r>
    </w:p>
    <w:p w:rsidR="00305779" w:rsidRPr="009429F0" w:rsidRDefault="005D2419" w:rsidP="00076477">
      <w:pPr>
        <w:spacing w:after="100" w:afterAutospacing="1" w:line="480" w:lineRule="auto"/>
        <w:rPr>
          <w:rFonts w:ascii="Arial" w:hAnsi="Arial" w:cs="Arial"/>
          <w:sz w:val="20"/>
          <w:szCs w:val="20"/>
        </w:rPr>
      </w:pPr>
      <w:r w:rsidRPr="009429F0">
        <w:rPr>
          <w:rFonts w:ascii="Arial" w:hAnsi="Arial" w:cs="Arial"/>
          <w:sz w:val="20"/>
          <w:szCs w:val="20"/>
        </w:rPr>
        <w:t>23</w:t>
      </w:r>
      <w:r w:rsidR="005E378A" w:rsidRPr="009429F0">
        <w:rPr>
          <w:rFonts w:ascii="Arial" w:hAnsi="Arial" w:cs="Arial"/>
          <w:sz w:val="20"/>
          <w:szCs w:val="20"/>
        </w:rPr>
        <w:t>.</w:t>
      </w:r>
      <w:r w:rsidR="00305779" w:rsidRPr="009429F0">
        <w:rPr>
          <w:rFonts w:ascii="Arial" w:hAnsi="Arial" w:cs="Arial"/>
          <w:sz w:val="20"/>
          <w:szCs w:val="20"/>
        </w:rPr>
        <w:t xml:space="preserve"> Svedberg P, </w:t>
      </w:r>
      <w:proofErr w:type="spellStart"/>
      <w:r w:rsidR="00305779" w:rsidRPr="009429F0">
        <w:rPr>
          <w:rFonts w:ascii="Arial" w:hAnsi="Arial" w:cs="Arial"/>
          <w:sz w:val="20"/>
          <w:szCs w:val="20"/>
        </w:rPr>
        <w:t>Salmi</w:t>
      </w:r>
      <w:proofErr w:type="spellEnd"/>
      <w:r w:rsidR="00305779" w:rsidRPr="009429F0">
        <w:rPr>
          <w:rFonts w:ascii="Arial" w:hAnsi="Arial" w:cs="Arial"/>
          <w:sz w:val="20"/>
          <w:szCs w:val="20"/>
        </w:rPr>
        <w:t xml:space="preserve"> P, </w:t>
      </w:r>
      <w:proofErr w:type="spellStart"/>
      <w:r w:rsidR="00305779" w:rsidRPr="009429F0">
        <w:rPr>
          <w:rFonts w:ascii="Arial" w:hAnsi="Arial" w:cs="Arial"/>
          <w:sz w:val="20"/>
          <w:szCs w:val="20"/>
        </w:rPr>
        <w:t>Hagberg</w:t>
      </w:r>
      <w:proofErr w:type="spellEnd"/>
      <w:r w:rsidR="00305779" w:rsidRPr="009429F0">
        <w:rPr>
          <w:rFonts w:ascii="Arial" w:hAnsi="Arial" w:cs="Arial"/>
          <w:sz w:val="20"/>
          <w:szCs w:val="20"/>
        </w:rPr>
        <w:t xml:space="preserve"> J, </w:t>
      </w:r>
      <w:proofErr w:type="spellStart"/>
      <w:r w:rsidR="00305779" w:rsidRPr="009429F0">
        <w:rPr>
          <w:rFonts w:ascii="Arial" w:hAnsi="Arial" w:cs="Arial"/>
          <w:sz w:val="20"/>
          <w:szCs w:val="20"/>
        </w:rPr>
        <w:t>Lundh</w:t>
      </w:r>
      <w:proofErr w:type="spellEnd"/>
      <w:r w:rsidR="00305779" w:rsidRPr="009429F0">
        <w:rPr>
          <w:rFonts w:ascii="Arial" w:hAnsi="Arial" w:cs="Arial"/>
          <w:sz w:val="20"/>
          <w:szCs w:val="20"/>
        </w:rPr>
        <w:t xml:space="preserve"> G, Linder J, Alexanderson K. Does multidisciplinary assessment of long-term sickness absentees result in modification of sick-listing diagnoses</w:t>
      </w:r>
      <w:proofErr w:type="gramStart"/>
      <w:r w:rsidR="00305779" w:rsidRPr="009429F0">
        <w:rPr>
          <w:rFonts w:ascii="Arial" w:hAnsi="Arial" w:cs="Arial"/>
          <w:sz w:val="20"/>
          <w:szCs w:val="20"/>
        </w:rPr>
        <w:t>?.</w:t>
      </w:r>
      <w:proofErr w:type="gramEnd"/>
      <w:r w:rsidR="00305779" w:rsidRPr="009429F0">
        <w:rPr>
          <w:rFonts w:ascii="Arial" w:hAnsi="Arial" w:cs="Arial"/>
          <w:sz w:val="20"/>
          <w:szCs w:val="20"/>
        </w:rPr>
        <w:t xml:space="preserve"> </w:t>
      </w:r>
      <w:r w:rsidR="00305779" w:rsidRPr="009429F0">
        <w:rPr>
          <w:rFonts w:ascii="Arial" w:hAnsi="Arial" w:cs="Arial"/>
          <w:i/>
          <w:sz w:val="20"/>
          <w:szCs w:val="20"/>
        </w:rPr>
        <w:t>Scandinavian Journal of Public Health</w:t>
      </w:r>
      <w:r w:rsidR="00E81E7E" w:rsidRPr="009429F0">
        <w:rPr>
          <w:rFonts w:ascii="Arial" w:hAnsi="Arial" w:cs="Arial"/>
          <w:sz w:val="20"/>
          <w:szCs w:val="20"/>
        </w:rPr>
        <w:t xml:space="preserve"> 2010; 38: 657-</w:t>
      </w:r>
      <w:r w:rsidR="00305779" w:rsidRPr="009429F0">
        <w:rPr>
          <w:rFonts w:ascii="Arial" w:hAnsi="Arial" w:cs="Arial"/>
          <w:sz w:val="20"/>
          <w:szCs w:val="20"/>
        </w:rPr>
        <w:t>63.</w:t>
      </w:r>
    </w:p>
    <w:p w:rsidR="00305779" w:rsidRPr="009429F0" w:rsidRDefault="005D2419" w:rsidP="00076477">
      <w:pPr>
        <w:spacing w:afterLines="200" w:after="480" w:line="480" w:lineRule="auto"/>
        <w:rPr>
          <w:rFonts w:ascii="Arial" w:hAnsi="Arial" w:cs="Arial"/>
          <w:sz w:val="20"/>
          <w:szCs w:val="20"/>
        </w:rPr>
      </w:pPr>
      <w:r w:rsidRPr="009429F0">
        <w:rPr>
          <w:rFonts w:ascii="Arial" w:hAnsi="Arial" w:cs="Arial"/>
          <w:sz w:val="20"/>
          <w:szCs w:val="20"/>
        </w:rPr>
        <w:t>24</w:t>
      </w:r>
      <w:r w:rsidR="005E378A" w:rsidRPr="009429F0">
        <w:rPr>
          <w:rFonts w:ascii="Arial" w:hAnsi="Arial" w:cs="Arial"/>
          <w:sz w:val="20"/>
          <w:szCs w:val="20"/>
        </w:rPr>
        <w:t>.</w:t>
      </w:r>
      <w:r w:rsidR="00305779" w:rsidRPr="009429F0">
        <w:rPr>
          <w:rFonts w:ascii="Arial" w:hAnsi="Arial" w:cs="Arial"/>
          <w:sz w:val="20"/>
          <w:szCs w:val="20"/>
        </w:rPr>
        <w:t xml:space="preserve"> Litchfield P. </w:t>
      </w:r>
      <w:r w:rsidR="00305779" w:rsidRPr="009429F0">
        <w:rPr>
          <w:rFonts w:ascii="Arial" w:hAnsi="Arial" w:cs="Arial"/>
          <w:i/>
          <w:sz w:val="20"/>
          <w:szCs w:val="20"/>
        </w:rPr>
        <w:t>An independent review of the Work Capability Assessment: year 5</w:t>
      </w:r>
      <w:r w:rsidR="00305779" w:rsidRPr="009429F0">
        <w:rPr>
          <w:rFonts w:ascii="Arial" w:hAnsi="Arial" w:cs="Arial"/>
          <w:sz w:val="20"/>
          <w:szCs w:val="20"/>
        </w:rPr>
        <w:t>.</w:t>
      </w:r>
      <w:r w:rsidR="00305779" w:rsidRPr="009429F0">
        <w:rPr>
          <w:rFonts w:ascii="Arial" w:hAnsi="Arial" w:cs="Arial"/>
          <w:b/>
          <w:sz w:val="20"/>
          <w:szCs w:val="20"/>
        </w:rPr>
        <w:t xml:space="preserve"> </w:t>
      </w:r>
      <w:r w:rsidR="00305779" w:rsidRPr="009429F0">
        <w:rPr>
          <w:rFonts w:ascii="Arial" w:hAnsi="Arial" w:cs="Arial"/>
          <w:sz w:val="20"/>
          <w:szCs w:val="20"/>
        </w:rPr>
        <w:t>London: The Stationery Office 2014.</w:t>
      </w:r>
    </w:p>
    <w:p w:rsidR="004A7E22" w:rsidRPr="009429F0" w:rsidRDefault="004A7E22" w:rsidP="00C37EAE">
      <w:pPr>
        <w:spacing w:line="240" w:lineRule="auto"/>
        <w:rPr>
          <w:rFonts w:ascii="Arial" w:hAnsi="Arial" w:cs="Arial"/>
          <w:sz w:val="20"/>
          <w:szCs w:val="20"/>
        </w:rPr>
      </w:pPr>
    </w:p>
    <w:p w:rsidR="00076477" w:rsidRPr="009429F0" w:rsidRDefault="00076477">
      <w:pPr>
        <w:rPr>
          <w:rFonts w:ascii="Arial" w:hAnsi="Arial" w:cs="Arial"/>
          <w:sz w:val="20"/>
          <w:szCs w:val="20"/>
        </w:rPr>
      </w:pPr>
      <w:r w:rsidRPr="009429F0">
        <w:rPr>
          <w:rFonts w:ascii="Arial" w:hAnsi="Arial" w:cs="Arial"/>
          <w:sz w:val="20"/>
          <w:szCs w:val="20"/>
        </w:rPr>
        <w:br w:type="page"/>
      </w:r>
    </w:p>
    <w:p w:rsidR="004A7E22" w:rsidRPr="009429F0" w:rsidRDefault="004A7E22" w:rsidP="00C37EAE">
      <w:pPr>
        <w:spacing w:line="240" w:lineRule="auto"/>
        <w:rPr>
          <w:rFonts w:ascii="Arial" w:hAnsi="Arial" w:cs="Arial"/>
          <w:sz w:val="20"/>
          <w:szCs w:val="20"/>
        </w:rPr>
      </w:pPr>
    </w:p>
    <w:p w:rsidR="009D53E5" w:rsidRPr="009429F0" w:rsidRDefault="009D53E5" w:rsidP="00C37EAE">
      <w:pPr>
        <w:spacing w:line="240" w:lineRule="auto"/>
        <w:rPr>
          <w:rFonts w:ascii="Arial" w:hAnsi="Arial" w:cs="Arial"/>
          <w:sz w:val="20"/>
          <w:szCs w:val="20"/>
        </w:rPr>
      </w:pPr>
      <w:r w:rsidRPr="009429F0">
        <w:rPr>
          <w:b/>
        </w:rPr>
        <w:t>Table 1. Patient list sizes for study general practices and number of GPs (full and part-time) issuing fit notes in a 12 month data collection period (2011-2013)</w:t>
      </w:r>
    </w:p>
    <w:tbl>
      <w:tblPr>
        <w:tblStyle w:val="TableGrid"/>
        <w:tblW w:w="0" w:type="auto"/>
        <w:tblLook w:val="04A0" w:firstRow="1" w:lastRow="0" w:firstColumn="1" w:lastColumn="0" w:noHBand="0" w:noVBand="1"/>
      </w:tblPr>
      <w:tblGrid>
        <w:gridCol w:w="1803"/>
        <w:gridCol w:w="1803"/>
        <w:gridCol w:w="1803"/>
        <w:gridCol w:w="1803"/>
        <w:gridCol w:w="1804"/>
      </w:tblGrid>
      <w:tr w:rsidR="009D53E5" w:rsidRPr="009429F0" w:rsidTr="009C6C26">
        <w:tc>
          <w:tcPr>
            <w:tcW w:w="1803" w:type="dxa"/>
            <w:tcBorders>
              <w:left w:val="nil"/>
              <w:bottom w:val="nil"/>
              <w:right w:val="nil"/>
            </w:tcBorders>
          </w:tcPr>
          <w:p w:rsidR="009D53E5" w:rsidRPr="009429F0" w:rsidRDefault="009D53E5" w:rsidP="00C37EAE"/>
        </w:tc>
        <w:tc>
          <w:tcPr>
            <w:tcW w:w="1803" w:type="dxa"/>
            <w:tcBorders>
              <w:left w:val="nil"/>
              <w:bottom w:val="nil"/>
              <w:right w:val="nil"/>
            </w:tcBorders>
          </w:tcPr>
          <w:p w:rsidR="009D53E5" w:rsidRPr="009429F0" w:rsidRDefault="009D53E5" w:rsidP="00C37EAE"/>
        </w:tc>
        <w:tc>
          <w:tcPr>
            <w:tcW w:w="1803" w:type="dxa"/>
            <w:tcBorders>
              <w:left w:val="nil"/>
              <w:bottom w:val="nil"/>
              <w:right w:val="nil"/>
            </w:tcBorders>
          </w:tcPr>
          <w:p w:rsidR="009D53E5" w:rsidRPr="009429F0" w:rsidRDefault="009D53E5" w:rsidP="00C37EAE"/>
        </w:tc>
        <w:tc>
          <w:tcPr>
            <w:tcW w:w="1803" w:type="dxa"/>
            <w:tcBorders>
              <w:left w:val="nil"/>
              <w:bottom w:val="nil"/>
              <w:right w:val="nil"/>
            </w:tcBorders>
          </w:tcPr>
          <w:p w:rsidR="009D53E5" w:rsidRPr="009429F0" w:rsidRDefault="009D53E5" w:rsidP="00C37EAE"/>
        </w:tc>
        <w:tc>
          <w:tcPr>
            <w:tcW w:w="1804" w:type="dxa"/>
            <w:tcBorders>
              <w:left w:val="nil"/>
              <w:bottom w:val="nil"/>
              <w:right w:val="nil"/>
            </w:tcBorders>
          </w:tcPr>
          <w:p w:rsidR="009D53E5" w:rsidRPr="009429F0" w:rsidRDefault="009D53E5" w:rsidP="00C37EAE"/>
        </w:tc>
      </w:tr>
      <w:tr w:rsidR="009D53E5" w:rsidRPr="009429F0" w:rsidTr="009C6C26">
        <w:tc>
          <w:tcPr>
            <w:tcW w:w="1803" w:type="dxa"/>
            <w:tcBorders>
              <w:top w:val="nil"/>
              <w:left w:val="nil"/>
              <w:bottom w:val="single" w:sz="4" w:space="0" w:color="auto"/>
              <w:right w:val="nil"/>
            </w:tcBorders>
          </w:tcPr>
          <w:p w:rsidR="009D53E5" w:rsidRPr="009429F0" w:rsidRDefault="009D53E5" w:rsidP="00C37EAE">
            <w:pPr>
              <w:rPr>
                <w:b/>
              </w:rPr>
            </w:pPr>
            <w:r w:rsidRPr="009429F0">
              <w:rPr>
                <w:b/>
              </w:rPr>
              <w:t>Patient list size</w:t>
            </w:r>
          </w:p>
        </w:tc>
        <w:tc>
          <w:tcPr>
            <w:tcW w:w="1803" w:type="dxa"/>
            <w:tcBorders>
              <w:top w:val="nil"/>
              <w:left w:val="nil"/>
              <w:bottom w:val="single" w:sz="4" w:space="0" w:color="auto"/>
              <w:right w:val="nil"/>
            </w:tcBorders>
          </w:tcPr>
          <w:p w:rsidR="009D53E5" w:rsidRPr="009429F0" w:rsidRDefault="009D53E5" w:rsidP="00C37EAE">
            <w:pPr>
              <w:jc w:val="center"/>
              <w:rPr>
                <w:b/>
              </w:rPr>
            </w:pPr>
            <w:r w:rsidRPr="009429F0">
              <w:rPr>
                <w:b/>
              </w:rPr>
              <w:t>No of practices</w:t>
            </w:r>
          </w:p>
        </w:tc>
        <w:tc>
          <w:tcPr>
            <w:tcW w:w="1803" w:type="dxa"/>
            <w:tcBorders>
              <w:top w:val="nil"/>
              <w:left w:val="nil"/>
              <w:bottom w:val="single" w:sz="4" w:space="0" w:color="auto"/>
              <w:right w:val="nil"/>
            </w:tcBorders>
          </w:tcPr>
          <w:p w:rsidR="009D53E5" w:rsidRPr="009429F0" w:rsidRDefault="009D53E5" w:rsidP="00C37EAE">
            <w:pPr>
              <w:jc w:val="center"/>
              <w:rPr>
                <w:b/>
              </w:rPr>
            </w:pPr>
            <w:r w:rsidRPr="009429F0">
              <w:rPr>
                <w:b/>
              </w:rPr>
              <w:t>No of registered patients</w:t>
            </w:r>
          </w:p>
        </w:tc>
        <w:tc>
          <w:tcPr>
            <w:tcW w:w="1803" w:type="dxa"/>
            <w:tcBorders>
              <w:top w:val="nil"/>
              <w:left w:val="nil"/>
              <w:bottom w:val="single" w:sz="4" w:space="0" w:color="auto"/>
              <w:right w:val="nil"/>
            </w:tcBorders>
          </w:tcPr>
          <w:p w:rsidR="009D53E5" w:rsidRPr="009429F0" w:rsidRDefault="009D53E5" w:rsidP="00C37EAE">
            <w:pPr>
              <w:jc w:val="center"/>
              <w:rPr>
                <w:b/>
              </w:rPr>
            </w:pPr>
            <w:r w:rsidRPr="009429F0">
              <w:rPr>
                <w:b/>
              </w:rPr>
              <w:t>No of GPs (FT/PT)</w:t>
            </w:r>
          </w:p>
        </w:tc>
        <w:tc>
          <w:tcPr>
            <w:tcW w:w="1804" w:type="dxa"/>
            <w:tcBorders>
              <w:top w:val="nil"/>
              <w:left w:val="nil"/>
              <w:bottom w:val="single" w:sz="4" w:space="0" w:color="auto"/>
              <w:right w:val="nil"/>
            </w:tcBorders>
          </w:tcPr>
          <w:p w:rsidR="009D53E5" w:rsidRPr="009429F0" w:rsidRDefault="009D53E5" w:rsidP="00C37EAE">
            <w:pPr>
              <w:jc w:val="center"/>
              <w:rPr>
                <w:b/>
              </w:rPr>
            </w:pPr>
            <w:r w:rsidRPr="009429F0">
              <w:rPr>
                <w:b/>
              </w:rPr>
              <w:t>Fit notes issued by GPs (</w:t>
            </w:r>
            <w:proofErr w:type="spellStart"/>
            <w:r w:rsidRPr="009429F0">
              <w:rPr>
                <w:b/>
              </w:rPr>
              <w:t>inc.</w:t>
            </w:r>
            <w:proofErr w:type="spellEnd"/>
            <w:r w:rsidRPr="009429F0">
              <w:rPr>
                <w:b/>
              </w:rPr>
              <w:t xml:space="preserve"> locums)</w:t>
            </w:r>
          </w:p>
        </w:tc>
      </w:tr>
      <w:tr w:rsidR="009D53E5" w:rsidRPr="009429F0" w:rsidTr="009C6C26">
        <w:tc>
          <w:tcPr>
            <w:tcW w:w="1803" w:type="dxa"/>
            <w:tcBorders>
              <w:left w:val="nil"/>
              <w:bottom w:val="nil"/>
              <w:right w:val="nil"/>
            </w:tcBorders>
          </w:tcPr>
          <w:p w:rsidR="009D53E5" w:rsidRPr="009429F0" w:rsidRDefault="009D53E5" w:rsidP="00C37EAE"/>
        </w:tc>
        <w:tc>
          <w:tcPr>
            <w:tcW w:w="1803" w:type="dxa"/>
            <w:tcBorders>
              <w:left w:val="nil"/>
              <w:bottom w:val="nil"/>
              <w:right w:val="nil"/>
            </w:tcBorders>
          </w:tcPr>
          <w:p w:rsidR="009D53E5" w:rsidRPr="009429F0" w:rsidRDefault="009D53E5" w:rsidP="00C37EAE">
            <w:pPr>
              <w:jc w:val="center"/>
            </w:pPr>
          </w:p>
        </w:tc>
        <w:tc>
          <w:tcPr>
            <w:tcW w:w="1803" w:type="dxa"/>
            <w:tcBorders>
              <w:left w:val="nil"/>
              <w:bottom w:val="nil"/>
              <w:right w:val="nil"/>
            </w:tcBorders>
          </w:tcPr>
          <w:p w:rsidR="009D53E5" w:rsidRPr="009429F0" w:rsidRDefault="009D53E5" w:rsidP="00C37EAE">
            <w:pPr>
              <w:jc w:val="center"/>
            </w:pPr>
          </w:p>
        </w:tc>
        <w:tc>
          <w:tcPr>
            <w:tcW w:w="1803" w:type="dxa"/>
            <w:tcBorders>
              <w:left w:val="nil"/>
              <w:bottom w:val="nil"/>
              <w:right w:val="nil"/>
            </w:tcBorders>
          </w:tcPr>
          <w:p w:rsidR="009D53E5" w:rsidRPr="009429F0" w:rsidRDefault="009D53E5" w:rsidP="00C37EAE">
            <w:pPr>
              <w:jc w:val="center"/>
            </w:pPr>
          </w:p>
        </w:tc>
        <w:tc>
          <w:tcPr>
            <w:tcW w:w="1804" w:type="dxa"/>
            <w:tcBorders>
              <w:left w:val="nil"/>
              <w:bottom w:val="nil"/>
              <w:right w:val="nil"/>
            </w:tcBorders>
          </w:tcPr>
          <w:p w:rsidR="009D53E5" w:rsidRPr="009429F0" w:rsidRDefault="009D53E5" w:rsidP="00C37EAE">
            <w:pPr>
              <w:jc w:val="center"/>
            </w:pPr>
          </w:p>
        </w:tc>
      </w:tr>
      <w:tr w:rsidR="009D53E5" w:rsidRPr="009429F0" w:rsidTr="009C6C26">
        <w:tc>
          <w:tcPr>
            <w:tcW w:w="1803" w:type="dxa"/>
            <w:tcBorders>
              <w:top w:val="nil"/>
              <w:left w:val="nil"/>
              <w:bottom w:val="nil"/>
              <w:right w:val="nil"/>
            </w:tcBorders>
          </w:tcPr>
          <w:p w:rsidR="009D53E5" w:rsidRPr="009429F0" w:rsidRDefault="009D53E5" w:rsidP="00C37EAE">
            <w:r w:rsidRPr="009429F0">
              <w:t>1,000-1,999</w:t>
            </w:r>
          </w:p>
        </w:tc>
        <w:tc>
          <w:tcPr>
            <w:tcW w:w="1803" w:type="dxa"/>
            <w:tcBorders>
              <w:top w:val="nil"/>
              <w:left w:val="nil"/>
              <w:bottom w:val="nil"/>
              <w:right w:val="nil"/>
            </w:tcBorders>
          </w:tcPr>
          <w:p w:rsidR="009D53E5" w:rsidRPr="009429F0" w:rsidRDefault="009D53E5" w:rsidP="00C37EAE">
            <w:pPr>
              <w:jc w:val="center"/>
            </w:pPr>
            <w:r w:rsidRPr="009429F0">
              <w:t>3</w:t>
            </w:r>
          </w:p>
        </w:tc>
        <w:tc>
          <w:tcPr>
            <w:tcW w:w="1803" w:type="dxa"/>
            <w:tcBorders>
              <w:top w:val="nil"/>
              <w:left w:val="nil"/>
              <w:bottom w:val="nil"/>
              <w:right w:val="nil"/>
            </w:tcBorders>
          </w:tcPr>
          <w:p w:rsidR="009D53E5" w:rsidRPr="009429F0" w:rsidRDefault="009D53E5" w:rsidP="00C37EAE">
            <w:pPr>
              <w:jc w:val="center"/>
            </w:pPr>
            <w:r w:rsidRPr="009429F0">
              <w:t>5,174</w:t>
            </w:r>
          </w:p>
        </w:tc>
        <w:tc>
          <w:tcPr>
            <w:tcW w:w="1803" w:type="dxa"/>
            <w:tcBorders>
              <w:top w:val="nil"/>
              <w:left w:val="nil"/>
              <w:bottom w:val="nil"/>
              <w:right w:val="nil"/>
            </w:tcBorders>
          </w:tcPr>
          <w:p w:rsidR="009D53E5" w:rsidRPr="009429F0" w:rsidRDefault="009D53E5" w:rsidP="00C37EAE">
            <w:pPr>
              <w:jc w:val="center"/>
            </w:pPr>
            <w:r w:rsidRPr="009429F0">
              <w:t>3 (3/0)</w:t>
            </w:r>
          </w:p>
        </w:tc>
        <w:tc>
          <w:tcPr>
            <w:tcW w:w="1804" w:type="dxa"/>
            <w:tcBorders>
              <w:top w:val="nil"/>
              <w:left w:val="nil"/>
              <w:bottom w:val="nil"/>
              <w:right w:val="nil"/>
            </w:tcBorders>
          </w:tcPr>
          <w:p w:rsidR="009D53E5" w:rsidRPr="009429F0" w:rsidRDefault="009D53E5" w:rsidP="00C37EAE">
            <w:pPr>
              <w:jc w:val="center"/>
            </w:pPr>
            <w:r w:rsidRPr="009429F0">
              <w:t>1,021</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2,000-2,999</w:t>
            </w:r>
          </w:p>
        </w:tc>
        <w:tc>
          <w:tcPr>
            <w:tcW w:w="1803" w:type="dxa"/>
            <w:tcBorders>
              <w:top w:val="nil"/>
              <w:left w:val="nil"/>
              <w:bottom w:val="nil"/>
              <w:right w:val="nil"/>
            </w:tcBorders>
          </w:tcPr>
          <w:p w:rsidR="009D53E5" w:rsidRPr="009429F0" w:rsidRDefault="009D53E5" w:rsidP="00C37EAE">
            <w:pPr>
              <w:jc w:val="center"/>
            </w:pPr>
            <w:r w:rsidRPr="009429F0">
              <w:t>4</w:t>
            </w:r>
          </w:p>
        </w:tc>
        <w:tc>
          <w:tcPr>
            <w:tcW w:w="1803" w:type="dxa"/>
            <w:tcBorders>
              <w:top w:val="nil"/>
              <w:left w:val="nil"/>
              <w:bottom w:val="nil"/>
              <w:right w:val="nil"/>
            </w:tcBorders>
          </w:tcPr>
          <w:p w:rsidR="009D53E5" w:rsidRPr="009429F0" w:rsidRDefault="009D53E5" w:rsidP="00C37EAE">
            <w:pPr>
              <w:jc w:val="center"/>
            </w:pPr>
            <w:r w:rsidRPr="009429F0">
              <w:t>9,514</w:t>
            </w:r>
          </w:p>
        </w:tc>
        <w:tc>
          <w:tcPr>
            <w:tcW w:w="1803" w:type="dxa"/>
            <w:tcBorders>
              <w:top w:val="nil"/>
              <w:left w:val="nil"/>
              <w:bottom w:val="nil"/>
              <w:right w:val="nil"/>
            </w:tcBorders>
          </w:tcPr>
          <w:p w:rsidR="009D53E5" w:rsidRPr="009429F0" w:rsidRDefault="009D53E5" w:rsidP="00C37EAE">
            <w:pPr>
              <w:jc w:val="center"/>
            </w:pPr>
            <w:r w:rsidRPr="009429F0">
              <w:t>4 (4/0)</w:t>
            </w:r>
          </w:p>
        </w:tc>
        <w:tc>
          <w:tcPr>
            <w:tcW w:w="1804" w:type="dxa"/>
            <w:tcBorders>
              <w:top w:val="nil"/>
              <w:left w:val="nil"/>
              <w:bottom w:val="nil"/>
              <w:right w:val="nil"/>
            </w:tcBorders>
          </w:tcPr>
          <w:p w:rsidR="009D53E5" w:rsidRPr="009429F0" w:rsidRDefault="009D53E5" w:rsidP="00C37EAE">
            <w:pPr>
              <w:jc w:val="center"/>
            </w:pPr>
            <w:r w:rsidRPr="009429F0">
              <w:t>2,451</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3,000-3,999</w:t>
            </w:r>
          </w:p>
        </w:tc>
        <w:tc>
          <w:tcPr>
            <w:tcW w:w="1803" w:type="dxa"/>
            <w:tcBorders>
              <w:top w:val="nil"/>
              <w:left w:val="nil"/>
              <w:bottom w:val="nil"/>
              <w:right w:val="nil"/>
            </w:tcBorders>
          </w:tcPr>
          <w:p w:rsidR="009D53E5" w:rsidRPr="009429F0" w:rsidRDefault="009D53E5" w:rsidP="00C37EAE">
            <w:pPr>
              <w:jc w:val="center"/>
            </w:pPr>
            <w:r w:rsidRPr="009429F0">
              <w:t>8</w:t>
            </w:r>
          </w:p>
        </w:tc>
        <w:tc>
          <w:tcPr>
            <w:tcW w:w="1803" w:type="dxa"/>
            <w:tcBorders>
              <w:top w:val="nil"/>
              <w:left w:val="nil"/>
              <w:bottom w:val="nil"/>
              <w:right w:val="nil"/>
            </w:tcBorders>
          </w:tcPr>
          <w:p w:rsidR="009D53E5" w:rsidRPr="009429F0" w:rsidRDefault="009D53E5" w:rsidP="00C37EAE">
            <w:pPr>
              <w:jc w:val="center"/>
            </w:pPr>
            <w:r w:rsidRPr="009429F0">
              <w:t>28,528</w:t>
            </w:r>
          </w:p>
        </w:tc>
        <w:tc>
          <w:tcPr>
            <w:tcW w:w="1803" w:type="dxa"/>
            <w:tcBorders>
              <w:top w:val="nil"/>
              <w:left w:val="nil"/>
              <w:bottom w:val="nil"/>
              <w:right w:val="nil"/>
            </w:tcBorders>
          </w:tcPr>
          <w:p w:rsidR="009D53E5" w:rsidRPr="009429F0" w:rsidRDefault="009D53E5" w:rsidP="00C37EAE">
            <w:pPr>
              <w:jc w:val="center"/>
            </w:pPr>
            <w:r w:rsidRPr="009429F0">
              <w:t>16 (9/7)</w:t>
            </w:r>
          </w:p>
        </w:tc>
        <w:tc>
          <w:tcPr>
            <w:tcW w:w="1804" w:type="dxa"/>
            <w:tcBorders>
              <w:top w:val="nil"/>
              <w:left w:val="nil"/>
              <w:bottom w:val="nil"/>
              <w:right w:val="nil"/>
            </w:tcBorders>
          </w:tcPr>
          <w:p w:rsidR="009D53E5" w:rsidRPr="009429F0" w:rsidRDefault="009D53E5" w:rsidP="00C37EAE">
            <w:pPr>
              <w:jc w:val="center"/>
            </w:pPr>
            <w:r w:rsidRPr="009429F0">
              <w:t>4,714</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4,000-4,999</w:t>
            </w:r>
          </w:p>
        </w:tc>
        <w:tc>
          <w:tcPr>
            <w:tcW w:w="1803" w:type="dxa"/>
            <w:tcBorders>
              <w:top w:val="nil"/>
              <w:left w:val="nil"/>
              <w:bottom w:val="nil"/>
              <w:right w:val="nil"/>
            </w:tcBorders>
          </w:tcPr>
          <w:p w:rsidR="009D53E5" w:rsidRPr="009429F0" w:rsidRDefault="009D53E5" w:rsidP="00C37EAE">
            <w:pPr>
              <w:jc w:val="center"/>
            </w:pPr>
            <w:r w:rsidRPr="009429F0">
              <w:t>7</w:t>
            </w:r>
          </w:p>
        </w:tc>
        <w:tc>
          <w:tcPr>
            <w:tcW w:w="1803" w:type="dxa"/>
            <w:tcBorders>
              <w:top w:val="nil"/>
              <w:left w:val="nil"/>
              <w:bottom w:val="nil"/>
              <w:right w:val="nil"/>
            </w:tcBorders>
          </w:tcPr>
          <w:p w:rsidR="009D53E5" w:rsidRPr="009429F0" w:rsidRDefault="009D53E5" w:rsidP="00C37EAE">
            <w:pPr>
              <w:jc w:val="center"/>
            </w:pPr>
            <w:r w:rsidRPr="009429F0">
              <w:t>31,103</w:t>
            </w:r>
          </w:p>
        </w:tc>
        <w:tc>
          <w:tcPr>
            <w:tcW w:w="1803" w:type="dxa"/>
            <w:tcBorders>
              <w:top w:val="nil"/>
              <w:left w:val="nil"/>
              <w:bottom w:val="nil"/>
              <w:right w:val="nil"/>
            </w:tcBorders>
          </w:tcPr>
          <w:p w:rsidR="009D53E5" w:rsidRPr="009429F0" w:rsidRDefault="009D53E5" w:rsidP="00C37EAE">
            <w:pPr>
              <w:jc w:val="center"/>
            </w:pPr>
            <w:r w:rsidRPr="009429F0">
              <w:t>30 (14/16)</w:t>
            </w:r>
          </w:p>
        </w:tc>
        <w:tc>
          <w:tcPr>
            <w:tcW w:w="1804" w:type="dxa"/>
            <w:tcBorders>
              <w:top w:val="nil"/>
              <w:left w:val="nil"/>
              <w:bottom w:val="nil"/>
              <w:right w:val="nil"/>
            </w:tcBorders>
          </w:tcPr>
          <w:p w:rsidR="009D53E5" w:rsidRPr="009429F0" w:rsidRDefault="009D53E5" w:rsidP="00C37EAE">
            <w:pPr>
              <w:jc w:val="center"/>
            </w:pPr>
            <w:r w:rsidRPr="009429F0">
              <w:t>4,367</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5,000-5,999</w:t>
            </w:r>
          </w:p>
        </w:tc>
        <w:tc>
          <w:tcPr>
            <w:tcW w:w="1803" w:type="dxa"/>
            <w:tcBorders>
              <w:top w:val="nil"/>
              <w:left w:val="nil"/>
              <w:bottom w:val="nil"/>
              <w:right w:val="nil"/>
            </w:tcBorders>
          </w:tcPr>
          <w:p w:rsidR="009D53E5" w:rsidRPr="009429F0" w:rsidRDefault="009D53E5" w:rsidP="00C37EAE">
            <w:pPr>
              <w:jc w:val="center"/>
            </w:pPr>
            <w:r w:rsidRPr="009429F0">
              <w:t>8</w:t>
            </w:r>
          </w:p>
        </w:tc>
        <w:tc>
          <w:tcPr>
            <w:tcW w:w="1803" w:type="dxa"/>
            <w:tcBorders>
              <w:top w:val="nil"/>
              <w:left w:val="nil"/>
              <w:bottom w:val="nil"/>
              <w:right w:val="nil"/>
            </w:tcBorders>
          </w:tcPr>
          <w:p w:rsidR="009D53E5" w:rsidRPr="009429F0" w:rsidRDefault="009D53E5" w:rsidP="00C37EAE">
            <w:pPr>
              <w:jc w:val="center"/>
            </w:pPr>
            <w:r w:rsidRPr="009429F0">
              <w:t>43,735</w:t>
            </w:r>
          </w:p>
        </w:tc>
        <w:tc>
          <w:tcPr>
            <w:tcW w:w="1803" w:type="dxa"/>
            <w:tcBorders>
              <w:top w:val="nil"/>
              <w:left w:val="nil"/>
              <w:bottom w:val="nil"/>
              <w:right w:val="nil"/>
            </w:tcBorders>
          </w:tcPr>
          <w:p w:rsidR="009D53E5" w:rsidRPr="009429F0" w:rsidRDefault="009D53E5" w:rsidP="00C37EAE">
            <w:pPr>
              <w:jc w:val="center"/>
            </w:pPr>
            <w:r w:rsidRPr="009429F0">
              <w:t>36 (16/20)</w:t>
            </w:r>
          </w:p>
        </w:tc>
        <w:tc>
          <w:tcPr>
            <w:tcW w:w="1804" w:type="dxa"/>
            <w:tcBorders>
              <w:top w:val="nil"/>
              <w:left w:val="nil"/>
              <w:bottom w:val="nil"/>
              <w:right w:val="nil"/>
            </w:tcBorders>
          </w:tcPr>
          <w:p w:rsidR="009D53E5" w:rsidRPr="009429F0" w:rsidRDefault="009D53E5" w:rsidP="00C37EAE">
            <w:pPr>
              <w:jc w:val="center"/>
            </w:pPr>
            <w:r w:rsidRPr="009429F0">
              <w:t>8,208</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6,000-6,999</w:t>
            </w:r>
          </w:p>
        </w:tc>
        <w:tc>
          <w:tcPr>
            <w:tcW w:w="1803" w:type="dxa"/>
            <w:tcBorders>
              <w:top w:val="nil"/>
              <w:left w:val="nil"/>
              <w:bottom w:val="nil"/>
              <w:right w:val="nil"/>
            </w:tcBorders>
          </w:tcPr>
          <w:p w:rsidR="009D53E5" w:rsidRPr="009429F0" w:rsidRDefault="009D53E5" w:rsidP="00C37EAE">
            <w:pPr>
              <w:jc w:val="center"/>
            </w:pPr>
            <w:r w:rsidRPr="009429F0">
              <w:t>5</w:t>
            </w:r>
          </w:p>
        </w:tc>
        <w:tc>
          <w:tcPr>
            <w:tcW w:w="1803" w:type="dxa"/>
            <w:tcBorders>
              <w:top w:val="nil"/>
              <w:left w:val="nil"/>
              <w:bottom w:val="nil"/>
              <w:right w:val="nil"/>
            </w:tcBorders>
          </w:tcPr>
          <w:p w:rsidR="009D53E5" w:rsidRPr="009429F0" w:rsidRDefault="009D53E5" w:rsidP="00C37EAE">
            <w:pPr>
              <w:jc w:val="center"/>
            </w:pPr>
            <w:r w:rsidRPr="009429F0">
              <w:t>32,436</w:t>
            </w:r>
          </w:p>
        </w:tc>
        <w:tc>
          <w:tcPr>
            <w:tcW w:w="1803" w:type="dxa"/>
            <w:tcBorders>
              <w:top w:val="nil"/>
              <w:left w:val="nil"/>
              <w:bottom w:val="nil"/>
              <w:right w:val="nil"/>
            </w:tcBorders>
          </w:tcPr>
          <w:p w:rsidR="009D53E5" w:rsidRPr="009429F0" w:rsidRDefault="009D53E5" w:rsidP="00C37EAE">
            <w:pPr>
              <w:jc w:val="center"/>
            </w:pPr>
            <w:r w:rsidRPr="009429F0">
              <w:t>30 (14/16)</w:t>
            </w:r>
          </w:p>
        </w:tc>
        <w:tc>
          <w:tcPr>
            <w:tcW w:w="1804" w:type="dxa"/>
            <w:tcBorders>
              <w:top w:val="nil"/>
              <w:left w:val="nil"/>
              <w:bottom w:val="nil"/>
              <w:right w:val="nil"/>
            </w:tcBorders>
          </w:tcPr>
          <w:p w:rsidR="009D53E5" w:rsidRPr="009429F0" w:rsidRDefault="009D53E5" w:rsidP="00C37EAE">
            <w:pPr>
              <w:jc w:val="center"/>
            </w:pPr>
            <w:r w:rsidRPr="009429F0">
              <w:t>5,568</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7,000-7,999</w:t>
            </w:r>
          </w:p>
        </w:tc>
        <w:tc>
          <w:tcPr>
            <w:tcW w:w="1803" w:type="dxa"/>
            <w:tcBorders>
              <w:top w:val="nil"/>
              <w:left w:val="nil"/>
              <w:bottom w:val="nil"/>
              <w:right w:val="nil"/>
            </w:tcBorders>
          </w:tcPr>
          <w:p w:rsidR="009D53E5" w:rsidRPr="009429F0" w:rsidRDefault="009D53E5" w:rsidP="00C37EAE">
            <w:pPr>
              <w:jc w:val="center"/>
            </w:pPr>
            <w:r w:rsidRPr="009429F0">
              <w:t>3</w:t>
            </w:r>
          </w:p>
        </w:tc>
        <w:tc>
          <w:tcPr>
            <w:tcW w:w="1803" w:type="dxa"/>
            <w:tcBorders>
              <w:top w:val="nil"/>
              <w:left w:val="nil"/>
              <w:bottom w:val="nil"/>
              <w:right w:val="nil"/>
            </w:tcBorders>
          </w:tcPr>
          <w:p w:rsidR="009D53E5" w:rsidRPr="009429F0" w:rsidRDefault="009D53E5" w:rsidP="00C37EAE">
            <w:pPr>
              <w:jc w:val="center"/>
            </w:pPr>
            <w:r w:rsidRPr="009429F0">
              <w:t>21,867</w:t>
            </w:r>
          </w:p>
        </w:tc>
        <w:tc>
          <w:tcPr>
            <w:tcW w:w="1803" w:type="dxa"/>
            <w:tcBorders>
              <w:top w:val="nil"/>
              <w:left w:val="nil"/>
              <w:bottom w:val="nil"/>
              <w:right w:val="nil"/>
            </w:tcBorders>
          </w:tcPr>
          <w:p w:rsidR="009D53E5" w:rsidRPr="009429F0" w:rsidRDefault="009D53E5" w:rsidP="00C37EAE">
            <w:pPr>
              <w:jc w:val="center"/>
            </w:pPr>
            <w:r w:rsidRPr="009429F0">
              <w:t>28 (11/17)</w:t>
            </w:r>
          </w:p>
        </w:tc>
        <w:tc>
          <w:tcPr>
            <w:tcW w:w="1804" w:type="dxa"/>
            <w:tcBorders>
              <w:top w:val="nil"/>
              <w:left w:val="nil"/>
              <w:bottom w:val="nil"/>
              <w:right w:val="nil"/>
            </w:tcBorders>
          </w:tcPr>
          <w:p w:rsidR="009D53E5" w:rsidRPr="009429F0" w:rsidRDefault="009D53E5" w:rsidP="00C37EAE">
            <w:pPr>
              <w:jc w:val="center"/>
            </w:pPr>
            <w:r w:rsidRPr="009429F0">
              <w:t>2,204</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8,000-8,999</w:t>
            </w:r>
          </w:p>
        </w:tc>
        <w:tc>
          <w:tcPr>
            <w:tcW w:w="1803" w:type="dxa"/>
            <w:tcBorders>
              <w:top w:val="nil"/>
              <w:left w:val="nil"/>
              <w:bottom w:val="nil"/>
              <w:right w:val="nil"/>
            </w:tcBorders>
          </w:tcPr>
          <w:p w:rsidR="009D53E5" w:rsidRPr="009429F0" w:rsidRDefault="009D53E5" w:rsidP="00C37EAE">
            <w:pPr>
              <w:jc w:val="center"/>
            </w:pPr>
            <w:r w:rsidRPr="009429F0">
              <w:t>7</w:t>
            </w:r>
          </w:p>
        </w:tc>
        <w:tc>
          <w:tcPr>
            <w:tcW w:w="1803" w:type="dxa"/>
            <w:tcBorders>
              <w:top w:val="nil"/>
              <w:left w:val="nil"/>
              <w:bottom w:val="nil"/>
              <w:right w:val="nil"/>
            </w:tcBorders>
          </w:tcPr>
          <w:p w:rsidR="009D53E5" w:rsidRPr="009429F0" w:rsidRDefault="009D53E5" w:rsidP="00C37EAE">
            <w:pPr>
              <w:jc w:val="center"/>
            </w:pPr>
            <w:r w:rsidRPr="009429F0">
              <w:t>59,347</w:t>
            </w:r>
          </w:p>
        </w:tc>
        <w:tc>
          <w:tcPr>
            <w:tcW w:w="1803" w:type="dxa"/>
            <w:tcBorders>
              <w:top w:val="nil"/>
              <w:left w:val="nil"/>
              <w:bottom w:val="nil"/>
              <w:right w:val="nil"/>
            </w:tcBorders>
          </w:tcPr>
          <w:p w:rsidR="009D53E5" w:rsidRPr="009429F0" w:rsidRDefault="009D53E5" w:rsidP="00C37EAE">
            <w:pPr>
              <w:jc w:val="center"/>
            </w:pPr>
            <w:r w:rsidRPr="009429F0">
              <w:t>57 (25/32)</w:t>
            </w:r>
          </w:p>
        </w:tc>
        <w:tc>
          <w:tcPr>
            <w:tcW w:w="1804" w:type="dxa"/>
            <w:tcBorders>
              <w:top w:val="nil"/>
              <w:left w:val="nil"/>
              <w:bottom w:val="nil"/>
              <w:right w:val="nil"/>
            </w:tcBorders>
          </w:tcPr>
          <w:p w:rsidR="009D53E5" w:rsidRPr="009429F0" w:rsidRDefault="009D53E5" w:rsidP="00C37EAE">
            <w:pPr>
              <w:jc w:val="center"/>
            </w:pPr>
            <w:r w:rsidRPr="009429F0">
              <w:t>10,160</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9,000-9,999</w:t>
            </w:r>
          </w:p>
        </w:tc>
        <w:tc>
          <w:tcPr>
            <w:tcW w:w="1803" w:type="dxa"/>
            <w:tcBorders>
              <w:top w:val="nil"/>
              <w:left w:val="nil"/>
              <w:bottom w:val="nil"/>
              <w:right w:val="nil"/>
            </w:tcBorders>
          </w:tcPr>
          <w:p w:rsidR="009D53E5" w:rsidRPr="009429F0" w:rsidRDefault="009D53E5" w:rsidP="00C37EAE">
            <w:pPr>
              <w:jc w:val="center"/>
            </w:pPr>
            <w:r w:rsidRPr="009429F0">
              <w:t>6</w:t>
            </w:r>
          </w:p>
        </w:tc>
        <w:tc>
          <w:tcPr>
            <w:tcW w:w="1803" w:type="dxa"/>
            <w:tcBorders>
              <w:top w:val="nil"/>
              <w:left w:val="nil"/>
              <w:bottom w:val="nil"/>
              <w:right w:val="nil"/>
            </w:tcBorders>
          </w:tcPr>
          <w:p w:rsidR="009D53E5" w:rsidRPr="009429F0" w:rsidRDefault="009D53E5" w:rsidP="00C37EAE">
            <w:pPr>
              <w:jc w:val="center"/>
            </w:pPr>
            <w:r w:rsidRPr="009429F0">
              <w:t>56,908</w:t>
            </w:r>
          </w:p>
        </w:tc>
        <w:tc>
          <w:tcPr>
            <w:tcW w:w="1803" w:type="dxa"/>
            <w:tcBorders>
              <w:top w:val="nil"/>
              <w:left w:val="nil"/>
              <w:bottom w:val="nil"/>
              <w:right w:val="nil"/>
            </w:tcBorders>
          </w:tcPr>
          <w:p w:rsidR="009D53E5" w:rsidRPr="009429F0" w:rsidRDefault="009D53E5" w:rsidP="00C37EAE">
            <w:pPr>
              <w:jc w:val="center"/>
            </w:pPr>
            <w:r w:rsidRPr="009429F0">
              <w:t>37 (17/20)</w:t>
            </w:r>
          </w:p>
        </w:tc>
        <w:tc>
          <w:tcPr>
            <w:tcW w:w="1804" w:type="dxa"/>
            <w:tcBorders>
              <w:top w:val="nil"/>
              <w:left w:val="nil"/>
              <w:bottom w:val="nil"/>
              <w:right w:val="nil"/>
            </w:tcBorders>
          </w:tcPr>
          <w:p w:rsidR="009D53E5" w:rsidRPr="009429F0" w:rsidRDefault="009D53E5" w:rsidP="00C37EAE">
            <w:pPr>
              <w:jc w:val="center"/>
            </w:pPr>
            <w:r w:rsidRPr="009429F0">
              <w:t>10,256</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10,000-10,999</w:t>
            </w:r>
          </w:p>
        </w:tc>
        <w:tc>
          <w:tcPr>
            <w:tcW w:w="1803" w:type="dxa"/>
            <w:tcBorders>
              <w:top w:val="nil"/>
              <w:left w:val="nil"/>
              <w:bottom w:val="nil"/>
              <w:right w:val="nil"/>
            </w:tcBorders>
          </w:tcPr>
          <w:p w:rsidR="009D53E5" w:rsidRPr="009429F0" w:rsidRDefault="009D53E5" w:rsidP="00C37EAE">
            <w:pPr>
              <w:jc w:val="center"/>
            </w:pPr>
            <w:r w:rsidRPr="009429F0">
              <w:t>3</w:t>
            </w:r>
          </w:p>
        </w:tc>
        <w:tc>
          <w:tcPr>
            <w:tcW w:w="1803" w:type="dxa"/>
            <w:tcBorders>
              <w:top w:val="nil"/>
              <w:left w:val="nil"/>
              <w:bottom w:val="nil"/>
              <w:right w:val="nil"/>
            </w:tcBorders>
          </w:tcPr>
          <w:p w:rsidR="009D53E5" w:rsidRPr="009429F0" w:rsidRDefault="009D53E5" w:rsidP="00C37EAE">
            <w:pPr>
              <w:jc w:val="center"/>
            </w:pPr>
            <w:r w:rsidRPr="009429F0">
              <w:t>20,600</w:t>
            </w:r>
          </w:p>
        </w:tc>
        <w:tc>
          <w:tcPr>
            <w:tcW w:w="1803" w:type="dxa"/>
            <w:tcBorders>
              <w:top w:val="nil"/>
              <w:left w:val="nil"/>
              <w:bottom w:val="nil"/>
              <w:right w:val="nil"/>
            </w:tcBorders>
          </w:tcPr>
          <w:p w:rsidR="009D53E5" w:rsidRPr="009429F0" w:rsidRDefault="009D53E5" w:rsidP="00C37EAE">
            <w:pPr>
              <w:jc w:val="center"/>
            </w:pPr>
            <w:r w:rsidRPr="009429F0">
              <w:t>27 (12/15)</w:t>
            </w:r>
          </w:p>
        </w:tc>
        <w:tc>
          <w:tcPr>
            <w:tcW w:w="1804" w:type="dxa"/>
            <w:tcBorders>
              <w:top w:val="nil"/>
              <w:left w:val="nil"/>
              <w:bottom w:val="nil"/>
              <w:right w:val="nil"/>
            </w:tcBorders>
          </w:tcPr>
          <w:p w:rsidR="009D53E5" w:rsidRPr="009429F0" w:rsidRDefault="009D53E5" w:rsidP="00C37EAE">
            <w:pPr>
              <w:jc w:val="center"/>
            </w:pPr>
            <w:r w:rsidRPr="009429F0">
              <w:t>2,526</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11,000-11,999</w:t>
            </w:r>
          </w:p>
        </w:tc>
        <w:tc>
          <w:tcPr>
            <w:tcW w:w="1803" w:type="dxa"/>
            <w:tcBorders>
              <w:top w:val="nil"/>
              <w:left w:val="nil"/>
              <w:bottom w:val="nil"/>
              <w:right w:val="nil"/>
            </w:tcBorders>
          </w:tcPr>
          <w:p w:rsidR="009D53E5" w:rsidRPr="009429F0" w:rsidRDefault="009D53E5" w:rsidP="00C37EAE">
            <w:pPr>
              <w:jc w:val="center"/>
            </w:pPr>
            <w:r w:rsidRPr="009429F0">
              <w:t>2</w:t>
            </w:r>
          </w:p>
        </w:tc>
        <w:tc>
          <w:tcPr>
            <w:tcW w:w="1803" w:type="dxa"/>
            <w:tcBorders>
              <w:top w:val="nil"/>
              <w:left w:val="nil"/>
              <w:bottom w:val="nil"/>
              <w:right w:val="nil"/>
            </w:tcBorders>
          </w:tcPr>
          <w:p w:rsidR="009D53E5" w:rsidRPr="009429F0" w:rsidRDefault="009D53E5" w:rsidP="00C37EAE">
            <w:pPr>
              <w:jc w:val="center"/>
            </w:pPr>
            <w:r w:rsidRPr="009429F0">
              <w:t>22,312</w:t>
            </w:r>
          </w:p>
        </w:tc>
        <w:tc>
          <w:tcPr>
            <w:tcW w:w="1803" w:type="dxa"/>
            <w:tcBorders>
              <w:top w:val="nil"/>
              <w:left w:val="nil"/>
              <w:bottom w:val="nil"/>
              <w:right w:val="nil"/>
            </w:tcBorders>
          </w:tcPr>
          <w:p w:rsidR="009D53E5" w:rsidRPr="009429F0" w:rsidRDefault="009D53E5" w:rsidP="00C37EAE">
            <w:pPr>
              <w:jc w:val="center"/>
            </w:pPr>
            <w:r w:rsidRPr="009429F0">
              <w:t>18 (12/6)</w:t>
            </w:r>
          </w:p>
        </w:tc>
        <w:tc>
          <w:tcPr>
            <w:tcW w:w="1804" w:type="dxa"/>
            <w:tcBorders>
              <w:top w:val="nil"/>
              <w:left w:val="nil"/>
              <w:bottom w:val="nil"/>
              <w:right w:val="nil"/>
            </w:tcBorders>
          </w:tcPr>
          <w:p w:rsidR="009D53E5" w:rsidRPr="009429F0" w:rsidRDefault="009D53E5" w:rsidP="00C37EAE">
            <w:pPr>
              <w:jc w:val="center"/>
            </w:pPr>
            <w:r w:rsidRPr="009429F0">
              <w:t>2,120</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12,000-12,999</w:t>
            </w:r>
          </w:p>
        </w:tc>
        <w:tc>
          <w:tcPr>
            <w:tcW w:w="1803" w:type="dxa"/>
            <w:tcBorders>
              <w:top w:val="nil"/>
              <w:left w:val="nil"/>
              <w:bottom w:val="nil"/>
              <w:right w:val="nil"/>
            </w:tcBorders>
          </w:tcPr>
          <w:p w:rsidR="009D53E5" w:rsidRPr="009429F0" w:rsidRDefault="009D53E5" w:rsidP="00C37EAE">
            <w:pPr>
              <w:jc w:val="center"/>
            </w:pPr>
            <w:r w:rsidRPr="009429F0">
              <w:t>4</w:t>
            </w:r>
          </w:p>
        </w:tc>
        <w:tc>
          <w:tcPr>
            <w:tcW w:w="1803" w:type="dxa"/>
            <w:tcBorders>
              <w:top w:val="nil"/>
              <w:left w:val="nil"/>
              <w:bottom w:val="nil"/>
              <w:right w:val="nil"/>
            </w:tcBorders>
          </w:tcPr>
          <w:p w:rsidR="009D53E5" w:rsidRPr="009429F0" w:rsidRDefault="009D53E5" w:rsidP="00C37EAE">
            <w:pPr>
              <w:jc w:val="center"/>
            </w:pPr>
            <w:r w:rsidRPr="009429F0">
              <w:t>49,613</w:t>
            </w:r>
          </w:p>
        </w:tc>
        <w:tc>
          <w:tcPr>
            <w:tcW w:w="1803" w:type="dxa"/>
            <w:tcBorders>
              <w:top w:val="nil"/>
              <w:left w:val="nil"/>
              <w:bottom w:val="nil"/>
              <w:right w:val="nil"/>
            </w:tcBorders>
          </w:tcPr>
          <w:p w:rsidR="009D53E5" w:rsidRPr="009429F0" w:rsidRDefault="009D53E5" w:rsidP="00C37EAE">
            <w:pPr>
              <w:jc w:val="center"/>
            </w:pPr>
            <w:r w:rsidRPr="009429F0">
              <w:t>38 (16/22)</w:t>
            </w:r>
          </w:p>
        </w:tc>
        <w:tc>
          <w:tcPr>
            <w:tcW w:w="1804" w:type="dxa"/>
            <w:tcBorders>
              <w:top w:val="nil"/>
              <w:left w:val="nil"/>
              <w:bottom w:val="nil"/>
              <w:right w:val="nil"/>
            </w:tcBorders>
          </w:tcPr>
          <w:p w:rsidR="009D53E5" w:rsidRPr="009429F0" w:rsidRDefault="009D53E5" w:rsidP="00C37EAE">
            <w:pPr>
              <w:jc w:val="center"/>
            </w:pPr>
            <w:r w:rsidRPr="009429F0">
              <w:t>7,982</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13,000-14,999</w:t>
            </w:r>
          </w:p>
        </w:tc>
        <w:tc>
          <w:tcPr>
            <w:tcW w:w="1803" w:type="dxa"/>
            <w:tcBorders>
              <w:top w:val="nil"/>
              <w:left w:val="nil"/>
              <w:bottom w:val="nil"/>
              <w:right w:val="nil"/>
            </w:tcBorders>
          </w:tcPr>
          <w:p w:rsidR="009D53E5" w:rsidRPr="009429F0" w:rsidRDefault="009D53E5" w:rsidP="00C37EAE">
            <w:pPr>
              <w:jc w:val="center"/>
            </w:pPr>
            <w:r w:rsidRPr="009429F0">
              <w:t>3</w:t>
            </w:r>
          </w:p>
        </w:tc>
        <w:tc>
          <w:tcPr>
            <w:tcW w:w="1803" w:type="dxa"/>
            <w:tcBorders>
              <w:top w:val="nil"/>
              <w:left w:val="nil"/>
              <w:bottom w:val="nil"/>
              <w:right w:val="nil"/>
            </w:tcBorders>
          </w:tcPr>
          <w:p w:rsidR="009D53E5" w:rsidRPr="009429F0" w:rsidRDefault="009D53E5" w:rsidP="00C37EAE">
            <w:pPr>
              <w:jc w:val="center"/>
            </w:pPr>
            <w:r w:rsidRPr="009429F0">
              <w:t>41,579</w:t>
            </w:r>
          </w:p>
        </w:tc>
        <w:tc>
          <w:tcPr>
            <w:tcW w:w="1803" w:type="dxa"/>
            <w:tcBorders>
              <w:top w:val="nil"/>
              <w:left w:val="nil"/>
              <w:bottom w:val="nil"/>
              <w:right w:val="nil"/>
            </w:tcBorders>
          </w:tcPr>
          <w:p w:rsidR="009D53E5" w:rsidRPr="009429F0" w:rsidRDefault="009D53E5" w:rsidP="00C37EAE">
            <w:pPr>
              <w:jc w:val="center"/>
            </w:pPr>
            <w:r w:rsidRPr="009429F0">
              <w:t>38 (15/23)</w:t>
            </w:r>
          </w:p>
        </w:tc>
        <w:tc>
          <w:tcPr>
            <w:tcW w:w="1804" w:type="dxa"/>
            <w:tcBorders>
              <w:top w:val="nil"/>
              <w:left w:val="nil"/>
              <w:bottom w:val="nil"/>
              <w:right w:val="nil"/>
            </w:tcBorders>
          </w:tcPr>
          <w:p w:rsidR="009D53E5" w:rsidRPr="009429F0" w:rsidRDefault="009D53E5" w:rsidP="00C37EAE">
            <w:pPr>
              <w:jc w:val="center"/>
            </w:pPr>
            <w:r w:rsidRPr="009429F0">
              <w:t>5,205</w:t>
            </w:r>
          </w:p>
        </w:tc>
      </w:tr>
      <w:tr w:rsidR="009D53E5" w:rsidRPr="009429F0" w:rsidTr="009C6C26">
        <w:tc>
          <w:tcPr>
            <w:tcW w:w="1803" w:type="dxa"/>
            <w:tcBorders>
              <w:top w:val="nil"/>
              <w:left w:val="nil"/>
              <w:bottom w:val="nil"/>
              <w:right w:val="nil"/>
            </w:tcBorders>
          </w:tcPr>
          <w:p w:rsidR="009D53E5" w:rsidRPr="009429F0" w:rsidRDefault="009D53E5" w:rsidP="00C37EAE">
            <w:r w:rsidRPr="009429F0">
              <w:t>≥ 15,000</w:t>
            </w:r>
          </w:p>
        </w:tc>
        <w:tc>
          <w:tcPr>
            <w:tcW w:w="1803" w:type="dxa"/>
            <w:tcBorders>
              <w:top w:val="nil"/>
              <w:left w:val="nil"/>
              <w:bottom w:val="nil"/>
              <w:right w:val="nil"/>
            </w:tcBorders>
          </w:tcPr>
          <w:p w:rsidR="009D53E5" w:rsidRPr="009429F0" w:rsidRDefault="009D53E5" w:rsidP="00C37EAE">
            <w:pPr>
              <w:jc w:val="center"/>
            </w:pPr>
            <w:r w:rsidRPr="009429F0">
              <w:t>5</w:t>
            </w:r>
          </w:p>
        </w:tc>
        <w:tc>
          <w:tcPr>
            <w:tcW w:w="1803" w:type="dxa"/>
            <w:tcBorders>
              <w:top w:val="nil"/>
              <w:left w:val="nil"/>
              <w:bottom w:val="nil"/>
              <w:right w:val="nil"/>
            </w:tcBorders>
          </w:tcPr>
          <w:p w:rsidR="009D53E5" w:rsidRPr="009429F0" w:rsidRDefault="009D53E5" w:rsidP="00C37EAE">
            <w:pPr>
              <w:jc w:val="center"/>
            </w:pPr>
            <w:r w:rsidRPr="009429F0">
              <w:t>98,492</w:t>
            </w:r>
          </w:p>
        </w:tc>
        <w:tc>
          <w:tcPr>
            <w:tcW w:w="1803" w:type="dxa"/>
            <w:tcBorders>
              <w:top w:val="nil"/>
              <w:left w:val="nil"/>
              <w:bottom w:val="nil"/>
              <w:right w:val="nil"/>
            </w:tcBorders>
          </w:tcPr>
          <w:p w:rsidR="009D53E5" w:rsidRPr="009429F0" w:rsidRDefault="009D53E5" w:rsidP="00C37EAE">
            <w:pPr>
              <w:jc w:val="center"/>
            </w:pPr>
            <w:r w:rsidRPr="009429F0">
              <w:t>92 (42/50)</w:t>
            </w:r>
          </w:p>
        </w:tc>
        <w:tc>
          <w:tcPr>
            <w:tcW w:w="1804" w:type="dxa"/>
            <w:tcBorders>
              <w:top w:val="nil"/>
              <w:left w:val="nil"/>
              <w:bottom w:val="nil"/>
              <w:right w:val="nil"/>
            </w:tcBorders>
          </w:tcPr>
          <w:p w:rsidR="009D53E5" w:rsidRPr="009429F0" w:rsidRDefault="009D53E5" w:rsidP="00C37EAE">
            <w:pPr>
              <w:jc w:val="center"/>
            </w:pPr>
            <w:r w:rsidRPr="009429F0">
              <w:t>12,720</w:t>
            </w:r>
          </w:p>
        </w:tc>
      </w:tr>
      <w:tr w:rsidR="009D53E5" w:rsidRPr="009429F0" w:rsidTr="009C6C26">
        <w:tc>
          <w:tcPr>
            <w:tcW w:w="1803" w:type="dxa"/>
            <w:tcBorders>
              <w:top w:val="nil"/>
              <w:left w:val="nil"/>
              <w:bottom w:val="nil"/>
              <w:right w:val="nil"/>
            </w:tcBorders>
          </w:tcPr>
          <w:p w:rsidR="009D53E5" w:rsidRPr="009429F0" w:rsidRDefault="009D53E5" w:rsidP="00C37EAE"/>
        </w:tc>
        <w:tc>
          <w:tcPr>
            <w:tcW w:w="1803" w:type="dxa"/>
            <w:tcBorders>
              <w:top w:val="nil"/>
              <w:left w:val="nil"/>
              <w:bottom w:val="nil"/>
              <w:right w:val="nil"/>
            </w:tcBorders>
          </w:tcPr>
          <w:p w:rsidR="009D53E5" w:rsidRPr="009429F0" w:rsidRDefault="009D53E5" w:rsidP="00C37EAE">
            <w:pPr>
              <w:jc w:val="center"/>
            </w:pPr>
          </w:p>
        </w:tc>
        <w:tc>
          <w:tcPr>
            <w:tcW w:w="1803" w:type="dxa"/>
            <w:tcBorders>
              <w:top w:val="nil"/>
              <w:left w:val="nil"/>
              <w:bottom w:val="nil"/>
              <w:right w:val="nil"/>
            </w:tcBorders>
          </w:tcPr>
          <w:p w:rsidR="009D53E5" w:rsidRPr="009429F0" w:rsidRDefault="009D53E5" w:rsidP="00C37EAE">
            <w:pPr>
              <w:jc w:val="center"/>
            </w:pPr>
          </w:p>
        </w:tc>
        <w:tc>
          <w:tcPr>
            <w:tcW w:w="1803" w:type="dxa"/>
            <w:tcBorders>
              <w:top w:val="nil"/>
              <w:left w:val="nil"/>
              <w:bottom w:val="nil"/>
              <w:right w:val="nil"/>
            </w:tcBorders>
          </w:tcPr>
          <w:p w:rsidR="009D53E5" w:rsidRPr="009429F0" w:rsidRDefault="009D53E5" w:rsidP="00C37EAE">
            <w:pPr>
              <w:jc w:val="center"/>
            </w:pPr>
          </w:p>
        </w:tc>
        <w:tc>
          <w:tcPr>
            <w:tcW w:w="1804" w:type="dxa"/>
            <w:tcBorders>
              <w:top w:val="nil"/>
              <w:left w:val="nil"/>
              <w:bottom w:val="nil"/>
              <w:right w:val="nil"/>
            </w:tcBorders>
          </w:tcPr>
          <w:p w:rsidR="009D53E5" w:rsidRPr="009429F0" w:rsidRDefault="009D53E5" w:rsidP="00C37EAE">
            <w:pPr>
              <w:jc w:val="center"/>
            </w:pPr>
          </w:p>
        </w:tc>
      </w:tr>
      <w:tr w:rsidR="009D53E5" w:rsidRPr="009429F0" w:rsidTr="009C6C26">
        <w:tc>
          <w:tcPr>
            <w:tcW w:w="1803" w:type="dxa"/>
            <w:tcBorders>
              <w:top w:val="nil"/>
              <w:left w:val="nil"/>
              <w:bottom w:val="nil"/>
              <w:right w:val="nil"/>
            </w:tcBorders>
          </w:tcPr>
          <w:p w:rsidR="009D53E5" w:rsidRPr="009429F0" w:rsidRDefault="009D53E5" w:rsidP="00C37EAE">
            <w:pPr>
              <w:rPr>
                <w:b/>
              </w:rPr>
            </w:pPr>
            <w:r w:rsidRPr="009429F0">
              <w:rPr>
                <w:b/>
              </w:rPr>
              <w:t>All</w:t>
            </w:r>
          </w:p>
        </w:tc>
        <w:tc>
          <w:tcPr>
            <w:tcW w:w="1803" w:type="dxa"/>
            <w:tcBorders>
              <w:top w:val="nil"/>
              <w:left w:val="nil"/>
              <w:bottom w:val="nil"/>
              <w:right w:val="nil"/>
            </w:tcBorders>
          </w:tcPr>
          <w:p w:rsidR="009D53E5" w:rsidRPr="009429F0" w:rsidRDefault="009D53E5" w:rsidP="00C37EAE">
            <w:pPr>
              <w:jc w:val="center"/>
              <w:rPr>
                <w:b/>
              </w:rPr>
            </w:pPr>
            <w:r w:rsidRPr="009429F0">
              <w:rPr>
                <w:b/>
              </w:rPr>
              <w:t>68</w:t>
            </w:r>
          </w:p>
        </w:tc>
        <w:tc>
          <w:tcPr>
            <w:tcW w:w="1803" w:type="dxa"/>
            <w:tcBorders>
              <w:top w:val="nil"/>
              <w:left w:val="nil"/>
              <w:bottom w:val="nil"/>
              <w:right w:val="nil"/>
            </w:tcBorders>
          </w:tcPr>
          <w:p w:rsidR="009D53E5" w:rsidRPr="009429F0" w:rsidRDefault="009D53E5" w:rsidP="00C37EAE">
            <w:pPr>
              <w:jc w:val="center"/>
              <w:rPr>
                <w:b/>
              </w:rPr>
            </w:pPr>
            <w:r w:rsidRPr="009429F0">
              <w:rPr>
                <w:b/>
              </w:rPr>
              <w:t>521,208</w:t>
            </w:r>
          </w:p>
        </w:tc>
        <w:tc>
          <w:tcPr>
            <w:tcW w:w="1803" w:type="dxa"/>
            <w:tcBorders>
              <w:top w:val="nil"/>
              <w:left w:val="nil"/>
              <w:bottom w:val="nil"/>
              <w:right w:val="nil"/>
            </w:tcBorders>
          </w:tcPr>
          <w:p w:rsidR="009D53E5" w:rsidRPr="009429F0" w:rsidRDefault="009D53E5" w:rsidP="00C37EAE">
            <w:pPr>
              <w:jc w:val="center"/>
              <w:rPr>
                <w:b/>
              </w:rPr>
            </w:pPr>
            <w:r w:rsidRPr="009429F0">
              <w:rPr>
                <w:b/>
              </w:rPr>
              <w:t>454 (210/244)</w:t>
            </w:r>
          </w:p>
        </w:tc>
        <w:tc>
          <w:tcPr>
            <w:tcW w:w="1804" w:type="dxa"/>
            <w:tcBorders>
              <w:top w:val="nil"/>
              <w:left w:val="nil"/>
              <w:bottom w:val="nil"/>
              <w:right w:val="nil"/>
            </w:tcBorders>
          </w:tcPr>
          <w:p w:rsidR="009D53E5" w:rsidRPr="009429F0" w:rsidRDefault="009D53E5" w:rsidP="00C37EAE">
            <w:pPr>
              <w:jc w:val="center"/>
              <w:rPr>
                <w:b/>
              </w:rPr>
            </w:pPr>
            <w:r w:rsidRPr="009429F0">
              <w:rPr>
                <w:b/>
              </w:rPr>
              <w:t>79,502</w:t>
            </w:r>
          </w:p>
        </w:tc>
      </w:tr>
      <w:tr w:rsidR="009D53E5" w:rsidRPr="009429F0" w:rsidTr="009C6C26">
        <w:tc>
          <w:tcPr>
            <w:tcW w:w="1803" w:type="dxa"/>
            <w:tcBorders>
              <w:top w:val="nil"/>
              <w:left w:val="nil"/>
              <w:right w:val="nil"/>
            </w:tcBorders>
          </w:tcPr>
          <w:p w:rsidR="009D53E5" w:rsidRPr="009429F0" w:rsidRDefault="009D53E5" w:rsidP="00C37EAE"/>
        </w:tc>
        <w:tc>
          <w:tcPr>
            <w:tcW w:w="1803" w:type="dxa"/>
            <w:tcBorders>
              <w:top w:val="nil"/>
              <w:left w:val="nil"/>
              <w:right w:val="nil"/>
            </w:tcBorders>
          </w:tcPr>
          <w:p w:rsidR="009D53E5" w:rsidRPr="009429F0" w:rsidRDefault="009D53E5" w:rsidP="00C37EAE">
            <w:pPr>
              <w:jc w:val="center"/>
            </w:pPr>
          </w:p>
        </w:tc>
        <w:tc>
          <w:tcPr>
            <w:tcW w:w="1803" w:type="dxa"/>
            <w:tcBorders>
              <w:top w:val="nil"/>
              <w:left w:val="nil"/>
              <w:right w:val="nil"/>
            </w:tcBorders>
          </w:tcPr>
          <w:p w:rsidR="009D53E5" w:rsidRPr="009429F0" w:rsidRDefault="009D53E5" w:rsidP="00C37EAE">
            <w:pPr>
              <w:jc w:val="center"/>
            </w:pPr>
          </w:p>
        </w:tc>
        <w:tc>
          <w:tcPr>
            <w:tcW w:w="1803" w:type="dxa"/>
            <w:tcBorders>
              <w:top w:val="nil"/>
              <w:left w:val="nil"/>
              <w:right w:val="nil"/>
            </w:tcBorders>
          </w:tcPr>
          <w:p w:rsidR="009D53E5" w:rsidRPr="009429F0" w:rsidRDefault="009D53E5" w:rsidP="00C37EAE">
            <w:pPr>
              <w:jc w:val="center"/>
            </w:pPr>
          </w:p>
        </w:tc>
        <w:tc>
          <w:tcPr>
            <w:tcW w:w="1804" w:type="dxa"/>
            <w:tcBorders>
              <w:top w:val="nil"/>
              <w:left w:val="nil"/>
              <w:right w:val="nil"/>
            </w:tcBorders>
          </w:tcPr>
          <w:p w:rsidR="009D53E5" w:rsidRPr="009429F0" w:rsidRDefault="009D53E5" w:rsidP="00C37EAE">
            <w:pPr>
              <w:jc w:val="center"/>
            </w:pPr>
          </w:p>
        </w:tc>
      </w:tr>
    </w:tbl>
    <w:p w:rsidR="009D53E5" w:rsidRPr="009429F0" w:rsidRDefault="009D53E5" w:rsidP="00C37EAE">
      <w:pPr>
        <w:spacing w:line="240" w:lineRule="auto"/>
      </w:pPr>
    </w:p>
    <w:p w:rsidR="009D53E5" w:rsidRPr="009429F0" w:rsidRDefault="009D53E5" w:rsidP="00C37EAE">
      <w:pPr>
        <w:spacing w:line="240" w:lineRule="auto"/>
        <w:rPr>
          <w:rFonts w:ascii="Arial" w:hAnsi="Arial" w:cs="Arial"/>
          <w:sz w:val="20"/>
          <w:szCs w:val="20"/>
        </w:rPr>
      </w:pPr>
      <w:r w:rsidRPr="009429F0">
        <w:rPr>
          <w:rFonts w:ascii="Arial" w:hAnsi="Arial" w:cs="Arial"/>
          <w:sz w:val="20"/>
          <w:szCs w:val="20"/>
        </w:rPr>
        <w:br w:type="page"/>
      </w:r>
    </w:p>
    <w:p w:rsidR="009D53E5" w:rsidRPr="009429F0" w:rsidRDefault="009D53E5" w:rsidP="00C37EAE">
      <w:pPr>
        <w:spacing w:line="240" w:lineRule="auto"/>
        <w:rPr>
          <w:rFonts w:ascii="Arial" w:hAnsi="Arial" w:cs="Arial"/>
          <w:sz w:val="20"/>
          <w:szCs w:val="20"/>
        </w:rPr>
      </w:pPr>
    </w:p>
    <w:p w:rsidR="009D53E5" w:rsidRPr="009429F0" w:rsidRDefault="009D53E5" w:rsidP="00C37EAE">
      <w:pPr>
        <w:spacing w:line="240" w:lineRule="auto"/>
        <w:rPr>
          <w:rFonts w:ascii="Arial" w:hAnsi="Arial" w:cs="Arial"/>
          <w:sz w:val="20"/>
          <w:szCs w:val="20"/>
        </w:rPr>
      </w:pPr>
    </w:p>
    <w:p w:rsidR="009D53E5" w:rsidRPr="009429F0" w:rsidRDefault="009D53E5" w:rsidP="00C37EAE">
      <w:pPr>
        <w:spacing w:line="240" w:lineRule="auto"/>
        <w:rPr>
          <w:rFonts w:ascii="Arial" w:hAnsi="Arial" w:cs="Arial"/>
          <w:sz w:val="20"/>
          <w:szCs w:val="20"/>
        </w:rPr>
      </w:pPr>
    </w:p>
    <w:p w:rsidR="00196EE9" w:rsidRPr="009429F0" w:rsidRDefault="0039222E" w:rsidP="00C37EAE">
      <w:pPr>
        <w:spacing w:line="240" w:lineRule="auto"/>
        <w:rPr>
          <w:rFonts w:ascii="Arial" w:hAnsi="Arial" w:cs="Arial"/>
          <w:sz w:val="20"/>
          <w:szCs w:val="20"/>
        </w:rPr>
      </w:pPr>
      <w:r w:rsidRPr="009429F0">
        <w:rPr>
          <w:rFonts w:ascii="Arial" w:hAnsi="Arial" w:cs="Arial"/>
          <w:sz w:val="20"/>
          <w:szCs w:val="20"/>
        </w:rPr>
        <w:t>Table 2</w:t>
      </w:r>
      <w:r w:rsidR="00196EE9" w:rsidRPr="009429F0">
        <w:rPr>
          <w:rFonts w:ascii="Arial" w:hAnsi="Arial" w:cs="Arial"/>
          <w:sz w:val="20"/>
          <w:szCs w:val="20"/>
        </w:rPr>
        <w:t>.  Duration of episodes and diagnostic category of first fit note</w:t>
      </w:r>
    </w:p>
    <w:p w:rsidR="00196EE9" w:rsidRPr="009429F0" w:rsidRDefault="00196EE9" w:rsidP="00C37EAE">
      <w:pPr>
        <w:spacing w:line="240" w:lineRule="auto"/>
        <w:rPr>
          <w:rFonts w:ascii="Arial" w:hAnsi="Arial" w:cs="Arial"/>
          <w:sz w:val="20"/>
          <w:szCs w:val="20"/>
        </w:rPr>
      </w:pPr>
    </w:p>
    <w:tbl>
      <w:tblPr>
        <w:tblStyle w:val="TableGrid"/>
        <w:tblW w:w="8188" w:type="dxa"/>
        <w:tblLook w:val="04A0" w:firstRow="1" w:lastRow="0" w:firstColumn="1" w:lastColumn="0" w:noHBand="0" w:noVBand="1"/>
      </w:tblPr>
      <w:tblGrid>
        <w:gridCol w:w="2104"/>
        <w:gridCol w:w="3107"/>
        <w:gridCol w:w="2977"/>
      </w:tblGrid>
      <w:tr w:rsidR="00196EE9" w:rsidRPr="009429F0" w:rsidTr="001A72F9">
        <w:tc>
          <w:tcPr>
            <w:tcW w:w="2104" w:type="dxa"/>
            <w:tcBorders>
              <w:left w:val="nil"/>
              <w:bottom w:val="nil"/>
              <w:right w:val="nil"/>
            </w:tcBorders>
          </w:tcPr>
          <w:p w:rsidR="00196EE9" w:rsidRPr="009429F0" w:rsidRDefault="00196EE9" w:rsidP="00C37EAE">
            <w:pPr>
              <w:rPr>
                <w:rFonts w:ascii="Arial" w:hAnsi="Arial" w:cs="Arial"/>
                <w:sz w:val="20"/>
                <w:szCs w:val="20"/>
              </w:rPr>
            </w:pPr>
          </w:p>
        </w:tc>
        <w:tc>
          <w:tcPr>
            <w:tcW w:w="3107" w:type="dxa"/>
            <w:tcBorders>
              <w:left w:val="nil"/>
              <w:bottom w:val="nil"/>
              <w:right w:val="nil"/>
            </w:tcBorders>
          </w:tcPr>
          <w:p w:rsidR="00196EE9" w:rsidRPr="009429F0" w:rsidRDefault="00196EE9" w:rsidP="00C37EAE">
            <w:pPr>
              <w:jc w:val="center"/>
              <w:rPr>
                <w:rFonts w:ascii="Arial" w:hAnsi="Arial" w:cs="Arial"/>
                <w:b/>
                <w:sz w:val="20"/>
                <w:szCs w:val="20"/>
                <w:u w:val="single"/>
              </w:rPr>
            </w:pPr>
            <w:r w:rsidRPr="009429F0">
              <w:rPr>
                <w:rFonts w:ascii="Arial" w:hAnsi="Arial" w:cs="Arial"/>
                <w:b/>
                <w:sz w:val="20"/>
                <w:szCs w:val="20"/>
                <w:u w:val="single"/>
              </w:rPr>
              <w:t>All episodes</w:t>
            </w:r>
          </w:p>
        </w:tc>
        <w:tc>
          <w:tcPr>
            <w:tcW w:w="2977" w:type="dxa"/>
            <w:tcBorders>
              <w:left w:val="nil"/>
              <w:bottom w:val="nil"/>
              <w:right w:val="nil"/>
            </w:tcBorders>
          </w:tcPr>
          <w:p w:rsidR="00196EE9" w:rsidRPr="009429F0" w:rsidRDefault="00196EE9" w:rsidP="00C37EAE">
            <w:pPr>
              <w:jc w:val="center"/>
              <w:rPr>
                <w:rFonts w:ascii="Arial" w:hAnsi="Arial" w:cs="Arial"/>
                <w:b/>
                <w:sz w:val="20"/>
                <w:szCs w:val="20"/>
                <w:u w:val="single"/>
              </w:rPr>
            </w:pPr>
            <w:r w:rsidRPr="009429F0">
              <w:rPr>
                <w:rFonts w:ascii="Arial" w:hAnsi="Arial" w:cs="Arial"/>
                <w:b/>
                <w:sz w:val="20"/>
                <w:szCs w:val="20"/>
                <w:u w:val="single"/>
              </w:rPr>
              <w:t>Multiple fit note episodes</w:t>
            </w:r>
          </w:p>
        </w:tc>
      </w:tr>
      <w:tr w:rsidR="00196EE9" w:rsidRPr="009429F0" w:rsidTr="00196EE9">
        <w:tc>
          <w:tcPr>
            <w:tcW w:w="2104" w:type="dxa"/>
            <w:tcBorders>
              <w:top w:val="nil"/>
              <w:left w:val="nil"/>
              <w:bottom w:val="single" w:sz="4" w:space="0" w:color="auto"/>
              <w:right w:val="nil"/>
            </w:tcBorders>
          </w:tcPr>
          <w:p w:rsidR="00196EE9" w:rsidRPr="009429F0" w:rsidRDefault="00196EE9" w:rsidP="00C37EAE">
            <w:pPr>
              <w:jc w:val="center"/>
              <w:rPr>
                <w:rFonts w:ascii="Arial" w:hAnsi="Arial" w:cs="Arial"/>
                <w:b/>
                <w:sz w:val="20"/>
                <w:szCs w:val="20"/>
              </w:rPr>
            </w:pPr>
          </w:p>
        </w:tc>
        <w:tc>
          <w:tcPr>
            <w:tcW w:w="3107" w:type="dxa"/>
            <w:tcBorders>
              <w:top w:val="nil"/>
              <w:left w:val="nil"/>
              <w:bottom w:val="single" w:sz="4" w:space="0" w:color="auto"/>
              <w:right w:val="nil"/>
            </w:tcBorders>
            <w:vAlign w:val="bottom"/>
          </w:tcPr>
          <w:p w:rsidR="00196EE9" w:rsidRPr="009429F0" w:rsidRDefault="00196EE9" w:rsidP="00C37EAE">
            <w:pPr>
              <w:jc w:val="center"/>
              <w:rPr>
                <w:rFonts w:ascii="Arial" w:hAnsi="Arial" w:cs="Arial"/>
                <w:b/>
                <w:sz w:val="20"/>
                <w:szCs w:val="20"/>
              </w:rPr>
            </w:pPr>
            <w:r w:rsidRPr="009429F0">
              <w:rPr>
                <w:rFonts w:ascii="Arial" w:hAnsi="Arial" w:cs="Arial"/>
                <w:b/>
                <w:sz w:val="20"/>
                <w:szCs w:val="20"/>
              </w:rPr>
              <w:t>N (Col</w:t>
            </w:r>
            <w:r w:rsidR="00D062F0" w:rsidRPr="009429F0">
              <w:rPr>
                <w:rFonts w:ascii="Arial" w:hAnsi="Arial" w:cs="Arial"/>
                <w:b/>
                <w:sz w:val="20"/>
                <w:szCs w:val="20"/>
              </w:rPr>
              <w:t>umn</w:t>
            </w:r>
            <w:r w:rsidRPr="009429F0">
              <w:rPr>
                <w:rFonts w:ascii="Arial" w:hAnsi="Arial" w:cs="Arial"/>
                <w:b/>
                <w:sz w:val="20"/>
                <w:szCs w:val="20"/>
              </w:rPr>
              <w:t xml:space="preserve"> %) </w:t>
            </w:r>
          </w:p>
        </w:tc>
        <w:tc>
          <w:tcPr>
            <w:tcW w:w="2977" w:type="dxa"/>
            <w:tcBorders>
              <w:top w:val="nil"/>
              <w:left w:val="nil"/>
              <w:bottom w:val="single" w:sz="4" w:space="0" w:color="auto"/>
              <w:right w:val="nil"/>
            </w:tcBorders>
            <w:vAlign w:val="bottom"/>
          </w:tcPr>
          <w:p w:rsidR="00196EE9" w:rsidRPr="009429F0" w:rsidRDefault="00196EE9" w:rsidP="00C37EAE">
            <w:pPr>
              <w:jc w:val="center"/>
              <w:rPr>
                <w:rFonts w:ascii="Arial" w:hAnsi="Arial" w:cs="Arial"/>
                <w:b/>
                <w:sz w:val="20"/>
                <w:szCs w:val="20"/>
              </w:rPr>
            </w:pPr>
            <w:r w:rsidRPr="009429F0">
              <w:rPr>
                <w:rFonts w:ascii="Arial" w:hAnsi="Arial" w:cs="Arial"/>
                <w:b/>
                <w:sz w:val="20"/>
                <w:szCs w:val="20"/>
              </w:rPr>
              <w:t>N (Col</w:t>
            </w:r>
            <w:r w:rsidR="00D062F0" w:rsidRPr="009429F0">
              <w:rPr>
                <w:rFonts w:ascii="Arial" w:hAnsi="Arial" w:cs="Arial"/>
                <w:b/>
                <w:sz w:val="20"/>
                <w:szCs w:val="20"/>
              </w:rPr>
              <w:t>umn</w:t>
            </w:r>
            <w:r w:rsidRPr="009429F0">
              <w:rPr>
                <w:rFonts w:ascii="Arial" w:hAnsi="Arial" w:cs="Arial"/>
                <w:b/>
                <w:sz w:val="20"/>
                <w:szCs w:val="20"/>
              </w:rPr>
              <w:t xml:space="preserve"> %) </w:t>
            </w:r>
          </w:p>
        </w:tc>
      </w:tr>
      <w:tr w:rsidR="00196EE9" w:rsidRPr="009429F0" w:rsidTr="00196EE9">
        <w:tc>
          <w:tcPr>
            <w:tcW w:w="2104" w:type="dxa"/>
            <w:tcBorders>
              <w:left w:val="nil"/>
              <w:bottom w:val="nil"/>
              <w:right w:val="nil"/>
            </w:tcBorders>
          </w:tcPr>
          <w:p w:rsidR="00196EE9" w:rsidRPr="009429F0" w:rsidRDefault="00196EE9" w:rsidP="00C37EAE">
            <w:pPr>
              <w:jc w:val="center"/>
              <w:rPr>
                <w:rFonts w:ascii="Arial" w:hAnsi="Arial" w:cs="Arial"/>
                <w:sz w:val="20"/>
                <w:szCs w:val="20"/>
              </w:rPr>
            </w:pPr>
          </w:p>
        </w:tc>
        <w:tc>
          <w:tcPr>
            <w:tcW w:w="3107" w:type="dxa"/>
            <w:tcBorders>
              <w:left w:val="nil"/>
              <w:bottom w:val="nil"/>
              <w:right w:val="nil"/>
            </w:tcBorders>
          </w:tcPr>
          <w:p w:rsidR="00196EE9" w:rsidRPr="009429F0" w:rsidRDefault="00196EE9" w:rsidP="00C37EAE">
            <w:pPr>
              <w:jc w:val="center"/>
              <w:rPr>
                <w:rFonts w:ascii="Arial" w:hAnsi="Arial" w:cs="Arial"/>
                <w:i/>
                <w:sz w:val="20"/>
                <w:szCs w:val="20"/>
              </w:rPr>
            </w:pPr>
          </w:p>
        </w:tc>
        <w:tc>
          <w:tcPr>
            <w:tcW w:w="2977" w:type="dxa"/>
            <w:tcBorders>
              <w:left w:val="nil"/>
              <w:bottom w:val="nil"/>
              <w:right w:val="nil"/>
            </w:tcBorders>
          </w:tcPr>
          <w:p w:rsidR="00196EE9" w:rsidRPr="009429F0" w:rsidRDefault="00196EE9" w:rsidP="00C37EAE">
            <w:pPr>
              <w:jc w:val="center"/>
              <w:rPr>
                <w:rFonts w:ascii="Arial" w:hAnsi="Arial" w:cs="Arial"/>
                <w:i/>
                <w:sz w:val="20"/>
                <w:szCs w:val="20"/>
              </w:rPr>
            </w:pPr>
          </w:p>
        </w:tc>
      </w:tr>
      <w:tr w:rsidR="00196EE9" w:rsidRPr="009429F0" w:rsidTr="00196EE9">
        <w:tc>
          <w:tcPr>
            <w:tcW w:w="2104" w:type="dxa"/>
            <w:tcBorders>
              <w:top w:val="nil"/>
              <w:left w:val="nil"/>
              <w:bottom w:val="nil"/>
              <w:right w:val="nil"/>
            </w:tcBorders>
            <w:vAlign w:val="bottom"/>
          </w:tcPr>
          <w:p w:rsidR="00196EE9" w:rsidRPr="009429F0" w:rsidRDefault="00196EE9" w:rsidP="00C37EAE">
            <w:pPr>
              <w:jc w:val="center"/>
              <w:rPr>
                <w:rFonts w:ascii="Arial" w:hAnsi="Arial" w:cs="Arial"/>
                <w:sz w:val="20"/>
                <w:szCs w:val="20"/>
              </w:rPr>
            </w:pPr>
            <w:r w:rsidRPr="009429F0">
              <w:rPr>
                <w:rFonts w:ascii="Arial" w:hAnsi="Arial" w:cs="Arial"/>
                <w:b/>
                <w:sz w:val="20"/>
                <w:szCs w:val="20"/>
              </w:rPr>
              <w:t>Days duration of episode</w:t>
            </w:r>
          </w:p>
          <w:p w:rsidR="00196EE9" w:rsidRPr="009429F0" w:rsidRDefault="00196EE9" w:rsidP="00C37EAE">
            <w:pPr>
              <w:jc w:val="center"/>
              <w:rPr>
                <w:rFonts w:ascii="Arial" w:hAnsi="Arial" w:cs="Arial"/>
                <w:sz w:val="20"/>
                <w:szCs w:val="20"/>
              </w:rPr>
            </w:pPr>
            <w:r w:rsidRPr="009429F0">
              <w:rPr>
                <w:rFonts w:ascii="Arial" w:hAnsi="Arial" w:cs="Arial"/>
                <w:sz w:val="20"/>
                <w:szCs w:val="20"/>
              </w:rPr>
              <w:t>≤ 30</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23,663 (58.9</w:t>
            </w:r>
            <w:r w:rsidR="00196EE9" w:rsidRPr="009429F0">
              <w:rPr>
                <w:rFonts w:ascii="Arial" w:hAnsi="Arial" w:cs="Arial"/>
                <w:sz w:val="20"/>
                <w:szCs w:val="20"/>
              </w:rPr>
              <w:t>)</w:t>
            </w:r>
          </w:p>
        </w:tc>
        <w:tc>
          <w:tcPr>
            <w:tcW w:w="2977" w:type="dxa"/>
            <w:tcBorders>
              <w:top w:val="nil"/>
              <w:left w:val="nil"/>
              <w:bottom w:val="nil"/>
              <w:right w:val="nil"/>
            </w:tcBorders>
          </w:tcPr>
          <w:p w:rsidR="00196EE9" w:rsidRPr="009429F0" w:rsidRDefault="00196EE9" w:rsidP="00C37EAE">
            <w:pPr>
              <w:jc w:val="center"/>
              <w:rPr>
                <w:rFonts w:ascii="Arial" w:hAnsi="Arial" w:cs="Arial"/>
                <w:sz w:val="20"/>
                <w:szCs w:val="20"/>
              </w:rPr>
            </w:pPr>
          </w:p>
          <w:p w:rsidR="00196EE9" w:rsidRPr="009429F0" w:rsidRDefault="00196EE9" w:rsidP="00C37EAE">
            <w:pPr>
              <w:jc w:val="center"/>
              <w:rPr>
                <w:rFonts w:ascii="Arial" w:hAnsi="Arial" w:cs="Arial"/>
                <w:sz w:val="20"/>
                <w:szCs w:val="20"/>
              </w:rPr>
            </w:pPr>
          </w:p>
          <w:p w:rsidR="00196EE9" w:rsidRPr="009429F0" w:rsidRDefault="0038061A" w:rsidP="00C37EAE">
            <w:pPr>
              <w:jc w:val="center"/>
              <w:rPr>
                <w:rFonts w:ascii="Arial" w:hAnsi="Arial" w:cs="Arial"/>
                <w:sz w:val="20"/>
                <w:szCs w:val="20"/>
              </w:rPr>
            </w:pPr>
            <w:r w:rsidRPr="009429F0">
              <w:rPr>
                <w:rFonts w:ascii="Arial" w:hAnsi="Arial" w:cs="Arial"/>
                <w:sz w:val="20"/>
                <w:szCs w:val="20"/>
              </w:rPr>
              <w:t>4,730 (29.0</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sz w:val="20"/>
                <w:szCs w:val="20"/>
              </w:rPr>
            </w:pPr>
            <w:r w:rsidRPr="009429F0">
              <w:rPr>
                <w:rFonts w:ascii="Arial" w:hAnsi="Arial" w:cs="Arial"/>
                <w:sz w:val="20"/>
                <w:szCs w:val="20"/>
              </w:rPr>
              <w:t>31-60</w:t>
            </w:r>
          </w:p>
        </w:tc>
        <w:tc>
          <w:tcPr>
            <w:tcW w:w="3107" w:type="dxa"/>
            <w:tcBorders>
              <w:top w:val="nil"/>
              <w:left w:val="nil"/>
              <w:bottom w:val="nil"/>
              <w:right w:val="nil"/>
            </w:tcBorders>
          </w:tcPr>
          <w:p w:rsidR="00196EE9" w:rsidRPr="009429F0" w:rsidRDefault="00DA7C7F" w:rsidP="00C37EAE">
            <w:pPr>
              <w:jc w:val="center"/>
              <w:rPr>
                <w:rFonts w:ascii="Arial" w:hAnsi="Arial" w:cs="Arial"/>
                <w:sz w:val="20"/>
                <w:szCs w:val="20"/>
              </w:rPr>
            </w:pPr>
            <w:r w:rsidRPr="009429F0">
              <w:rPr>
                <w:rFonts w:ascii="Arial" w:hAnsi="Arial" w:cs="Arial"/>
                <w:sz w:val="20"/>
                <w:szCs w:val="20"/>
              </w:rPr>
              <w:t>6,692 (16.7</w:t>
            </w:r>
            <w:r w:rsidR="00196EE9" w:rsidRPr="009429F0">
              <w:rPr>
                <w:rFonts w:ascii="Arial" w:hAnsi="Arial" w:cs="Arial"/>
                <w:sz w:val="20"/>
                <w:szCs w:val="20"/>
              </w:rPr>
              <w:t>)</w:t>
            </w:r>
          </w:p>
        </w:tc>
        <w:tc>
          <w:tcPr>
            <w:tcW w:w="2977" w:type="dxa"/>
            <w:tcBorders>
              <w:top w:val="nil"/>
              <w:left w:val="nil"/>
              <w:bottom w:val="nil"/>
              <w:right w:val="nil"/>
            </w:tcBorders>
          </w:tcPr>
          <w:p w:rsidR="00196EE9" w:rsidRPr="009429F0" w:rsidRDefault="0038061A" w:rsidP="00C37EAE">
            <w:pPr>
              <w:jc w:val="center"/>
              <w:rPr>
                <w:rFonts w:ascii="Arial" w:hAnsi="Arial" w:cs="Arial"/>
                <w:sz w:val="20"/>
                <w:szCs w:val="20"/>
              </w:rPr>
            </w:pPr>
            <w:r w:rsidRPr="009429F0">
              <w:rPr>
                <w:rFonts w:ascii="Arial" w:hAnsi="Arial" w:cs="Arial"/>
                <w:sz w:val="20"/>
                <w:szCs w:val="20"/>
              </w:rPr>
              <w:t>4,111 (25</w:t>
            </w:r>
            <w:r w:rsidR="00196EE9" w:rsidRPr="009429F0">
              <w:rPr>
                <w:rFonts w:ascii="Arial" w:hAnsi="Arial" w:cs="Arial"/>
                <w:sz w:val="20"/>
                <w:szCs w:val="20"/>
              </w:rPr>
              <w:t>.2)</w:t>
            </w: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sz w:val="20"/>
                <w:szCs w:val="20"/>
              </w:rPr>
            </w:pPr>
            <w:r w:rsidRPr="009429F0">
              <w:rPr>
                <w:rFonts w:ascii="Arial" w:hAnsi="Arial" w:cs="Arial"/>
                <w:sz w:val="20"/>
                <w:szCs w:val="20"/>
              </w:rPr>
              <w:t>61-90</w:t>
            </w:r>
          </w:p>
        </w:tc>
        <w:tc>
          <w:tcPr>
            <w:tcW w:w="3107" w:type="dxa"/>
            <w:tcBorders>
              <w:top w:val="nil"/>
              <w:left w:val="nil"/>
              <w:bottom w:val="nil"/>
              <w:right w:val="nil"/>
            </w:tcBorders>
          </w:tcPr>
          <w:p w:rsidR="00196EE9" w:rsidRPr="009429F0" w:rsidRDefault="00DA7C7F" w:rsidP="00C37EAE">
            <w:pPr>
              <w:jc w:val="center"/>
              <w:rPr>
                <w:rFonts w:ascii="Arial" w:hAnsi="Arial" w:cs="Arial"/>
                <w:sz w:val="20"/>
                <w:szCs w:val="20"/>
              </w:rPr>
            </w:pPr>
            <w:r w:rsidRPr="009429F0">
              <w:rPr>
                <w:rFonts w:ascii="Arial" w:hAnsi="Arial" w:cs="Arial"/>
                <w:sz w:val="20"/>
                <w:szCs w:val="20"/>
              </w:rPr>
              <w:t>3,685 (9.2</w:t>
            </w:r>
            <w:r w:rsidR="00196EE9" w:rsidRPr="009429F0">
              <w:rPr>
                <w:rFonts w:ascii="Arial" w:hAnsi="Arial" w:cs="Arial"/>
                <w:sz w:val="20"/>
                <w:szCs w:val="20"/>
              </w:rPr>
              <w:t>)</w:t>
            </w:r>
          </w:p>
        </w:tc>
        <w:tc>
          <w:tcPr>
            <w:tcW w:w="2977" w:type="dxa"/>
            <w:tcBorders>
              <w:top w:val="nil"/>
              <w:left w:val="nil"/>
              <w:bottom w:val="nil"/>
              <w:right w:val="nil"/>
            </w:tcBorders>
          </w:tcPr>
          <w:p w:rsidR="00196EE9" w:rsidRPr="009429F0" w:rsidRDefault="0038061A" w:rsidP="00C37EAE">
            <w:pPr>
              <w:jc w:val="center"/>
              <w:rPr>
                <w:rFonts w:ascii="Arial" w:hAnsi="Arial" w:cs="Arial"/>
                <w:sz w:val="20"/>
                <w:szCs w:val="20"/>
              </w:rPr>
            </w:pPr>
            <w:r w:rsidRPr="009429F0">
              <w:rPr>
                <w:rFonts w:ascii="Arial" w:hAnsi="Arial" w:cs="Arial"/>
                <w:sz w:val="20"/>
                <w:szCs w:val="20"/>
              </w:rPr>
              <w:t>2,345 (14.4</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sz w:val="20"/>
                <w:szCs w:val="20"/>
              </w:rPr>
            </w:pPr>
            <w:r w:rsidRPr="009429F0">
              <w:rPr>
                <w:rFonts w:ascii="Arial" w:hAnsi="Arial" w:cs="Arial"/>
                <w:sz w:val="20"/>
                <w:szCs w:val="20"/>
              </w:rPr>
              <w:t>91-180</w:t>
            </w:r>
          </w:p>
        </w:tc>
        <w:tc>
          <w:tcPr>
            <w:tcW w:w="3107" w:type="dxa"/>
            <w:tcBorders>
              <w:top w:val="nil"/>
              <w:left w:val="nil"/>
              <w:bottom w:val="nil"/>
              <w:right w:val="nil"/>
            </w:tcBorders>
          </w:tcPr>
          <w:p w:rsidR="00196EE9" w:rsidRPr="009429F0" w:rsidRDefault="00DA7C7F" w:rsidP="00C37EAE">
            <w:pPr>
              <w:jc w:val="center"/>
              <w:rPr>
                <w:rFonts w:ascii="Arial" w:hAnsi="Arial" w:cs="Arial"/>
                <w:sz w:val="20"/>
                <w:szCs w:val="20"/>
              </w:rPr>
            </w:pPr>
            <w:r w:rsidRPr="009429F0">
              <w:rPr>
                <w:rFonts w:ascii="Arial" w:hAnsi="Arial" w:cs="Arial"/>
                <w:sz w:val="20"/>
                <w:szCs w:val="20"/>
              </w:rPr>
              <w:t>4,279 (10.6</w:t>
            </w:r>
            <w:r w:rsidR="00196EE9" w:rsidRPr="009429F0">
              <w:rPr>
                <w:rFonts w:ascii="Arial" w:hAnsi="Arial" w:cs="Arial"/>
                <w:sz w:val="20"/>
                <w:szCs w:val="20"/>
              </w:rPr>
              <w:t>)</w:t>
            </w:r>
          </w:p>
        </w:tc>
        <w:tc>
          <w:tcPr>
            <w:tcW w:w="2977" w:type="dxa"/>
            <w:tcBorders>
              <w:top w:val="nil"/>
              <w:left w:val="nil"/>
              <w:bottom w:val="nil"/>
              <w:right w:val="nil"/>
            </w:tcBorders>
          </w:tcPr>
          <w:p w:rsidR="00196EE9" w:rsidRPr="009429F0" w:rsidRDefault="0038061A" w:rsidP="00C37EAE">
            <w:pPr>
              <w:jc w:val="center"/>
              <w:rPr>
                <w:rFonts w:ascii="Arial" w:hAnsi="Arial" w:cs="Arial"/>
                <w:sz w:val="20"/>
                <w:szCs w:val="20"/>
              </w:rPr>
            </w:pPr>
            <w:r w:rsidRPr="009429F0">
              <w:rPr>
                <w:rFonts w:ascii="Arial" w:hAnsi="Arial" w:cs="Arial"/>
                <w:sz w:val="20"/>
                <w:szCs w:val="20"/>
              </w:rPr>
              <w:t>3,506 (21.4</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sz w:val="20"/>
                <w:szCs w:val="20"/>
              </w:rPr>
            </w:pPr>
            <w:r w:rsidRPr="009429F0">
              <w:rPr>
                <w:rFonts w:ascii="Arial" w:hAnsi="Arial" w:cs="Arial"/>
                <w:sz w:val="20"/>
                <w:szCs w:val="20"/>
              </w:rPr>
              <w:t>&gt;180</w:t>
            </w:r>
          </w:p>
        </w:tc>
        <w:tc>
          <w:tcPr>
            <w:tcW w:w="3107" w:type="dxa"/>
            <w:tcBorders>
              <w:top w:val="nil"/>
              <w:left w:val="nil"/>
              <w:bottom w:val="nil"/>
              <w:right w:val="nil"/>
            </w:tcBorders>
          </w:tcPr>
          <w:p w:rsidR="00196EE9" w:rsidRPr="009429F0" w:rsidRDefault="00DA7C7F" w:rsidP="00C37EAE">
            <w:pPr>
              <w:jc w:val="center"/>
              <w:rPr>
                <w:rFonts w:ascii="Arial" w:hAnsi="Arial" w:cs="Arial"/>
                <w:sz w:val="20"/>
                <w:szCs w:val="20"/>
              </w:rPr>
            </w:pPr>
            <w:r w:rsidRPr="009429F0">
              <w:rPr>
                <w:rFonts w:ascii="Arial" w:hAnsi="Arial" w:cs="Arial"/>
                <w:sz w:val="20"/>
                <w:szCs w:val="20"/>
              </w:rPr>
              <w:t>1,835 (4.6</w:t>
            </w:r>
            <w:r w:rsidR="00196EE9" w:rsidRPr="009429F0">
              <w:rPr>
                <w:rFonts w:ascii="Arial" w:hAnsi="Arial" w:cs="Arial"/>
                <w:sz w:val="20"/>
                <w:szCs w:val="20"/>
              </w:rPr>
              <w:t>)</w:t>
            </w:r>
          </w:p>
        </w:tc>
        <w:tc>
          <w:tcPr>
            <w:tcW w:w="2977" w:type="dxa"/>
            <w:tcBorders>
              <w:top w:val="nil"/>
              <w:left w:val="nil"/>
              <w:bottom w:val="nil"/>
              <w:right w:val="nil"/>
            </w:tcBorders>
          </w:tcPr>
          <w:p w:rsidR="00196EE9" w:rsidRPr="009429F0" w:rsidRDefault="0038061A" w:rsidP="00C37EAE">
            <w:pPr>
              <w:jc w:val="center"/>
              <w:rPr>
                <w:rFonts w:ascii="Arial" w:hAnsi="Arial" w:cs="Arial"/>
                <w:sz w:val="20"/>
                <w:szCs w:val="20"/>
              </w:rPr>
            </w:pPr>
            <w:r w:rsidRPr="009429F0">
              <w:rPr>
                <w:rFonts w:ascii="Arial" w:hAnsi="Arial" w:cs="Arial"/>
                <w:sz w:val="20"/>
                <w:szCs w:val="20"/>
              </w:rPr>
              <w:t>1,637 (10.0</w:t>
            </w:r>
            <w:r w:rsidR="00196EE9" w:rsidRPr="009429F0">
              <w:rPr>
                <w:rFonts w:ascii="Arial" w:hAnsi="Arial" w:cs="Arial"/>
                <w:sz w:val="20"/>
                <w:szCs w:val="20"/>
              </w:rPr>
              <w:t>)</w:t>
            </w:r>
          </w:p>
        </w:tc>
      </w:tr>
      <w:tr w:rsidR="0038061A" w:rsidRPr="009429F0" w:rsidTr="0038061A">
        <w:tc>
          <w:tcPr>
            <w:tcW w:w="2104" w:type="dxa"/>
            <w:tcBorders>
              <w:top w:val="nil"/>
              <w:left w:val="nil"/>
              <w:bottom w:val="nil"/>
              <w:right w:val="nil"/>
            </w:tcBorders>
          </w:tcPr>
          <w:p w:rsidR="0038061A" w:rsidRPr="009429F0" w:rsidRDefault="0038061A" w:rsidP="00C37EAE">
            <w:pPr>
              <w:rPr>
                <w:rFonts w:ascii="Arial" w:hAnsi="Arial" w:cs="Arial"/>
                <w:sz w:val="20"/>
                <w:szCs w:val="20"/>
              </w:rPr>
            </w:pPr>
          </w:p>
        </w:tc>
        <w:tc>
          <w:tcPr>
            <w:tcW w:w="3107" w:type="dxa"/>
            <w:tcBorders>
              <w:top w:val="nil"/>
              <w:left w:val="nil"/>
              <w:bottom w:val="nil"/>
              <w:right w:val="nil"/>
            </w:tcBorders>
          </w:tcPr>
          <w:p w:rsidR="0038061A" w:rsidRPr="009429F0" w:rsidRDefault="0038061A" w:rsidP="00C37EAE">
            <w:pPr>
              <w:jc w:val="center"/>
              <w:rPr>
                <w:rFonts w:ascii="Arial" w:hAnsi="Arial" w:cs="Arial"/>
                <w:sz w:val="20"/>
                <w:szCs w:val="20"/>
              </w:rPr>
            </w:pPr>
          </w:p>
        </w:tc>
        <w:tc>
          <w:tcPr>
            <w:tcW w:w="2977" w:type="dxa"/>
            <w:tcBorders>
              <w:top w:val="nil"/>
              <w:left w:val="nil"/>
              <w:bottom w:val="nil"/>
              <w:right w:val="nil"/>
            </w:tcBorders>
          </w:tcPr>
          <w:p w:rsidR="0038061A" w:rsidRPr="009429F0" w:rsidRDefault="0038061A" w:rsidP="00C37EAE">
            <w:pPr>
              <w:jc w:val="center"/>
              <w:rPr>
                <w:rFonts w:ascii="Arial" w:hAnsi="Arial" w:cs="Arial"/>
                <w:sz w:val="20"/>
                <w:szCs w:val="20"/>
              </w:rPr>
            </w:pPr>
          </w:p>
        </w:tc>
      </w:tr>
      <w:tr w:rsidR="00196EE9" w:rsidRPr="009429F0" w:rsidTr="0038061A">
        <w:tc>
          <w:tcPr>
            <w:tcW w:w="2104" w:type="dxa"/>
            <w:tcBorders>
              <w:top w:val="nil"/>
              <w:left w:val="nil"/>
              <w:bottom w:val="nil"/>
              <w:right w:val="nil"/>
            </w:tcBorders>
          </w:tcPr>
          <w:p w:rsidR="00196EE9" w:rsidRPr="009429F0" w:rsidRDefault="0038061A" w:rsidP="00C37EAE">
            <w:pPr>
              <w:rPr>
                <w:rFonts w:ascii="Arial" w:hAnsi="Arial" w:cs="Arial"/>
                <w:sz w:val="20"/>
                <w:szCs w:val="20"/>
              </w:rPr>
            </w:pPr>
            <w:r w:rsidRPr="009429F0">
              <w:rPr>
                <w:rFonts w:ascii="Arial" w:hAnsi="Arial" w:cs="Arial"/>
                <w:sz w:val="20"/>
                <w:szCs w:val="20"/>
              </w:rPr>
              <w:t>ALL</w:t>
            </w:r>
          </w:p>
        </w:tc>
        <w:tc>
          <w:tcPr>
            <w:tcW w:w="3107" w:type="dxa"/>
            <w:tcBorders>
              <w:top w:val="nil"/>
              <w:left w:val="nil"/>
              <w:bottom w:val="nil"/>
              <w:right w:val="nil"/>
            </w:tcBorders>
          </w:tcPr>
          <w:p w:rsidR="00196EE9" w:rsidRPr="009429F0" w:rsidRDefault="00B4297C" w:rsidP="00C37EAE">
            <w:pPr>
              <w:jc w:val="center"/>
              <w:rPr>
                <w:rFonts w:ascii="Arial" w:hAnsi="Arial" w:cs="Arial"/>
                <w:sz w:val="20"/>
                <w:szCs w:val="20"/>
              </w:rPr>
            </w:pPr>
            <w:r w:rsidRPr="009429F0">
              <w:rPr>
                <w:rFonts w:ascii="Arial" w:hAnsi="Arial" w:cs="Arial"/>
                <w:sz w:val="20"/>
                <w:szCs w:val="20"/>
              </w:rPr>
              <w:t>40,154</w:t>
            </w:r>
            <w:r w:rsidR="0038061A" w:rsidRPr="009429F0">
              <w:rPr>
                <w:rFonts w:ascii="Arial" w:hAnsi="Arial" w:cs="Arial"/>
                <w:sz w:val="20"/>
                <w:szCs w:val="20"/>
              </w:rPr>
              <w:t xml:space="preserve"> (100)</w:t>
            </w:r>
            <w:r w:rsidR="0038061A" w:rsidRPr="009429F0">
              <w:rPr>
                <w:rFonts w:ascii="Arial" w:hAnsi="Arial" w:cs="Arial"/>
                <w:sz w:val="20"/>
                <w:szCs w:val="20"/>
                <w:vertAlign w:val="superscript"/>
              </w:rPr>
              <w:t>a</w:t>
            </w:r>
          </w:p>
        </w:tc>
        <w:tc>
          <w:tcPr>
            <w:tcW w:w="2977" w:type="dxa"/>
            <w:tcBorders>
              <w:top w:val="nil"/>
              <w:left w:val="nil"/>
              <w:bottom w:val="nil"/>
              <w:right w:val="nil"/>
            </w:tcBorders>
          </w:tcPr>
          <w:p w:rsidR="00196EE9" w:rsidRPr="009429F0" w:rsidRDefault="0038061A" w:rsidP="00C37EAE">
            <w:pPr>
              <w:jc w:val="center"/>
              <w:rPr>
                <w:rFonts w:ascii="Arial" w:hAnsi="Arial" w:cs="Arial"/>
                <w:sz w:val="20"/>
                <w:szCs w:val="20"/>
              </w:rPr>
            </w:pPr>
            <w:r w:rsidRPr="009429F0">
              <w:rPr>
                <w:rFonts w:ascii="Arial" w:hAnsi="Arial" w:cs="Arial"/>
                <w:sz w:val="20"/>
                <w:szCs w:val="20"/>
              </w:rPr>
              <w:t>16,329 (100)</w:t>
            </w:r>
            <w:r w:rsidRPr="009429F0">
              <w:rPr>
                <w:rFonts w:ascii="Arial" w:hAnsi="Arial" w:cs="Arial"/>
                <w:sz w:val="20"/>
                <w:szCs w:val="20"/>
                <w:vertAlign w:val="superscript"/>
              </w:rPr>
              <w:t>a</w:t>
            </w: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sz w:val="20"/>
                <w:szCs w:val="20"/>
              </w:rPr>
            </w:pPr>
          </w:p>
        </w:tc>
        <w:tc>
          <w:tcPr>
            <w:tcW w:w="3107" w:type="dxa"/>
            <w:tcBorders>
              <w:top w:val="nil"/>
              <w:left w:val="nil"/>
              <w:bottom w:val="nil"/>
              <w:right w:val="nil"/>
            </w:tcBorders>
          </w:tcPr>
          <w:p w:rsidR="00196EE9" w:rsidRPr="009429F0" w:rsidRDefault="00196EE9" w:rsidP="00C37EAE">
            <w:pPr>
              <w:jc w:val="center"/>
              <w:rPr>
                <w:rFonts w:ascii="Arial" w:hAnsi="Arial" w:cs="Arial"/>
                <w:sz w:val="20"/>
                <w:szCs w:val="20"/>
              </w:rPr>
            </w:pPr>
          </w:p>
        </w:tc>
        <w:tc>
          <w:tcPr>
            <w:tcW w:w="2977" w:type="dxa"/>
            <w:tcBorders>
              <w:top w:val="nil"/>
              <w:left w:val="nil"/>
              <w:bottom w:val="nil"/>
              <w:right w:val="nil"/>
            </w:tcBorders>
          </w:tcPr>
          <w:p w:rsidR="00196EE9" w:rsidRPr="009429F0" w:rsidRDefault="00196EE9" w:rsidP="00C37EAE">
            <w:pPr>
              <w:jc w:val="center"/>
              <w:rPr>
                <w:rFonts w:ascii="Arial" w:hAnsi="Arial" w:cs="Arial"/>
                <w:sz w:val="20"/>
                <w:szCs w:val="20"/>
              </w:rPr>
            </w:pPr>
          </w:p>
        </w:tc>
      </w:tr>
      <w:tr w:rsidR="00196EE9" w:rsidRPr="009429F0" w:rsidTr="00196EE9">
        <w:tc>
          <w:tcPr>
            <w:tcW w:w="2104" w:type="dxa"/>
            <w:tcBorders>
              <w:top w:val="nil"/>
              <w:left w:val="nil"/>
              <w:bottom w:val="nil"/>
              <w:right w:val="nil"/>
            </w:tcBorders>
          </w:tcPr>
          <w:p w:rsidR="00196EE9" w:rsidRPr="009429F0" w:rsidRDefault="00196EE9" w:rsidP="00C37EAE">
            <w:pPr>
              <w:jc w:val="center"/>
              <w:rPr>
                <w:rFonts w:ascii="Arial" w:hAnsi="Arial" w:cs="Arial"/>
                <w:b/>
                <w:sz w:val="20"/>
                <w:szCs w:val="20"/>
              </w:rPr>
            </w:pPr>
            <w:r w:rsidRPr="009429F0">
              <w:rPr>
                <w:rFonts w:ascii="Arial" w:hAnsi="Arial" w:cs="Arial"/>
                <w:b/>
                <w:sz w:val="20"/>
                <w:szCs w:val="20"/>
              </w:rPr>
              <w:t>Diagnostic category of first fit note in episode</w:t>
            </w:r>
          </w:p>
        </w:tc>
        <w:tc>
          <w:tcPr>
            <w:tcW w:w="3107" w:type="dxa"/>
            <w:tcBorders>
              <w:top w:val="nil"/>
              <w:left w:val="nil"/>
              <w:bottom w:val="nil"/>
              <w:right w:val="nil"/>
            </w:tcBorders>
          </w:tcPr>
          <w:p w:rsidR="00196EE9" w:rsidRPr="009429F0" w:rsidRDefault="00196EE9" w:rsidP="00C37EAE">
            <w:pPr>
              <w:jc w:val="center"/>
              <w:rPr>
                <w:rFonts w:ascii="Arial" w:hAnsi="Arial" w:cs="Arial"/>
                <w:sz w:val="20"/>
                <w:szCs w:val="20"/>
              </w:rPr>
            </w:pPr>
          </w:p>
        </w:tc>
        <w:tc>
          <w:tcPr>
            <w:tcW w:w="2977" w:type="dxa"/>
            <w:tcBorders>
              <w:top w:val="nil"/>
              <w:left w:val="nil"/>
              <w:bottom w:val="nil"/>
              <w:right w:val="nil"/>
            </w:tcBorders>
          </w:tcPr>
          <w:p w:rsidR="00196EE9" w:rsidRPr="009429F0" w:rsidRDefault="00196EE9" w:rsidP="00C37EAE">
            <w:pPr>
              <w:jc w:val="center"/>
              <w:rPr>
                <w:rFonts w:ascii="Arial" w:hAnsi="Arial" w:cs="Arial"/>
                <w:sz w:val="20"/>
                <w:szCs w:val="20"/>
              </w:rPr>
            </w:pP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p>
          <w:p w:rsidR="00196EE9" w:rsidRPr="009429F0" w:rsidRDefault="00196EE9" w:rsidP="00C37EAE">
            <w:pPr>
              <w:rPr>
                <w:rFonts w:ascii="Arial" w:hAnsi="Arial" w:cs="Arial"/>
                <w:sz w:val="20"/>
                <w:szCs w:val="20"/>
              </w:rPr>
            </w:pPr>
            <w:r w:rsidRPr="009429F0">
              <w:rPr>
                <w:rFonts w:ascii="Arial" w:hAnsi="Arial" w:cs="Arial"/>
                <w:sz w:val="20"/>
                <w:szCs w:val="20"/>
              </w:rPr>
              <w:t xml:space="preserve">Mental disorders </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12,610 (31.3</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6,002 (36.6</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Musculoskeletal </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5,244 (13.0</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2,289 (14.0</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0277AA" w:rsidP="00C37EAE">
            <w:pPr>
              <w:rPr>
                <w:rFonts w:ascii="Arial" w:hAnsi="Arial" w:cs="Arial"/>
                <w:sz w:val="20"/>
                <w:szCs w:val="20"/>
              </w:rPr>
            </w:pPr>
            <w:r w:rsidRPr="009429F0">
              <w:rPr>
                <w:rFonts w:ascii="Arial" w:hAnsi="Arial" w:cs="Arial"/>
                <w:sz w:val="20"/>
                <w:szCs w:val="20"/>
              </w:rPr>
              <w:t>Physical symptom</w:t>
            </w:r>
            <w:r w:rsidR="00196EE9" w:rsidRPr="009429F0">
              <w:rPr>
                <w:rFonts w:ascii="Arial" w:hAnsi="Arial" w:cs="Arial"/>
                <w:sz w:val="20"/>
                <w:szCs w:val="20"/>
              </w:rPr>
              <w:t xml:space="preserve"> </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3,888 (9.5</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1,572 (9.6</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Post-op recovery </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3,801 (9.5</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1,461 (8.9</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Injury </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3,509</w:t>
            </w:r>
            <w:r w:rsidR="00196EE9" w:rsidRPr="009429F0">
              <w:rPr>
                <w:rFonts w:ascii="Arial" w:hAnsi="Arial" w:cs="Arial"/>
                <w:sz w:val="20"/>
                <w:szCs w:val="20"/>
              </w:rPr>
              <w:t xml:space="preserve"> </w:t>
            </w:r>
            <w:r w:rsidRPr="009429F0">
              <w:rPr>
                <w:rFonts w:ascii="Arial" w:hAnsi="Arial" w:cs="Arial"/>
                <w:sz w:val="20"/>
                <w:szCs w:val="20"/>
              </w:rPr>
              <w:t>(8.7</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1,359 (8.3</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Respiratory </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3,230 (8.0</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828 (5.0</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Infection or viral </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1,401 (3.5</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38061A" w:rsidP="00C37EAE">
            <w:pPr>
              <w:jc w:val="center"/>
              <w:rPr>
                <w:rFonts w:ascii="Arial" w:hAnsi="Arial" w:cs="Arial"/>
                <w:sz w:val="20"/>
                <w:szCs w:val="20"/>
              </w:rPr>
            </w:pPr>
            <w:r w:rsidRPr="009429F0">
              <w:rPr>
                <w:rFonts w:ascii="Arial" w:hAnsi="Arial" w:cs="Arial"/>
                <w:sz w:val="20"/>
                <w:szCs w:val="20"/>
              </w:rPr>
              <w:t>402</w:t>
            </w:r>
            <w:r w:rsidR="00196EE9" w:rsidRPr="009429F0">
              <w:rPr>
                <w:rFonts w:ascii="Arial" w:hAnsi="Arial" w:cs="Arial"/>
                <w:sz w:val="20"/>
                <w:szCs w:val="20"/>
              </w:rPr>
              <w:t xml:space="preserve"> (2.5)</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Digestive</w:t>
            </w:r>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1,201 (3.0</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396</w:t>
            </w:r>
            <w:r w:rsidR="00196EE9" w:rsidRPr="009429F0">
              <w:rPr>
                <w:rFonts w:ascii="Arial" w:hAnsi="Arial" w:cs="Arial"/>
                <w:sz w:val="20"/>
                <w:szCs w:val="20"/>
              </w:rPr>
              <w:t xml:space="preserve"> (2.4)</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Circulatory</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957 (2.4</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452 (2.8</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Pregnancy</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727 (1.8</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241 (1.5</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Neoplasm</w:t>
            </w:r>
          </w:p>
        </w:tc>
        <w:tc>
          <w:tcPr>
            <w:tcW w:w="3107" w:type="dxa"/>
            <w:tcBorders>
              <w:top w:val="nil"/>
              <w:left w:val="nil"/>
              <w:bottom w:val="nil"/>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550</w:t>
            </w:r>
            <w:r w:rsidR="00196EE9" w:rsidRPr="009429F0">
              <w:rPr>
                <w:rFonts w:ascii="Arial" w:hAnsi="Arial" w:cs="Arial"/>
                <w:sz w:val="20"/>
                <w:szCs w:val="20"/>
              </w:rPr>
              <w:t xml:space="preserve"> (1.4)</w:t>
            </w:r>
          </w:p>
        </w:tc>
        <w:tc>
          <w:tcPr>
            <w:tcW w:w="2977" w:type="dxa"/>
            <w:tcBorders>
              <w:top w:val="nil"/>
              <w:left w:val="nil"/>
              <w:bottom w:val="nil"/>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268 (1.6</w:t>
            </w:r>
            <w:r w:rsidR="00196EE9" w:rsidRPr="009429F0">
              <w:rPr>
                <w:rFonts w:ascii="Arial" w:hAnsi="Arial" w:cs="Arial"/>
                <w:sz w:val="20"/>
                <w:szCs w:val="20"/>
              </w:rPr>
              <w:t>)</w:t>
            </w:r>
          </w:p>
        </w:tc>
      </w:tr>
      <w:tr w:rsidR="00196EE9" w:rsidRPr="009429F0" w:rsidTr="00196EE9">
        <w:tc>
          <w:tcPr>
            <w:tcW w:w="2104" w:type="dxa"/>
            <w:tcBorders>
              <w:top w:val="nil"/>
              <w:left w:val="nil"/>
              <w:bottom w:val="nil"/>
              <w:right w:val="nil"/>
            </w:tcBorders>
            <w:vAlign w:val="bottom"/>
          </w:tcPr>
          <w:p w:rsidR="00196EE9" w:rsidRPr="009429F0" w:rsidRDefault="00196EE9" w:rsidP="00C37EAE">
            <w:pPr>
              <w:rPr>
                <w:rFonts w:ascii="Arial" w:hAnsi="Arial" w:cs="Arial"/>
                <w:sz w:val="20"/>
                <w:szCs w:val="20"/>
              </w:rPr>
            </w:pPr>
            <w:r w:rsidRPr="009429F0">
              <w:rPr>
                <w:rFonts w:ascii="Arial" w:hAnsi="Arial" w:cs="Arial"/>
                <w:sz w:val="20"/>
                <w:szCs w:val="20"/>
              </w:rPr>
              <w:t xml:space="preserve">Other </w:t>
            </w:r>
            <w:proofErr w:type="spellStart"/>
            <w:r w:rsidRPr="009429F0">
              <w:rPr>
                <w:rFonts w:ascii="Arial" w:hAnsi="Arial" w:cs="Arial"/>
                <w:sz w:val="20"/>
                <w:szCs w:val="20"/>
              </w:rPr>
              <w:t>categories</w:t>
            </w:r>
            <w:r w:rsidR="0038061A" w:rsidRPr="009429F0">
              <w:rPr>
                <w:rFonts w:ascii="Arial" w:hAnsi="Arial" w:cs="Arial"/>
                <w:sz w:val="20"/>
                <w:szCs w:val="20"/>
                <w:vertAlign w:val="superscript"/>
              </w:rPr>
              <w:t>b</w:t>
            </w:r>
            <w:proofErr w:type="spellEnd"/>
          </w:p>
        </w:tc>
        <w:tc>
          <w:tcPr>
            <w:tcW w:w="3107" w:type="dxa"/>
            <w:tcBorders>
              <w:top w:val="nil"/>
              <w:left w:val="nil"/>
              <w:bottom w:val="nil"/>
              <w:right w:val="nil"/>
            </w:tcBorders>
            <w:vAlign w:val="bottom"/>
          </w:tcPr>
          <w:p w:rsidR="00196EE9" w:rsidRPr="009429F0" w:rsidRDefault="00B4297C" w:rsidP="00C37EAE">
            <w:pPr>
              <w:jc w:val="center"/>
              <w:rPr>
                <w:rFonts w:ascii="Arial" w:hAnsi="Arial" w:cs="Arial"/>
                <w:sz w:val="20"/>
                <w:szCs w:val="20"/>
              </w:rPr>
            </w:pPr>
            <w:r w:rsidRPr="009429F0">
              <w:rPr>
                <w:rFonts w:ascii="Arial" w:hAnsi="Arial" w:cs="Arial"/>
                <w:sz w:val="20"/>
                <w:szCs w:val="20"/>
              </w:rPr>
              <w:t>3,107 (7.7</w:t>
            </w:r>
            <w:r w:rsidR="00196EE9" w:rsidRPr="009429F0">
              <w:rPr>
                <w:rFonts w:ascii="Arial" w:hAnsi="Arial" w:cs="Arial"/>
                <w:sz w:val="20"/>
                <w:szCs w:val="20"/>
              </w:rPr>
              <w:t>)</w:t>
            </w:r>
          </w:p>
        </w:tc>
        <w:tc>
          <w:tcPr>
            <w:tcW w:w="2977" w:type="dxa"/>
            <w:tcBorders>
              <w:top w:val="nil"/>
              <w:left w:val="nil"/>
              <w:bottom w:val="nil"/>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1,130 (6.8</w:t>
            </w:r>
            <w:r w:rsidR="00196EE9" w:rsidRPr="009429F0">
              <w:rPr>
                <w:rFonts w:ascii="Arial" w:hAnsi="Arial" w:cs="Arial"/>
                <w:sz w:val="20"/>
                <w:szCs w:val="20"/>
              </w:rPr>
              <w:t>)</w:t>
            </w:r>
          </w:p>
        </w:tc>
      </w:tr>
      <w:tr w:rsidR="00196EE9" w:rsidRPr="009429F0" w:rsidTr="00196EE9">
        <w:tc>
          <w:tcPr>
            <w:tcW w:w="2104" w:type="dxa"/>
            <w:tcBorders>
              <w:top w:val="nil"/>
              <w:left w:val="nil"/>
              <w:bottom w:val="single" w:sz="4" w:space="0" w:color="auto"/>
              <w:right w:val="nil"/>
            </w:tcBorders>
            <w:vAlign w:val="bottom"/>
          </w:tcPr>
          <w:p w:rsidR="00196EE9" w:rsidRPr="009429F0" w:rsidRDefault="00196EE9" w:rsidP="00C37EAE">
            <w:pPr>
              <w:rPr>
                <w:rFonts w:ascii="Arial" w:hAnsi="Arial" w:cs="Arial"/>
                <w:sz w:val="20"/>
                <w:szCs w:val="20"/>
              </w:rPr>
            </w:pPr>
          </w:p>
          <w:p w:rsidR="00196EE9" w:rsidRPr="009429F0" w:rsidRDefault="00196EE9" w:rsidP="00C37EAE">
            <w:pPr>
              <w:rPr>
                <w:rFonts w:ascii="Arial" w:hAnsi="Arial" w:cs="Arial"/>
                <w:sz w:val="20"/>
                <w:szCs w:val="20"/>
              </w:rPr>
            </w:pPr>
            <w:r w:rsidRPr="009429F0">
              <w:rPr>
                <w:rFonts w:ascii="Arial" w:hAnsi="Arial" w:cs="Arial"/>
                <w:sz w:val="20"/>
                <w:szCs w:val="20"/>
              </w:rPr>
              <w:t>ALL</w:t>
            </w:r>
          </w:p>
        </w:tc>
        <w:tc>
          <w:tcPr>
            <w:tcW w:w="3107" w:type="dxa"/>
            <w:tcBorders>
              <w:top w:val="nil"/>
              <w:left w:val="nil"/>
              <w:bottom w:val="single" w:sz="4" w:space="0" w:color="auto"/>
              <w:right w:val="nil"/>
            </w:tcBorders>
            <w:vAlign w:val="bottom"/>
          </w:tcPr>
          <w:p w:rsidR="00196EE9" w:rsidRPr="009429F0" w:rsidRDefault="00DA7C7F" w:rsidP="00C37EAE">
            <w:pPr>
              <w:jc w:val="center"/>
              <w:rPr>
                <w:rFonts w:ascii="Arial" w:hAnsi="Arial" w:cs="Arial"/>
                <w:sz w:val="20"/>
                <w:szCs w:val="20"/>
              </w:rPr>
            </w:pPr>
            <w:r w:rsidRPr="009429F0">
              <w:rPr>
                <w:rFonts w:ascii="Arial" w:hAnsi="Arial" w:cs="Arial"/>
                <w:sz w:val="20"/>
                <w:szCs w:val="20"/>
              </w:rPr>
              <w:t>40,225</w:t>
            </w:r>
            <w:r w:rsidR="00196EE9" w:rsidRPr="009429F0">
              <w:rPr>
                <w:rFonts w:ascii="Arial" w:hAnsi="Arial" w:cs="Arial"/>
                <w:sz w:val="20"/>
                <w:szCs w:val="20"/>
              </w:rPr>
              <w:t xml:space="preserve"> (100)</w:t>
            </w:r>
          </w:p>
        </w:tc>
        <w:tc>
          <w:tcPr>
            <w:tcW w:w="2977" w:type="dxa"/>
            <w:tcBorders>
              <w:top w:val="nil"/>
              <w:left w:val="nil"/>
              <w:bottom w:val="single" w:sz="4" w:space="0" w:color="auto"/>
              <w:right w:val="nil"/>
            </w:tcBorders>
            <w:vAlign w:val="bottom"/>
          </w:tcPr>
          <w:p w:rsidR="00196EE9" w:rsidRPr="009429F0" w:rsidRDefault="00D062F0" w:rsidP="00C37EAE">
            <w:pPr>
              <w:jc w:val="center"/>
              <w:rPr>
                <w:rFonts w:ascii="Arial" w:hAnsi="Arial" w:cs="Arial"/>
                <w:sz w:val="20"/>
                <w:szCs w:val="20"/>
              </w:rPr>
            </w:pPr>
            <w:r w:rsidRPr="009429F0">
              <w:rPr>
                <w:rFonts w:ascii="Arial" w:hAnsi="Arial" w:cs="Arial"/>
                <w:sz w:val="20"/>
                <w:szCs w:val="20"/>
              </w:rPr>
              <w:t xml:space="preserve">16,400 </w:t>
            </w:r>
            <w:r w:rsidR="001A72F9" w:rsidRPr="009429F0">
              <w:rPr>
                <w:rFonts w:ascii="Arial" w:hAnsi="Arial" w:cs="Arial"/>
                <w:sz w:val="20"/>
                <w:szCs w:val="20"/>
              </w:rPr>
              <w:t>(100)</w:t>
            </w:r>
          </w:p>
        </w:tc>
      </w:tr>
    </w:tbl>
    <w:p w:rsidR="00196EE9" w:rsidRPr="009429F0" w:rsidRDefault="00196EE9" w:rsidP="00C37EAE">
      <w:pPr>
        <w:spacing w:line="240" w:lineRule="auto"/>
        <w:rPr>
          <w:rFonts w:ascii="Arial" w:hAnsi="Arial" w:cs="Arial"/>
          <w:sz w:val="20"/>
          <w:szCs w:val="20"/>
        </w:rPr>
      </w:pPr>
    </w:p>
    <w:p w:rsidR="00196EE9" w:rsidRPr="009429F0" w:rsidRDefault="00DA7C7F" w:rsidP="00C37EAE">
      <w:pPr>
        <w:spacing w:after="0" w:line="240" w:lineRule="auto"/>
        <w:rPr>
          <w:rFonts w:ascii="Arial" w:hAnsi="Arial" w:cs="Arial"/>
          <w:sz w:val="20"/>
          <w:szCs w:val="20"/>
        </w:rPr>
      </w:pPr>
      <w:r w:rsidRPr="009429F0">
        <w:rPr>
          <w:rFonts w:ascii="Arial" w:hAnsi="Arial" w:cs="Arial"/>
          <w:sz w:val="20"/>
          <w:szCs w:val="20"/>
        </w:rPr>
        <w:t>a. 71</w:t>
      </w:r>
      <w:r w:rsidR="00196EE9" w:rsidRPr="009429F0">
        <w:rPr>
          <w:rFonts w:ascii="Arial" w:hAnsi="Arial" w:cs="Arial"/>
          <w:sz w:val="20"/>
          <w:szCs w:val="20"/>
        </w:rPr>
        <w:t xml:space="preserve"> episodes with missing duration data</w:t>
      </w:r>
    </w:p>
    <w:p w:rsidR="0038061A" w:rsidRPr="009429F0" w:rsidRDefault="0038061A" w:rsidP="00C37EAE">
      <w:pPr>
        <w:spacing w:after="0" w:line="240" w:lineRule="auto"/>
        <w:rPr>
          <w:rFonts w:ascii="Arial" w:hAnsi="Arial" w:cs="Arial"/>
          <w:sz w:val="20"/>
          <w:szCs w:val="20"/>
        </w:rPr>
      </w:pPr>
      <w:r w:rsidRPr="009429F0">
        <w:rPr>
          <w:rFonts w:ascii="Arial" w:hAnsi="Arial" w:cs="Arial"/>
          <w:sz w:val="20"/>
          <w:szCs w:val="20"/>
        </w:rPr>
        <w:t xml:space="preserve">b. Other categories: </w:t>
      </w:r>
      <w:r w:rsidR="00D062F0" w:rsidRPr="009429F0">
        <w:rPr>
          <w:rFonts w:ascii="Arial" w:hAnsi="Arial" w:cs="Arial"/>
          <w:sz w:val="20"/>
          <w:szCs w:val="20"/>
        </w:rPr>
        <w:t>Genitourinary, Skin Disorders, Endocrine, Haematological, Nervous System, Congenital and Procedures/Investigations.</w:t>
      </w:r>
    </w:p>
    <w:p w:rsidR="00196EE9" w:rsidRPr="009429F0" w:rsidRDefault="00196EE9" w:rsidP="00C37EAE">
      <w:pPr>
        <w:spacing w:after="0" w:line="240" w:lineRule="auto"/>
        <w:rPr>
          <w:rFonts w:ascii="Arial" w:hAnsi="Arial" w:cs="Arial"/>
          <w:sz w:val="20"/>
          <w:szCs w:val="20"/>
        </w:rPr>
      </w:pPr>
    </w:p>
    <w:p w:rsidR="001617F0" w:rsidRPr="009429F0" w:rsidRDefault="001617F0" w:rsidP="00C37EAE">
      <w:pPr>
        <w:spacing w:line="240" w:lineRule="auto"/>
        <w:rPr>
          <w:rFonts w:ascii="Arial" w:hAnsi="Arial" w:cs="Arial"/>
          <w:sz w:val="20"/>
          <w:szCs w:val="20"/>
        </w:rPr>
      </w:pPr>
    </w:p>
    <w:p w:rsidR="0039222E" w:rsidRPr="009429F0" w:rsidRDefault="005778AC" w:rsidP="00C37EAE">
      <w:pPr>
        <w:spacing w:line="240" w:lineRule="auto"/>
        <w:rPr>
          <w:rFonts w:ascii="Arial" w:hAnsi="Arial" w:cs="Arial"/>
          <w:sz w:val="20"/>
          <w:szCs w:val="20"/>
        </w:rPr>
      </w:pPr>
      <w:r w:rsidRPr="009429F0">
        <w:rPr>
          <w:rFonts w:ascii="Arial" w:hAnsi="Arial" w:cs="Arial"/>
          <w:sz w:val="20"/>
          <w:szCs w:val="20"/>
        </w:rPr>
        <w:br w:type="page"/>
      </w:r>
    </w:p>
    <w:p w:rsidR="005778AC" w:rsidRPr="009429F0" w:rsidRDefault="005778AC" w:rsidP="00C37EAE">
      <w:pPr>
        <w:spacing w:line="240" w:lineRule="auto"/>
        <w:rPr>
          <w:rFonts w:ascii="Arial" w:hAnsi="Arial" w:cs="Arial"/>
          <w:sz w:val="20"/>
          <w:szCs w:val="20"/>
        </w:rPr>
      </w:pPr>
    </w:p>
    <w:p w:rsidR="001617F0" w:rsidRPr="009429F0" w:rsidRDefault="001617F0" w:rsidP="00C37EAE">
      <w:pPr>
        <w:spacing w:line="240" w:lineRule="auto"/>
        <w:rPr>
          <w:rFonts w:ascii="Arial" w:hAnsi="Arial" w:cs="Arial"/>
          <w:sz w:val="20"/>
          <w:szCs w:val="20"/>
        </w:rPr>
      </w:pPr>
    </w:p>
    <w:p w:rsidR="00311EFD" w:rsidRPr="009429F0" w:rsidRDefault="0039222E" w:rsidP="00C37EAE">
      <w:pPr>
        <w:spacing w:line="240" w:lineRule="auto"/>
        <w:rPr>
          <w:rFonts w:ascii="Arial" w:hAnsi="Arial" w:cs="Arial"/>
          <w:sz w:val="20"/>
          <w:szCs w:val="20"/>
        </w:rPr>
      </w:pPr>
      <w:r w:rsidRPr="009429F0">
        <w:rPr>
          <w:rFonts w:ascii="Arial" w:hAnsi="Arial" w:cs="Arial"/>
          <w:sz w:val="20"/>
          <w:szCs w:val="20"/>
        </w:rPr>
        <w:t>Table 3</w:t>
      </w:r>
      <w:r w:rsidR="00A4112B" w:rsidRPr="009429F0">
        <w:rPr>
          <w:rFonts w:ascii="Arial" w:hAnsi="Arial" w:cs="Arial"/>
          <w:sz w:val="20"/>
          <w:szCs w:val="20"/>
        </w:rPr>
        <w:t xml:space="preserve">. </w:t>
      </w:r>
      <w:r w:rsidR="00311EFD" w:rsidRPr="009429F0">
        <w:rPr>
          <w:rFonts w:ascii="Arial" w:hAnsi="Arial" w:cs="Arial"/>
          <w:sz w:val="20"/>
          <w:szCs w:val="20"/>
        </w:rPr>
        <w:t>Duration of e</w:t>
      </w:r>
      <w:r w:rsidR="00DF2350" w:rsidRPr="009429F0">
        <w:rPr>
          <w:rFonts w:ascii="Arial" w:hAnsi="Arial" w:cs="Arial"/>
          <w:sz w:val="20"/>
          <w:szCs w:val="20"/>
        </w:rPr>
        <w:t>pisode</w:t>
      </w:r>
      <w:r w:rsidR="00811F76" w:rsidRPr="009429F0">
        <w:rPr>
          <w:rFonts w:ascii="Arial" w:hAnsi="Arial" w:cs="Arial"/>
          <w:sz w:val="20"/>
          <w:szCs w:val="20"/>
        </w:rPr>
        <w:t>, diagnostic category of first fit note</w:t>
      </w:r>
      <w:r w:rsidR="00DF2350" w:rsidRPr="009429F0">
        <w:rPr>
          <w:rFonts w:ascii="Arial" w:hAnsi="Arial" w:cs="Arial"/>
          <w:sz w:val="20"/>
          <w:szCs w:val="20"/>
        </w:rPr>
        <w:t xml:space="preserve"> and </w:t>
      </w:r>
      <w:r w:rsidR="00311EFD" w:rsidRPr="009429F0">
        <w:rPr>
          <w:rFonts w:ascii="Arial" w:hAnsi="Arial" w:cs="Arial"/>
          <w:sz w:val="20"/>
          <w:szCs w:val="20"/>
        </w:rPr>
        <w:t>change in diagnosis</w:t>
      </w:r>
    </w:p>
    <w:p w:rsidR="00311EFD" w:rsidRPr="009429F0" w:rsidRDefault="00311EFD" w:rsidP="00C37EAE">
      <w:pPr>
        <w:spacing w:line="240" w:lineRule="auto"/>
        <w:rPr>
          <w:rFonts w:ascii="Arial" w:hAnsi="Arial" w:cs="Arial"/>
          <w:sz w:val="20"/>
          <w:szCs w:val="20"/>
        </w:rPr>
      </w:pPr>
    </w:p>
    <w:tbl>
      <w:tblPr>
        <w:tblStyle w:val="TableGrid"/>
        <w:tblW w:w="8046" w:type="dxa"/>
        <w:tblLook w:val="04A0" w:firstRow="1" w:lastRow="0" w:firstColumn="1" w:lastColumn="0" w:noHBand="0" w:noVBand="1"/>
      </w:tblPr>
      <w:tblGrid>
        <w:gridCol w:w="2104"/>
        <w:gridCol w:w="1134"/>
        <w:gridCol w:w="1701"/>
        <w:gridCol w:w="3107"/>
      </w:tblGrid>
      <w:tr w:rsidR="001A72F9" w:rsidRPr="009429F0" w:rsidTr="001A72F9">
        <w:tc>
          <w:tcPr>
            <w:tcW w:w="2104" w:type="dxa"/>
            <w:tcBorders>
              <w:left w:val="nil"/>
              <w:bottom w:val="nil"/>
              <w:right w:val="nil"/>
            </w:tcBorders>
          </w:tcPr>
          <w:p w:rsidR="001A72F9" w:rsidRPr="009429F0" w:rsidRDefault="001A72F9" w:rsidP="00C37EAE">
            <w:pPr>
              <w:rPr>
                <w:rFonts w:ascii="Arial" w:hAnsi="Arial" w:cs="Arial"/>
                <w:sz w:val="20"/>
                <w:szCs w:val="20"/>
              </w:rPr>
            </w:pPr>
          </w:p>
        </w:tc>
        <w:tc>
          <w:tcPr>
            <w:tcW w:w="5942" w:type="dxa"/>
            <w:gridSpan w:val="3"/>
            <w:tcBorders>
              <w:left w:val="nil"/>
              <w:bottom w:val="nil"/>
              <w:right w:val="nil"/>
            </w:tcBorders>
            <w:shd w:val="clear" w:color="auto" w:fill="FFFFFF" w:themeFill="background1"/>
          </w:tcPr>
          <w:p w:rsidR="001A72F9" w:rsidRPr="009429F0" w:rsidRDefault="001A72F9" w:rsidP="00C37EAE">
            <w:pPr>
              <w:jc w:val="center"/>
              <w:rPr>
                <w:rFonts w:ascii="Arial" w:hAnsi="Arial" w:cs="Arial"/>
                <w:b/>
                <w:sz w:val="20"/>
                <w:szCs w:val="20"/>
                <w:u w:val="single"/>
              </w:rPr>
            </w:pPr>
            <w:r w:rsidRPr="009429F0">
              <w:rPr>
                <w:rFonts w:ascii="Arial" w:hAnsi="Arial" w:cs="Arial"/>
                <w:b/>
                <w:sz w:val="20"/>
                <w:szCs w:val="20"/>
                <w:u w:val="single"/>
              </w:rPr>
              <w:t>Episodes with change in diagnosis</w:t>
            </w:r>
          </w:p>
          <w:p w:rsidR="001A72F9" w:rsidRPr="009429F0" w:rsidRDefault="001A72F9" w:rsidP="00C37EAE">
            <w:pPr>
              <w:jc w:val="center"/>
              <w:rPr>
                <w:rFonts w:ascii="Arial" w:hAnsi="Arial" w:cs="Arial"/>
                <w:b/>
                <w:sz w:val="20"/>
                <w:szCs w:val="20"/>
                <w:u w:val="single"/>
              </w:rPr>
            </w:pP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b/>
                <w:sz w:val="20"/>
                <w:szCs w:val="20"/>
              </w:rPr>
            </w:pPr>
          </w:p>
        </w:tc>
        <w:tc>
          <w:tcPr>
            <w:tcW w:w="1134"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b/>
                <w:sz w:val="20"/>
                <w:szCs w:val="20"/>
              </w:rPr>
            </w:pPr>
          </w:p>
        </w:tc>
        <w:tc>
          <w:tcPr>
            <w:tcW w:w="1701"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b/>
                <w:sz w:val="20"/>
                <w:szCs w:val="20"/>
                <w:u w:val="single"/>
              </w:rPr>
            </w:pPr>
            <w:r w:rsidRPr="009429F0">
              <w:rPr>
                <w:rFonts w:ascii="Arial" w:hAnsi="Arial" w:cs="Arial"/>
                <w:b/>
                <w:sz w:val="20"/>
                <w:szCs w:val="20"/>
                <w:u w:val="single"/>
              </w:rPr>
              <w:t>All episodes</w:t>
            </w:r>
          </w:p>
        </w:tc>
        <w:tc>
          <w:tcPr>
            <w:tcW w:w="3107"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b/>
                <w:sz w:val="20"/>
                <w:szCs w:val="20"/>
                <w:u w:val="single"/>
              </w:rPr>
            </w:pPr>
            <w:r w:rsidRPr="009429F0">
              <w:rPr>
                <w:rFonts w:ascii="Arial" w:hAnsi="Arial" w:cs="Arial"/>
                <w:b/>
                <w:sz w:val="20"/>
                <w:szCs w:val="20"/>
                <w:u w:val="single"/>
              </w:rPr>
              <w:t>Multiple fit note episodes</w:t>
            </w:r>
          </w:p>
        </w:tc>
      </w:tr>
      <w:tr w:rsidR="001A72F9" w:rsidRPr="009429F0" w:rsidTr="001A72F9">
        <w:tc>
          <w:tcPr>
            <w:tcW w:w="2104" w:type="dxa"/>
            <w:tcBorders>
              <w:top w:val="nil"/>
              <w:left w:val="nil"/>
              <w:bottom w:val="single" w:sz="4" w:space="0" w:color="auto"/>
              <w:right w:val="nil"/>
            </w:tcBorders>
            <w:vAlign w:val="bottom"/>
          </w:tcPr>
          <w:p w:rsidR="001A72F9" w:rsidRPr="009429F0" w:rsidRDefault="001A72F9" w:rsidP="00C37EAE">
            <w:pPr>
              <w:jc w:val="center"/>
              <w:rPr>
                <w:rFonts w:ascii="Arial" w:hAnsi="Arial" w:cs="Arial"/>
                <w:b/>
                <w:sz w:val="20"/>
                <w:szCs w:val="20"/>
              </w:rPr>
            </w:pPr>
          </w:p>
        </w:tc>
        <w:tc>
          <w:tcPr>
            <w:tcW w:w="1134" w:type="dxa"/>
            <w:tcBorders>
              <w:top w:val="nil"/>
              <w:left w:val="nil"/>
              <w:bottom w:val="single" w:sz="4" w:space="0" w:color="auto"/>
              <w:right w:val="nil"/>
            </w:tcBorders>
            <w:shd w:val="clear" w:color="auto" w:fill="FFFFFF" w:themeFill="background1"/>
            <w:vAlign w:val="bottom"/>
          </w:tcPr>
          <w:p w:rsidR="001A72F9" w:rsidRPr="009429F0" w:rsidRDefault="001A72F9" w:rsidP="00C37EAE">
            <w:pPr>
              <w:jc w:val="center"/>
              <w:rPr>
                <w:rFonts w:ascii="Arial" w:hAnsi="Arial" w:cs="Arial"/>
                <w:b/>
                <w:sz w:val="20"/>
                <w:szCs w:val="20"/>
              </w:rPr>
            </w:pPr>
            <w:r w:rsidRPr="009429F0">
              <w:rPr>
                <w:rFonts w:ascii="Arial" w:hAnsi="Arial" w:cs="Arial"/>
                <w:b/>
                <w:sz w:val="20"/>
                <w:szCs w:val="20"/>
              </w:rPr>
              <w:t>N</w:t>
            </w:r>
          </w:p>
        </w:tc>
        <w:tc>
          <w:tcPr>
            <w:tcW w:w="1701" w:type="dxa"/>
            <w:tcBorders>
              <w:top w:val="nil"/>
              <w:left w:val="nil"/>
              <w:bottom w:val="single" w:sz="4" w:space="0" w:color="auto"/>
              <w:right w:val="nil"/>
            </w:tcBorders>
            <w:shd w:val="clear" w:color="auto" w:fill="FFFFFF" w:themeFill="background1"/>
            <w:vAlign w:val="bottom"/>
          </w:tcPr>
          <w:p w:rsidR="001A72F9" w:rsidRPr="009429F0" w:rsidRDefault="001A72F9" w:rsidP="00C37EAE">
            <w:pPr>
              <w:jc w:val="center"/>
              <w:rPr>
                <w:rFonts w:ascii="Arial" w:hAnsi="Arial" w:cs="Arial"/>
                <w:b/>
                <w:sz w:val="20"/>
                <w:szCs w:val="20"/>
              </w:rPr>
            </w:pPr>
            <w:r w:rsidRPr="009429F0">
              <w:rPr>
                <w:rFonts w:ascii="Arial" w:hAnsi="Arial" w:cs="Arial"/>
                <w:b/>
                <w:sz w:val="20"/>
                <w:szCs w:val="20"/>
              </w:rPr>
              <w:t>Row %</w:t>
            </w:r>
          </w:p>
        </w:tc>
        <w:tc>
          <w:tcPr>
            <w:tcW w:w="3107" w:type="dxa"/>
            <w:tcBorders>
              <w:top w:val="nil"/>
              <w:left w:val="nil"/>
              <w:bottom w:val="single" w:sz="4" w:space="0" w:color="auto"/>
              <w:right w:val="nil"/>
            </w:tcBorders>
            <w:shd w:val="clear" w:color="auto" w:fill="FFFFFF" w:themeFill="background1"/>
            <w:vAlign w:val="bottom"/>
          </w:tcPr>
          <w:p w:rsidR="001A72F9" w:rsidRPr="009429F0" w:rsidRDefault="001A72F9" w:rsidP="00C37EAE">
            <w:pPr>
              <w:jc w:val="center"/>
              <w:rPr>
                <w:rFonts w:ascii="Arial" w:hAnsi="Arial" w:cs="Arial"/>
                <w:b/>
                <w:sz w:val="20"/>
                <w:szCs w:val="20"/>
              </w:rPr>
            </w:pPr>
            <w:r w:rsidRPr="009429F0">
              <w:rPr>
                <w:rFonts w:ascii="Arial" w:hAnsi="Arial" w:cs="Arial"/>
                <w:b/>
                <w:sz w:val="20"/>
                <w:szCs w:val="20"/>
              </w:rPr>
              <w:t>Row %</w:t>
            </w:r>
          </w:p>
        </w:tc>
      </w:tr>
      <w:tr w:rsidR="001A72F9" w:rsidRPr="009429F0" w:rsidTr="001A72F9">
        <w:tc>
          <w:tcPr>
            <w:tcW w:w="2104" w:type="dxa"/>
            <w:tcBorders>
              <w:left w:val="nil"/>
              <w:bottom w:val="nil"/>
              <w:right w:val="nil"/>
            </w:tcBorders>
          </w:tcPr>
          <w:p w:rsidR="001A72F9" w:rsidRPr="009429F0" w:rsidRDefault="001A72F9" w:rsidP="00C37EAE">
            <w:pPr>
              <w:jc w:val="center"/>
              <w:rPr>
                <w:rFonts w:ascii="Arial" w:hAnsi="Arial" w:cs="Arial"/>
                <w:sz w:val="20"/>
                <w:szCs w:val="20"/>
              </w:rPr>
            </w:pPr>
          </w:p>
        </w:tc>
        <w:tc>
          <w:tcPr>
            <w:tcW w:w="1134" w:type="dxa"/>
            <w:tcBorders>
              <w:left w:val="nil"/>
              <w:bottom w:val="nil"/>
              <w:right w:val="nil"/>
            </w:tcBorders>
            <w:shd w:val="clear" w:color="auto" w:fill="FFFFFF" w:themeFill="background1"/>
          </w:tcPr>
          <w:p w:rsidR="001A72F9" w:rsidRPr="009429F0" w:rsidRDefault="001A72F9" w:rsidP="00C37EAE">
            <w:pPr>
              <w:jc w:val="center"/>
              <w:rPr>
                <w:rFonts w:ascii="Arial" w:hAnsi="Arial" w:cs="Arial"/>
                <w:i/>
                <w:sz w:val="20"/>
                <w:szCs w:val="20"/>
              </w:rPr>
            </w:pPr>
          </w:p>
        </w:tc>
        <w:tc>
          <w:tcPr>
            <w:tcW w:w="1701" w:type="dxa"/>
            <w:tcBorders>
              <w:left w:val="nil"/>
              <w:bottom w:val="nil"/>
              <w:right w:val="nil"/>
            </w:tcBorders>
            <w:shd w:val="clear" w:color="auto" w:fill="FFFFFF" w:themeFill="background1"/>
          </w:tcPr>
          <w:p w:rsidR="001A72F9" w:rsidRPr="009429F0" w:rsidRDefault="001A72F9" w:rsidP="00C37EAE">
            <w:pPr>
              <w:jc w:val="center"/>
              <w:rPr>
                <w:rFonts w:ascii="Arial" w:hAnsi="Arial" w:cs="Arial"/>
                <w:i/>
                <w:sz w:val="20"/>
                <w:szCs w:val="20"/>
              </w:rPr>
            </w:pPr>
          </w:p>
        </w:tc>
        <w:tc>
          <w:tcPr>
            <w:tcW w:w="3107" w:type="dxa"/>
            <w:tcBorders>
              <w:left w:val="nil"/>
              <w:bottom w:val="nil"/>
              <w:right w:val="nil"/>
            </w:tcBorders>
            <w:shd w:val="clear" w:color="auto" w:fill="FFFFFF" w:themeFill="background1"/>
          </w:tcPr>
          <w:p w:rsidR="001A72F9" w:rsidRPr="009429F0" w:rsidRDefault="001A72F9" w:rsidP="00C37EAE">
            <w:pPr>
              <w:jc w:val="center"/>
              <w:rPr>
                <w:rFonts w:ascii="Arial" w:hAnsi="Arial" w:cs="Arial"/>
                <w:i/>
                <w:sz w:val="20"/>
                <w:szCs w:val="20"/>
              </w:rPr>
            </w:pPr>
          </w:p>
        </w:tc>
      </w:tr>
      <w:tr w:rsidR="001A72F9" w:rsidRPr="009429F0" w:rsidTr="001A72F9">
        <w:tc>
          <w:tcPr>
            <w:tcW w:w="2104" w:type="dxa"/>
            <w:tcBorders>
              <w:top w:val="nil"/>
              <w:left w:val="nil"/>
              <w:bottom w:val="nil"/>
              <w:right w:val="nil"/>
            </w:tcBorders>
            <w:vAlign w:val="bottom"/>
          </w:tcPr>
          <w:p w:rsidR="001A72F9" w:rsidRPr="009429F0" w:rsidRDefault="001A72F9" w:rsidP="00C37EAE">
            <w:pPr>
              <w:jc w:val="center"/>
              <w:rPr>
                <w:rFonts w:ascii="Arial" w:hAnsi="Arial" w:cs="Arial"/>
                <w:sz w:val="20"/>
                <w:szCs w:val="20"/>
              </w:rPr>
            </w:pPr>
            <w:r w:rsidRPr="009429F0">
              <w:rPr>
                <w:rFonts w:ascii="Arial" w:hAnsi="Arial" w:cs="Arial"/>
                <w:b/>
                <w:sz w:val="20"/>
                <w:szCs w:val="20"/>
              </w:rPr>
              <w:t>Days duration of episode</w:t>
            </w:r>
          </w:p>
          <w:p w:rsidR="001A72F9" w:rsidRPr="009429F0" w:rsidRDefault="001A72F9" w:rsidP="00C37EAE">
            <w:pPr>
              <w:jc w:val="center"/>
              <w:rPr>
                <w:rFonts w:ascii="Arial" w:hAnsi="Arial" w:cs="Arial"/>
                <w:sz w:val="20"/>
                <w:szCs w:val="20"/>
              </w:rPr>
            </w:pPr>
            <w:r w:rsidRPr="009429F0">
              <w:rPr>
                <w:rFonts w:ascii="Arial" w:hAnsi="Arial" w:cs="Arial"/>
                <w:sz w:val="20"/>
                <w:szCs w:val="20"/>
              </w:rPr>
              <w:t>≤ 30</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883</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3.7</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18.7</w:t>
            </w: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r w:rsidRPr="009429F0">
              <w:rPr>
                <w:rFonts w:ascii="Arial" w:hAnsi="Arial" w:cs="Arial"/>
                <w:sz w:val="20"/>
                <w:szCs w:val="20"/>
              </w:rPr>
              <w:t>31-60</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903</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13.5</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22.0</w:t>
            </w: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r w:rsidRPr="009429F0">
              <w:rPr>
                <w:rFonts w:ascii="Arial" w:hAnsi="Arial" w:cs="Arial"/>
                <w:sz w:val="20"/>
                <w:szCs w:val="20"/>
              </w:rPr>
              <w:t>61-90</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561</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15</w:t>
            </w:r>
            <w:r w:rsidR="001A72F9" w:rsidRPr="009429F0">
              <w:rPr>
                <w:rFonts w:ascii="Arial" w:hAnsi="Arial" w:cs="Arial"/>
                <w:sz w:val="20"/>
                <w:szCs w:val="20"/>
              </w:rPr>
              <w:t>.2</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23.9</w:t>
            </w: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r w:rsidRPr="009429F0">
              <w:rPr>
                <w:rFonts w:ascii="Arial" w:hAnsi="Arial" w:cs="Arial"/>
                <w:sz w:val="20"/>
                <w:szCs w:val="20"/>
              </w:rPr>
              <w:t>91-180</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948</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22.2</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27.0</w:t>
            </w: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r w:rsidRPr="009429F0">
              <w:rPr>
                <w:rFonts w:ascii="Arial" w:hAnsi="Arial" w:cs="Arial"/>
                <w:sz w:val="20"/>
                <w:szCs w:val="20"/>
              </w:rPr>
              <w:t>&gt;180</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527</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28.7</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32.2</w:t>
            </w: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p>
        </w:tc>
        <w:tc>
          <w:tcPr>
            <w:tcW w:w="1134"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1701"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3107"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sz w:val="20"/>
                <w:szCs w:val="20"/>
              </w:rPr>
            </w:pPr>
          </w:p>
        </w:tc>
        <w:tc>
          <w:tcPr>
            <w:tcW w:w="1134"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1701"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3107"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r>
      <w:tr w:rsidR="001A72F9" w:rsidRPr="009429F0" w:rsidTr="001A72F9">
        <w:tc>
          <w:tcPr>
            <w:tcW w:w="2104" w:type="dxa"/>
            <w:tcBorders>
              <w:top w:val="nil"/>
              <w:left w:val="nil"/>
              <w:bottom w:val="nil"/>
              <w:right w:val="nil"/>
            </w:tcBorders>
          </w:tcPr>
          <w:p w:rsidR="001A72F9" w:rsidRPr="009429F0" w:rsidRDefault="001A72F9" w:rsidP="00C37EAE">
            <w:pPr>
              <w:jc w:val="center"/>
              <w:rPr>
                <w:rFonts w:ascii="Arial" w:hAnsi="Arial" w:cs="Arial"/>
                <w:b/>
                <w:sz w:val="20"/>
                <w:szCs w:val="20"/>
              </w:rPr>
            </w:pPr>
            <w:r w:rsidRPr="009429F0">
              <w:rPr>
                <w:rFonts w:ascii="Arial" w:hAnsi="Arial" w:cs="Arial"/>
                <w:b/>
                <w:sz w:val="20"/>
                <w:szCs w:val="20"/>
              </w:rPr>
              <w:t>Diagnostic category of first fit note</w:t>
            </w:r>
          </w:p>
          <w:p w:rsidR="006B683C" w:rsidRPr="009429F0" w:rsidRDefault="006B683C" w:rsidP="00C37EAE">
            <w:pPr>
              <w:jc w:val="center"/>
              <w:rPr>
                <w:rFonts w:ascii="Arial" w:hAnsi="Arial" w:cs="Arial"/>
                <w:b/>
                <w:sz w:val="20"/>
                <w:szCs w:val="20"/>
              </w:rPr>
            </w:pPr>
          </w:p>
        </w:tc>
        <w:tc>
          <w:tcPr>
            <w:tcW w:w="1134"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1701"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c>
          <w:tcPr>
            <w:tcW w:w="3107" w:type="dxa"/>
            <w:tcBorders>
              <w:top w:val="nil"/>
              <w:left w:val="nil"/>
              <w:bottom w:val="nil"/>
              <w:right w:val="nil"/>
            </w:tcBorders>
            <w:shd w:val="clear" w:color="auto" w:fill="FFFFFF" w:themeFill="background1"/>
            <w:vAlign w:val="bottom"/>
          </w:tcPr>
          <w:p w:rsidR="001A72F9" w:rsidRPr="009429F0" w:rsidRDefault="001A72F9" w:rsidP="00C37EAE">
            <w:pPr>
              <w:jc w:val="center"/>
              <w:rPr>
                <w:rFonts w:ascii="Arial" w:hAnsi="Arial" w:cs="Arial"/>
                <w:sz w:val="20"/>
                <w:szCs w:val="20"/>
              </w:rPr>
            </w:pP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Mental disorder</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386</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3.1</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6.4</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Musculoskeletal</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520</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9.9</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22.7</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Post-op recovery</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365</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9.6</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25.0</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Pregnancy</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69</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9.5</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28.6</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Circulatory</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136</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14.2</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30.1</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Respiratory</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255</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7.9</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30.8</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Neoplasm</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84</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15.3</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31.3</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Injury</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429</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12.2</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31.6</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Infection or viral</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156</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11.1</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38.8</w:t>
            </w:r>
          </w:p>
        </w:tc>
      </w:tr>
      <w:tr w:rsidR="006B683C" w:rsidRPr="009429F0" w:rsidTr="006C58CB">
        <w:tc>
          <w:tcPr>
            <w:tcW w:w="2104" w:type="dxa"/>
            <w:tcBorders>
              <w:top w:val="nil"/>
              <w:left w:val="nil"/>
              <w:bottom w:val="nil"/>
              <w:right w:val="nil"/>
            </w:tcBorders>
            <w:vAlign w:val="center"/>
          </w:tcPr>
          <w:p w:rsidR="006B683C" w:rsidRPr="009429F0" w:rsidRDefault="006B683C" w:rsidP="00C37EAE">
            <w:pPr>
              <w:rPr>
                <w:rFonts w:ascii="Arial" w:hAnsi="Arial" w:cs="Arial"/>
                <w:color w:val="000000"/>
                <w:sz w:val="20"/>
                <w:szCs w:val="20"/>
              </w:rPr>
            </w:pPr>
            <w:r w:rsidRPr="009429F0">
              <w:rPr>
                <w:rFonts w:ascii="Arial" w:hAnsi="Arial" w:cs="Arial"/>
                <w:color w:val="000000"/>
                <w:sz w:val="20"/>
                <w:szCs w:val="20"/>
              </w:rPr>
              <w:t>Digestive</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166</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13.8</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41.9</w:t>
            </w:r>
          </w:p>
        </w:tc>
      </w:tr>
      <w:tr w:rsidR="006B683C" w:rsidRPr="009429F0" w:rsidTr="006C58CB">
        <w:tc>
          <w:tcPr>
            <w:tcW w:w="2104" w:type="dxa"/>
            <w:tcBorders>
              <w:top w:val="nil"/>
              <w:left w:val="nil"/>
              <w:bottom w:val="nil"/>
              <w:right w:val="nil"/>
            </w:tcBorders>
            <w:vAlign w:val="center"/>
          </w:tcPr>
          <w:p w:rsidR="006B683C" w:rsidRPr="009429F0" w:rsidRDefault="000277AA" w:rsidP="00C37EAE">
            <w:pPr>
              <w:rPr>
                <w:rFonts w:ascii="Arial" w:hAnsi="Arial" w:cs="Arial"/>
                <w:color w:val="000000"/>
                <w:sz w:val="20"/>
                <w:szCs w:val="20"/>
              </w:rPr>
            </w:pPr>
            <w:r w:rsidRPr="009429F0">
              <w:rPr>
                <w:rFonts w:ascii="Arial" w:hAnsi="Arial" w:cs="Arial"/>
                <w:color w:val="000000"/>
                <w:sz w:val="20"/>
                <w:szCs w:val="20"/>
              </w:rPr>
              <w:t>Physical symptom</w:t>
            </w:r>
          </w:p>
        </w:tc>
        <w:tc>
          <w:tcPr>
            <w:tcW w:w="1134"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790</w:t>
            </w:r>
          </w:p>
        </w:tc>
        <w:tc>
          <w:tcPr>
            <w:tcW w:w="1701"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20.3</w:t>
            </w:r>
          </w:p>
        </w:tc>
        <w:tc>
          <w:tcPr>
            <w:tcW w:w="3107" w:type="dxa"/>
            <w:tcBorders>
              <w:top w:val="nil"/>
              <w:left w:val="nil"/>
              <w:bottom w:val="nil"/>
              <w:right w:val="nil"/>
            </w:tcBorders>
            <w:shd w:val="clear" w:color="auto" w:fill="FFFFFF" w:themeFill="background1"/>
            <w:vAlign w:val="center"/>
          </w:tcPr>
          <w:p w:rsidR="006B683C" w:rsidRPr="009429F0" w:rsidRDefault="006B683C" w:rsidP="00C37EAE">
            <w:pPr>
              <w:jc w:val="center"/>
              <w:rPr>
                <w:rFonts w:ascii="Arial" w:hAnsi="Arial" w:cs="Arial"/>
                <w:color w:val="000000"/>
                <w:sz w:val="20"/>
                <w:szCs w:val="20"/>
              </w:rPr>
            </w:pPr>
            <w:r w:rsidRPr="009429F0">
              <w:rPr>
                <w:rFonts w:ascii="Arial" w:hAnsi="Arial" w:cs="Arial"/>
                <w:color w:val="000000"/>
                <w:sz w:val="20"/>
                <w:szCs w:val="20"/>
              </w:rPr>
              <w:t>50.3</w:t>
            </w:r>
          </w:p>
        </w:tc>
      </w:tr>
      <w:tr w:rsidR="001A72F9" w:rsidRPr="009429F0" w:rsidTr="001A72F9">
        <w:tc>
          <w:tcPr>
            <w:tcW w:w="2104" w:type="dxa"/>
            <w:tcBorders>
              <w:top w:val="nil"/>
              <w:left w:val="nil"/>
              <w:bottom w:val="nil"/>
              <w:right w:val="nil"/>
            </w:tcBorders>
            <w:vAlign w:val="bottom"/>
          </w:tcPr>
          <w:p w:rsidR="001A72F9" w:rsidRPr="009429F0" w:rsidRDefault="001A72F9" w:rsidP="00C37EAE">
            <w:pPr>
              <w:rPr>
                <w:rFonts w:ascii="Arial" w:hAnsi="Arial" w:cs="Arial"/>
                <w:sz w:val="20"/>
                <w:szCs w:val="20"/>
              </w:rPr>
            </w:pPr>
            <w:r w:rsidRPr="009429F0">
              <w:rPr>
                <w:rFonts w:ascii="Arial" w:hAnsi="Arial" w:cs="Arial"/>
                <w:sz w:val="20"/>
                <w:szCs w:val="20"/>
              </w:rPr>
              <w:t>Other categories</w:t>
            </w:r>
          </w:p>
        </w:tc>
        <w:tc>
          <w:tcPr>
            <w:tcW w:w="1134"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485</w:t>
            </w:r>
          </w:p>
        </w:tc>
        <w:tc>
          <w:tcPr>
            <w:tcW w:w="1701" w:type="dxa"/>
            <w:tcBorders>
              <w:top w:val="nil"/>
              <w:left w:val="nil"/>
              <w:bottom w:val="nil"/>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15.6</w:t>
            </w:r>
          </w:p>
        </w:tc>
        <w:tc>
          <w:tcPr>
            <w:tcW w:w="3107" w:type="dxa"/>
            <w:tcBorders>
              <w:top w:val="nil"/>
              <w:left w:val="nil"/>
              <w:bottom w:val="nil"/>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42.9</w:t>
            </w:r>
          </w:p>
        </w:tc>
      </w:tr>
      <w:tr w:rsidR="001A72F9" w:rsidRPr="009429F0" w:rsidTr="001A72F9">
        <w:tc>
          <w:tcPr>
            <w:tcW w:w="2104" w:type="dxa"/>
            <w:tcBorders>
              <w:top w:val="nil"/>
              <w:left w:val="nil"/>
              <w:bottom w:val="single" w:sz="4" w:space="0" w:color="auto"/>
              <w:right w:val="nil"/>
            </w:tcBorders>
            <w:vAlign w:val="bottom"/>
          </w:tcPr>
          <w:p w:rsidR="001A72F9" w:rsidRPr="009429F0" w:rsidRDefault="001A72F9" w:rsidP="00C37EAE">
            <w:pPr>
              <w:rPr>
                <w:rFonts w:ascii="Arial" w:hAnsi="Arial" w:cs="Arial"/>
                <w:sz w:val="20"/>
                <w:szCs w:val="20"/>
              </w:rPr>
            </w:pPr>
          </w:p>
          <w:p w:rsidR="001A72F9" w:rsidRPr="009429F0" w:rsidRDefault="001A72F9" w:rsidP="00C37EAE">
            <w:pPr>
              <w:rPr>
                <w:rFonts w:ascii="Arial" w:hAnsi="Arial" w:cs="Arial"/>
                <w:sz w:val="20"/>
                <w:szCs w:val="20"/>
              </w:rPr>
            </w:pPr>
            <w:r w:rsidRPr="009429F0">
              <w:rPr>
                <w:rFonts w:ascii="Arial" w:hAnsi="Arial" w:cs="Arial"/>
                <w:sz w:val="20"/>
                <w:szCs w:val="20"/>
              </w:rPr>
              <w:t>ALL</w:t>
            </w:r>
          </w:p>
        </w:tc>
        <w:tc>
          <w:tcPr>
            <w:tcW w:w="1134" w:type="dxa"/>
            <w:tcBorders>
              <w:top w:val="nil"/>
              <w:left w:val="nil"/>
              <w:bottom w:val="single" w:sz="4" w:space="0" w:color="auto"/>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3,841</w:t>
            </w:r>
          </w:p>
        </w:tc>
        <w:tc>
          <w:tcPr>
            <w:tcW w:w="1701" w:type="dxa"/>
            <w:tcBorders>
              <w:top w:val="nil"/>
              <w:left w:val="nil"/>
              <w:bottom w:val="single" w:sz="4" w:space="0" w:color="auto"/>
              <w:right w:val="nil"/>
            </w:tcBorders>
            <w:shd w:val="clear" w:color="auto" w:fill="FFFFFF" w:themeFill="background1"/>
            <w:vAlign w:val="bottom"/>
          </w:tcPr>
          <w:p w:rsidR="001A72F9" w:rsidRPr="009429F0" w:rsidRDefault="005B61AB" w:rsidP="00C37EAE">
            <w:pPr>
              <w:jc w:val="center"/>
              <w:rPr>
                <w:rFonts w:ascii="Arial" w:hAnsi="Arial" w:cs="Arial"/>
                <w:sz w:val="20"/>
                <w:szCs w:val="20"/>
              </w:rPr>
            </w:pPr>
            <w:r w:rsidRPr="009429F0">
              <w:rPr>
                <w:rFonts w:ascii="Arial" w:hAnsi="Arial" w:cs="Arial"/>
                <w:sz w:val="20"/>
                <w:szCs w:val="20"/>
              </w:rPr>
              <w:t>9.5</w:t>
            </w:r>
          </w:p>
        </w:tc>
        <w:tc>
          <w:tcPr>
            <w:tcW w:w="3107" w:type="dxa"/>
            <w:tcBorders>
              <w:top w:val="nil"/>
              <w:left w:val="nil"/>
              <w:bottom w:val="single" w:sz="4" w:space="0" w:color="auto"/>
              <w:right w:val="nil"/>
            </w:tcBorders>
            <w:shd w:val="clear" w:color="auto" w:fill="FFFFFF" w:themeFill="background1"/>
            <w:vAlign w:val="bottom"/>
          </w:tcPr>
          <w:p w:rsidR="001A72F9" w:rsidRPr="009429F0" w:rsidRDefault="00C85847" w:rsidP="00C37EAE">
            <w:pPr>
              <w:jc w:val="center"/>
              <w:rPr>
                <w:rFonts w:ascii="Arial" w:hAnsi="Arial" w:cs="Arial"/>
                <w:sz w:val="20"/>
                <w:szCs w:val="20"/>
              </w:rPr>
            </w:pPr>
            <w:r w:rsidRPr="009429F0">
              <w:rPr>
                <w:rFonts w:ascii="Arial" w:hAnsi="Arial" w:cs="Arial"/>
                <w:sz w:val="20"/>
                <w:szCs w:val="20"/>
              </w:rPr>
              <w:t>23.4</w:t>
            </w:r>
          </w:p>
        </w:tc>
      </w:tr>
    </w:tbl>
    <w:p w:rsidR="00A912E0" w:rsidRPr="009429F0" w:rsidRDefault="00A912E0" w:rsidP="00C37EAE">
      <w:pPr>
        <w:spacing w:line="240" w:lineRule="auto"/>
        <w:rPr>
          <w:rFonts w:ascii="Arial" w:hAnsi="Arial" w:cs="Arial"/>
          <w:sz w:val="20"/>
          <w:szCs w:val="20"/>
        </w:rPr>
      </w:pPr>
    </w:p>
    <w:p w:rsidR="0054629E" w:rsidRPr="009429F0" w:rsidRDefault="0054629E" w:rsidP="00C37EAE">
      <w:pPr>
        <w:spacing w:line="240" w:lineRule="auto"/>
        <w:rPr>
          <w:rFonts w:ascii="Arial" w:hAnsi="Arial" w:cs="Arial"/>
          <w:sz w:val="20"/>
          <w:szCs w:val="20"/>
        </w:rPr>
      </w:pPr>
      <w:r w:rsidRPr="009429F0">
        <w:rPr>
          <w:rFonts w:ascii="Arial" w:hAnsi="Arial" w:cs="Arial"/>
          <w:sz w:val="20"/>
          <w:szCs w:val="20"/>
        </w:rPr>
        <w:br w:type="page"/>
      </w:r>
    </w:p>
    <w:p w:rsidR="005932D3" w:rsidRPr="009429F0" w:rsidRDefault="005932D3" w:rsidP="00C37EAE">
      <w:pPr>
        <w:spacing w:line="240" w:lineRule="auto"/>
        <w:rPr>
          <w:rFonts w:ascii="Arial" w:hAnsi="Arial" w:cs="Arial"/>
          <w:sz w:val="20"/>
          <w:szCs w:val="20"/>
        </w:rPr>
      </w:pPr>
    </w:p>
    <w:p w:rsidR="005932D3" w:rsidRPr="009429F0" w:rsidRDefault="005932D3" w:rsidP="00C37EAE">
      <w:pPr>
        <w:spacing w:line="240" w:lineRule="auto"/>
        <w:rPr>
          <w:rFonts w:ascii="Arial" w:hAnsi="Arial" w:cs="Arial"/>
          <w:sz w:val="20"/>
          <w:szCs w:val="20"/>
        </w:rPr>
      </w:pPr>
    </w:p>
    <w:p w:rsidR="005778AC" w:rsidRPr="009429F0" w:rsidRDefault="005778AC" w:rsidP="00C37EAE">
      <w:pPr>
        <w:spacing w:line="240" w:lineRule="auto"/>
        <w:rPr>
          <w:rFonts w:ascii="Arial" w:hAnsi="Arial" w:cs="Arial"/>
          <w:sz w:val="20"/>
          <w:szCs w:val="20"/>
        </w:rPr>
      </w:pPr>
    </w:p>
    <w:p w:rsidR="001617F0" w:rsidRPr="009429F0" w:rsidRDefault="001617F0" w:rsidP="00C37EAE">
      <w:pPr>
        <w:spacing w:line="240" w:lineRule="auto"/>
        <w:rPr>
          <w:rFonts w:ascii="Arial" w:hAnsi="Arial" w:cs="Arial"/>
          <w:sz w:val="20"/>
          <w:szCs w:val="20"/>
        </w:rPr>
      </w:pPr>
    </w:p>
    <w:p w:rsidR="00D34949" w:rsidRPr="009429F0" w:rsidRDefault="001617F0" w:rsidP="00C37EAE">
      <w:pPr>
        <w:spacing w:line="240" w:lineRule="auto"/>
        <w:rPr>
          <w:rFonts w:ascii="Arial" w:hAnsi="Arial" w:cs="Arial"/>
          <w:sz w:val="20"/>
          <w:szCs w:val="20"/>
        </w:rPr>
      </w:pPr>
      <w:r w:rsidRPr="009429F0">
        <w:rPr>
          <w:rFonts w:ascii="Arial" w:hAnsi="Arial" w:cs="Arial"/>
          <w:sz w:val="20"/>
          <w:szCs w:val="20"/>
        </w:rPr>
        <w:t xml:space="preserve">Table </w:t>
      </w:r>
      <w:r w:rsidR="0039222E" w:rsidRPr="009429F0">
        <w:rPr>
          <w:rFonts w:ascii="Arial" w:hAnsi="Arial" w:cs="Arial"/>
          <w:sz w:val="20"/>
          <w:szCs w:val="20"/>
        </w:rPr>
        <w:t>4</w:t>
      </w:r>
      <w:r w:rsidRPr="009429F0">
        <w:rPr>
          <w:rFonts w:ascii="Arial" w:hAnsi="Arial" w:cs="Arial"/>
          <w:sz w:val="20"/>
          <w:szCs w:val="20"/>
        </w:rPr>
        <w:t xml:space="preserve">.  </w:t>
      </w:r>
      <w:r w:rsidR="004B40F8" w:rsidRPr="009429F0">
        <w:rPr>
          <w:rFonts w:ascii="Arial" w:hAnsi="Arial" w:cs="Arial"/>
          <w:sz w:val="20"/>
          <w:szCs w:val="20"/>
        </w:rPr>
        <w:t>Proportion of episodes with first fit note in one diagnostic category changing to another specific category</w:t>
      </w:r>
      <w:r w:rsidR="00CC0E6A" w:rsidRPr="009429F0">
        <w:rPr>
          <w:rFonts w:ascii="Arial" w:hAnsi="Arial" w:cs="Arial"/>
          <w:sz w:val="20"/>
          <w:szCs w:val="20"/>
        </w:rPr>
        <w:t xml:space="preserve"> </w:t>
      </w:r>
      <w:r w:rsidRPr="009429F0">
        <w:rPr>
          <w:rFonts w:ascii="Arial" w:hAnsi="Arial" w:cs="Arial"/>
          <w:sz w:val="20"/>
          <w:szCs w:val="20"/>
        </w:rPr>
        <w:t>(multiple</w:t>
      </w:r>
      <w:r w:rsidR="00CC0E6A" w:rsidRPr="009429F0">
        <w:rPr>
          <w:rFonts w:ascii="Arial" w:hAnsi="Arial" w:cs="Arial"/>
          <w:sz w:val="20"/>
          <w:szCs w:val="20"/>
        </w:rPr>
        <w:t xml:space="preserve"> fit note episodes only)</w:t>
      </w:r>
    </w:p>
    <w:p w:rsidR="0054629E" w:rsidRPr="009429F0" w:rsidRDefault="0054629E" w:rsidP="00C37EAE">
      <w:pPr>
        <w:spacing w:line="240" w:lineRule="auto"/>
        <w:rPr>
          <w:rFonts w:ascii="Arial" w:hAnsi="Arial" w:cs="Arial"/>
          <w:sz w:val="20"/>
          <w:szCs w:val="20"/>
        </w:rPr>
      </w:pPr>
    </w:p>
    <w:tbl>
      <w:tblPr>
        <w:tblStyle w:val="TableGrid"/>
        <w:tblW w:w="10518" w:type="dxa"/>
        <w:tblInd w:w="-459" w:type="dxa"/>
        <w:tblLayout w:type="fixed"/>
        <w:tblLook w:val="04A0" w:firstRow="1" w:lastRow="0" w:firstColumn="1" w:lastColumn="0" w:noHBand="0" w:noVBand="1"/>
      </w:tblPr>
      <w:tblGrid>
        <w:gridCol w:w="2268"/>
        <w:gridCol w:w="709"/>
        <w:gridCol w:w="142"/>
        <w:gridCol w:w="535"/>
        <w:gridCol w:w="624"/>
        <w:gridCol w:w="624"/>
        <w:gridCol w:w="624"/>
        <w:gridCol w:w="624"/>
        <w:gridCol w:w="624"/>
        <w:gridCol w:w="624"/>
        <w:gridCol w:w="624"/>
        <w:gridCol w:w="624"/>
        <w:gridCol w:w="624"/>
        <w:gridCol w:w="624"/>
        <w:gridCol w:w="596"/>
        <w:gridCol w:w="28"/>
      </w:tblGrid>
      <w:tr w:rsidR="0054629E" w:rsidRPr="009429F0" w:rsidTr="00C8322E">
        <w:trPr>
          <w:gridAfter w:val="1"/>
          <w:wAfter w:w="28" w:type="dxa"/>
        </w:trPr>
        <w:tc>
          <w:tcPr>
            <w:tcW w:w="2268" w:type="dxa"/>
            <w:tcBorders>
              <w:top w:val="single" w:sz="4" w:space="0" w:color="auto"/>
              <w:left w:val="nil"/>
              <w:bottom w:val="nil"/>
              <w:right w:val="nil"/>
            </w:tcBorders>
          </w:tcPr>
          <w:p w:rsidR="0054629E" w:rsidRPr="009429F0" w:rsidRDefault="0054629E" w:rsidP="00C37EAE">
            <w:pPr>
              <w:jc w:val="center"/>
              <w:rPr>
                <w:rFonts w:ascii="Arial" w:hAnsi="Arial" w:cs="Arial"/>
                <w:b/>
              </w:rPr>
            </w:pPr>
          </w:p>
        </w:tc>
        <w:tc>
          <w:tcPr>
            <w:tcW w:w="709"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p>
        </w:tc>
        <w:tc>
          <w:tcPr>
            <w:tcW w:w="7513" w:type="dxa"/>
            <w:gridSpan w:val="13"/>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u w:val="single"/>
              </w:rPr>
            </w:pPr>
            <w:r w:rsidRPr="009429F0">
              <w:rPr>
                <w:rFonts w:ascii="Arial" w:hAnsi="Arial" w:cs="Arial"/>
                <w:b/>
                <w:sz w:val="20"/>
                <w:szCs w:val="20"/>
                <w:u w:val="single"/>
              </w:rPr>
              <w:t xml:space="preserve">Change to another diagnostic category </w:t>
            </w:r>
          </w:p>
        </w:tc>
      </w:tr>
      <w:tr w:rsidR="0054629E" w:rsidRPr="009429F0" w:rsidTr="00C8322E">
        <w:trPr>
          <w:gridAfter w:val="1"/>
          <w:wAfter w:w="28" w:type="dxa"/>
        </w:trPr>
        <w:tc>
          <w:tcPr>
            <w:tcW w:w="2268" w:type="dxa"/>
            <w:tcBorders>
              <w:top w:val="nil"/>
              <w:left w:val="nil"/>
              <w:bottom w:val="single" w:sz="4" w:space="0" w:color="auto"/>
              <w:right w:val="nil"/>
            </w:tcBorders>
          </w:tcPr>
          <w:p w:rsidR="0054629E" w:rsidRPr="009429F0" w:rsidRDefault="0054629E" w:rsidP="00C37EAE">
            <w:pPr>
              <w:jc w:val="center"/>
              <w:rPr>
                <w:rFonts w:ascii="Arial" w:hAnsi="Arial" w:cs="Arial"/>
                <w:b/>
              </w:rPr>
            </w:pPr>
          </w:p>
        </w:tc>
        <w:tc>
          <w:tcPr>
            <w:tcW w:w="709" w:type="dxa"/>
            <w:tcBorders>
              <w:top w:val="nil"/>
              <w:left w:val="nil"/>
              <w:bottom w:val="single" w:sz="4" w:space="0" w:color="auto"/>
              <w:right w:val="nil"/>
            </w:tcBorders>
            <w:vAlign w:val="bottom"/>
          </w:tcPr>
          <w:p w:rsidR="0054629E" w:rsidRPr="009429F0" w:rsidRDefault="0054629E" w:rsidP="00C37EAE">
            <w:pPr>
              <w:jc w:val="center"/>
              <w:rPr>
                <w:rFonts w:ascii="Arial" w:hAnsi="Arial" w:cs="Arial"/>
                <w:b/>
                <w:sz w:val="20"/>
                <w:szCs w:val="20"/>
              </w:rPr>
            </w:pPr>
          </w:p>
        </w:tc>
        <w:tc>
          <w:tcPr>
            <w:tcW w:w="7513" w:type="dxa"/>
            <w:gridSpan w:val="13"/>
            <w:tcBorders>
              <w:top w:val="nil"/>
              <w:left w:val="nil"/>
              <w:bottom w:val="single" w:sz="4" w:space="0" w:color="auto"/>
              <w:right w:val="nil"/>
            </w:tcBorders>
            <w:vAlign w:val="bottom"/>
          </w:tcPr>
          <w:p w:rsidR="0054629E" w:rsidRPr="009429F0" w:rsidRDefault="0054629E" w:rsidP="00C37EAE">
            <w:pPr>
              <w:jc w:val="center"/>
              <w:rPr>
                <w:rFonts w:ascii="Arial" w:hAnsi="Arial" w:cs="Arial"/>
                <w:i/>
                <w:sz w:val="20"/>
                <w:szCs w:val="20"/>
              </w:rPr>
            </w:pPr>
            <w:r w:rsidRPr="009429F0">
              <w:rPr>
                <w:rFonts w:ascii="Arial" w:hAnsi="Arial" w:cs="Arial"/>
                <w:i/>
                <w:sz w:val="20"/>
                <w:szCs w:val="20"/>
              </w:rPr>
              <w:t>Row %</w:t>
            </w:r>
          </w:p>
        </w:tc>
      </w:tr>
      <w:tr w:rsidR="0054629E" w:rsidRPr="009429F0" w:rsidTr="00C8322E">
        <w:tc>
          <w:tcPr>
            <w:tcW w:w="2268" w:type="dxa"/>
            <w:tcBorders>
              <w:top w:val="single" w:sz="4" w:space="0" w:color="auto"/>
              <w:left w:val="nil"/>
              <w:bottom w:val="nil"/>
              <w:right w:val="nil"/>
            </w:tcBorders>
          </w:tcPr>
          <w:p w:rsidR="00C8322E" w:rsidRPr="009429F0" w:rsidRDefault="0054629E" w:rsidP="00C37EAE">
            <w:pPr>
              <w:rPr>
                <w:rFonts w:ascii="Arial" w:hAnsi="Arial" w:cs="Arial"/>
                <w:b/>
                <w:sz w:val="20"/>
                <w:szCs w:val="20"/>
              </w:rPr>
            </w:pPr>
            <w:r w:rsidRPr="009429F0">
              <w:rPr>
                <w:rFonts w:ascii="Arial" w:hAnsi="Arial" w:cs="Arial"/>
                <w:b/>
                <w:sz w:val="20"/>
                <w:szCs w:val="20"/>
              </w:rPr>
              <w:t xml:space="preserve">Diagnostic category of first </w:t>
            </w:r>
          </w:p>
          <w:p w:rsidR="0054629E" w:rsidRPr="009429F0" w:rsidRDefault="0054629E" w:rsidP="00C37EAE">
            <w:pPr>
              <w:rPr>
                <w:rFonts w:ascii="Arial" w:hAnsi="Arial" w:cs="Arial"/>
                <w:sz w:val="20"/>
                <w:szCs w:val="20"/>
              </w:rPr>
            </w:pPr>
            <w:r w:rsidRPr="009429F0">
              <w:rPr>
                <w:rFonts w:ascii="Arial" w:hAnsi="Arial" w:cs="Arial"/>
                <w:b/>
                <w:sz w:val="20"/>
                <w:szCs w:val="20"/>
              </w:rPr>
              <w:t>fit note</w:t>
            </w:r>
          </w:p>
        </w:tc>
        <w:tc>
          <w:tcPr>
            <w:tcW w:w="851" w:type="dxa"/>
            <w:gridSpan w:val="2"/>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18"/>
                <w:szCs w:val="18"/>
              </w:rPr>
            </w:pPr>
            <w:r w:rsidRPr="009429F0">
              <w:rPr>
                <w:rFonts w:ascii="Arial" w:hAnsi="Arial" w:cs="Arial"/>
                <w:b/>
                <w:sz w:val="18"/>
                <w:szCs w:val="18"/>
              </w:rPr>
              <w:t>No</w:t>
            </w:r>
          </w:p>
          <w:p w:rsidR="0054629E" w:rsidRPr="009429F0" w:rsidRDefault="0054629E" w:rsidP="00C37EAE">
            <w:pPr>
              <w:jc w:val="center"/>
              <w:rPr>
                <w:rFonts w:ascii="Arial" w:hAnsi="Arial" w:cs="Arial"/>
                <w:b/>
                <w:sz w:val="18"/>
                <w:szCs w:val="18"/>
              </w:rPr>
            </w:pPr>
            <w:r w:rsidRPr="009429F0">
              <w:rPr>
                <w:rFonts w:ascii="Arial" w:hAnsi="Arial" w:cs="Arial"/>
                <w:b/>
                <w:sz w:val="18"/>
                <w:szCs w:val="18"/>
              </w:rPr>
              <w:t>change</w:t>
            </w:r>
          </w:p>
        </w:tc>
        <w:tc>
          <w:tcPr>
            <w:tcW w:w="535"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MD</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M</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S</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PO</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I</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R</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IV</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D</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C</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P</w:t>
            </w:r>
          </w:p>
        </w:tc>
        <w:tc>
          <w:tcPr>
            <w:tcW w:w="624" w:type="dxa"/>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N</w:t>
            </w:r>
          </w:p>
        </w:tc>
        <w:tc>
          <w:tcPr>
            <w:tcW w:w="624" w:type="dxa"/>
            <w:gridSpan w:val="2"/>
            <w:tcBorders>
              <w:top w:val="single" w:sz="4" w:space="0" w:color="auto"/>
              <w:left w:val="nil"/>
              <w:bottom w:val="nil"/>
              <w:right w:val="nil"/>
            </w:tcBorders>
            <w:vAlign w:val="bottom"/>
          </w:tcPr>
          <w:p w:rsidR="0054629E" w:rsidRPr="009429F0" w:rsidRDefault="0054629E" w:rsidP="00C37EAE">
            <w:pPr>
              <w:jc w:val="center"/>
              <w:rPr>
                <w:rFonts w:ascii="Arial" w:hAnsi="Arial" w:cs="Arial"/>
                <w:b/>
                <w:sz w:val="20"/>
                <w:szCs w:val="20"/>
              </w:rPr>
            </w:pPr>
            <w:r w:rsidRPr="009429F0">
              <w:rPr>
                <w:rFonts w:ascii="Arial" w:hAnsi="Arial" w:cs="Arial"/>
                <w:b/>
                <w:sz w:val="20"/>
                <w:szCs w:val="20"/>
              </w:rPr>
              <w:t>O</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p>
          <w:p w:rsidR="0054629E" w:rsidRPr="009429F0" w:rsidRDefault="0054629E" w:rsidP="00C37EAE">
            <w:pPr>
              <w:rPr>
                <w:rFonts w:ascii="Arial" w:hAnsi="Arial" w:cs="Arial"/>
                <w:sz w:val="20"/>
                <w:szCs w:val="20"/>
              </w:rPr>
            </w:pPr>
            <w:r w:rsidRPr="009429F0">
              <w:rPr>
                <w:rFonts w:ascii="Arial" w:hAnsi="Arial" w:cs="Arial"/>
                <w:sz w:val="20"/>
                <w:szCs w:val="20"/>
              </w:rPr>
              <w:t xml:space="preserve">Mental disorders </w:t>
            </w:r>
            <w:r w:rsidRPr="009429F0">
              <w:rPr>
                <w:rFonts w:ascii="Arial" w:hAnsi="Arial" w:cs="Arial"/>
                <w:b/>
                <w:sz w:val="20"/>
                <w:szCs w:val="20"/>
              </w:rPr>
              <w:t>(MD)</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93.9</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0.1</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0.9</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Musculoskeletal </w:t>
            </w:r>
            <w:r w:rsidRPr="009429F0">
              <w:rPr>
                <w:rFonts w:ascii="Arial" w:hAnsi="Arial" w:cs="Arial"/>
                <w:b/>
                <w:sz w:val="20"/>
                <w:szCs w:val="20"/>
              </w:rPr>
              <w:t>(M)</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77.3</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0.2</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2.5</w:t>
            </w:r>
          </w:p>
        </w:tc>
      </w:tr>
      <w:tr w:rsidR="0054629E" w:rsidRPr="009429F0" w:rsidTr="00C8322E">
        <w:tc>
          <w:tcPr>
            <w:tcW w:w="2268" w:type="dxa"/>
            <w:tcBorders>
              <w:top w:val="nil"/>
              <w:left w:val="nil"/>
              <w:bottom w:val="nil"/>
              <w:right w:val="nil"/>
            </w:tcBorders>
          </w:tcPr>
          <w:p w:rsidR="0054629E" w:rsidRPr="009429F0" w:rsidRDefault="000277AA" w:rsidP="00C37EAE">
            <w:pPr>
              <w:rPr>
                <w:rFonts w:ascii="Arial" w:hAnsi="Arial" w:cs="Arial"/>
                <w:sz w:val="20"/>
                <w:szCs w:val="20"/>
              </w:rPr>
            </w:pPr>
            <w:r w:rsidRPr="009429F0">
              <w:rPr>
                <w:rFonts w:ascii="Arial" w:hAnsi="Arial" w:cs="Arial"/>
                <w:sz w:val="20"/>
                <w:szCs w:val="20"/>
              </w:rPr>
              <w:t>Physical symptom</w:t>
            </w:r>
            <w:r w:rsidR="0054629E" w:rsidRPr="009429F0">
              <w:rPr>
                <w:rFonts w:ascii="Arial" w:hAnsi="Arial" w:cs="Arial"/>
                <w:sz w:val="20"/>
                <w:szCs w:val="20"/>
              </w:rPr>
              <w:t xml:space="preserve"> </w:t>
            </w:r>
            <w:r w:rsidR="0054629E" w:rsidRPr="009429F0">
              <w:rPr>
                <w:rFonts w:ascii="Arial" w:hAnsi="Arial" w:cs="Arial"/>
                <w:b/>
                <w:sz w:val="20"/>
                <w:szCs w:val="20"/>
              </w:rPr>
              <w:t>(S)</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49.7</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8.0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6.7</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Post-op recovery </w:t>
            </w:r>
            <w:r w:rsidRPr="009429F0">
              <w:rPr>
                <w:rFonts w:ascii="Arial" w:hAnsi="Arial" w:cs="Arial"/>
                <w:b/>
                <w:sz w:val="20"/>
                <w:szCs w:val="20"/>
              </w:rPr>
              <w:t>(PO)</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75.0</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2.7</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3.6</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Injury </w:t>
            </w:r>
            <w:r w:rsidRPr="009429F0">
              <w:rPr>
                <w:rFonts w:ascii="Arial" w:hAnsi="Arial" w:cs="Arial"/>
                <w:b/>
                <w:sz w:val="20"/>
                <w:szCs w:val="20"/>
              </w:rPr>
              <w:t>(I)</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68.4</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12.0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0.1</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1.5</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Respiratory </w:t>
            </w:r>
            <w:r w:rsidRPr="009429F0">
              <w:rPr>
                <w:rFonts w:ascii="Arial" w:hAnsi="Arial" w:cs="Arial"/>
                <w:b/>
                <w:sz w:val="20"/>
                <w:szCs w:val="20"/>
              </w:rPr>
              <w:t>(R)</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69.2</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8.0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3.4</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Infection/viral </w:t>
            </w:r>
            <w:r w:rsidRPr="009429F0">
              <w:rPr>
                <w:rFonts w:ascii="Arial" w:hAnsi="Arial" w:cs="Arial"/>
                <w:b/>
                <w:sz w:val="20"/>
                <w:szCs w:val="20"/>
              </w:rPr>
              <w:t>(IV)</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61.2</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8.5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8.5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8.0</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Digestive </w:t>
            </w:r>
            <w:r w:rsidRPr="009429F0">
              <w:rPr>
                <w:rFonts w:ascii="Arial" w:hAnsi="Arial" w:cs="Arial"/>
                <w:b/>
                <w:sz w:val="20"/>
                <w:szCs w:val="20"/>
              </w:rPr>
              <w:t>(D)</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58.1</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9.6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9.3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3.0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0.3</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7.1</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Circulatory </w:t>
            </w:r>
            <w:r w:rsidRPr="009429F0">
              <w:rPr>
                <w:rFonts w:ascii="Arial" w:hAnsi="Arial" w:cs="Arial"/>
                <w:b/>
                <w:sz w:val="20"/>
                <w:szCs w:val="20"/>
              </w:rPr>
              <w:t>(C)</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69.9</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7.3</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6.2</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Pregnancy </w:t>
            </w:r>
            <w:r w:rsidRPr="009429F0">
              <w:rPr>
                <w:rFonts w:ascii="Arial" w:hAnsi="Arial" w:cs="Arial"/>
                <w:b/>
                <w:sz w:val="20"/>
                <w:szCs w:val="20"/>
              </w:rPr>
              <w:t>(P)</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71.4</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0.8</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7.5</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Neoplasm </w:t>
            </w:r>
            <w:r w:rsidRPr="009429F0">
              <w:rPr>
                <w:rFonts w:ascii="Arial" w:hAnsi="Arial" w:cs="Arial"/>
                <w:b/>
                <w:sz w:val="20"/>
                <w:szCs w:val="20"/>
              </w:rPr>
              <w:t>(N)</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68.7</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2.2</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1.1</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12.7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9.7</w:t>
            </w:r>
          </w:p>
        </w:tc>
      </w:tr>
      <w:tr w:rsidR="0054629E" w:rsidRPr="009429F0" w:rsidTr="00C8322E">
        <w:tc>
          <w:tcPr>
            <w:tcW w:w="2268" w:type="dxa"/>
            <w:tcBorders>
              <w:top w:val="nil"/>
              <w:left w:val="nil"/>
              <w:bottom w:val="nil"/>
              <w:right w:val="nil"/>
            </w:tcBorders>
          </w:tcPr>
          <w:p w:rsidR="0054629E" w:rsidRPr="009429F0" w:rsidRDefault="0054629E" w:rsidP="00C37EAE">
            <w:pPr>
              <w:rPr>
                <w:rFonts w:ascii="Arial" w:hAnsi="Arial" w:cs="Arial"/>
                <w:sz w:val="20"/>
                <w:szCs w:val="20"/>
              </w:rPr>
            </w:pPr>
            <w:r w:rsidRPr="009429F0">
              <w:rPr>
                <w:rFonts w:ascii="Arial" w:hAnsi="Arial" w:cs="Arial"/>
                <w:sz w:val="20"/>
                <w:szCs w:val="20"/>
              </w:rPr>
              <w:t xml:space="preserve">Other category </w:t>
            </w:r>
            <w:r w:rsidRPr="009429F0">
              <w:rPr>
                <w:rFonts w:ascii="Arial" w:hAnsi="Arial" w:cs="Arial"/>
                <w:b/>
                <w:sz w:val="20"/>
                <w:szCs w:val="20"/>
              </w:rPr>
              <w:t>(O)</w:t>
            </w:r>
          </w:p>
        </w:tc>
        <w:tc>
          <w:tcPr>
            <w:tcW w:w="851"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57.1</w:t>
            </w:r>
          </w:p>
        </w:tc>
        <w:tc>
          <w:tcPr>
            <w:tcW w:w="535"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4.0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9.9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6.5</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2.4</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1.6</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1.9</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1.7</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1.0</w:t>
            </w:r>
          </w:p>
        </w:tc>
        <w:tc>
          <w:tcPr>
            <w:tcW w:w="624" w:type="dxa"/>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2.7</w:t>
            </w:r>
          </w:p>
        </w:tc>
        <w:tc>
          <w:tcPr>
            <w:tcW w:w="624" w:type="dxa"/>
            <w:gridSpan w:val="2"/>
            <w:tcBorders>
              <w:top w:val="nil"/>
              <w:left w:val="nil"/>
              <w:bottom w:val="nil"/>
              <w:right w:val="nil"/>
            </w:tcBorders>
            <w:vAlign w:val="bottom"/>
          </w:tcPr>
          <w:p w:rsidR="0054629E" w:rsidRPr="009429F0" w:rsidRDefault="0054629E" w:rsidP="00C37EAE">
            <w:pPr>
              <w:jc w:val="center"/>
              <w:rPr>
                <w:rFonts w:ascii="Arial" w:hAnsi="Arial" w:cs="Arial"/>
                <w:sz w:val="20"/>
                <w:szCs w:val="20"/>
              </w:rPr>
            </w:pPr>
            <w:r w:rsidRPr="009429F0">
              <w:rPr>
                <w:rFonts w:ascii="Arial" w:hAnsi="Arial" w:cs="Arial"/>
                <w:sz w:val="20"/>
                <w:szCs w:val="20"/>
              </w:rPr>
              <w:t>-</w:t>
            </w:r>
          </w:p>
        </w:tc>
      </w:tr>
      <w:tr w:rsidR="0054629E" w:rsidRPr="009429F0" w:rsidTr="00C8322E">
        <w:tc>
          <w:tcPr>
            <w:tcW w:w="2268" w:type="dxa"/>
            <w:tcBorders>
              <w:top w:val="nil"/>
              <w:left w:val="nil"/>
              <w:right w:val="nil"/>
            </w:tcBorders>
          </w:tcPr>
          <w:p w:rsidR="0054629E" w:rsidRPr="009429F0" w:rsidRDefault="0054629E" w:rsidP="00C37EAE">
            <w:pPr>
              <w:rPr>
                <w:rFonts w:ascii="Arial" w:hAnsi="Arial" w:cs="Arial"/>
                <w:sz w:val="20"/>
                <w:szCs w:val="20"/>
              </w:rPr>
            </w:pPr>
          </w:p>
        </w:tc>
        <w:tc>
          <w:tcPr>
            <w:tcW w:w="851" w:type="dxa"/>
            <w:gridSpan w:val="2"/>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535"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tcBorders>
              <w:top w:val="nil"/>
              <w:left w:val="nil"/>
              <w:right w:val="nil"/>
            </w:tcBorders>
            <w:vAlign w:val="bottom"/>
          </w:tcPr>
          <w:p w:rsidR="0054629E" w:rsidRPr="009429F0" w:rsidRDefault="0054629E" w:rsidP="00C37EAE">
            <w:pPr>
              <w:jc w:val="center"/>
              <w:rPr>
                <w:rFonts w:ascii="Arial" w:hAnsi="Arial" w:cs="Arial"/>
                <w:sz w:val="20"/>
                <w:szCs w:val="20"/>
              </w:rPr>
            </w:pPr>
          </w:p>
        </w:tc>
        <w:tc>
          <w:tcPr>
            <w:tcW w:w="624" w:type="dxa"/>
            <w:gridSpan w:val="2"/>
            <w:tcBorders>
              <w:top w:val="nil"/>
              <w:left w:val="nil"/>
              <w:right w:val="nil"/>
            </w:tcBorders>
            <w:vAlign w:val="bottom"/>
          </w:tcPr>
          <w:p w:rsidR="0054629E" w:rsidRPr="009429F0" w:rsidRDefault="0054629E" w:rsidP="00C37EAE">
            <w:pPr>
              <w:jc w:val="center"/>
              <w:rPr>
                <w:rFonts w:ascii="Arial" w:hAnsi="Arial" w:cs="Arial"/>
                <w:sz w:val="20"/>
                <w:szCs w:val="20"/>
              </w:rPr>
            </w:pPr>
          </w:p>
        </w:tc>
      </w:tr>
    </w:tbl>
    <w:p w:rsidR="0054629E" w:rsidRPr="009429F0" w:rsidRDefault="0054629E" w:rsidP="00C37EAE">
      <w:pPr>
        <w:spacing w:line="240" w:lineRule="auto"/>
      </w:pPr>
    </w:p>
    <w:p w:rsidR="0054629E" w:rsidRPr="009429F0" w:rsidRDefault="0054629E" w:rsidP="00C37EAE">
      <w:pPr>
        <w:spacing w:line="240" w:lineRule="auto"/>
      </w:pPr>
      <w:r w:rsidRPr="009429F0">
        <w:br w:type="page"/>
      </w:r>
    </w:p>
    <w:p w:rsidR="0054629E" w:rsidRPr="009429F0" w:rsidRDefault="0054629E" w:rsidP="00C37EAE">
      <w:pPr>
        <w:spacing w:line="240" w:lineRule="auto"/>
      </w:pPr>
    </w:p>
    <w:p w:rsidR="0010117A" w:rsidRPr="009429F0" w:rsidRDefault="0039222E" w:rsidP="00C37EAE">
      <w:pPr>
        <w:spacing w:line="240" w:lineRule="auto"/>
        <w:rPr>
          <w:rFonts w:ascii="Arial" w:hAnsi="Arial" w:cs="Arial"/>
          <w:sz w:val="20"/>
          <w:szCs w:val="20"/>
        </w:rPr>
      </w:pPr>
      <w:r w:rsidRPr="009429F0">
        <w:rPr>
          <w:rFonts w:ascii="Arial" w:hAnsi="Arial" w:cs="Arial"/>
          <w:sz w:val="20"/>
          <w:szCs w:val="20"/>
        </w:rPr>
        <w:t>Table 5</w:t>
      </w:r>
      <w:r w:rsidR="00C06425" w:rsidRPr="009429F0">
        <w:rPr>
          <w:rFonts w:ascii="Arial" w:hAnsi="Arial" w:cs="Arial"/>
          <w:sz w:val="20"/>
          <w:szCs w:val="20"/>
        </w:rPr>
        <w:t xml:space="preserve">. </w:t>
      </w:r>
      <w:r w:rsidR="007578DA" w:rsidRPr="009429F0">
        <w:rPr>
          <w:rFonts w:ascii="Arial" w:hAnsi="Arial" w:cs="Arial"/>
          <w:sz w:val="20"/>
          <w:szCs w:val="20"/>
        </w:rPr>
        <w:t xml:space="preserve">Episode, patient, GP and general practice factors associated with likelihood of a </w:t>
      </w:r>
      <w:r w:rsidR="0086137A" w:rsidRPr="009429F0">
        <w:rPr>
          <w:rFonts w:ascii="Arial" w:hAnsi="Arial" w:cs="Arial"/>
          <w:sz w:val="20"/>
          <w:szCs w:val="20"/>
        </w:rPr>
        <w:t>“mixed diagnosis”</w:t>
      </w:r>
      <w:r w:rsidR="007578DA" w:rsidRPr="009429F0">
        <w:rPr>
          <w:rFonts w:ascii="Arial" w:hAnsi="Arial" w:cs="Arial"/>
          <w:sz w:val="20"/>
          <w:szCs w:val="20"/>
        </w:rPr>
        <w:t xml:space="preserve"> episode </w:t>
      </w:r>
      <w:r w:rsidR="005259E3" w:rsidRPr="009429F0">
        <w:rPr>
          <w:rFonts w:ascii="Arial" w:hAnsi="Arial" w:cs="Arial"/>
          <w:sz w:val="20"/>
          <w:szCs w:val="20"/>
        </w:rPr>
        <w:t xml:space="preserve">(multiple </w:t>
      </w:r>
      <w:r w:rsidR="007578DA" w:rsidRPr="009429F0">
        <w:rPr>
          <w:rFonts w:ascii="Arial" w:hAnsi="Arial" w:cs="Arial"/>
          <w:sz w:val="20"/>
          <w:szCs w:val="20"/>
        </w:rPr>
        <w:t>fit note episodes only)</w:t>
      </w:r>
    </w:p>
    <w:tbl>
      <w:tblPr>
        <w:tblStyle w:val="TableGrid"/>
        <w:tblW w:w="10173" w:type="dxa"/>
        <w:tblLook w:val="04A0" w:firstRow="1" w:lastRow="0" w:firstColumn="1" w:lastColumn="0" w:noHBand="0" w:noVBand="1"/>
      </w:tblPr>
      <w:tblGrid>
        <w:gridCol w:w="4077"/>
        <w:gridCol w:w="567"/>
        <w:gridCol w:w="1560"/>
        <w:gridCol w:w="1842"/>
        <w:gridCol w:w="2127"/>
      </w:tblGrid>
      <w:tr w:rsidR="00956FA5" w:rsidRPr="009429F0" w:rsidTr="00AC1909">
        <w:trPr>
          <w:tblHeader/>
        </w:trPr>
        <w:tc>
          <w:tcPr>
            <w:tcW w:w="4077" w:type="dxa"/>
            <w:tcBorders>
              <w:top w:val="single" w:sz="4" w:space="0" w:color="auto"/>
              <w:left w:val="nil"/>
              <w:bottom w:val="single" w:sz="4" w:space="0" w:color="auto"/>
              <w:right w:val="nil"/>
            </w:tcBorders>
          </w:tcPr>
          <w:p w:rsidR="00956FA5" w:rsidRPr="009429F0" w:rsidRDefault="00956FA5" w:rsidP="00C37EAE">
            <w:pPr>
              <w:rPr>
                <w:rFonts w:ascii="Arial" w:hAnsi="Arial" w:cs="Arial"/>
                <w:sz w:val="20"/>
                <w:szCs w:val="20"/>
              </w:rPr>
            </w:pPr>
          </w:p>
        </w:tc>
        <w:tc>
          <w:tcPr>
            <w:tcW w:w="567" w:type="dxa"/>
            <w:tcBorders>
              <w:top w:val="single" w:sz="4" w:space="0" w:color="auto"/>
              <w:left w:val="nil"/>
              <w:bottom w:val="single" w:sz="4" w:space="0" w:color="auto"/>
              <w:right w:val="nil"/>
            </w:tcBorders>
          </w:tcPr>
          <w:p w:rsidR="00956FA5" w:rsidRPr="009429F0" w:rsidRDefault="00956FA5" w:rsidP="00C37EAE">
            <w:pPr>
              <w:rPr>
                <w:rFonts w:ascii="Arial" w:hAnsi="Arial" w:cs="Arial"/>
                <w:sz w:val="20"/>
                <w:szCs w:val="20"/>
              </w:rPr>
            </w:pPr>
          </w:p>
        </w:tc>
        <w:tc>
          <w:tcPr>
            <w:tcW w:w="1560" w:type="dxa"/>
            <w:tcBorders>
              <w:top w:val="single" w:sz="4" w:space="0" w:color="auto"/>
              <w:left w:val="nil"/>
              <w:bottom w:val="single" w:sz="4" w:space="0" w:color="auto"/>
              <w:right w:val="nil"/>
            </w:tcBorders>
          </w:tcPr>
          <w:p w:rsidR="00956FA5" w:rsidRPr="009429F0" w:rsidRDefault="00956FA5" w:rsidP="00C37EAE">
            <w:pPr>
              <w:jc w:val="center"/>
              <w:rPr>
                <w:rFonts w:ascii="Arial" w:hAnsi="Arial" w:cs="Arial"/>
                <w:b/>
                <w:sz w:val="20"/>
                <w:szCs w:val="20"/>
              </w:rPr>
            </w:pPr>
            <w:r w:rsidRPr="009429F0">
              <w:rPr>
                <w:rFonts w:ascii="Arial" w:hAnsi="Arial" w:cs="Arial"/>
                <w:b/>
                <w:sz w:val="20"/>
                <w:szCs w:val="20"/>
              </w:rPr>
              <w:t>Odds Ratio</w:t>
            </w:r>
          </w:p>
        </w:tc>
        <w:tc>
          <w:tcPr>
            <w:tcW w:w="1842" w:type="dxa"/>
            <w:tcBorders>
              <w:top w:val="single" w:sz="4" w:space="0" w:color="auto"/>
              <w:left w:val="nil"/>
              <w:bottom w:val="single" w:sz="4" w:space="0" w:color="auto"/>
              <w:right w:val="nil"/>
            </w:tcBorders>
          </w:tcPr>
          <w:p w:rsidR="00956FA5" w:rsidRPr="009429F0" w:rsidRDefault="00956FA5" w:rsidP="00C37EAE">
            <w:pPr>
              <w:jc w:val="center"/>
              <w:rPr>
                <w:rFonts w:ascii="Arial" w:hAnsi="Arial" w:cs="Arial"/>
                <w:b/>
                <w:sz w:val="20"/>
                <w:szCs w:val="20"/>
              </w:rPr>
            </w:pPr>
            <w:r w:rsidRPr="009429F0">
              <w:rPr>
                <w:rFonts w:ascii="Arial" w:hAnsi="Arial" w:cs="Arial"/>
                <w:b/>
                <w:sz w:val="20"/>
                <w:szCs w:val="20"/>
              </w:rPr>
              <w:t>95% CI</w:t>
            </w:r>
          </w:p>
        </w:tc>
        <w:tc>
          <w:tcPr>
            <w:tcW w:w="2127" w:type="dxa"/>
            <w:tcBorders>
              <w:top w:val="single" w:sz="4" w:space="0" w:color="auto"/>
              <w:left w:val="nil"/>
              <w:bottom w:val="single" w:sz="4" w:space="0" w:color="auto"/>
              <w:right w:val="nil"/>
            </w:tcBorders>
          </w:tcPr>
          <w:p w:rsidR="00956FA5" w:rsidRPr="009429F0" w:rsidRDefault="00956FA5" w:rsidP="00C37EAE">
            <w:pPr>
              <w:jc w:val="center"/>
              <w:rPr>
                <w:rFonts w:ascii="Arial" w:hAnsi="Arial" w:cs="Arial"/>
                <w:b/>
                <w:sz w:val="20"/>
                <w:szCs w:val="20"/>
              </w:rPr>
            </w:pPr>
            <w:r w:rsidRPr="009429F0">
              <w:rPr>
                <w:rFonts w:ascii="Arial" w:hAnsi="Arial" w:cs="Arial"/>
                <w:b/>
                <w:sz w:val="20"/>
                <w:szCs w:val="20"/>
              </w:rPr>
              <w:t>P</w:t>
            </w:r>
          </w:p>
        </w:tc>
      </w:tr>
      <w:tr w:rsidR="00956FA5" w:rsidRPr="009429F0" w:rsidTr="00AC1909">
        <w:tc>
          <w:tcPr>
            <w:tcW w:w="4077" w:type="dxa"/>
            <w:tcBorders>
              <w:left w:val="nil"/>
              <w:bottom w:val="nil"/>
              <w:right w:val="nil"/>
            </w:tcBorders>
          </w:tcPr>
          <w:p w:rsidR="00956FA5" w:rsidRPr="009429F0" w:rsidRDefault="00956FA5" w:rsidP="00C37EAE">
            <w:pPr>
              <w:rPr>
                <w:rFonts w:ascii="Arial" w:hAnsi="Arial" w:cs="Arial"/>
                <w:sz w:val="20"/>
                <w:szCs w:val="20"/>
              </w:rPr>
            </w:pPr>
          </w:p>
        </w:tc>
        <w:tc>
          <w:tcPr>
            <w:tcW w:w="567" w:type="dxa"/>
            <w:tcBorders>
              <w:left w:val="nil"/>
              <w:bottom w:val="nil"/>
              <w:right w:val="nil"/>
            </w:tcBorders>
          </w:tcPr>
          <w:p w:rsidR="00956FA5" w:rsidRPr="009429F0" w:rsidRDefault="00956FA5" w:rsidP="00C37EAE">
            <w:pPr>
              <w:rPr>
                <w:rFonts w:ascii="Arial" w:hAnsi="Arial" w:cs="Arial"/>
                <w:sz w:val="20"/>
                <w:szCs w:val="20"/>
              </w:rPr>
            </w:pPr>
          </w:p>
        </w:tc>
        <w:tc>
          <w:tcPr>
            <w:tcW w:w="1560" w:type="dxa"/>
            <w:tcBorders>
              <w:left w:val="nil"/>
              <w:bottom w:val="nil"/>
              <w:right w:val="nil"/>
            </w:tcBorders>
          </w:tcPr>
          <w:p w:rsidR="00956FA5" w:rsidRPr="009429F0" w:rsidRDefault="00956FA5" w:rsidP="00C37EAE">
            <w:pPr>
              <w:jc w:val="center"/>
              <w:rPr>
                <w:rFonts w:ascii="Arial" w:hAnsi="Arial" w:cs="Arial"/>
                <w:sz w:val="20"/>
                <w:szCs w:val="20"/>
              </w:rPr>
            </w:pPr>
          </w:p>
        </w:tc>
        <w:tc>
          <w:tcPr>
            <w:tcW w:w="1842" w:type="dxa"/>
            <w:tcBorders>
              <w:left w:val="nil"/>
              <w:bottom w:val="nil"/>
              <w:right w:val="nil"/>
            </w:tcBorders>
          </w:tcPr>
          <w:p w:rsidR="00956FA5" w:rsidRPr="009429F0" w:rsidRDefault="00956FA5" w:rsidP="00C37EAE">
            <w:pPr>
              <w:jc w:val="center"/>
              <w:rPr>
                <w:rFonts w:ascii="Arial" w:hAnsi="Arial" w:cs="Arial"/>
                <w:sz w:val="20"/>
                <w:szCs w:val="20"/>
              </w:rPr>
            </w:pPr>
          </w:p>
        </w:tc>
        <w:tc>
          <w:tcPr>
            <w:tcW w:w="2127" w:type="dxa"/>
            <w:tcBorders>
              <w:left w:val="nil"/>
              <w:bottom w:val="nil"/>
              <w:right w:val="nil"/>
            </w:tcBorders>
          </w:tcPr>
          <w:p w:rsidR="00956FA5" w:rsidRPr="009429F0" w:rsidRDefault="00956FA5" w:rsidP="00C37EAE">
            <w:pPr>
              <w:jc w:val="center"/>
              <w:rPr>
                <w:rFonts w:ascii="Arial" w:hAnsi="Arial" w:cs="Arial"/>
                <w:sz w:val="20"/>
                <w:szCs w:val="20"/>
              </w:rPr>
            </w:pPr>
          </w:p>
        </w:tc>
      </w:tr>
      <w:tr w:rsidR="00956FA5" w:rsidRPr="009429F0" w:rsidTr="00AC1909">
        <w:tc>
          <w:tcPr>
            <w:tcW w:w="4077" w:type="dxa"/>
            <w:tcBorders>
              <w:top w:val="nil"/>
              <w:left w:val="nil"/>
              <w:bottom w:val="nil"/>
              <w:right w:val="nil"/>
            </w:tcBorders>
          </w:tcPr>
          <w:p w:rsidR="00956FA5" w:rsidRPr="009429F0" w:rsidRDefault="00956FA5" w:rsidP="00C37EAE">
            <w:pPr>
              <w:rPr>
                <w:rFonts w:ascii="Arial" w:hAnsi="Arial" w:cs="Arial"/>
                <w:b/>
                <w:sz w:val="20"/>
                <w:szCs w:val="20"/>
              </w:rPr>
            </w:pPr>
            <w:r w:rsidRPr="009429F0">
              <w:rPr>
                <w:rFonts w:ascii="Arial" w:hAnsi="Arial" w:cs="Arial"/>
                <w:b/>
                <w:sz w:val="20"/>
                <w:szCs w:val="20"/>
              </w:rPr>
              <w:t>Episode</w:t>
            </w:r>
          </w:p>
        </w:tc>
        <w:tc>
          <w:tcPr>
            <w:tcW w:w="567" w:type="dxa"/>
            <w:tcBorders>
              <w:top w:val="nil"/>
              <w:left w:val="nil"/>
              <w:bottom w:val="nil"/>
              <w:right w:val="nil"/>
            </w:tcBorders>
          </w:tcPr>
          <w:p w:rsidR="00956FA5" w:rsidRPr="009429F0" w:rsidRDefault="00956FA5" w:rsidP="00C37EAE">
            <w:pPr>
              <w:rPr>
                <w:rFonts w:ascii="Arial" w:hAnsi="Arial" w:cs="Arial"/>
                <w:sz w:val="20"/>
                <w:szCs w:val="20"/>
              </w:rPr>
            </w:pPr>
          </w:p>
        </w:tc>
        <w:tc>
          <w:tcPr>
            <w:tcW w:w="1560" w:type="dxa"/>
            <w:tcBorders>
              <w:top w:val="nil"/>
              <w:left w:val="nil"/>
              <w:bottom w:val="nil"/>
              <w:right w:val="nil"/>
            </w:tcBorders>
          </w:tcPr>
          <w:p w:rsidR="00956FA5" w:rsidRPr="009429F0" w:rsidRDefault="00956FA5" w:rsidP="00C37EAE">
            <w:pPr>
              <w:jc w:val="center"/>
              <w:rPr>
                <w:rFonts w:ascii="Arial" w:hAnsi="Arial" w:cs="Arial"/>
                <w:sz w:val="20"/>
                <w:szCs w:val="20"/>
              </w:rPr>
            </w:pPr>
          </w:p>
        </w:tc>
        <w:tc>
          <w:tcPr>
            <w:tcW w:w="1842" w:type="dxa"/>
            <w:tcBorders>
              <w:top w:val="nil"/>
              <w:left w:val="nil"/>
              <w:bottom w:val="nil"/>
              <w:right w:val="nil"/>
            </w:tcBorders>
          </w:tcPr>
          <w:p w:rsidR="00956FA5" w:rsidRPr="009429F0" w:rsidRDefault="00956FA5" w:rsidP="00C37EAE">
            <w:pPr>
              <w:jc w:val="center"/>
              <w:rPr>
                <w:rFonts w:ascii="Arial" w:hAnsi="Arial" w:cs="Arial"/>
                <w:sz w:val="20"/>
                <w:szCs w:val="20"/>
              </w:rPr>
            </w:pPr>
          </w:p>
        </w:tc>
        <w:tc>
          <w:tcPr>
            <w:tcW w:w="2127" w:type="dxa"/>
            <w:tcBorders>
              <w:top w:val="nil"/>
              <w:left w:val="nil"/>
              <w:bottom w:val="nil"/>
              <w:right w:val="nil"/>
            </w:tcBorders>
          </w:tcPr>
          <w:p w:rsidR="00956FA5" w:rsidRPr="009429F0" w:rsidRDefault="00956FA5" w:rsidP="00C37EAE">
            <w:pPr>
              <w:jc w:val="center"/>
              <w:rPr>
                <w:rFonts w:ascii="Arial" w:hAnsi="Arial" w:cs="Arial"/>
                <w:sz w:val="20"/>
                <w:szCs w:val="20"/>
              </w:rPr>
            </w:pPr>
          </w:p>
        </w:tc>
      </w:tr>
      <w:tr w:rsidR="00956FA5" w:rsidRPr="009429F0" w:rsidTr="00AC1909">
        <w:tc>
          <w:tcPr>
            <w:tcW w:w="4077" w:type="dxa"/>
            <w:tcBorders>
              <w:top w:val="nil"/>
              <w:left w:val="nil"/>
              <w:bottom w:val="nil"/>
              <w:right w:val="nil"/>
            </w:tcBorders>
          </w:tcPr>
          <w:p w:rsidR="00956FA5" w:rsidRPr="009429F0" w:rsidRDefault="00956FA5" w:rsidP="00C37EAE">
            <w:pPr>
              <w:rPr>
                <w:rFonts w:ascii="Arial" w:hAnsi="Arial" w:cs="Arial"/>
                <w:i/>
                <w:sz w:val="20"/>
                <w:szCs w:val="20"/>
              </w:rPr>
            </w:pPr>
            <w:r w:rsidRPr="009429F0">
              <w:rPr>
                <w:rFonts w:ascii="Arial" w:hAnsi="Arial" w:cs="Arial"/>
                <w:i/>
                <w:sz w:val="20"/>
                <w:szCs w:val="20"/>
              </w:rPr>
              <w:t>Diagnostic category</w:t>
            </w:r>
            <w:r w:rsidR="00411AF3" w:rsidRPr="009429F0">
              <w:rPr>
                <w:rFonts w:ascii="Arial" w:hAnsi="Arial" w:cs="Arial"/>
                <w:i/>
                <w:sz w:val="20"/>
                <w:szCs w:val="20"/>
              </w:rPr>
              <w:t xml:space="preserve"> of 1</w:t>
            </w:r>
            <w:r w:rsidR="00411AF3" w:rsidRPr="009429F0">
              <w:rPr>
                <w:rFonts w:ascii="Arial" w:hAnsi="Arial" w:cs="Arial"/>
                <w:i/>
                <w:sz w:val="20"/>
                <w:szCs w:val="20"/>
                <w:vertAlign w:val="superscript"/>
              </w:rPr>
              <w:t>st</w:t>
            </w:r>
            <w:r w:rsidR="00411AF3" w:rsidRPr="009429F0">
              <w:rPr>
                <w:rFonts w:ascii="Arial" w:hAnsi="Arial" w:cs="Arial"/>
                <w:i/>
                <w:sz w:val="20"/>
                <w:szCs w:val="20"/>
              </w:rPr>
              <w:t xml:space="preserve"> fit note</w:t>
            </w:r>
          </w:p>
        </w:tc>
        <w:tc>
          <w:tcPr>
            <w:tcW w:w="567" w:type="dxa"/>
            <w:tcBorders>
              <w:top w:val="nil"/>
              <w:left w:val="nil"/>
              <w:bottom w:val="nil"/>
              <w:right w:val="nil"/>
            </w:tcBorders>
          </w:tcPr>
          <w:p w:rsidR="00956FA5" w:rsidRPr="009429F0" w:rsidRDefault="00956FA5" w:rsidP="00C37EAE">
            <w:pPr>
              <w:rPr>
                <w:rFonts w:ascii="Arial" w:hAnsi="Arial" w:cs="Arial"/>
                <w:sz w:val="20"/>
                <w:szCs w:val="20"/>
              </w:rPr>
            </w:pPr>
          </w:p>
        </w:tc>
        <w:tc>
          <w:tcPr>
            <w:tcW w:w="1560" w:type="dxa"/>
            <w:tcBorders>
              <w:top w:val="nil"/>
              <w:left w:val="nil"/>
              <w:bottom w:val="nil"/>
              <w:right w:val="nil"/>
            </w:tcBorders>
          </w:tcPr>
          <w:p w:rsidR="00956FA5" w:rsidRPr="009429F0" w:rsidRDefault="00956FA5" w:rsidP="00C37EAE">
            <w:pPr>
              <w:jc w:val="center"/>
              <w:rPr>
                <w:rFonts w:ascii="Arial" w:hAnsi="Arial" w:cs="Arial"/>
                <w:sz w:val="20"/>
                <w:szCs w:val="20"/>
              </w:rPr>
            </w:pPr>
          </w:p>
        </w:tc>
        <w:tc>
          <w:tcPr>
            <w:tcW w:w="1842" w:type="dxa"/>
            <w:tcBorders>
              <w:top w:val="nil"/>
              <w:left w:val="nil"/>
              <w:bottom w:val="nil"/>
              <w:right w:val="nil"/>
            </w:tcBorders>
          </w:tcPr>
          <w:p w:rsidR="00956FA5" w:rsidRPr="009429F0" w:rsidRDefault="00956FA5" w:rsidP="00C37EAE">
            <w:pPr>
              <w:jc w:val="center"/>
              <w:rPr>
                <w:rFonts w:ascii="Arial" w:hAnsi="Arial" w:cs="Arial"/>
                <w:sz w:val="20"/>
                <w:szCs w:val="20"/>
              </w:rPr>
            </w:pPr>
          </w:p>
        </w:tc>
        <w:tc>
          <w:tcPr>
            <w:tcW w:w="2127" w:type="dxa"/>
            <w:tcBorders>
              <w:top w:val="nil"/>
              <w:left w:val="nil"/>
              <w:bottom w:val="nil"/>
              <w:right w:val="nil"/>
            </w:tcBorders>
          </w:tcPr>
          <w:p w:rsidR="00956FA5" w:rsidRPr="009429F0" w:rsidRDefault="00956FA5"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 xml:space="preserve">Mental disorders </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C539C0" w:rsidP="00C37EAE">
            <w:pPr>
              <w:jc w:val="center"/>
              <w:rPr>
                <w:rFonts w:ascii="Arial" w:hAnsi="Arial" w:cs="Arial"/>
                <w:sz w:val="20"/>
                <w:szCs w:val="20"/>
              </w:rPr>
            </w:pPr>
            <w:r w:rsidRPr="009429F0">
              <w:rPr>
                <w:rFonts w:ascii="Arial" w:hAnsi="Arial" w:cs="Arial"/>
                <w:sz w:val="20"/>
                <w:szCs w:val="20"/>
              </w:rPr>
              <w:t>1.0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 xml:space="preserve">Musculoskeletal </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3F0C6D" w:rsidP="00C37EAE">
            <w:pPr>
              <w:jc w:val="center"/>
              <w:rPr>
                <w:rFonts w:ascii="Arial" w:hAnsi="Arial" w:cs="Arial"/>
                <w:sz w:val="20"/>
                <w:szCs w:val="20"/>
              </w:rPr>
            </w:pPr>
            <w:r w:rsidRPr="009429F0">
              <w:rPr>
                <w:rFonts w:ascii="Arial" w:hAnsi="Arial" w:cs="Arial"/>
                <w:sz w:val="20"/>
                <w:szCs w:val="20"/>
              </w:rPr>
              <w:t>3.6</w:t>
            </w:r>
            <w:r w:rsidR="00C858E7" w:rsidRPr="009429F0">
              <w:rPr>
                <w:rFonts w:ascii="Arial" w:hAnsi="Arial" w:cs="Arial"/>
                <w:sz w:val="20"/>
                <w:szCs w:val="20"/>
              </w:rPr>
              <w:t>4</w:t>
            </w:r>
          </w:p>
        </w:tc>
        <w:tc>
          <w:tcPr>
            <w:tcW w:w="1842" w:type="dxa"/>
            <w:tcBorders>
              <w:top w:val="nil"/>
              <w:left w:val="nil"/>
              <w:bottom w:val="nil"/>
              <w:right w:val="nil"/>
            </w:tcBorders>
          </w:tcPr>
          <w:p w:rsidR="00411AF3" w:rsidRPr="009429F0" w:rsidRDefault="00CC214B" w:rsidP="00C37EAE">
            <w:pPr>
              <w:jc w:val="center"/>
              <w:rPr>
                <w:rFonts w:ascii="Arial" w:hAnsi="Arial" w:cs="Arial"/>
                <w:sz w:val="20"/>
                <w:szCs w:val="20"/>
              </w:rPr>
            </w:pPr>
            <w:r w:rsidRPr="009429F0">
              <w:rPr>
                <w:rFonts w:ascii="Arial" w:hAnsi="Arial" w:cs="Arial"/>
                <w:sz w:val="20"/>
                <w:szCs w:val="20"/>
              </w:rPr>
              <w:t>3.19</w:t>
            </w:r>
            <w:r w:rsidR="003F0C6D" w:rsidRPr="009429F0">
              <w:rPr>
                <w:rFonts w:ascii="Arial" w:hAnsi="Arial" w:cs="Arial"/>
                <w:sz w:val="20"/>
                <w:szCs w:val="20"/>
              </w:rPr>
              <w:t>-4.1</w:t>
            </w:r>
            <w:r w:rsidR="00C858E7" w:rsidRPr="009429F0">
              <w:rPr>
                <w:rFonts w:ascii="Arial" w:hAnsi="Arial" w:cs="Arial"/>
                <w:sz w:val="20"/>
                <w:szCs w:val="20"/>
              </w:rPr>
              <w:t>7</w:t>
            </w:r>
          </w:p>
        </w:tc>
        <w:tc>
          <w:tcPr>
            <w:tcW w:w="2127" w:type="dxa"/>
            <w:tcBorders>
              <w:top w:val="nil"/>
              <w:left w:val="nil"/>
              <w:bottom w:val="nil"/>
              <w:right w:val="nil"/>
            </w:tcBorders>
            <w:vAlign w:val="bottom"/>
          </w:tcPr>
          <w:p w:rsidR="00411AF3"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0277AA" w:rsidP="00C37EAE">
            <w:pPr>
              <w:rPr>
                <w:rFonts w:ascii="Arial" w:hAnsi="Arial" w:cs="Arial"/>
                <w:sz w:val="20"/>
                <w:szCs w:val="20"/>
              </w:rPr>
            </w:pPr>
            <w:r w:rsidRPr="009429F0">
              <w:rPr>
                <w:rFonts w:ascii="Arial" w:hAnsi="Arial" w:cs="Arial"/>
                <w:sz w:val="20"/>
                <w:szCs w:val="20"/>
              </w:rPr>
              <w:t>Physical symptom</w:t>
            </w:r>
            <w:r w:rsidR="003F0C6D" w:rsidRPr="009429F0">
              <w:rPr>
                <w:rFonts w:ascii="Arial" w:hAnsi="Arial" w:cs="Arial"/>
                <w:sz w:val="20"/>
                <w:szCs w:val="20"/>
              </w:rPr>
              <w:t xml:space="preserve"> </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14.4</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12.3-16.9</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 xml:space="preserve">Post-op recovery </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4.</w:t>
            </w:r>
            <w:r w:rsidR="00CC214B" w:rsidRPr="009429F0">
              <w:rPr>
                <w:rFonts w:ascii="Arial" w:hAnsi="Arial" w:cs="Arial"/>
                <w:sz w:val="20"/>
                <w:szCs w:val="20"/>
              </w:rPr>
              <w:t>76</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4.06</w:t>
            </w:r>
            <w:r w:rsidR="003F0C6D" w:rsidRPr="009429F0">
              <w:rPr>
                <w:rFonts w:ascii="Arial" w:hAnsi="Arial" w:cs="Arial"/>
                <w:sz w:val="20"/>
                <w:szCs w:val="20"/>
              </w:rPr>
              <w:t>-5.</w:t>
            </w:r>
            <w:r w:rsidRPr="009429F0">
              <w:rPr>
                <w:rFonts w:ascii="Arial" w:hAnsi="Arial" w:cs="Arial"/>
                <w:sz w:val="20"/>
                <w:szCs w:val="20"/>
              </w:rPr>
              <w:t>60</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 xml:space="preserve">Injury </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6.5</w:t>
            </w:r>
            <w:r w:rsidR="003F0C6D" w:rsidRPr="009429F0">
              <w:rPr>
                <w:rFonts w:ascii="Arial" w:hAnsi="Arial" w:cs="Arial"/>
                <w:sz w:val="20"/>
                <w:szCs w:val="20"/>
              </w:rPr>
              <w:t>3</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5.55</w:t>
            </w:r>
            <w:r w:rsidR="003F0C6D" w:rsidRPr="009429F0">
              <w:rPr>
                <w:rFonts w:ascii="Arial" w:hAnsi="Arial" w:cs="Arial"/>
                <w:sz w:val="20"/>
                <w:szCs w:val="20"/>
              </w:rPr>
              <w:t>-7.</w:t>
            </w:r>
            <w:r w:rsidRPr="009429F0">
              <w:rPr>
                <w:rFonts w:ascii="Arial" w:hAnsi="Arial" w:cs="Arial"/>
                <w:sz w:val="20"/>
                <w:szCs w:val="20"/>
              </w:rPr>
              <w:t>67</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 xml:space="preserve">Respiratory </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7.</w:t>
            </w:r>
            <w:r w:rsidR="00C858E7" w:rsidRPr="009429F0">
              <w:rPr>
                <w:rFonts w:ascii="Arial" w:hAnsi="Arial" w:cs="Arial"/>
                <w:sz w:val="20"/>
                <w:szCs w:val="20"/>
              </w:rPr>
              <w:t>53</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6.24</w:t>
            </w:r>
            <w:r w:rsidR="00CC214B" w:rsidRPr="009429F0">
              <w:rPr>
                <w:rFonts w:ascii="Arial" w:hAnsi="Arial" w:cs="Arial"/>
                <w:sz w:val="20"/>
                <w:szCs w:val="20"/>
              </w:rPr>
              <w:t>-9.1</w:t>
            </w:r>
            <w:r w:rsidR="003F0C6D" w:rsidRPr="009429F0">
              <w:rPr>
                <w:rFonts w:ascii="Arial" w:hAnsi="Arial" w:cs="Arial"/>
                <w:sz w:val="20"/>
                <w:szCs w:val="20"/>
              </w:rPr>
              <w:t>0</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 xml:space="preserve">Infection or viral </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12.</w:t>
            </w:r>
            <w:r w:rsidR="00CC214B" w:rsidRPr="009429F0">
              <w:rPr>
                <w:rFonts w:ascii="Arial" w:hAnsi="Arial" w:cs="Arial"/>
                <w:sz w:val="20"/>
                <w:szCs w:val="20"/>
              </w:rPr>
              <w:t>3</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9.71</w:t>
            </w:r>
            <w:r w:rsidR="003F0C6D" w:rsidRPr="009429F0">
              <w:rPr>
                <w:rFonts w:ascii="Arial" w:hAnsi="Arial" w:cs="Arial"/>
                <w:sz w:val="20"/>
                <w:szCs w:val="20"/>
              </w:rPr>
              <w:t>-15.</w:t>
            </w:r>
            <w:r w:rsidR="00CC214B" w:rsidRPr="009429F0">
              <w:rPr>
                <w:rFonts w:ascii="Arial" w:hAnsi="Arial" w:cs="Arial"/>
                <w:sz w:val="20"/>
                <w:szCs w:val="20"/>
              </w:rPr>
              <w:t>6</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Digestive</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11.</w:t>
            </w:r>
            <w:r w:rsidR="00CC214B" w:rsidRPr="009429F0">
              <w:rPr>
                <w:rFonts w:ascii="Arial" w:hAnsi="Arial" w:cs="Arial"/>
                <w:sz w:val="20"/>
                <w:szCs w:val="20"/>
              </w:rPr>
              <w:t>4</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9.04</w:t>
            </w:r>
            <w:r w:rsidR="003F0C6D" w:rsidRPr="009429F0">
              <w:rPr>
                <w:rFonts w:ascii="Arial" w:hAnsi="Arial" w:cs="Arial"/>
                <w:sz w:val="20"/>
                <w:szCs w:val="20"/>
              </w:rPr>
              <w:t>-14.</w:t>
            </w:r>
            <w:r w:rsidRPr="009429F0">
              <w:rPr>
                <w:rFonts w:ascii="Arial" w:hAnsi="Arial" w:cs="Arial"/>
                <w:sz w:val="20"/>
                <w:szCs w:val="20"/>
              </w:rPr>
              <w:t>6</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Circulatory</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5.</w:t>
            </w:r>
            <w:r w:rsidR="00C858E7" w:rsidRPr="009429F0">
              <w:rPr>
                <w:rFonts w:ascii="Arial" w:hAnsi="Arial" w:cs="Arial"/>
                <w:sz w:val="20"/>
                <w:szCs w:val="20"/>
              </w:rPr>
              <w:t>69</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4.56</w:t>
            </w:r>
            <w:r w:rsidR="003F0C6D" w:rsidRPr="009429F0">
              <w:rPr>
                <w:rFonts w:ascii="Arial" w:hAnsi="Arial" w:cs="Arial"/>
                <w:sz w:val="20"/>
                <w:szCs w:val="20"/>
              </w:rPr>
              <w:t>-</w:t>
            </w:r>
            <w:r w:rsidRPr="009429F0">
              <w:rPr>
                <w:rFonts w:ascii="Arial" w:hAnsi="Arial" w:cs="Arial"/>
                <w:sz w:val="20"/>
                <w:szCs w:val="20"/>
              </w:rPr>
              <w:t>7.11</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Pregnancy</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6.</w:t>
            </w:r>
            <w:r w:rsidR="00C858E7" w:rsidRPr="009429F0">
              <w:rPr>
                <w:rFonts w:ascii="Arial" w:hAnsi="Arial" w:cs="Arial"/>
                <w:sz w:val="20"/>
                <w:szCs w:val="20"/>
              </w:rPr>
              <w:t>42</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4.68</w:t>
            </w:r>
            <w:r w:rsidR="003F0C6D" w:rsidRPr="009429F0">
              <w:rPr>
                <w:rFonts w:ascii="Arial" w:hAnsi="Arial" w:cs="Arial"/>
                <w:sz w:val="20"/>
                <w:szCs w:val="20"/>
              </w:rPr>
              <w:t>-8.</w:t>
            </w:r>
            <w:r w:rsidRPr="009429F0">
              <w:rPr>
                <w:rFonts w:ascii="Arial" w:hAnsi="Arial" w:cs="Arial"/>
                <w:sz w:val="20"/>
                <w:szCs w:val="20"/>
              </w:rPr>
              <w:t>82</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vAlign w:val="bottom"/>
          </w:tcPr>
          <w:p w:rsidR="003F0C6D" w:rsidRPr="009429F0" w:rsidRDefault="003F0C6D" w:rsidP="00C37EAE">
            <w:pPr>
              <w:rPr>
                <w:rFonts w:ascii="Arial" w:hAnsi="Arial" w:cs="Arial"/>
                <w:sz w:val="20"/>
                <w:szCs w:val="20"/>
              </w:rPr>
            </w:pPr>
            <w:r w:rsidRPr="009429F0">
              <w:rPr>
                <w:rFonts w:ascii="Arial" w:hAnsi="Arial" w:cs="Arial"/>
                <w:sz w:val="20"/>
                <w:szCs w:val="20"/>
              </w:rPr>
              <w:t>Neoplasm</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4.67</w:t>
            </w:r>
          </w:p>
        </w:tc>
        <w:tc>
          <w:tcPr>
            <w:tcW w:w="1842"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3.48</w:t>
            </w:r>
            <w:r w:rsidR="003F0C6D" w:rsidRPr="009429F0">
              <w:rPr>
                <w:rFonts w:ascii="Arial" w:hAnsi="Arial" w:cs="Arial"/>
                <w:sz w:val="20"/>
                <w:szCs w:val="20"/>
              </w:rPr>
              <w:t>-</w:t>
            </w:r>
            <w:r w:rsidRPr="009429F0">
              <w:rPr>
                <w:rFonts w:ascii="Arial" w:hAnsi="Arial" w:cs="Arial"/>
                <w:sz w:val="20"/>
                <w:szCs w:val="20"/>
              </w:rPr>
              <w:t>6.26</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7578DA" w:rsidRPr="009429F0" w:rsidTr="00AC1909">
        <w:tc>
          <w:tcPr>
            <w:tcW w:w="4077" w:type="dxa"/>
            <w:tcBorders>
              <w:top w:val="nil"/>
              <w:left w:val="nil"/>
              <w:bottom w:val="nil"/>
              <w:right w:val="nil"/>
            </w:tcBorders>
            <w:vAlign w:val="bottom"/>
          </w:tcPr>
          <w:p w:rsidR="007578DA" w:rsidRPr="009429F0" w:rsidRDefault="007578DA" w:rsidP="00C37EAE">
            <w:pPr>
              <w:rPr>
                <w:rFonts w:ascii="Arial" w:hAnsi="Arial" w:cs="Arial"/>
                <w:i/>
                <w:sz w:val="20"/>
                <w:szCs w:val="20"/>
              </w:rPr>
            </w:pPr>
            <w:r w:rsidRPr="009429F0">
              <w:rPr>
                <w:rFonts w:ascii="Arial" w:hAnsi="Arial" w:cs="Arial"/>
                <w:i/>
                <w:sz w:val="20"/>
                <w:szCs w:val="20"/>
              </w:rPr>
              <w:t>Days duration of episode</w:t>
            </w:r>
          </w:p>
        </w:tc>
        <w:tc>
          <w:tcPr>
            <w:tcW w:w="567" w:type="dxa"/>
            <w:tcBorders>
              <w:top w:val="nil"/>
              <w:left w:val="nil"/>
              <w:bottom w:val="nil"/>
              <w:right w:val="nil"/>
            </w:tcBorders>
          </w:tcPr>
          <w:p w:rsidR="007578DA" w:rsidRPr="009429F0" w:rsidRDefault="007578DA" w:rsidP="00C37EAE">
            <w:pPr>
              <w:rPr>
                <w:rFonts w:ascii="Arial" w:hAnsi="Arial" w:cs="Arial"/>
                <w:sz w:val="20"/>
                <w:szCs w:val="20"/>
              </w:rPr>
            </w:pPr>
          </w:p>
        </w:tc>
        <w:tc>
          <w:tcPr>
            <w:tcW w:w="1560" w:type="dxa"/>
            <w:tcBorders>
              <w:top w:val="nil"/>
              <w:left w:val="nil"/>
              <w:bottom w:val="nil"/>
              <w:right w:val="nil"/>
            </w:tcBorders>
          </w:tcPr>
          <w:p w:rsidR="007578DA" w:rsidRPr="009429F0" w:rsidRDefault="007578DA" w:rsidP="00C37EAE">
            <w:pPr>
              <w:jc w:val="center"/>
              <w:rPr>
                <w:rFonts w:ascii="Arial" w:hAnsi="Arial" w:cs="Arial"/>
                <w:sz w:val="20"/>
                <w:szCs w:val="20"/>
              </w:rPr>
            </w:pPr>
          </w:p>
        </w:tc>
        <w:tc>
          <w:tcPr>
            <w:tcW w:w="1842" w:type="dxa"/>
            <w:tcBorders>
              <w:top w:val="nil"/>
              <w:left w:val="nil"/>
              <w:bottom w:val="nil"/>
              <w:right w:val="nil"/>
            </w:tcBorders>
          </w:tcPr>
          <w:p w:rsidR="007578DA" w:rsidRPr="009429F0" w:rsidRDefault="007578DA" w:rsidP="00C37EAE">
            <w:pPr>
              <w:jc w:val="center"/>
              <w:rPr>
                <w:rFonts w:ascii="Arial" w:hAnsi="Arial" w:cs="Arial"/>
                <w:sz w:val="20"/>
                <w:szCs w:val="20"/>
              </w:rPr>
            </w:pPr>
          </w:p>
        </w:tc>
        <w:tc>
          <w:tcPr>
            <w:tcW w:w="2127" w:type="dxa"/>
            <w:tcBorders>
              <w:top w:val="nil"/>
              <w:left w:val="nil"/>
              <w:bottom w:val="nil"/>
              <w:right w:val="nil"/>
            </w:tcBorders>
            <w:vAlign w:val="bottom"/>
          </w:tcPr>
          <w:p w:rsidR="007578DA" w:rsidRPr="009429F0" w:rsidRDefault="007578DA" w:rsidP="00C37EAE">
            <w:pPr>
              <w:jc w:val="center"/>
              <w:rPr>
                <w:rFonts w:ascii="Arial" w:hAnsi="Arial" w:cs="Arial"/>
                <w:sz w:val="20"/>
                <w:szCs w:val="20"/>
              </w:rPr>
            </w:pPr>
          </w:p>
        </w:tc>
      </w:tr>
      <w:tr w:rsidR="007578DA" w:rsidRPr="009429F0" w:rsidTr="00AC1909">
        <w:tc>
          <w:tcPr>
            <w:tcW w:w="4077" w:type="dxa"/>
            <w:tcBorders>
              <w:top w:val="nil"/>
              <w:left w:val="nil"/>
              <w:bottom w:val="nil"/>
              <w:right w:val="nil"/>
            </w:tcBorders>
            <w:vAlign w:val="bottom"/>
          </w:tcPr>
          <w:p w:rsidR="007578DA" w:rsidRPr="009429F0" w:rsidRDefault="007578DA" w:rsidP="00C37EAE">
            <w:pPr>
              <w:jc w:val="center"/>
              <w:rPr>
                <w:rFonts w:ascii="Arial" w:hAnsi="Arial" w:cs="Arial"/>
                <w:sz w:val="20"/>
                <w:szCs w:val="20"/>
              </w:rPr>
            </w:pPr>
            <w:r w:rsidRPr="009429F0">
              <w:rPr>
                <w:rFonts w:ascii="Arial" w:hAnsi="Arial" w:cs="Arial"/>
                <w:sz w:val="20"/>
                <w:szCs w:val="20"/>
              </w:rPr>
              <w:t>&lt;30</w:t>
            </w:r>
          </w:p>
        </w:tc>
        <w:tc>
          <w:tcPr>
            <w:tcW w:w="567" w:type="dxa"/>
            <w:tcBorders>
              <w:top w:val="nil"/>
              <w:left w:val="nil"/>
              <w:bottom w:val="nil"/>
              <w:right w:val="nil"/>
            </w:tcBorders>
          </w:tcPr>
          <w:p w:rsidR="007578DA" w:rsidRPr="009429F0" w:rsidRDefault="007578DA" w:rsidP="00C37EAE">
            <w:pPr>
              <w:rPr>
                <w:rFonts w:ascii="Arial" w:hAnsi="Arial" w:cs="Arial"/>
                <w:sz w:val="20"/>
                <w:szCs w:val="20"/>
              </w:rPr>
            </w:pPr>
          </w:p>
        </w:tc>
        <w:tc>
          <w:tcPr>
            <w:tcW w:w="1560" w:type="dxa"/>
            <w:tcBorders>
              <w:top w:val="nil"/>
              <w:left w:val="nil"/>
              <w:bottom w:val="nil"/>
              <w:right w:val="nil"/>
            </w:tcBorders>
          </w:tcPr>
          <w:p w:rsidR="007578DA" w:rsidRPr="009429F0" w:rsidRDefault="007578D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7578DA" w:rsidRPr="009429F0" w:rsidRDefault="007578DA" w:rsidP="00C37EAE">
            <w:pPr>
              <w:jc w:val="center"/>
              <w:rPr>
                <w:rFonts w:ascii="Arial" w:hAnsi="Arial" w:cs="Arial"/>
                <w:sz w:val="20"/>
                <w:szCs w:val="20"/>
              </w:rPr>
            </w:pPr>
          </w:p>
        </w:tc>
        <w:tc>
          <w:tcPr>
            <w:tcW w:w="2127" w:type="dxa"/>
            <w:tcBorders>
              <w:top w:val="nil"/>
              <w:left w:val="nil"/>
              <w:bottom w:val="nil"/>
              <w:right w:val="nil"/>
            </w:tcBorders>
            <w:vAlign w:val="bottom"/>
          </w:tcPr>
          <w:p w:rsidR="007578DA" w:rsidRPr="009429F0" w:rsidRDefault="007578DA" w:rsidP="00C37EAE">
            <w:pPr>
              <w:jc w:val="center"/>
              <w:rPr>
                <w:rFonts w:ascii="Arial" w:hAnsi="Arial" w:cs="Arial"/>
                <w:sz w:val="20"/>
                <w:szCs w:val="20"/>
              </w:rPr>
            </w:pPr>
          </w:p>
        </w:tc>
      </w:tr>
      <w:tr w:rsidR="003F0C6D" w:rsidRPr="009429F0" w:rsidTr="00AC1909">
        <w:tc>
          <w:tcPr>
            <w:tcW w:w="4077"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31-60</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1.</w:t>
            </w:r>
            <w:r w:rsidR="00C858E7" w:rsidRPr="009429F0">
              <w:rPr>
                <w:rFonts w:ascii="Arial" w:hAnsi="Arial" w:cs="Arial"/>
                <w:sz w:val="20"/>
                <w:szCs w:val="20"/>
              </w:rPr>
              <w:t>35</w:t>
            </w:r>
          </w:p>
        </w:tc>
        <w:tc>
          <w:tcPr>
            <w:tcW w:w="1842"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1.2</w:t>
            </w:r>
            <w:r w:rsidR="00C858E7" w:rsidRPr="009429F0">
              <w:rPr>
                <w:rFonts w:ascii="Arial" w:hAnsi="Arial" w:cs="Arial"/>
                <w:sz w:val="20"/>
                <w:szCs w:val="20"/>
              </w:rPr>
              <w:t>0</w:t>
            </w:r>
            <w:r w:rsidR="003F0C6D" w:rsidRPr="009429F0">
              <w:rPr>
                <w:rFonts w:ascii="Arial" w:hAnsi="Arial" w:cs="Arial"/>
                <w:sz w:val="20"/>
                <w:szCs w:val="20"/>
              </w:rPr>
              <w:t>-1.</w:t>
            </w:r>
            <w:r w:rsidR="00C858E7" w:rsidRPr="009429F0">
              <w:rPr>
                <w:rFonts w:ascii="Arial" w:hAnsi="Arial" w:cs="Arial"/>
                <w:sz w:val="20"/>
                <w:szCs w:val="20"/>
              </w:rPr>
              <w:t>52</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61-90</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1.55</w:t>
            </w:r>
          </w:p>
        </w:tc>
        <w:tc>
          <w:tcPr>
            <w:tcW w:w="1842"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1.36</w:t>
            </w:r>
            <w:r w:rsidR="003F0C6D" w:rsidRPr="009429F0">
              <w:rPr>
                <w:rFonts w:ascii="Arial" w:hAnsi="Arial" w:cs="Arial"/>
                <w:sz w:val="20"/>
                <w:szCs w:val="20"/>
              </w:rPr>
              <w:t>-</w:t>
            </w:r>
            <w:r w:rsidRPr="009429F0">
              <w:rPr>
                <w:rFonts w:ascii="Arial" w:hAnsi="Arial" w:cs="Arial"/>
                <w:sz w:val="20"/>
                <w:szCs w:val="20"/>
              </w:rPr>
              <w:t>1.79</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91-180</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1.94</w:t>
            </w:r>
          </w:p>
        </w:tc>
        <w:tc>
          <w:tcPr>
            <w:tcW w:w="1842" w:type="dxa"/>
            <w:tcBorders>
              <w:top w:val="nil"/>
              <w:left w:val="nil"/>
              <w:bottom w:val="nil"/>
              <w:right w:val="nil"/>
            </w:tcBorders>
          </w:tcPr>
          <w:p w:rsidR="003F0C6D" w:rsidRPr="009429F0" w:rsidRDefault="00CC214B" w:rsidP="00C37EAE">
            <w:pPr>
              <w:jc w:val="center"/>
              <w:rPr>
                <w:rFonts w:ascii="Arial" w:hAnsi="Arial" w:cs="Arial"/>
                <w:sz w:val="20"/>
                <w:szCs w:val="20"/>
              </w:rPr>
            </w:pPr>
            <w:r w:rsidRPr="009429F0">
              <w:rPr>
                <w:rFonts w:ascii="Arial" w:hAnsi="Arial" w:cs="Arial"/>
                <w:sz w:val="20"/>
                <w:szCs w:val="20"/>
              </w:rPr>
              <w:t>1.71-2.2</w:t>
            </w:r>
            <w:r w:rsidR="00C858E7" w:rsidRPr="009429F0">
              <w:rPr>
                <w:rFonts w:ascii="Arial" w:hAnsi="Arial" w:cs="Arial"/>
                <w:sz w:val="20"/>
                <w:szCs w:val="20"/>
              </w:rPr>
              <w:t>2</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3F0C6D" w:rsidRPr="009429F0" w:rsidTr="00AC1909">
        <w:tc>
          <w:tcPr>
            <w:tcW w:w="4077" w:type="dxa"/>
            <w:tcBorders>
              <w:top w:val="nil"/>
              <w:left w:val="nil"/>
              <w:bottom w:val="nil"/>
              <w:right w:val="nil"/>
            </w:tcBorders>
          </w:tcPr>
          <w:p w:rsidR="003F0C6D" w:rsidRPr="009429F0" w:rsidRDefault="003F0C6D" w:rsidP="00C37EAE">
            <w:pPr>
              <w:jc w:val="center"/>
              <w:rPr>
                <w:rFonts w:ascii="Arial" w:hAnsi="Arial" w:cs="Arial"/>
                <w:sz w:val="20"/>
                <w:szCs w:val="20"/>
              </w:rPr>
            </w:pPr>
            <w:r w:rsidRPr="009429F0">
              <w:rPr>
                <w:rFonts w:ascii="Arial" w:hAnsi="Arial" w:cs="Arial"/>
                <w:sz w:val="20"/>
                <w:szCs w:val="20"/>
              </w:rPr>
              <w:t>&gt;180</w:t>
            </w:r>
          </w:p>
        </w:tc>
        <w:tc>
          <w:tcPr>
            <w:tcW w:w="567" w:type="dxa"/>
            <w:tcBorders>
              <w:top w:val="nil"/>
              <w:left w:val="nil"/>
              <w:bottom w:val="nil"/>
              <w:right w:val="nil"/>
            </w:tcBorders>
          </w:tcPr>
          <w:p w:rsidR="003F0C6D" w:rsidRPr="009429F0" w:rsidRDefault="003F0C6D" w:rsidP="00C37EAE">
            <w:pPr>
              <w:rPr>
                <w:rFonts w:ascii="Arial" w:hAnsi="Arial" w:cs="Arial"/>
                <w:sz w:val="20"/>
                <w:szCs w:val="20"/>
              </w:rPr>
            </w:pPr>
          </w:p>
        </w:tc>
        <w:tc>
          <w:tcPr>
            <w:tcW w:w="1560"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2.23</w:t>
            </w:r>
          </w:p>
        </w:tc>
        <w:tc>
          <w:tcPr>
            <w:tcW w:w="1842" w:type="dxa"/>
            <w:tcBorders>
              <w:top w:val="nil"/>
              <w:left w:val="nil"/>
              <w:bottom w:val="nil"/>
              <w:right w:val="nil"/>
            </w:tcBorders>
          </w:tcPr>
          <w:p w:rsidR="003F0C6D" w:rsidRPr="009429F0" w:rsidRDefault="00C858E7" w:rsidP="00C37EAE">
            <w:pPr>
              <w:jc w:val="center"/>
              <w:rPr>
                <w:rFonts w:ascii="Arial" w:hAnsi="Arial" w:cs="Arial"/>
                <w:sz w:val="20"/>
                <w:szCs w:val="20"/>
              </w:rPr>
            </w:pPr>
            <w:r w:rsidRPr="009429F0">
              <w:rPr>
                <w:rFonts w:ascii="Arial" w:hAnsi="Arial" w:cs="Arial"/>
                <w:sz w:val="20"/>
                <w:szCs w:val="20"/>
              </w:rPr>
              <w:t>1.90</w:t>
            </w:r>
            <w:r w:rsidR="003F0C6D" w:rsidRPr="009429F0">
              <w:rPr>
                <w:rFonts w:ascii="Arial" w:hAnsi="Arial" w:cs="Arial"/>
                <w:sz w:val="20"/>
                <w:szCs w:val="20"/>
              </w:rPr>
              <w:t>-</w:t>
            </w:r>
            <w:r w:rsidRPr="009429F0">
              <w:rPr>
                <w:rFonts w:ascii="Arial" w:hAnsi="Arial" w:cs="Arial"/>
                <w:sz w:val="20"/>
                <w:szCs w:val="20"/>
              </w:rPr>
              <w:t>2.62</w:t>
            </w:r>
          </w:p>
        </w:tc>
        <w:tc>
          <w:tcPr>
            <w:tcW w:w="2127" w:type="dxa"/>
            <w:tcBorders>
              <w:top w:val="nil"/>
              <w:left w:val="nil"/>
              <w:bottom w:val="nil"/>
              <w:right w:val="nil"/>
            </w:tcBorders>
            <w:vAlign w:val="bottom"/>
          </w:tcPr>
          <w:p w:rsidR="003F0C6D" w:rsidRPr="009429F0" w:rsidRDefault="003F0C6D" w:rsidP="00C37EAE">
            <w:pPr>
              <w:jc w:val="center"/>
              <w:rPr>
                <w:rFonts w:ascii="Arial" w:hAnsi="Arial" w:cs="Arial"/>
                <w:sz w:val="20"/>
                <w:szCs w:val="20"/>
              </w:rPr>
            </w:pPr>
            <w:r w:rsidRPr="009429F0">
              <w:rPr>
                <w:rFonts w:ascii="Arial" w:hAnsi="Arial" w:cs="Arial"/>
                <w:sz w:val="20"/>
                <w:szCs w:val="20"/>
              </w:rPr>
              <w:t>&lt;0.001</w:t>
            </w:r>
          </w:p>
        </w:tc>
      </w:tr>
      <w:tr w:rsidR="00146E3E" w:rsidRPr="009429F0" w:rsidTr="00AC1909">
        <w:tc>
          <w:tcPr>
            <w:tcW w:w="4077" w:type="dxa"/>
            <w:tcBorders>
              <w:top w:val="nil"/>
              <w:left w:val="nil"/>
              <w:bottom w:val="nil"/>
              <w:right w:val="nil"/>
            </w:tcBorders>
          </w:tcPr>
          <w:p w:rsidR="00146E3E" w:rsidRPr="009429F0" w:rsidRDefault="00146E3E" w:rsidP="00C37EAE">
            <w:pPr>
              <w:rPr>
                <w:rFonts w:ascii="Arial" w:hAnsi="Arial" w:cs="Arial"/>
                <w:i/>
                <w:sz w:val="20"/>
                <w:szCs w:val="20"/>
              </w:rPr>
            </w:pPr>
            <w:r w:rsidRPr="009429F0">
              <w:rPr>
                <w:rFonts w:ascii="Arial" w:hAnsi="Arial" w:cs="Arial"/>
                <w:i/>
                <w:sz w:val="20"/>
                <w:szCs w:val="20"/>
              </w:rPr>
              <w:t>Number of fit notes in episode</w:t>
            </w:r>
          </w:p>
        </w:tc>
        <w:tc>
          <w:tcPr>
            <w:tcW w:w="567" w:type="dxa"/>
            <w:tcBorders>
              <w:top w:val="nil"/>
              <w:left w:val="nil"/>
              <w:bottom w:val="nil"/>
              <w:right w:val="nil"/>
            </w:tcBorders>
          </w:tcPr>
          <w:p w:rsidR="00146E3E" w:rsidRPr="009429F0" w:rsidRDefault="00146E3E" w:rsidP="00C37EAE">
            <w:pPr>
              <w:rPr>
                <w:rFonts w:ascii="Arial" w:hAnsi="Arial" w:cs="Arial"/>
                <w:sz w:val="20"/>
                <w:szCs w:val="20"/>
              </w:rPr>
            </w:pPr>
          </w:p>
        </w:tc>
        <w:tc>
          <w:tcPr>
            <w:tcW w:w="1560" w:type="dxa"/>
            <w:tcBorders>
              <w:top w:val="nil"/>
              <w:left w:val="nil"/>
              <w:bottom w:val="nil"/>
              <w:right w:val="nil"/>
            </w:tcBorders>
          </w:tcPr>
          <w:p w:rsidR="00146E3E" w:rsidRPr="009429F0" w:rsidRDefault="00146E3E" w:rsidP="00C37EAE">
            <w:pPr>
              <w:jc w:val="center"/>
              <w:rPr>
                <w:rFonts w:ascii="Arial" w:hAnsi="Arial" w:cs="Arial"/>
                <w:sz w:val="20"/>
                <w:szCs w:val="20"/>
              </w:rPr>
            </w:pPr>
          </w:p>
        </w:tc>
        <w:tc>
          <w:tcPr>
            <w:tcW w:w="1842" w:type="dxa"/>
            <w:tcBorders>
              <w:top w:val="nil"/>
              <w:left w:val="nil"/>
              <w:bottom w:val="nil"/>
              <w:right w:val="nil"/>
            </w:tcBorders>
          </w:tcPr>
          <w:p w:rsidR="00146E3E" w:rsidRPr="009429F0" w:rsidRDefault="00146E3E" w:rsidP="00C37EAE">
            <w:pPr>
              <w:jc w:val="center"/>
              <w:rPr>
                <w:rFonts w:ascii="Arial" w:hAnsi="Arial" w:cs="Arial"/>
                <w:sz w:val="20"/>
                <w:szCs w:val="20"/>
              </w:rPr>
            </w:pPr>
          </w:p>
        </w:tc>
        <w:tc>
          <w:tcPr>
            <w:tcW w:w="2127" w:type="dxa"/>
            <w:tcBorders>
              <w:top w:val="nil"/>
              <w:left w:val="nil"/>
              <w:bottom w:val="nil"/>
              <w:right w:val="nil"/>
            </w:tcBorders>
            <w:vAlign w:val="bottom"/>
          </w:tcPr>
          <w:p w:rsidR="00146E3E" w:rsidRPr="009429F0" w:rsidRDefault="00146E3E" w:rsidP="00C37EAE">
            <w:pPr>
              <w:jc w:val="center"/>
              <w:rPr>
                <w:rFonts w:ascii="Arial" w:hAnsi="Arial" w:cs="Arial"/>
                <w:sz w:val="20"/>
                <w:szCs w:val="20"/>
              </w:rPr>
            </w:pPr>
          </w:p>
        </w:tc>
      </w:tr>
      <w:tr w:rsidR="00146E3E" w:rsidRPr="009429F0" w:rsidTr="00AC1909">
        <w:tc>
          <w:tcPr>
            <w:tcW w:w="4077" w:type="dxa"/>
            <w:tcBorders>
              <w:top w:val="nil"/>
              <w:left w:val="nil"/>
              <w:bottom w:val="nil"/>
              <w:right w:val="nil"/>
            </w:tcBorders>
          </w:tcPr>
          <w:p w:rsidR="00146E3E" w:rsidRPr="009429F0" w:rsidRDefault="00146E3E" w:rsidP="00C37EAE">
            <w:pPr>
              <w:jc w:val="center"/>
              <w:rPr>
                <w:rFonts w:ascii="Arial" w:hAnsi="Arial" w:cs="Arial"/>
                <w:sz w:val="20"/>
                <w:szCs w:val="20"/>
              </w:rPr>
            </w:pPr>
            <w:r w:rsidRPr="009429F0">
              <w:rPr>
                <w:rFonts w:ascii="Arial" w:hAnsi="Arial" w:cs="Arial"/>
                <w:sz w:val="20"/>
                <w:szCs w:val="20"/>
              </w:rPr>
              <w:t>Two</w:t>
            </w:r>
          </w:p>
        </w:tc>
        <w:tc>
          <w:tcPr>
            <w:tcW w:w="567" w:type="dxa"/>
            <w:tcBorders>
              <w:top w:val="nil"/>
              <w:left w:val="nil"/>
              <w:bottom w:val="nil"/>
              <w:right w:val="nil"/>
            </w:tcBorders>
          </w:tcPr>
          <w:p w:rsidR="00146E3E" w:rsidRPr="009429F0" w:rsidRDefault="00146E3E" w:rsidP="00C37EAE">
            <w:pPr>
              <w:rPr>
                <w:rFonts w:ascii="Arial" w:hAnsi="Arial" w:cs="Arial"/>
                <w:sz w:val="20"/>
                <w:szCs w:val="20"/>
              </w:rPr>
            </w:pPr>
          </w:p>
        </w:tc>
        <w:tc>
          <w:tcPr>
            <w:tcW w:w="1560" w:type="dxa"/>
            <w:tcBorders>
              <w:top w:val="nil"/>
              <w:left w:val="nil"/>
              <w:bottom w:val="nil"/>
              <w:right w:val="nil"/>
            </w:tcBorders>
          </w:tcPr>
          <w:p w:rsidR="00146E3E" w:rsidRPr="009429F0" w:rsidRDefault="005B1844"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146E3E" w:rsidRPr="009429F0" w:rsidRDefault="00146E3E" w:rsidP="00C37EAE">
            <w:pPr>
              <w:jc w:val="center"/>
              <w:rPr>
                <w:rFonts w:ascii="Arial" w:hAnsi="Arial" w:cs="Arial"/>
                <w:sz w:val="20"/>
                <w:szCs w:val="20"/>
              </w:rPr>
            </w:pPr>
          </w:p>
        </w:tc>
        <w:tc>
          <w:tcPr>
            <w:tcW w:w="2127" w:type="dxa"/>
            <w:tcBorders>
              <w:top w:val="nil"/>
              <w:left w:val="nil"/>
              <w:bottom w:val="nil"/>
              <w:right w:val="nil"/>
            </w:tcBorders>
            <w:vAlign w:val="bottom"/>
          </w:tcPr>
          <w:p w:rsidR="00146E3E" w:rsidRPr="009429F0" w:rsidRDefault="00146E3E" w:rsidP="00C37EAE">
            <w:pPr>
              <w:jc w:val="center"/>
              <w:rPr>
                <w:rFonts w:ascii="Arial" w:hAnsi="Arial" w:cs="Arial"/>
                <w:sz w:val="20"/>
                <w:szCs w:val="20"/>
              </w:rPr>
            </w:pPr>
          </w:p>
        </w:tc>
      </w:tr>
      <w:tr w:rsidR="006A7820" w:rsidRPr="009429F0" w:rsidTr="00AC1909">
        <w:tc>
          <w:tcPr>
            <w:tcW w:w="4077" w:type="dxa"/>
            <w:tcBorders>
              <w:top w:val="nil"/>
              <w:left w:val="nil"/>
              <w:bottom w:val="nil"/>
              <w:right w:val="nil"/>
            </w:tcBorders>
          </w:tcPr>
          <w:p w:rsidR="006A7820" w:rsidRPr="009429F0" w:rsidRDefault="006A7820" w:rsidP="00C37EAE">
            <w:pPr>
              <w:jc w:val="center"/>
              <w:rPr>
                <w:rFonts w:ascii="Arial" w:hAnsi="Arial" w:cs="Arial"/>
                <w:sz w:val="20"/>
                <w:szCs w:val="20"/>
              </w:rPr>
            </w:pPr>
            <w:r w:rsidRPr="009429F0">
              <w:rPr>
                <w:rFonts w:ascii="Arial" w:hAnsi="Arial" w:cs="Arial"/>
                <w:sz w:val="20"/>
                <w:szCs w:val="20"/>
              </w:rPr>
              <w:t>3-4</w:t>
            </w:r>
          </w:p>
        </w:tc>
        <w:tc>
          <w:tcPr>
            <w:tcW w:w="567" w:type="dxa"/>
            <w:tcBorders>
              <w:top w:val="nil"/>
              <w:left w:val="nil"/>
              <w:bottom w:val="nil"/>
              <w:right w:val="nil"/>
            </w:tcBorders>
          </w:tcPr>
          <w:p w:rsidR="006A7820" w:rsidRPr="009429F0" w:rsidRDefault="006A7820" w:rsidP="00C37EAE">
            <w:pPr>
              <w:rPr>
                <w:rFonts w:ascii="Arial" w:hAnsi="Arial" w:cs="Arial"/>
                <w:sz w:val="20"/>
                <w:szCs w:val="20"/>
              </w:rPr>
            </w:pPr>
          </w:p>
        </w:tc>
        <w:tc>
          <w:tcPr>
            <w:tcW w:w="1560" w:type="dxa"/>
            <w:tcBorders>
              <w:top w:val="nil"/>
              <w:left w:val="nil"/>
              <w:bottom w:val="nil"/>
              <w:right w:val="nil"/>
            </w:tcBorders>
          </w:tcPr>
          <w:p w:rsidR="006A7820" w:rsidRPr="009429F0" w:rsidRDefault="006A7820" w:rsidP="00C37EAE">
            <w:pPr>
              <w:jc w:val="center"/>
              <w:rPr>
                <w:rFonts w:ascii="Arial" w:hAnsi="Arial" w:cs="Arial"/>
                <w:sz w:val="20"/>
                <w:szCs w:val="20"/>
              </w:rPr>
            </w:pPr>
            <w:r w:rsidRPr="009429F0">
              <w:rPr>
                <w:rFonts w:ascii="Arial" w:hAnsi="Arial" w:cs="Arial"/>
                <w:sz w:val="20"/>
                <w:szCs w:val="20"/>
              </w:rPr>
              <w:t>1.81</w:t>
            </w:r>
          </w:p>
        </w:tc>
        <w:tc>
          <w:tcPr>
            <w:tcW w:w="1842" w:type="dxa"/>
            <w:tcBorders>
              <w:top w:val="nil"/>
              <w:left w:val="nil"/>
              <w:bottom w:val="nil"/>
              <w:right w:val="nil"/>
            </w:tcBorders>
          </w:tcPr>
          <w:p w:rsidR="006A7820" w:rsidRPr="009429F0" w:rsidRDefault="006A7820" w:rsidP="00C37EAE">
            <w:pPr>
              <w:jc w:val="center"/>
              <w:rPr>
                <w:rFonts w:ascii="Arial" w:hAnsi="Arial" w:cs="Arial"/>
                <w:sz w:val="20"/>
                <w:szCs w:val="20"/>
              </w:rPr>
            </w:pPr>
            <w:r w:rsidRPr="009429F0">
              <w:rPr>
                <w:rFonts w:ascii="Arial" w:hAnsi="Arial" w:cs="Arial"/>
                <w:sz w:val="20"/>
                <w:szCs w:val="20"/>
              </w:rPr>
              <w:t>1.65-1.99</w:t>
            </w:r>
          </w:p>
        </w:tc>
        <w:tc>
          <w:tcPr>
            <w:tcW w:w="2127" w:type="dxa"/>
            <w:tcBorders>
              <w:top w:val="nil"/>
              <w:left w:val="nil"/>
              <w:bottom w:val="nil"/>
              <w:right w:val="nil"/>
            </w:tcBorders>
            <w:vAlign w:val="bottom"/>
          </w:tcPr>
          <w:p w:rsidR="006A7820" w:rsidRPr="009429F0" w:rsidRDefault="006A7820" w:rsidP="00C37EAE">
            <w:pPr>
              <w:jc w:val="center"/>
              <w:rPr>
                <w:rFonts w:ascii="Arial" w:hAnsi="Arial" w:cs="Arial"/>
                <w:sz w:val="20"/>
                <w:szCs w:val="20"/>
              </w:rPr>
            </w:pPr>
            <w:r w:rsidRPr="009429F0">
              <w:rPr>
                <w:rFonts w:ascii="Arial" w:hAnsi="Arial" w:cs="Arial"/>
                <w:sz w:val="20"/>
                <w:szCs w:val="20"/>
              </w:rPr>
              <w:t>&lt;0.001</w:t>
            </w:r>
          </w:p>
        </w:tc>
      </w:tr>
      <w:tr w:rsidR="006A7820" w:rsidRPr="009429F0" w:rsidTr="00AC1909">
        <w:tc>
          <w:tcPr>
            <w:tcW w:w="4077" w:type="dxa"/>
            <w:tcBorders>
              <w:top w:val="nil"/>
              <w:left w:val="nil"/>
              <w:bottom w:val="nil"/>
              <w:right w:val="nil"/>
            </w:tcBorders>
          </w:tcPr>
          <w:p w:rsidR="006A7820" w:rsidRPr="009429F0" w:rsidRDefault="006A7820" w:rsidP="00C37EAE">
            <w:pPr>
              <w:jc w:val="center"/>
              <w:rPr>
                <w:rFonts w:ascii="Arial" w:hAnsi="Arial" w:cs="Arial"/>
                <w:sz w:val="20"/>
                <w:szCs w:val="20"/>
              </w:rPr>
            </w:pPr>
            <w:r w:rsidRPr="009429F0">
              <w:rPr>
                <w:rFonts w:ascii="Arial" w:hAnsi="Arial" w:cs="Arial"/>
                <w:sz w:val="20"/>
                <w:szCs w:val="20"/>
              </w:rPr>
              <w:t>5 or more</w:t>
            </w:r>
          </w:p>
        </w:tc>
        <w:tc>
          <w:tcPr>
            <w:tcW w:w="567" w:type="dxa"/>
            <w:tcBorders>
              <w:top w:val="nil"/>
              <w:left w:val="nil"/>
              <w:bottom w:val="nil"/>
              <w:right w:val="nil"/>
            </w:tcBorders>
          </w:tcPr>
          <w:p w:rsidR="006A7820" w:rsidRPr="009429F0" w:rsidRDefault="006A7820" w:rsidP="00C37EAE">
            <w:pPr>
              <w:rPr>
                <w:rFonts w:ascii="Arial" w:hAnsi="Arial" w:cs="Arial"/>
                <w:sz w:val="20"/>
                <w:szCs w:val="20"/>
              </w:rPr>
            </w:pPr>
          </w:p>
        </w:tc>
        <w:tc>
          <w:tcPr>
            <w:tcW w:w="1560" w:type="dxa"/>
            <w:tcBorders>
              <w:top w:val="nil"/>
              <w:left w:val="nil"/>
              <w:bottom w:val="nil"/>
              <w:right w:val="nil"/>
            </w:tcBorders>
          </w:tcPr>
          <w:p w:rsidR="006A7820" w:rsidRPr="009429F0" w:rsidRDefault="00C858E7" w:rsidP="00C37EAE">
            <w:pPr>
              <w:jc w:val="center"/>
              <w:rPr>
                <w:rFonts w:ascii="Arial" w:hAnsi="Arial" w:cs="Arial"/>
                <w:sz w:val="20"/>
                <w:szCs w:val="20"/>
              </w:rPr>
            </w:pPr>
            <w:r w:rsidRPr="009429F0">
              <w:rPr>
                <w:rFonts w:ascii="Arial" w:hAnsi="Arial" w:cs="Arial"/>
                <w:sz w:val="20"/>
                <w:szCs w:val="20"/>
              </w:rPr>
              <w:t>2.82</w:t>
            </w:r>
          </w:p>
        </w:tc>
        <w:tc>
          <w:tcPr>
            <w:tcW w:w="1842" w:type="dxa"/>
            <w:tcBorders>
              <w:top w:val="nil"/>
              <w:left w:val="nil"/>
              <w:bottom w:val="nil"/>
              <w:right w:val="nil"/>
            </w:tcBorders>
          </w:tcPr>
          <w:p w:rsidR="006A7820" w:rsidRPr="009429F0" w:rsidRDefault="006A7820" w:rsidP="00C37EAE">
            <w:pPr>
              <w:jc w:val="center"/>
              <w:rPr>
                <w:rFonts w:ascii="Arial" w:hAnsi="Arial" w:cs="Arial"/>
                <w:sz w:val="20"/>
                <w:szCs w:val="20"/>
              </w:rPr>
            </w:pPr>
            <w:r w:rsidRPr="009429F0">
              <w:rPr>
                <w:rFonts w:ascii="Arial" w:hAnsi="Arial" w:cs="Arial"/>
                <w:sz w:val="20"/>
                <w:szCs w:val="20"/>
              </w:rPr>
              <w:t>2.47-3.24</w:t>
            </w:r>
          </w:p>
        </w:tc>
        <w:tc>
          <w:tcPr>
            <w:tcW w:w="2127" w:type="dxa"/>
            <w:tcBorders>
              <w:top w:val="nil"/>
              <w:left w:val="nil"/>
              <w:bottom w:val="nil"/>
              <w:right w:val="nil"/>
            </w:tcBorders>
            <w:vAlign w:val="bottom"/>
          </w:tcPr>
          <w:p w:rsidR="006A7820" w:rsidRPr="009429F0" w:rsidRDefault="006A7820" w:rsidP="00C37EAE">
            <w:pPr>
              <w:jc w:val="center"/>
              <w:rPr>
                <w:rFonts w:ascii="Arial" w:hAnsi="Arial" w:cs="Arial"/>
                <w:sz w:val="20"/>
                <w:szCs w:val="20"/>
              </w:rPr>
            </w:pPr>
            <w:r w:rsidRPr="009429F0">
              <w:rPr>
                <w:rFonts w:ascii="Arial" w:hAnsi="Arial" w:cs="Arial"/>
                <w:sz w:val="20"/>
                <w:szCs w:val="20"/>
              </w:rPr>
              <w:t>&lt;0.001</w:t>
            </w: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b/>
                <w:sz w:val="20"/>
                <w:szCs w:val="20"/>
              </w:rPr>
            </w:pPr>
            <w:r w:rsidRPr="009429F0">
              <w:rPr>
                <w:rFonts w:ascii="Arial" w:hAnsi="Arial" w:cs="Arial"/>
                <w:b/>
                <w:sz w:val="20"/>
                <w:szCs w:val="20"/>
              </w:rPr>
              <w:t>Patient</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i/>
                <w:sz w:val="20"/>
                <w:szCs w:val="20"/>
              </w:rPr>
            </w:pPr>
            <w:r w:rsidRPr="009429F0">
              <w:rPr>
                <w:rFonts w:ascii="Arial" w:hAnsi="Arial" w:cs="Arial"/>
                <w:i/>
                <w:sz w:val="20"/>
                <w:szCs w:val="20"/>
              </w:rPr>
              <w:t>Gender</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Male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Female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3F0C6D" w:rsidP="00C37EAE">
            <w:pPr>
              <w:jc w:val="center"/>
              <w:rPr>
                <w:rFonts w:ascii="Arial" w:hAnsi="Arial" w:cs="Arial"/>
                <w:sz w:val="20"/>
                <w:szCs w:val="20"/>
              </w:rPr>
            </w:pPr>
            <w:r w:rsidRPr="009429F0">
              <w:rPr>
                <w:rFonts w:ascii="Arial" w:hAnsi="Arial" w:cs="Arial"/>
                <w:sz w:val="20"/>
                <w:szCs w:val="20"/>
              </w:rPr>
              <w:t>1</w:t>
            </w:r>
            <w:r w:rsidR="006A7820" w:rsidRPr="009429F0">
              <w:rPr>
                <w:rFonts w:ascii="Arial" w:hAnsi="Arial" w:cs="Arial"/>
                <w:sz w:val="20"/>
                <w:szCs w:val="20"/>
              </w:rPr>
              <w:t>.08</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0.99</w:t>
            </w:r>
            <w:r w:rsidR="003F0C6D" w:rsidRPr="009429F0">
              <w:rPr>
                <w:rFonts w:ascii="Arial" w:hAnsi="Arial" w:cs="Arial"/>
                <w:sz w:val="20"/>
                <w:szCs w:val="20"/>
              </w:rPr>
              <w:t>-1.</w:t>
            </w:r>
            <w:r w:rsidRPr="009429F0">
              <w:rPr>
                <w:rFonts w:ascii="Arial" w:hAnsi="Arial" w:cs="Arial"/>
                <w:sz w:val="20"/>
                <w:szCs w:val="20"/>
              </w:rPr>
              <w:t>17</w:t>
            </w:r>
          </w:p>
        </w:tc>
        <w:tc>
          <w:tcPr>
            <w:tcW w:w="2127" w:type="dxa"/>
            <w:tcBorders>
              <w:top w:val="nil"/>
              <w:left w:val="nil"/>
              <w:bottom w:val="nil"/>
              <w:right w:val="nil"/>
            </w:tcBorders>
          </w:tcPr>
          <w:p w:rsidR="00411AF3" w:rsidRPr="009429F0" w:rsidRDefault="003F0C6D" w:rsidP="00C37EAE">
            <w:pPr>
              <w:jc w:val="center"/>
              <w:rPr>
                <w:rFonts w:ascii="Arial" w:hAnsi="Arial" w:cs="Arial"/>
                <w:sz w:val="20"/>
                <w:szCs w:val="20"/>
              </w:rPr>
            </w:pPr>
            <w:r w:rsidRPr="009429F0">
              <w:rPr>
                <w:rFonts w:ascii="Arial" w:hAnsi="Arial" w:cs="Arial"/>
                <w:sz w:val="20"/>
                <w:szCs w:val="20"/>
              </w:rPr>
              <w:t>0.0</w:t>
            </w:r>
            <w:r w:rsidR="006A7820" w:rsidRPr="009429F0">
              <w:rPr>
                <w:rFonts w:ascii="Arial" w:hAnsi="Arial" w:cs="Arial"/>
                <w:sz w:val="20"/>
                <w:szCs w:val="20"/>
              </w:rPr>
              <w:t>6</w:t>
            </w: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i/>
                <w:sz w:val="20"/>
                <w:szCs w:val="20"/>
              </w:rPr>
            </w:pPr>
            <w:r w:rsidRPr="009429F0">
              <w:rPr>
                <w:rFonts w:ascii="Arial" w:hAnsi="Arial" w:cs="Arial"/>
                <w:i/>
                <w:sz w:val="20"/>
                <w:szCs w:val="20"/>
              </w:rPr>
              <w:t>Age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Under 30</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30-50</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3F0C6D" w:rsidP="00C37EAE">
            <w:pPr>
              <w:jc w:val="center"/>
              <w:rPr>
                <w:rFonts w:ascii="Arial" w:hAnsi="Arial" w:cs="Arial"/>
                <w:sz w:val="20"/>
                <w:szCs w:val="20"/>
              </w:rPr>
            </w:pPr>
            <w:r w:rsidRPr="009429F0">
              <w:rPr>
                <w:rFonts w:ascii="Arial" w:hAnsi="Arial" w:cs="Arial"/>
                <w:sz w:val="20"/>
                <w:szCs w:val="20"/>
              </w:rPr>
              <w:t>1.0</w:t>
            </w:r>
            <w:r w:rsidR="006A7820" w:rsidRPr="009429F0">
              <w:rPr>
                <w:rFonts w:ascii="Arial" w:hAnsi="Arial" w:cs="Arial"/>
                <w:sz w:val="20"/>
                <w:szCs w:val="20"/>
              </w:rPr>
              <w:t>3</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0.92</w:t>
            </w:r>
            <w:r w:rsidR="003F0C6D" w:rsidRPr="009429F0">
              <w:rPr>
                <w:rFonts w:ascii="Arial" w:hAnsi="Arial" w:cs="Arial"/>
                <w:sz w:val="20"/>
                <w:szCs w:val="20"/>
              </w:rPr>
              <w:t>-1.1</w:t>
            </w:r>
            <w:r w:rsidRPr="009429F0">
              <w:rPr>
                <w:rFonts w:ascii="Arial" w:hAnsi="Arial" w:cs="Arial"/>
                <w:sz w:val="20"/>
                <w:szCs w:val="20"/>
              </w:rPr>
              <w:t>6</w:t>
            </w:r>
          </w:p>
        </w:tc>
        <w:tc>
          <w:tcPr>
            <w:tcW w:w="2127"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0.6</w:t>
            </w:r>
            <w:r w:rsidR="00C858E7" w:rsidRPr="009429F0">
              <w:rPr>
                <w:rFonts w:ascii="Arial" w:hAnsi="Arial" w:cs="Arial"/>
                <w:sz w:val="20"/>
                <w:szCs w:val="20"/>
              </w:rPr>
              <w:t>0</w:t>
            </w: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Over 50</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3F0C6D" w:rsidP="00C37EAE">
            <w:pPr>
              <w:jc w:val="center"/>
              <w:rPr>
                <w:rFonts w:ascii="Arial" w:hAnsi="Arial" w:cs="Arial"/>
                <w:sz w:val="20"/>
                <w:szCs w:val="20"/>
              </w:rPr>
            </w:pPr>
            <w:r w:rsidRPr="009429F0">
              <w:rPr>
                <w:rFonts w:ascii="Arial" w:hAnsi="Arial" w:cs="Arial"/>
                <w:sz w:val="20"/>
                <w:szCs w:val="20"/>
              </w:rPr>
              <w:t>1.</w:t>
            </w:r>
            <w:r w:rsidR="006A7820" w:rsidRPr="009429F0">
              <w:rPr>
                <w:rFonts w:ascii="Arial" w:hAnsi="Arial" w:cs="Arial"/>
                <w:sz w:val="20"/>
                <w:szCs w:val="20"/>
              </w:rPr>
              <w:t>08</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0.96</w:t>
            </w:r>
            <w:r w:rsidR="003F0C6D" w:rsidRPr="009429F0">
              <w:rPr>
                <w:rFonts w:ascii="Arial" w:hAnsi="Arial" w:cs="Arial"/>
                <w:sz w:val="20"/>
                <w:szCs w:val="20"/>
              </w:rPr>
              <w:t>-1.2</w:t>
            </w:r>
            <w:r w:rsidR="00C858E7" w:rsidRPr="009429F0">
              <w:rPr>
                <w:rFonts w:ascii="Arial" w:hAnsi="Arial" w:cs="Arial"/>
                <w:sz w:val="20"/>
                <w:szCs w:val="20"/>
              </w:rPr>
              <w:t>3</w:t>
            </w:r>
          </w:p>
        </w:tc>
        <w:tc>
          <w:tcPr>
            <w:tcW w:w="2127"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0.</w:t>
            </w:r>
            <w:r w:rsidR="00C858E7" w:rsidRPr="009429F0">
              <w:rPr>
                <w:rFonts w:ascii="Arial" w:hAnsi="Arial" w:cs="Arial"/>
                <w:sz w:val="20"/>
                <w:szCs w:val="20"/>
              </w:rPr>
              <w:t>20</w:t>
            </w:r>
          </w:p>
        </w:tc>
      </w:tr>
      <w:tr w:rsidR="00411AF3" w:rsidRPr="009429F0" w:rsidTr="00AC1909">
        <w:tc>
          <w:tcPr>
            <w:tcW w:w="4077" w:type="dxa"/>
            <w:tcBorders>
              <w:top w:val="nil"/>
              <w:left w:val="nil"/>
              <w:bottom w:val="nil"/>
              <w:right w:val="nil"/>
            </w:tcBorders>
            <w:vAlign w:val="bottom"/>
          </w:tcPr>
          <w:p w:rsidR="00411AF3" w:rsidRPr="009429F0" w:rsidRDefault="00AC1909" w:rsidP="00C37EAE">
            <w:pPr>
              <w:rPr>
                <w:rFonts w:ascii="Arial" w:hAnsi="Arial" w:cs="Arial"/>
                <w:i/>
                <w:sz w:val="20"/>
                <w:szCs w:val="20"/>
              </w:rPr>
            </w:pPr>
            <w:r w:rsidRPr="009429F0">
              <w:rPr>
                <w:rFonts w:ascii="Arial" w:hAnsi="Arial" w:cs="Arial"/>
                <w:i/>
                <w:sz w:val="20"/>
                <w:szCs w:val="20"/>
              </w:rPr>
              <w:t>Social deprivation of neighbourhood of residence(quintiles)</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39222E">
        <w:tc>
          <w:tcPr>
            <w:tcW w:w="4077" w:type="dxa"/>
            <w:tcBorders>
              <w:top w:val="nil"/>
              <w:left w:val="nil"/>
              <w:bottom w:val="nil"/>
              <w:right w:val="nil"/>
            </w:tcBorders>
            <w:vAlign w:val="bottom"/>
          </w:tcPr>
          <w:p w:rsidR="00411AF3" w:rsidRPr="009429F0" w:rsidRDefault="00AC1909" w:rsidP="00C37EAE">
            <w:pPr>
              <w:rPr>
                <w:rFonts w:ascii="Arial" w:hAnsi="Arial" w:cs="Arial"/>
                <w:sz w:val="20"/>
                <w:szCs w:val="20"/>
              </w:rPr>
            </w:pPr>
            <w:r w:rsidRPr="009429F0">
              <w:rPr>
                <w:rFonts w:ascii="Arial" w:hAnsi="Arial" w:cs="Arial"/>
                <w:sz w:val="20"/>
                <w:szCs w:val="20"/>
              </w:rPr>
              <w:t>Q1. One of 20% least deprived neighbourhoods in country</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vAlign w:val="center"/>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vAlign w:val="center"/>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vAlign w:val="center"/>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AC1909" w:rsidP="00C37EAE">
            <w:pPr>
              <w:rPr>
                <w:rFonts w:ascii="Arial" w:hAnsi="Arial" w:cs="Arial"/>
                <w:sz w:val="20"/>
                <w:szCs w:val="20"/>
              </w:rPr>
            </w:pPr>
            <w:r w:rsidRPr="009429F0">
              <w:rPr>
                <w:rFonts w:ascii="Arial" w:hAnsi="Arial" w:cs="Arial"/>
                <w:sz w:val="20"/>
                <w:szCs w:val="20"/>
              </w:rPr>
              <w:t>Q2</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39222E" w:rsidP="00C37EAE">
            <w:pPr>
              <w:jc w:val="center"/>
              <w:rPr>
                <w:rFonts w:ascii="Arial" w:hAnsi="Arial" w:cs="Arial"/>
                <w:sz w:val="20"/>
                <w:szCs w:val="20"/>
              </w:rPr>
            </w:pPr>
            <w:r w:rsidRPr="009429F0">
              <w:rPr>
                <w:rFonts w:ascii="Arial" w:hAnsi="Arial" w:cs="Arial"/>
                <w:sz w:val="20"/>
                <w:szCs w:val="20"/>
              </w:rPr>
              <w:t>0.99</w:t>
            </w:r>
          </w:p>
        </w:tc>
        <w:tc>
          <w:tcPr>
            <w:tcW w:w="1842" w:type="dxa"/>
            <w:tcBorders>
              <w:top w:val="nil"/>
              <w:left w:val="nil"/>
              <w:bottom w:val="nil"/>
              <w:right w:val="nil"/>
            </w:tcBorders>
          </w:tcPr>
          <w:p w:rsidR="00411AF3" w:rsidRPr="009429F0" w:rsidRDefault="0039222E" w:rsidP="00C37EAE">
            <w:pPr>
              <w:jc w:val="center"/>
              <w:rPr>
                <w:rFonts w:ascii="Arial" w:hAnsi="Arial" w:cs="Arial"/>
                <w:sz w:val="20"/>
                <w:szCs w:val="20"/>
              </w:rPr>
            </w:pPr>
            <w:r w:rsidRPr="009429F0">
              <w:rPr>
                <w:rFonts w:ascii="Arial" w:hAnsi="Arial" w:cs="Arial"/>
                <w:sz w:val="20"/>
                <w:szCs w:val="20"/>
              </w:rPr>
              <w:t>0.85-1.15</w:t>
            </w:r>
          </w:p>
        </w:tc>
        <w:tc>
          <w:tcPr>
            <w:tcW w:w="2127" w:type="dxa"/>
            <w:tcBorders>
              <w:top w:val="nil"/>
              <w:left w:val="nil"/>
              <w:bottom w:val="nil"/>
              <w:right w:val="nil"/>
            </w:tcBorders>
          </w:tcPr>
          <w:p w:rsidR="00411AF3" w:rsidRPr="009429F0" w:rsidRDefault="0039222E" w:rsidP="00C37EAE">
            <w:pPr>
              <w:jc w:val="center"/>
              <w:rPr>
                <w:rFonts w:ascii="Arial" w:hAnsi="Arial" w:cs="Arial"/>
                <w:sz w:val="20"/>
                <w:szCs w:val="20"/>
              </w:rPr>
            </w:pPr>
            <w:r w:rsidRPr="009429F0">
              <w:rPr>
                <w:rFonts w:ascii="Arial" w:hAnsi="Arial" w:cs="Arial"/>
                <w:sz w:val="20"/>
                <w:szCs w:val="20"/>
              </w:rPr>
              <w:t>0.96</w:t>
            </w:r>
          </w:p>
        </w:tc>
      </w:tr>
      <w:tr w:rsidR="00AC1909" w:rsidRPr="009429F0" w:rsidTr="00AC1909">
        <w:tc>
          <w:tcPr>
            <w:tcW w:w="4077" w:type="dxa"/>
            <w:tcBorders>
              <w:top w:val="nil"/>
              <w:left w:val="nil"/>
              <w:bottom w:val="nil"/>
              <w:right w:val="nil"/>
            </w:tcBorders>
            <w:vAlign w:val="bottom"/>
          </w:tcPr>
          <w:p w:rsidR="00AC1909" w:rsidRPr="009429F0" w:rsidRDefault="00AC1909" w:rsidP="00C37EAE">
            <w:pPr>
              <w:rPr>
                <w:rFonts w:ascii="Arial" w:hAnsi="Arial" w:cs="Arial"/>
                <w:sz w:val="20"/>
                <w:szCs w:val="20"/>
              </w:rPr>
            </w:pPr>
            <w:r w:rsidRPr="009429F0">
              <w:rPr>
                <w:rFonts w:ascii="Arial" w:hAnsi="Arial" w:cs="Arial"/>
                <w:sz w:val="20"/>
                <w:szCs w:val="20"/>
              </w:rPr>
              <w:t>Q3</w:t>
            </w:r>
          </w:p>
        </w:tc>
        <w:tc>
          <w:tcPr>
            <w:tcW w:w="567" w:type="dxa"/>
            <w:tcBorders>
              <w:top w:val="nil"/>
              <w:left w:val="nil"/>
              <w:bottom w:val="nil"/>
              <w:right w:val="nil"/>
            </w:tcBorders>
          </w:tcPr>
          <w:p w:rsidR="00AC1909" w:rsidRPr="009429F0" w:rsidRDefault="00AC1909" w:rsidP="00C37EAE">
            <w:pPr>
              <w:rPr>
                <w:rFonts w:ascii="Arial" w:hAnsi="Arial" w:cs="Arial"/>
                <w:sz w:val="20"/>
                <w:szCs w:val="20"/>
              </w:rPr>
            </w:pPr>
          </w:p>
        </w:tc>
        <w:tc>
          <w:tcPr>
            <w:tcW w:w="1560"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0.99</w:t>
            </w:r>
          </w:p>
        </w:tc>
        <w:tc>
          <w:tcPr>
            <w:tcW w:w="1842"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0.85-1.14</w:t>
            </w:r>
          </w:p>
        </w:tc>
        <w:tc>
          <w:tcPr>
            <w:tcW w:w="2127"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0.85</w:t>
            </w:r>
          </w:p>
        </w:tc>
      </w:tr>
      <w:tr w:rsidR="00AC1909" w:rsidRPr="009429F0" w:rsidTr="00AC1909">
        <w:tc>
          <w:tcPr>
            <w:tcW w:w="4077" w:type="dxa"/>
            <w:tcBorders>
              <w:top w:val="nil"/>
              <w:left w:val="nil"/>
              <w:bottom w:val="nil"/>
              <w:right w:val="nil"/>
            </w:tcBorders>
            <w:vAlign w:val="bottom"/>
          </w:tcPr>
          <w:p w:rsidR="00AC1909" w:rsidRPr="009429F0" w:rsidRDefault="00AC1909" w:rsidP="00C37EAE">
            <w:pPr>
              <w:rPr>
                <w:rFonts w:ascii="Arial" w:hAnsi="Arial" w:cs="Arial"/>
                <w:sz w:val="20"/>
                <w:szCs w:val="20"/>
              </w:rPr>
            </w:pPr>
            <w:r w:rsidRPr="009429F0">
              <w:rPr>
                <w:rFonts w:ascii="Arial" w:hAnsi="Arial" w:cs="Arial"/>
                <w:sz w:val="20"/>
                <w:szCs w:val="20"/>
              </w:rPr>
              <w:t>Q4</w:t>
            </w:r>
          </w:p>
        </w:tc>
        <w:tc>
          <w:tcPr>
            <w:tcW w:w="567" w:type="dxa"/>
            <w:tcBorders>
              <w:top w:val="nil"/>
              <w:left w:val="nil"/>
              <w:bottom w:val="nil"/>
              <w:right w:val="nil"/>
            </w:tcBorders>
          </w:tcPr>
          <w:p w:rsidR="00AC1909" w:rsidRPr="009429F0" w:rsidRDefault="00AC1909" w:rsidP="00C37EAE">
            <w:pPr>
              <w:rPr>
                <w:rFonts w:ascii="Arial" w:hAnsi="Arial" w:cs="Arial"/>
                <w:sz w:val="20"/>
                <w:szCs w:val="20"/>
              </w:rPr>
            </w:pPr>
          </w:p>
        </w:tc>
        <w:tc>
          <w:tcPr>
            <w:tcW w:w="1560"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1.08</w:t>
            </w:r>
          </w:p>
        </w:tc>
        <w:tc>
          <w:tcPr>
            <w:tcW w:w="1842"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0.94-1.25</w:t>
            </w:r>
          </w:p>
        </w:tc>
        <w:tc>
          <w:tcPr>
            <w:tcW w:w="2127" w:type="dxa"/>
            <w:tcBorders>
              <w:top w:val="nil"/>
              <w:left w:val="nil"/>
              <w:bottom w:val="nil"/>
              <w:right w:val="nil"/>
            </w:tcBorders>
          </w:tcPr>
          <w:p w:rsidR="00AC1909" w:rsidRPr="009429F0" w:rsidRDefault="0039222E" w:rsidP="00C37EAE">
            <w:pPr>
              <w:jc w:val="center"/>
              <w:rPr>
                <w:rFonts w:ascii="Arial" w:hAnsi="Arial" w:cs="Arial"/>
                <w:sz w:val="20"/>
                <w:szCs w:val="20"/>
              </w:rPr>
            </w:pPr>
            <w:r w:rsidRPr="009429F0">
              <w:rPr>
                <w:rFonts w:ascii="Arial" w:hAnsi="Arial" w:cs="Arial"/>
                <w:sz w:val="20"/>
                <w:szCs w:val="20"/>
              </w:rPr>
              <w:t>0.29</w:t>
            </w:r>
          </w:p>
        </w:tc>
      </w:tr>
      <w:tr w:rsidR="00AC1909" w:rsidRPr="009429F0" w:rsidTr="0039222E">
        <w:tc>
          <w:tcPr>
            <w:tcW w:w="4077" w:type="dxa"/>
            <w:tcBorders>
              <w:top w:val="nil"/>
              <w:left w:val="nil"/>
              <w:bottom w:val="nil"/>
              <w:right w:val="nil"/>
            </w:tcBorders>
            <w:vAlign w:val="bottom"/>
          </w:tcPr>
          <w:p w:rsidR="00AC1909" w:rsidRPr="009429F0" w:rsidRDefault="0039222E" w:rsidP="00C37EAE">
            <w:pPr>
              <w:rPr>
                <w:rFonts w:ascii="Arial" w:hAnsi="Arial" w:cs="Arial"/>
                <w:sz w:val="20"/>
                <w:szCs w:val="20"/>
              </w:rPr>
            </w:pPr>
            <w:r w:rsidRPr="009429F0">
              <w:rPr>
                <w:rFonts w:ascii="Arial" w:hAnsi="Arial" w:cs="Arial"/>
                <w:sz w:val="20"/>
                <w:szCs w:val="20"/>
              </w:rPr>
              <w:t xml:space="preserve">Q5. </w:t>
            </w:r>
            <w:r w:rsidR="00AC1909" w:rsidRPr="009429F0">
              <w:rPr>
                <w:rFonts w:ascii="Arial" w:hAnsi="Arial" w:cs="Arial"/>
                <w:sz w:val="20"/>
                <w:szCs w:val="20"/>
              </w:rPr>
              <w:t xml:space="preserve">One of 20% </w:t>
            </w:r>
            <w:r w:rsidRPr="009429F0">
              <w:rPr>
                <w:rFonts w:ascii="Arial" w:hAnsi="Arial" w:cs="Arial"/>
                <w:sz w:val="20"/>
                <w:szCs w:val="20"/>
              </w:rPr>
              <w:t>mo</w:t>
            </w:r>
            <w:r w:rsidR="00AC1909" w:rsidRPr="009429F0">
              <w:rPr>
                <w:rFonts w:ascii="Arial" w:hAnsi="Arial" w:cs="Arial"/>
                <w:sz w:val="20"/>
                <w:szCs w:val="20"/>
              </w:rPr>
              <w:t>st deprived neighbourhoods in country</w:t>
            </w:r>
          </w:p>
        </w:tc>
        <w:tc>
          <w:tcPr>
            <w:tcW w:w="567" w:type="dxa"/>
            <w:tcBorders>
              <w:top w:val="nil"/>
              <w:left w:val="nil"/>
              <w:bottom w:val="nil"/>
              <w:right w:val="nil"/>
            </w:tcBorders>
          </w:tcPr>
          <w:p w:rsidR="00AC1909" w:rsidRPr="009429F0" w:rsidRDefault="00AC1909" w:rsidP="00C37EAE">
            <w:pPr>
              <w:rPr>
                <w:rFonts w:ascii="Arial" w:hAnsi="Arial" w:cs="Arial"/>
                <w:sz w:val="20"/>
                <w:szCs w:val="20"/>
              </w:rPr>
            </w:pPr>
          </w:p>
        </w:tc>
        <w:tc>
          <w:tcPr>
            <w:tcW w:w="1560" w:type="dxa"/>
            <w:tcBorders>
              <w:top w:val="nil"/>
              <w:left w:val="nil"/>
              <w:bottom w:val="nil"/>
              <w:right w:val="nil"/>
            </w:tcBorders>
            <w:vAlign w:val="center"/>
          </w:tcPr>
          <w:p w:rsidR="00AC1909" w:rsidRPr="009429F0" w:rsidRDefault="0039222E" w:rsidP="00C37EAE">
            <w:pPr>
              <w:jc w:val="center"/>
              <w:rPr>
                <w:rFonts w:ascii="Arial" w:hAnsi="Arial" w:cs="Arial"/>
                <w:sz w:val="20"/>
                <w:szCs w:val="20"/>
              </w:rPr>
            </w:pPr>
            <w:r w:rsidRPr="009429F0">
              <w:rPr>
                <w:rFonts w:ascii="Arial" w:hAnsi="Arial" w:cs="Arial"/>
                <w:sz w:val="20"/>
                <w:szCs w:val="20"/>
              </w:rPr>
              <w:t>1.21</w:t>
            </w:r>
          </w:p>
        </w:tc>
        <w:tc>
          <w:tcPr>
            <w:tcW w:w="1842" w:type="dxa"/>
            <w:tcBorders>
              <w:top w:val="nil"/>
              <w:left w:val="nil"/>
              <w:bottom w:val="nil"/>
              <w:right w:val="nil"/>
            </w:tcBorders>
            <w:vAlign w:val="center"/>
          </w:tcPr>
          <w:p w:rsidR="00AC1909" w:rsidRPr="009429F0" w:rsidRDefault="0039222E" w:rsidP="00C37EAE">
            <w:pPr>
              <w:jc w:val="center"/>
              <w:rPr>
                <w:rFonts w:ascii="Arial" w:hAnsi="Arial" w:cs="Arial"/>
                <w:sz w:val="20"/>
                <w:szCs w:val="20"/>
              </w:rPr>
            </w:pPr>
            <w:r w:rsidRPr="009429F0">
              <w:rPr>
                <w:rFonts w:ascii="Arial" w:hAnsi="Arial" w:cs="Arial"/>
                <w:sz w:val="20"/>
                <w:szCs w:val="20"/>
              </w:rPr>
              <w:t>1.04-1.40</w:t>
            </w:r>
          </w:p>
        </w:tc>
        <w:tc>
          <w:tcPr>
            <w:tcW w:w="2127" w:type="dxa"/>
            <w:tcBorders>
              <w:top w:val="nil"/>
              <w:left w:val="nil"/>
              <w:bottom w:val="nil"/>
              <w:right w:val="nil"/>
            </w:tcBorders>
            <w:vAlign w:val="center"/>
          </w:tcPr>
          <w:p w:rsidR="00AC1909" w:rsidRPr="009429F0" w:rsidRDefault="0039222E" w:rsidP="00C37EAE">
            <w:pPr>
              <w:jc w:val="center"/>
              <w:rPr>
                <w:rFonts w:ascii="Arial" w:hAnsi="Arial" w:cs="Arial"/>
                <w:sz w:val="20"/>
                <w:szCs w:val="20"/>
              </w:rPr>
            </w:pPr>
            <w:r w:rsidRPr="009429F0">
              <w:rPr>
                <w:rFonts w:ascii="Arial" w:hAnsi="Arial" w:cs="Arial"/>
                <w:sz w:val="20"/>
                <w:szCs w:val="20"/>
              </w:rPr>
              <w:t>0.01</w:t>
            </w:r>
          </w:p>
        </w:tc>
      </w:tr>
      <w:tr w:rsidR="00AC1909" w:rsidRPr="009429F0" w:rsidTr="00AC1909">
        <w:tc>
          <w:tcPr>
            <w:tcW w:w="4077" w:type="dxa"/>
            <w:tcBorders>
              <w:top w:val="nil"/>
              <w:left w:val="nil"/>
              <w:bottom w:val="nil"/>
              <w:right w:val="nil"/>
            </w:tcBorders>
            <w:vAlign w:val="bottom"/>
          </w:tcPr>
          <w:p w:rsidR="00AC1909" w:rsidRPr="009429F0" w:rsidRDefault="00AC1909" w:rsidP="00C37EAE">
            <w:pPr>
              <w:rPr>
                <w:rFonts w:ascii="Arial" w:hAnsi="Arial" w:cs="Arial"/>
                <w:sz w:val="20"/>
                <w:szCs w:val="20"/>
              </w:rPr>
            </w:pPr>
          </w:p>
        </w:tc>
        <w:tc>
          <w:tcPr>
            <w:tcW w:w="567" w:type="dxa"/>
            <w:tcBorders>
              <w:top w:val="nil"/>
              <w:left w:val="nil"/>
              <w:bottom w:val="nil"/>
              <w:right w:val="nil"/>
            </w:tcBorders>
          </w:tcPr>
          <w:p w:rsidR="00AC1909" w:rsidRPr="009429F0" w:rsidRDefault="00AC1909" w:rsidP="00C37EAE">
            <w:pPr>
              <w:rPr>
                <w:rFonts w:ascii="Arial" w:hAnsi="Arial" w:cs="Arial"/>
                <w:sz w:val="20"/>
                <w:szCs w:val="20"/>
              </w:rPr>
            </w:pPr>
          </w:p>
        </w:tc>
        <w:tc>
          <w:tcPr>
            <w:tcW w:w="1560" w:type="dxa"/>
            <w:tcBorders>
              <w:top w:val="nil"/>
              <w:left w:val="nil"/>
              <w:bottom w:val="nil"/>
              <w:right w:val="nil"/>
            </w:tcBorders>
          </w:tcPr>
          <w:p w:rsidR="00AC1909" w:rsidRPr="009429F0" w:rsidRDefault="00AC1909" w:rsidP="00C37EAE">
            <w:pPr>
              <w:jc w:val="center"/>
              <w:rPr>
                <w:rFonts w:ascii="Arial" w:hAnsi="Arial" w:cs="Arial"/>
                <w:sz w:val="20"/>
                <w:szCs w:val="20"/>
              </w:rPr>
            </w:pPr>
          </w:p>
        </w:tc>
        <w:tc>
          <w:tcPr>
            <w:tcW w:w="1842" w:type="dxa"/>
            <w:tcBorders>
              <w:top w:val="nil"/>
              <w:left w:val="nil"/>
              <w:bottom w:val="nil"/>
              <w:right w:val="nil"/>
            </w:tcBorders>
          </w:tcPr>
          <w:p w:rsidR="00AC1909" w:rsidRPr="009429F0" w:rsidRDefault="00AC1909" w:rsidP="00C37EAE">
            <w:pPr>
              <w:jc w:val="center"/>
              <w:rPr>
                <w:rFonts w:ascii="Arial" w:hAnsi="Arial" w:cs="Arial"/>
                <w:sz w:val="20"/>
                <w:szCs w:val="20"/>
              </w:rPr>
            </w:pPr>
          </w:p>
        </w:tc>
        <w:tc>
          <w:tcPr>
            <w:tcW w:w="2127" w:type="dxa"/>
            <w:tcBorders>
              <w:top w:val="nil"/>
              <w:left w:val="nil"/>
              <w:bottom w:val="nil"/>
              <w:right w:val="nil"/>
            </w:tcBorders>
          </w:tcPr>
          <w:p w:rsidR="00AC1909" w:rsidRPr="009429F0" w:rsidRDefault="00AC1909"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b/>
                <w:sz w:val="20"/>
                <w:szCs w:val="20"/>
              </w:rPr>
            </w:pPr>
            <w:r w:rsidRPr="009429F0">
              <w:rPr>
                <w:rFonts w:ascii="Arial" w:hAnsi="Arial" w:cs="Arial"/>
                <w:b/>
                <w:sz w:val="20"/>
                <w:szCs w:val="20"/>
              </w:rPr>
              <w:t>General Practitioner</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i/>
                <w:sz w:val="20"/>
                <w:szCs w:val="20"/>
              </w:rPr>
            </w:pPr>
            <w:r w:rsidRPr="009429F0">
              <w:rPr>
                <w:rFonts w:ascii="Arial" w:hAnsi="Arial" w:cs="Arial"/>
                <w:i/>
                <w:sz w:val="20"/>
                <w:szCs w:val="20"/>
              </w:rPr>
              <w:t>More than one GP issuing fit notes within episode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No</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Yes</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1.</w:t>
            </w:r>
            <w:r w:rsidR="006A7820" w:rsidRPr="009429F0">
              <w:rPr>
                <w:rFonts w:ascii="Arial" w:hAnsi="Arial" w:cs="Arial"/>
                <w:sz w:val="20"/>
                <w:szCs w:val="20"/>
              </w:rPr>
              <w:t>41</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1.29</w:t>
            </w:r>
            <w:r w:rsidR="00490297" w:rsidRPr="009429F0">
              <w:rPr>
                <w:rFonts w:ascii="Arial" w:hAnsi="Arial" w:cs="Arial"/>
                <w:sz w:val="20"/>
                <w:szCs w:val="20"/>
              </w:rPr>
              <w:t>-1.</w:t>
            </w:r>
            <w:r w:rsidRPr="009429F0">
              <w:rPr>
                <w:rFonts w:ascii="Arial" w:hAnsi="Arial" w:cs="Arial"/>
                <w:sz w:val="20"/>
                <w:szCs w:val="20"/>
              </w:rPr>
              <w:t>54</w:t>
            </w:r>
          </w:p>
        </w:tc>
        <w:tc>
          <w:tcPr>
            <w:tcW w:w="2127"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&lt;0.001</w:t>
            </w: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b/>
                <w:sz w:val="20"/>
                <w:szCs w:val="20"/>
              </w:rPr>
            </w:pPr>
            <w:r w:rsidRPr="009429F0">
              <w:rPr>
                <w:rFonts w:ascii="Arial" w:hAnsi="Arial" w:cs="Arial"/>
                <w:b/>
                <w:sz w:val="20"/>
                <w:szCs w:val="20"/>
              </w:rPr>
              <w:t>General Practice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i/>
                <w:sz w:val="20"/>
                <w:szCs w:val="20"/>
              </w:rPr>
            </w:pPr>
            <w:r w:rsidRPr="009429F0">
              <w:rPr>
                <w:rFonts w:ascii="Arial" w:hAnsi="Arial" w:cs="Arial"/>
                <w:i/>
                <w:sz w:val="20"/>
                <w:szCs w:val="20"/>
              </w:rPr>
              <w:t>Size</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Under 5000 patients</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411AF3" w:rsidP="00C37EAE">
            <w:pPr>
              <w:rPr>
                <w:rFonts w:ascii="Arial" w:hAnsi="Arial" w:cs="Arial"/>
                <w:sz w:val="20"/>
                <w:szCs w:val="20"/>
              </w:rPr>
            </w:pPr>
            <w:r w:rsidRPr="009429F0">
              <w:rPr>
                <w:rFonts w:ascii="Arial" w:hAnsi="Arial" w:cs="Arial"/>
                <w:sz w:val="20"/>
                <w:szCs w:val="20"/>
              </w:rPr>
              <w:t>5-10,000 patients</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1.0</w:t>
            </w:r>
            <w:r w:rsidR="006A7820" w:rsidRPr="009429F0">
              <w:rPr>
                <w:rFonts w:ascii="Arial" w:hAnsi="Arial" w:cs="Arial"/>
                <w:sz w:val="20"/>
                <w:szCs w:val="20"/>
              </w:rPr>
              <w:t>9</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0.92</w:t>
            </w:r>
            <w:r w:rsidR="00490297" w:rsidRPr="009429F0">
              <w:rPr>
                <w:rFonts w:ascii="Arial" w:hAnsi="Arial" w:cs="Arial"/>
                <w:sz w:val="20"/>
                <w:szCs w:val="20"/>
              </w:rPr>
              <w:t>-1.</w:t>
            </w:r>
            <w:r w:rsidRPr="009429F0">
              <w:rPr>
                <w:rFonts w:ascii="Arial" w:hAnsi="Arial" w:cs="Arial"/>
                <w:sz w:val="20"/>
                <w:szCs w:val="20"/>
              </w:rPr>
              <w:t>30</w:t>
            </w:r>
          </w:p>
        </w:tc>
        <w:tc>
          <w:tcPr>
            <w:tcW w:w="2127"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0.</w:t>
            </w:r>
            <w:r w:rsidR="006A7820" w:rsidRPr="009429F0">
              <w:rPr>
                <w:rFonts w:ascii="Arial" w:hAnsi="Arial" w:cs="Arial"/>
                <w:sz w:val="20"/>
                <w:szCs w:val="20"/>
              </w:rPr>
              <w:t>33</w:t>
            </w:r>
          </w:p>
        </w:tc>
      </w:tr>
      <w:tr w:rsidR="00411AF3" w:rsidRPr="009429F0" w:rsidTr="00AC1909">
        <w:tc>
          <w:tcPr>
            <w:tcW w:w="4077" w:type="dxa"/>
            <w:tcBorders>
              <w:top w:val="nil"/>
              <w:left w:val="nil"/>
              <w:bottom w:val="nil"/>
              <w:right w:val="nil"/>
            </w:tcBorders>
            <w:vAlign w:val="bottom"/>
          </w:tcPr>
          <w:p w:rsidR="00411AF3" w:rsidRPr="009429F0" w:rsidRDefault="0010117A" w:rsidP="00C37EAE">
            <w:pPr>
              <w:rPr>
                <w:rFonts w:ascii="Arial" w:hAnsi="Arial" w:cs="Arial"/>
                <w:sz w:val="20"/>
                <w:szCs w:val="20"/>
              </w:rPr>
            </w:pPr>
            <w:r w:rsidRPr="009429F0">
              <w:rPr>
                <w:rFonts w:ascii="Arial" w:hAnsi="Arial" w:cs="Arial"/>
                <w:sz w:val="20"/>
                <w:szCs w:val="20"/>
              </w:rPr>
              <w:t>Over 10,</w:t>
            </w:r>
            <w:r w:rsidR="00411AF3" w:rsidRPr="009429F0">
              <w:rPr>
                <w:rFonts w:ascii="Arial" w:hAnsi="Arial" w:cs="Arial"/>
                <w:sz w:val="20"/>
                <w:szCs w:val="20"/>
              </w:rPr>
              <w:t>000</w:t>
            </w:r>
            <w:r w:rsidRPr="009429F0">
              <w:rPr>
                <w:rFonts w:ascii="Arial" w:hAnsi="Arial" w:cs="Arial"/>
                <w:sz w:val="20"/>
                <w:szCs w:val="20"/>
              </w:rPr>
              <w:t xml:space="preserve"> patients</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1.1</w:t>
            </w:r>
            <w:r w:rsidR="006A7820" w:rsidRPr="009429F0">
              <w:rPr>
                <w:rFonts w:ascii="Arial" w:hAnsi="Arial" w:cs="Arial"/>
                <w:sz w:val="20"/>
                <w:szCs w:val="20"/>
              </w:rPr>
              <w:t>6</w:t>
            </w:r>
          </w:p>
        </w:tc>
        <w:tc>
          <w:tcPr>
            <w:tcW w:w="1842" w:type="dxa"/>
            <w:tcBorders>
              <w:top w:val="nil"/>
              <w:left w:val="nil"/>
              <w:bottom w:val="nil"/>
              <w:right w:val="nil"/>
            </w:tcBorders>
          </w:tcPr>
          <w:p w:rsidR="00411AF3" w:rsidRPr="009429F0" w:rsidRDefault="006A7820" w:rsidP="00C37EAE">
            <w:pPr>
              <w:jc w:val="center"/>
              <w:rPr>
                <w:rFonts w:ascii="Arial" w:hAnsi="Arial" w:cs="Arial"/>
                <w:sz w:val="20"/>
                <w:szCs w:val="20"/>
              </w:rPr>
            </w:pPr>
            <w:r w:rsidRPr="009429F0">
              <w:rPr>
                <w:rFonts w:ascii="Arial" w:hAnsi="Arial" w:cs="Arial"/>
                <w:sz w:val="20"/>
                <w:szCs w:val="20"/>
              </w:rPr>
              <w:t>0.96</w:t>
            </w:r>
            <w:r w:rsidR="00490297" w:rsidRPr="009429F0">
              <w:rPr>
                <w:rFonts w:ascii="Arial" w:hAnsi="Arial" w:cs="Arial"/>
                <w:sz w:val="20"/>
                <w:szCs w:val="20"/>
              </w:rPr>
              <w:t>-1.</w:t>
            </w:r>
            <w:r w:rsidRPr="009429F0">
              <w:rPr>
                <w:rFonts w:ascii="Arial" w:hAnsi="Arial" w:cs="Arial"/>
                <w:sz w:val="20"/>
                <w:szCs w:val="20"/>
              </w:rPr>
              <w:t>39</w:t>
            </w:r>
          </w:p>
        </w:tc>
        <w:tc>
          <w:tcPr>
            <w:tcW w:w="2127" w:type="dxa"/>
            <w:tcBorders>
              <w:top w:val="nil"/>
              <w:left w:val="nil"/>
              <w:bottom w:val="nil"/>
              <w:right w:val="nil"/>
            </w:tcBorders>
          </w:tcPr>
          <w:p w:rsidR="00411AF3" w:rsidRPr="009429F0" w:rsidRDefault="00490297" w:rsidP="00C37EAE">
            <w:pPr>
              <w:jc w:val="center"/>
              <w:rPr>
                <w:rFonts w:ascii="Arial" w:hAnsi="Arial" w:cs="Arial"/>
                <w:sz w:val="20"/>
                <w:szCs w:val="20"/>
              </w:rPr>
            </w:pPr>
            <w:r w:rsidRPr="009429F0">
              <w:rPr>
                <w:rFonts w:ascii="Arial" w:hAnsi="Arial" w:cs="Arial"/>
                <w:sz w:val="20"/>
                <w:szCs w:val="20"/>
              </w:rPr>
              <w:t>0.</w:t>
            </w:r>
            <w:r w:rsidR="006A7820" w:rsidRPr="009429F0">
              <w:rPr>
                <w:rFonts w:ascii="Arial" w:hAnsi="Arial" w:cs="Arial"/>
                <w:sz w:val="20"/>
                <w:szCs w:val="20"/>
              </w:rPr>
              <w:t>13</w:t>
            </w:r>
          </w:p>
        </w:tc>
      </w:tr>
      <w:tr w:rsidR="00411AF3" w:rsidRPr="009429F0" w:rsidTr="00AC1909">
        <w:tc>
          <w:tcPr>
            <w:tcW w:w="4077" w:type="dxa"/>
            <w:tcBorders>
              <w:top w:val="nil"/>
              <w:left w:val="nil"/>
              <w:bottom w:val="nil"/>
              <w:right w:val="nil"/>
            </w:tcBorders>
            <w:vAlign w:val="bottom"/>
          </w:tcPr>
          <w:p w:rsidR="00411AF3" w:rsidRPr="009429F0" w:rsidRDefault="0010117A" w:rsidP="00C37EAE">
            <w:pPr>
              <w:rPr>
                <w:rFonts w:ascii="Arial" w:hAnsi="Arial" w:cs="Arial"/>
                <w:i/>
                <w:sz w:val="20"/>
                <w:szCs w:val="20"/>
              </w:rPr>
            </w:pPr>
            <w:r w:rsidRPr="009429F0">
              <w:rPr>
                <w:rFonts w:ascii="Arial" w:hAnsi="Arial" w:cs="Arial"/>
                <w:i/>
                <w:sz w:val="20"/>
                <w:szCs w:val="20"/>
              </w:rPr>
              <w:t>Location</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9429F0" w:rsidTr="00AC1909">
        <w:tc>
          <w:tcPr>
            <w:tcW w:w="4077" w:type="dxa"/>
            <w:tcBorders>
              <w:top w:val="nil"/>
              <w:left w:val="nil"/>
              <w:bottom w:val="nil"/>
              <w:right w:val="nil"/>
            </w:tcBorders>
            <w:vAlign w:val="bottom"/>
          </w:tcPr>
          <w:p w:rsidR="00411AF3" w:rsidRPr="009429F0" w:rsidRDefault="0010117A" w:rsidP="00C37EAE">
            <w:pPr>
              <w:rPr>
                <w:rFonts w:ascii="Arial" w:hAnsi="Arial" w:cs="Arial"/>
                <w:sz w:val="20"/>
                <w:szCs w:val="20"/>
              </w:rPr>
            </w:pPr>
            <w:r w:rsidRPr="009429F0">
              <w:rPr>
                <w:rFonts w:ascii="Arial" w:hAnsi="Arial" w:cs="Arial"/>
                <w:sz w:val="20"/>
                <w:szCs w:val="20"/>
              </w:rPr>
              <w:t>Urban</w:t>
            </w:r>
            <w:r w:rsidR="007A5FD5" w:rsidRPr="009429F0">
              <w:rPr>
                <w:rFonts w:ascii="Arial" w:hAnsi="Arial" w:cs="Arial"/>
                <w:sz w:val="20"/>
                <w:szCs w:val="20"/>
              </w:rPr>
              <w:t>/suburban</w:t>
            </w:r>
            <w:r w:rsidRPr="009429F0">
              <w:rPr>
                <w:rFonts w:ascii="Arial" w:hAnsi="Arial" w:cs="Arial"/>
                <w:sz w:val="20"/>
                <w:szCs w:val="20"/>
              </w:rPr>
              <w:t xml:space="preserve"> </w:t>
            </w:r>
          </w:p>
        </w:tc>
        <w:tc>
          <w:tcPr>
            <w:tcW w:w="567" w:type="dxa"/>
            <w:tcBorders>
              <w:top w:val="nil"/>
              <w:left w:val="nil"/>
              <w:bottom w:val="nil"/>
              <w:right w:val="nil"/>
            </w:tcBorders>
          </w:tcPr>
          <w:p w:rsidR="00411AF3" w:rsidRPr="009429F0" w:rsidRDefault="00411AF3" w:rsidP="00C37EAE">
            <w:pPr>
              <w:rPr>
                <w:rFonts w:ascii="Arial" w:hAnsi="Arial" w:cs="Arial"/>
                <w:sz w:val="20"/>
                <w:szCs w:val="20"/>
              </w:rPr>
            </w:pPr>
          </w:p>
        </w:tc>
        <w:tc>
          <w:tcPr>
            <w:tcW w:w="1560" w:type="dxa"/>
            <w:tcBorders>
              <w:top w:val="nil"/>
              <w:left w:val="nil"/>
              <w:bottom w:val="nil"/>
              <w:right w:val="nil"/>
            </w:tcBorders>
          </w:tcPr>
          <w:p w:rsidR="00411AF3" w:rsidRPr="009429F0" w:rsidRDefault="0010117A" w:rsidP="00C37EAE">
            <w:pPr>
              <w:jc w:val="center"/>
              <w:rPr>
                <w:rFonts w:ascii="Arial" w:hAnsi="Arial" w:cs="Arial"/>
                <w:sz w:val="20"/>
                <w:szCs w:val="20"/>
              </w:rPr>
            </w:pPr>
            <w:r w:rsidRPr="009429F0">
              <w:rPr>
                <w:rFonts w:ascii="Arial" w:hAnsi="Arial" w:cs="Arial"/>
                <w:sz w:val="20"/>
                <w:szCs w:val="20"/>
              </w:rPr>
              <w:t>1.00</w:t>
            </w:r>
          </w:p>
        </w:tc>
        <w:tc>
          <w:tcPr>
            <w:tcW w:w="1842" w:type="dxa"/>
            <w:tcBorders>
              <w:top w:val="nil"/>
              <w:left w:val="nil"/>
              <w:bottom w:val="nil"/>
              <w:right w:val="nil"/>
            </w:tcBorders>
          </w:tcPr>
          <w:p w:rsidR="00411AF3" w:rsidRPr="009429F0" w:rsidRDefault="00411AF3" w:rsidP="00C37EAE">
            <w:pPr>
              <w:jc w:val="center"/>
              <w:rPr>
                <w:rFonts w:ascii="Arial" w:hAnsi="Arial" w:cs="Arial"/>
                <w:sz w:val="20"/>
                <w:szCs w:val="20"/>
              </w:rPr>
            </w:pPr>
          </w:p>
        </w:tc>
        <w:tc>
          <w:tcPr>
            <w:tcW w:w="2127" w:type="dxa"/>
            <w:tcBorders>
              <w:top w:val="nil"/>
              <w:left w:val="nil"/>
              <w:bottom w:val="nil"/>
              <w:right w:val="nil"/>
            </w:tcBorders>
          </w:tcPr>
          <w:p w:rsidR="00411AF3" w:rsidRPr="009429F0" w:rsidRDefault="00411AF3" w:rsidP="00C37EAE">
            <w:pPr>
              <w:jc w:val="center"/>
              <w:rPr>
                <w:rFonts w:ascii="Arial" w:hAnsi="Arial" w:cs="Arial"/>
                <w:sz w:val="20"/>
                <w:szCs w:val="20"/>
              </w:rPr>
            </w:pPr>
          </w:p>
        </w:tc>
      </w:tr>
      <w:tr w:rsidR="00411AF3" w:rsidRPr="00A42994" w:rsidTr="00AC1909">
        <w:tc>
          <w:tcPr>
            <w:tcW w:w="4077" w:type="dxa"/>
            <w:tcBorders>
              <w:top w:val="nil"/>
              <w:left w:val="nil"/>
              <w:bottom w:val="single" w:sz="4" w:space="0" w:color="auto"/>
              <w:right w:val="nil"/>
            </w:tcBorders>
            <w:vAlign w:val="bottom"/>
          </w:tcPr>
          <w:p w:rsidR="00411AF3" w:rsidRPr="009429F0" w:rsidRDefault="0010117A" w:rsidP="00C37EAE">
            <w:pPr>
              <w:rPr>
                <w:rFonts w:ascii="Arial" w:hAnsi="Arial" w:cs="Arial"/>
                <w:sz w:val="20"/>
                <w:szCs w:val="20"/>
              </w:rPr>
            </w:pPr>
            <w:r w:rsidRPr="009429F0">
              <w:rPr>
                <w:rFonts w:ascii="Arial" w:hAnsi="Arial" w:cs="Arial"/>
                <w:sz w:val="20"/>
                <w:szCs w:val="20"/>
              </w:rPr>
              <w:t>Rural</w:t>
            </w:r>
          </w:p>
        </w:tc>
        <w:tc>
          <w:tcPr>
            <w:tcW w:w="567" w:type="dxa"/>
            <w:tcBorders>
              <w:top w:val="nil"/>
              <w:left w:val="nil"/>
              <w:bottom w:val="single" w:sz="4" w:space="0" w:color="auto"/>
              <w:right w:val="nil"/>
            </w:tcBorders>
          </w:tcPr>
          <w:p w:rsidR="00411AF3" w:rsidRPr="009429F0" w:rsidRDefault="00411AF3" w:rsidP="00C37EAE">
            <w:pPr>
              <w:rPr>
                <w:rFonts w:ascii="Arial" w:hAnsi="Arial" w:cs="Arial"/>
                <w:sz w:val="20"/>
                <w:szCs w:val="20"/>
              </w:rPr>
            </w:pPr>
          </w:p>
        </w:tc>
        <w:tc>
          <w:tcPr>
            <w:tcW w:w="1560" w:type="dxa"/>
            <w:tcBorders>
              <w:top w:val="nil"/>
              <w:left w:val="nil"/>
              <w:bottom w:val="single" w:sz="4" w:space="0" w:color="auto"/>
              <w:right w:val="nil"/>
            </w:tcBorders>
          </w:tcPr>
          <w:p w:rsidR="00411AF3" w:rsidRPr="009429F0" w:rsidRDefault="00AC1909" w:rsidP="00C37EAE">
            <w:pPr>
              <w:jc w:val="center"/>
              <w:rPr>
                <w:rFonts w:ascii="Arial" w:hAnsi="Arial" w:cs="Arial"/>
                <w:sz w:val="20"/>
                <w:szCs w:val="20"/>
              </w:rPr>
            </w:pPr>
            <w:r w:rsidRPr="009429F0">
              <w:rPr>
                <w:rFonts w:ascii="Arial" w:hAnsi="Arial" w:cs="Arial"/>
                <w:sz w:val="20"/>
                <w:szCs w:val="20"/>
              </w:rPr>
              <w:t>0.95</w:t>
            </w:r>
          </w:p>
        </w:tc>
        <w:tc>
          <w:tcPr>
            <w:tcW w:w="1842" w:type="dxa"/>
            <w:tcBorders>
              <w:top w:val="nil"/>
              <w:left w:val="nil"/>
              <w:bottom w:val="single" w:sz="4" w:space="0" w:color="auto"/>
              <w:right w:val="nil"/>
            </w:tcBorders>
          </w:tcPr>
          <w:p w:rsidR="00411AF3" w:rsidRPr="009429F0" w:rsidRDefault="00AC1909" w:rsidP="00C37EAE">
            <w:pPr>
              <w:jc w:val="center"/>
              <w:rPr>
                <w:rFonts w:ascii="Arial" w:hAnsi="Arial" w:cs="Arial"/>
                <w:sz w:val="20"/>
                <w:szCs w:val="20"/>
              </w:rPr>
            </w:pPr>
            <w:r w:rsidRPr="009429F0">
              <w:rPr>
                <w:rFonts w:ascii="Arial" w:hAnsi="Arial" w:cs="Arial"/>
                <w:sz w:val="20"/>
                <w:szCs w:val="20"/>
              </w:rPr>
              <w:t>0.82</w:t>
            </w:r>
            <w:r w:rsidR="00490297" w:rsidRPr="009429F0">
              <w:rPr>
                <w:rFonts w:ascii="Arial" w:hAnsi="Arial" w:cs="Arial"/>
                <w:sz w:val="20"/>
                <w:szCs w:val="20"/>
              </w:rPr>
              <w:t>-1.1</w:t>
            </w:r>
            <w:r w:rsidRPr="009429F0">
              <w:rPr>
                <w:rFonts w:ascii="Arial" w:hAnsi="Arial" w:cs="Arial"/>
                <w:sz w:val="20"/>
                <w:szCs w:val="20"/>
              </w:rPr>
              <w:t>0</w:t>
            </w:r>
          </w:p>
        </w:tc>
        <w:tc>
          <w:tcPr>
            <w:tcW w:w="2127" w:type="dxa"/>
            <w:tcBorders>
              <w:top w:val="nil"/>
              <w:left w:val="nil"/>
              <w:bottom w:val="single" w:sz="4" w:space="0" w:color="auto"/>
              <w:right w:val="nil"/>
            </w:tcBorders>
          </w:tcPr>
          <w:p w:rsidR="00411AF3" w:rsidRPr="00A42994" w:rsidRDefault="00490297" w:rsidP="00C37EAE">
            <w:pPr>
              <w:jc w:val="center"/>
              <w:rPr>
                <w:rFonts w:ascii="Arial" w:hAnsi="Arial" w:cs="Arial"/>
                <w:sz w:val="20"/>
                <w:szCs w:val="20"/>
              </w:rPr>
            </w:pPr>
            <w:r w:rsidRPr="009429F0">
              <w:rPr>
                <w:rFonts w:ascii="Arial" w:hAnsi="Arial" w:cs="Arial"/>
                <w:sz w:val="20"/>
                <w:szCs w:val="20"/>
              </w:rPr>
              <w:t>0.4</w:t>
            </w:r>
            <w:r w:rsidR="006A7820" w:rsidRPr="009429F0">
              <w:rPr>
                <w:rFonts w:ascii="Arial" w:hAnsi="Arial" w:cs="Arial"/>
                <w:sz w:val="20"/>
                <w:szCs w:val="20"/>
              </w:rPr>
              <w:t>8</w:t>
            </w:r>
          </w:p>
        </w:tc>
      </w:tr>
    </w:tbl>
    <w:p w:rsidR="00311EFD" w:rsidRPr="00A42994" w:rsidRDefault="00311EFD" w:rsidP="00C37EAE">
      <w:pPr>
        <w:spacing w:line="240" w:lineRule="auto"/>
        <w:rPr>
          <w:rFonts w:ascii="Arial" w:hAnsi="Arial" w:cs="Arial"/>
          <w:sz w:val="20"/>
          <w:szCs w:val="20"/>
        </w:rPr>
      </w:pPr>
    </w:p>
    <w:p w:rsidR="00762A43" w:rsidRPr="00A42994" w:rsidRDefault="00762A43" w:rsidP="00C37EAE">
      <w:pPr>
        <w:spacing w:line="240" w:lineRule="auto"/>
        <w:rPr>
          <w:rFonts w:ascii="Arial" w:hAnsi="Arial" w:cs="Arial"/>
          <w:sz w:val="20"/>
          <w:szCs w:val="20"/>
        </w:rPr>
      </w:pPr>
    </w:p>
    <w:p w:rsidR="0086137A" w:rsidRPr="00A42994" w:rsidRDefault="0086137A" w:rsidP="00C37EAE">
      <w:pPr>
        <w:spacing w:line="240" w:lineRule="auto"/>
        <w:rPr>
          <w:rFonts w:ascii="Arial" w:hAnsi="Arial" w:cs="Arial"/>
          <w:b/>
          <w:sz w:val="20"/>
          <w:szCs w:val="20"/>
        </w:rPr>
      </w:pPr>
    </w:p>
    <w:p w:rsidR="00423B91" w:rsidRPr="00A42994" w:rsidRDefault="00423B91" w:rsidP="00C37EAE">
      <w:pPr>
        <w:spacing w:afterLines="200" w:after="480" w:line="240" w:lineRule="auto"/>
        <w:rPr>
          <w:rFonts w:ascii="Arial" w:hAnsi="Arial" w:cs="Arial"/>
          <w:b/>
          <w:sz w:val="20"/>
          <w:szCs w:val="20"/>
        </w:rPr>
      </w:pPr>
    </w:p>
    <w:sectPr w:rsidR="00423B91" w:rsidRPr="00A42994" w:rsidSect="005778AC">
      <w:headerReference w:type="default" r:id="rId11"/>
      <w:pgSz w:w="11906" w:h="16838"/>
      <w:pgMar w:top="1247" w:right="1440"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A7C" w:rsidRDefault="002C7A7C" w:rsidP="000558B9">
      <w:pPr>
        <w:spacing w:after="0" w:line="240" w:lineRule="auto"/>
      </w:pPr>
      <w:r>
        <w:separator/>
      </w:r>
    </w:p>
  </w:endnote>
  <w:endnote w:type="continuationSeparator" w:id="0">
    <w:p w:rsidR="002C7A7C" w:rsidRDefault="002C7A7C" w:rsidP="0005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A7C" w:rsidRDefault="002C7A7C" w:rsidP="000558B9">
      <w:pPr>
        <w:spacing w:after="0" w:line="240" w:lineRule="auto"/>
      </w:pPr>
      <w:r>
        <w:separator/>
      </w:r>
    </w:p>
  </w:footnote>
  <w:footnote w:type="continuationSeparator" w:id="0">
    <w:p w:rsidR="002C7A7C" w:rsidRDefault="002C7A7C" w:rsidP="00055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AE" w:rsidRDefault="00C37EAE">
    <w:pPr>
      <w:pStyle w:val="Header"/>
    </w:pPr>
    <w:r>
      <w:t xml:space="preserve">                                                          Change in diagnosis on fit notes</w:t>
    </w:r>
  </w:p>
  <w:p w:rsidR="00C37EAE" w:rsidRDefault="00C37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77B"/>
    <w:multiLevelType w:val="multilevel"/>
    <w:tmpl w:val="AD320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5A430E3B"/>
    <w:multiLevelType w:val="hybridMultilevel"/>
    <w:tmpl w:val="596A9632"/>
    <w:lvl w:ilvl="0" w:tplc="C35413A0">
      <w:start w:val="6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B1"/>
    <w:rsid w:val="00013003"/>
    <w:rsid w:val="00016FD4"/>
    <w:rsid w:val="000221FF"/>
    <w:rsid w:val="0002579C"/>
    <w:rsid w:val="000277AA"/>
    <w:rsid w:val="00036321"/>
    <w:rsid w:val="000558B9"/>
    <w:rsid w:val="00061BDB"/>
    <w:rsid w:val="00076477"/>
    <w:rsid w:val="00084562"/>
    <w:rsid w:val="00090C1C"/>
    <w:rsid w:val="000B1290"/>
    <w:rsid w:val="000C164B"/>
    <w:rsid w:val="000E11FD"/>
    <w:rsid w:val="000E2321"/>
    <w:rsid w:val="000E294A"/>
    <w:rsid w:val="000F1456"/>
    <w:rsid w:val="000F2FD9"/>
    <w:rsid w:val="0010117A"/>
    <w:rsid w:val="00112D42"/>
    <w:rsid w:val="00126B9B"/>
    <w:rsid w:val="00146E3E"/>
    <w:rsid w:val="00155C32"/>
    <w:rsid w:val="00156107"/>
    <w:rsid w:val="0016033C"/>
    <w:rsid w:val="00161464"/>
    <w:rsid w:val="00161687"/>
    <w:rsid w:val="001617F0"/>
    <w:rsid w:val="0017661A"/>
    <w:rsid w:val="00196EE9"/>
    <w:rsid w:val="001A6608"/>
    <w:rsid w:val="001A72F9"/>
    <w:rsid w:val="001B05E3"/>
    <w:rsid w:val="001B5F92"/>
    <w:rsid w:val="001B6426"/>
    <w:rsid w:val="00201E5A"/>
    <w:rsid w:val="002167FA"/>
    <w:rsid w:val="00232116"/>
    <w:rsid w:val="00244C82"/>
    <w:rsid w:val="0024592E"/>
    <w:rsid w:val="002526E9"/>
    <w:rsid w:val="00267FF5"/>
    <w:rsid w:val="00273981"/>
    <w:rsid w:val="00281EA3"/>
    <w:rsid w:val="002843D2"/>
    <w:rsid w:val="002A0BD1"/>
    <w:rsid w:val="002C7A7C"/>
    <w:rsid w:val="002D4318"/>
    <w:rsid w:val="002D4DBE"/>
    <w:rsid w:val="002D7C7A"/>
    <w:rsid w:val="002E06CF"/>
    <w:rsid w:val="00305779"/>
    <w:rsid w:val="003065F6"/>
    <w:rsid w:val="00311B76"/>
    <w:rsid w:val="00311EFD"/>
    <w:rsid w:val="00317C8B"/>
    <w:rsid w:val="00321879"/>
    <w:rsid w:val="00335406"/>
    <w:rsid w:val="003400AF"/>
    <w:rsid w:val="0036432A"/>
    <w:rsid w:val="00367FFD"/>
    <w:rsid w:val="00370D8F"/>
    <w:rsid w:val="00372E6A"/>
    <w:rsid w:val="00373AD4"/>
    <w:rsid w:val="0038061A"/>
    <w:rsid w:val="003810A0"/>
    <w:rsid w:val="00387BA3"/>
    <w:rsid w:val="0039222E"/>
    <w:rsid w:val="00396FF9"/>
    <w:rsid w:val="003975BB"/>
    <w:rsid w:val="003A1723"/>
    <w:rsid w:val="003D1833"/>
    <w:rsid w:val="003E1547"/>
    <w:rsid w:val="003E6F6C"/>
    <w:rsid w:val="003F0C6D"/>
    <w:rsid w:val="00411AF3"/>
    <w:rsid w:val="004125D0"/>
    <w:rsid w:val="00420CB5"/>
    <w:rsid w:val="0042320C"/>
    <w:rsid w:val="00423B91"/>
    <w:rsid w:val="00425242"/>
    <w:rsid w:val="004400F4"/>
    <w:rsid w:val="00484467"/>
    <w:rsid w:val="00490297"/>
    <w:rsid w:val="00492687"/>
    <w:rsid w:val="004A6520"/>
    <w:rsid w:val="004A7E22"/>
    <w:rsid w:val="004B40F8"/>
    <w:rsid w:val="004E4142"/>
    <w:rsid w:val="004F28BB"/>
    <w:rsid w:val="004F436C"/>
    <w:rsid w:val="00506E51"/>
    <w:rsid w:val="00511520"/>
    <w:rsid w:val="005235E3"/>
    <w:rsid w:val="005259E3"/>
    <w:rsid w:val="00537E24"/>
    <w:rsid w:val="00540E07"/>
    <w:rsid w:val="0054629E"/>
    <w:rsid w:val="00555547"/>
    <w:rsid w:val="00562B4E"/>
    <w:rsid w:val="00562F34"/>
    <w:rsid w:val="005778AC"/>
    <w:rsid w:val="005809BA"/>
    <w:rsid w:val="0058769A"/>
    <w:rsid w:val="00590671"/>
    <w:rsid w:val="005932D3"/>
    <w:rsid w:val="0059531E"/>
    <w:rsid w:val="005A3F73"/>
    <w:rsid w:val="005B1844"/>
    <w:rsid w:val="005B61AB"/>
    <w:rsid w:val="005B6414"/>
    <w:rsid w:val="005D2419"/>
    <w:rsid w:val="005E378A"/>
    <w:rsid w:val="005F52CC"/>
    <w:rsid w:val="00617E48"/>
    <w:rsid w:val="00627F4D"/>
    <w:rsid w:val="00630D54"/>
    <w:rsid w:val="006345F9"/>
    <w:rsid w:val="006461BC"/>
    <w:rsid w:val="0065211B"/>
    <w:rsid w:val="00693E18"/>
    <w:rsid w:val="006956A3"/>
    <w:rsid w:val="006A7820"/>
    <w:rsid w:val="006B0D6D"/>
    <w:rsid w:val="006B683C"/>
    <w:rsid w:val="006C58CB"/>
    <w:rsid w:val="006D69F0"/>
    <w:rsid w:val="006F17CD"/>
    <w:rsid w:val="006F3FE8"/>
    <w:rsid w:val="006F750C"/>
    <w:rsid w:val="0070260A"/>
    <w:rsid w:val="00710460"/>
    <w:rsid w:val="0073282D"/>
    <w:rsid w:val="00736886"/>
    <w:rsid w:val="007578DA"/>
    <w:rsid w:val="00762A43"/>
    <w:rsid w:val="007642D5"/>
    <w:rsid w:val="00764528"/>
    <w:rsid w:val="007677C2"/>
    <w:rsid w:val="00774F0C"/>
    <w:rsid w:val="00792CDE"/>
    <w:rsid w:val="00795EF8"/>
    <w:rsid w:val="007A5FD5"/>
    <w:rsid w:val="007B0CFB"/>
    <w:rsid w:val="007B2BDF"/>
    <w:rsid w:val="007C1D18"/>
    <w:rsid w:val="007C3289"/>
    <w:rsid w:val="007C537E"/>
    <w:rsid w:val="007D427C"/>
    <w:rsid w:val="0080348B"/>
    <w:rsid w:val="00805686"/>
    <w:rsid w:val="008101D3"/>
    <w:rsid w:val="00811F76"/>
    <w:rsid w:val="00824B3F"/>
    <w:rsid w:val="008609FA"/>
    <w:rsid w:val="0086137A"/>
    <w:rsid w:val="00864F75"/>
    <w:rsid w:val="0087018D"/>
    <w:rsid w:val="00873A10"/>
    <w:rsid w:val="00874A81"/>
    <w:rsid w:val="00877F1B"/>
    <w:rsid w:val="008867D7"/>
    <w:rsid w:val="0089670A"/>
    <w:rsid w:val="008C6873"/>
    <w:rsid w:val="008E2387"/>
    <w:rsid w:val="008F1CAE"/>
    <w:rsid w:val="008F514A"/>
    <w:rsid w:val="00912128"/>
    <w:rsid w:val="00912AE1"/>
    <w:rsid w:val="00914F70"/>
    <w:rsid w:val="0093501D"/>
    <w:rsid w:val="00940586"/>
    <w:rsid w:val="009429F0"/>
    <w:rsid w:val="00952B10"/>
    <w:rsid w:val="00956FA5"/>
    <w:rsid w:val="00960599"/>
    <w:rsid w:val="00961FA0"/>
    <w:rsid w:val="00983EAB"/>
    <w:rsid w:val="009A06D0"/>
    <w:rsid w:val="009A1AC1"/>
    <w:rsid w:val="009A2918"/>
    <w:rsid w:val="009A6F2D"/>
    <w:rsid w:val="009B2E2B"/>
    <w:rsid w:val="009C1085"/>
    <w:rsid w:val="009C286C"/>
    <w:rsid w:val="009C6C26"/>
    <w:rsid w:val="009C7799"/>
    <w:rsid w:val="009D0A1B"/>
    <w:rsid w:val="009D53E5"/>
    <w:rsid w:val="009F4C77"/>
    <w:rsid w:val="009F6544"/>
    <w:rsid w:val="00A04D79"/>
    <w:rsid w:val="00A13A12"/>
    <w:rsid w:val="00A211A7"/>
    <w:rsid w:val="00A27017"/>
    <w:rsid w:val="00A27CAB"/>
    <w:rsid w:val="00A3180D"/>
    <w:rsid w:val="00A35B87"/>
    <w:rsid w:val="00A36460"/>
    <w:rsid w:val="00A4112B"/>
    <w:rsid w:val="00A42994"/>
    <w:rsid w:val="00A44A8D"/>
    <w:rsid w:val="00A52411"/>
    <w:rsid w:val="00A776CE"/>
    <w:rsid w:val="00A82E83"/>
    <w:rsid w:val="00A912E0"/>
    <w:rsid w:val="00A96777"/>
    <w:rsid w:val="00AA34BA"/>
    <w:rsid w:val="00AB2B1D"/>
    <w:rsid w:val="00AB73F0"/>
    <w:rsid w:val="00AC1909"/>
    <w:rsid w:val="00AC2BA9"/>
    <w:rsid w:val="00AC36B1"/>
    <w:rsid w:val="00AD1343"/>
    <w:rsid w:val="00AE1227"/>
    <w:rsid w:val="00AF2EF2"/>
    <w:rsid w:val="00B0197B"/>
    <w:rsid w:val="00B0356B"/>
    <w:rsid w:val="00B15089"/>
    <w:rsid w:val="00B211C2"/>
    <w:rsid w:val="00B22477"/>
    <w:rsid w:val="00B25FEA"/>
    <w:rsid w:val="00B4297C"/>
    <w:rsid w:val="00B50A75"/>
    <w:rsid w:val="00B605A7"/>
    <w:rsid w:val="00B70969"/>
    <w:rsid w:val="00B73655"/>
    <w:rsid w:val="00B74D58"/>
    <w:rsid w:val="00B80C4C"/>
    <w:rsid w:val="00B9096A"/>
    <w:rsid w:val="00BA5E4A"/>
    <w:rsid w:val="00BC0EBE"/>
    <w:rsid w:val="00BC1A79"/>
    <w:rsid w:val="00BD172E"/>
    <w:rsid w:val="00BE2A8A"/>
    <w:rsid w:val="00C06425"/>
    <w:rsid w:val="00C06C19"/>
    <w:rsid w:val="00C12EF7"/>
    <w:rsid w:val="00C22197"/>
    <w:rsid w:val="00C3234E"/>
    <w:rsid w:val="00C35EFC"/>
    <w:rsid w:val="00C37989"/>
    <w:rsid w:val="00C37EAE"/>
    <w:rsid w:val="00C414E6"/>
    <w:rsid w:val="00C51527"/>
    <w:rsid w:val="00C539C0"/>
    <w:rsid w:val="00C70E20"/>
    <w:rsid w:val="00C8322E"/>
    <w:rsid w:val="00C85847"/>
    <w:rsid w:val="00C858E7"/>
    <w:rsid w:val="00C86366"/>
    <w:rsid w:val="00C96B35"/>
    <w:rsid w:val="00CA321B"/>
    <w:rsid w:val="00CB6A95"/>
    <w:rsid w:val="00CC0E6A"/>
    <w:rsid w:val="00CC214B"/>
    <w:rsid w:val="00CE03AE"/>
    <w:rsid w:val="00CE6537"/>
    <w:rsid w:val="00CF27A5"/>
    <w:rsid w:val="00D01CD6"/>
    <w:rsid w:val="00D062F0"/>
    <w:rsid w:val="00D2256B"/>
    <w:rsid w:val="00D34949"/>
    <w:rsid w:val="00D3585F"/>
    <w:rsid w:val="00D70498"/>
    <w:rsid w:val="00D73AE1"/>
    <w:rsid w:val="00D80DDD"/>
    <w:rsid w:val="00D83953"/>
    <w:rsid w:val="00D8563C"/>
    <w:rsid w:val="00D85CDB"/>
    <w:rsid w:val="00D9436A"/>
    <w:rsid w:val="00DA7C7F"/>
    <w:rsid w:val="00DC068D"/>
    <w:rsid w:val="00DC1C2D"/>
    <w:rsid w:val="00DD17FD"/>
    <w:rsid w:val="00DD60B6"/>
    <w:rsid w:val="00DE5F58"/>
    <w:rsid w:val="00DF2350"/>
    <w:rsid w:val="00DF7E1E"/>
    <w:rsid w:val="00E008AC"/>
    <w:rsid w:val="00E15785"/>
    <w:rsid w:val="00E47E78"/>
    <w:rsid w:val="00E52B46"/>
    <w:rsid w:val="00E746C7"/>
    <w:rsid w:val="00E81E7E"/>
    <w:rsid w:val="00EB3B43"/>
    <w:rsid w:val="00EC4405"/>
    <w:rsid w:val="00ED13C1"/>
    <w:rsid w:val="00ED750B"/>
    <w:rsid w:val="00EF524C"/>
    <w:rsid w:val="00EF62D2"/>
    <w:rsid w:val="00F407F6"/>
    <w:rsid w:val="00F43740"/>
    <w:rsid w:val="00F604A3"/>
    <w:rsid w:val="00F74ACD"/>
    <w:rsid w:val="00F74E5C"/>
    <w:rsid w:val="00F852F3"/>
    <w:rsid w:val="00F96D1A"/>
    <w:rsid w:val="00FA5DB9"/>
    <w:rsid w:val="00FC5BA6"/>
    <w:rsid w:val="00FC7FA3"/>
    <w:rsid w:val="00FE722B"/>
    <w:rsid w:val="00FF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6B1"/>
    <w:pPr>
      <w:ind w:left="720"/>
      <w:contextualSpacing/>
    </w:pPr>
  </w:style>
  <w:style w:type="character" w:styleId="Hyperlink">
    <w:name w:val="Hyperlink"/>
    <w:rsid w:val="0086137A"/>
    <w:rPr>
      <w:rFonts w:cs="Times New Roman"/>
      <w:color w:val="0000FF"/>
      <w:u w:val="single"/>
    </w:rPr>
  </w:style>
  <w:style w:type="paragraph" w:styleId="BalloonText">
    <w:name w:val="Balloon Text"/>
    <w:basedOn w:val="Normal"/>
    <w:link w:val="BalloonTextChar"/>
    <w:uiPriority w:val="99"/>
    <w:semiHidden/>
    <w:unhideWhenUsed/>
    <w:rsid w:val="00587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69A"/>
    <w:rPr>
      <w:rFonts w:ascii="Tahoma" w:hAnsi="Tahoma" w:cs="Tahoma"/>
      <w:sz w:val="16"/>
      <w:szCs w:val="16"/>
    </w:rPr>
  </w:style>
  <w:style w:type="paragraph" w:styleId="Header">
    <w:name w:val="header"/>
    <w:basedOn w:val="Normal"/>
    <w:link w:val="HeaderChar"/>
    <w:uiPriority w:val="99"/>
    <w:unhideWhenUsed/>
    <w:rsid w:val="0005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8B9"/>
  </w:style>
  <w:style w:type="paragraph" w:styleId="Footer">
    <w:name w:val="footer"/>
    <w:basedOn w:val="Normal"/>
    <w:link w:val="FooterChar"/>
    <w:uiPriority w:val="99"/>
    <w:unhideWhenUsed/>
    <w:rsid w:val="0005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6B1"/>
    <w:pPr>
      <w:ind w:left="720"/>
      <w:contextualSpacing/>
    </w:pPr>
  </w:style>
  <w:style w:type="character" w:styleId="Hyperlink">
    <w:name w:val="Hyperlink"/>
    <w:rsid w:val="0086137A"/>
    <w:rPr>
      <w:rFonts w:cs="Times New Roman"/>
      <w:color w:val="0000FF"/>
      <w:u w:val="single"/>
    </w:rPr>
  </w:style>
  <w:style w:type="paragraph" w:styleId="BalloonText">
    <w:name w:val="Balloon Text"/>
    <w:basedOn w:val="Normal"/>
    <w:link w:val="BalloonTextChar"/>
    <w:uiPriority w:val="99"/>
    <w:semiHidden/>
    <w:unhideWhenUsed/>
    <w:rsid w:val="00587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69A"/>
    <w:rPr>
      <w:rFonts w:ascii="Tahoma" w:hAnsi="Tahoma" w:cs="Tahoma"/>
      <w:sz w:val="16"/>
      <w:szCs w:val="16"/>
    </w:rPr>
  </w:style>
  <w:style w:type="paragraph" w:styleId="Header">
    <w:name w:val="header"/>
    <w:basedOn w:val="Normal"/>
    <w:link w:val="HeaderChar"/>
    <w:uiPriority w:val="99"/>
    <w:unhideWhenUsed/>
    <w:rsid w:val="0005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8B9"/>
  </w:style>
  <w:style w:type="paragraph" w:styleId="Footer">
    <w:name w:val="footer"/>
    <w:basedOn w:val="Normal"/>
    <w:link w:val="FooterChar"/>
    <w:uiPriority w:val="99"/>
    <w:unhideWhenUsed/>
    <w:rsid w:val="0005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ns.gov.uk/ons/dcp171776_265016.pdf" TargetMode="External"/><Relationship Id="rId4" Type="http://schemas.microsoft.com/office/2007/relationships/stylesWithEffects" Target="stylesWithEffects.xml"/><Relationship Id="rId9" Type="http://schemas.openxmlformats.org/officeDocument/2006/relationships/hyperlink" Target="mailto:mbg@liv.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C5FF-A3AC-4CBC-8EAD-16ABBB18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5574</Words>
  <Characters>31775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Shiels, Christopher</dc:creator>
  <cp:lastModifiedBy>Gabbay, Mark</cp:lastModifiedBy>
  <cp:revision>2</cp:revision>
  <cp:lastPrinted>2016-05-02T12:47:00Z</cp:lastPrinted>
  <dcterms:created xsi:type="dcterms:W3CDTF">2016-07-03T12:25:00Z</dcterms:created>
  <dcterms:modified xsi:type="dcterms:W3CDTF">2016-07-03T12:25:00Z</dcterms:modified>
</cp:coreProperties>
</file>