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61B40" w14:textId="30268427" w:rsidR="00785F9A" w:rsidRPr="006F151D" w:rsidRDefault="007F57A8" w:rsidP="00A37060">
      <w:pPr>
        <w:shd w:val="clear" w:color="auto" w:fill="FFFFFF"/>
        <w:spacing w:after="0" w:line="240" w:lineRule="auto"/>
        <w:rPr>
          <w:rFonts w:ascii="Arial" w:eastAsia="Times New Roman" w:hAnsi="Arial" w:cs="Arial"/>
          <w:b/>
          <w:sz w:val="29"/>
          <w:szCs w:val="29"/>
          <w:lang w:eastAsia="en-GB"/>
        </w:rPr>
      </w:pPr>
      <w:r w:rsidRPr="001C0C6C">
        <w:rPr>
          <w:rFonts w:ascii="Arial" w:eastAsia="Times New Roman" w:hAnsi="Arial" w:cs="Arial"/>
          <w:b/>
          <w:sz w:val="29"/>
          <w:szCs w:val="29"/>
          <w:lang w:eastAsia="en-GB"/>
        </w:rPr>
        <w:t>Title:</w:t>
      </w:r>
      <w:r>
        <w:rPr>
          <w:rFonts w:ascii="Arial" w:eastAsia="Times New Roman" w:hAnsi="Arial" w:cs="Arial"/>
          <w:b/>
          <w:sz w:val="29"/>
          <w:szCs w:val="29"/>
          <w:lang w:eastAsia="en-GB"/>
        </w:rPr>
        <w:t xml:space="preserve"> </w:t>
      </w:r>
      <w:r w:rsidR="00A37060" w:rsidRPr="006F151D">
        <w:rPr>
          <w:rFonts w:ascii="Arial" w:eastAsia="Times New Roman" w:hAnsi="Arial" w:cs="Arial"/>
          <w:b/>
          <w:sz w:val="29"/>
          <w:szCs w:val="29"/>
          <w:lang w:eastAsia="en-GB"/>
        </w:rPr>
        <w:t>Two cheers for a Small Giant</w:t>
      </w:r>
      <w:r w:rsidR="00D30134">
        <w:rPr>
          <w:rFonts w:ascii="Arial" w:eastAsia="Times New Roman" w:hAnsi="Arial" w:cs="Arial"/>
          <w:b/>
          <w:sz w:val="29"/>
          <w:szCs w:val="29"/>
          <w:lang w:eastAsia="en-GB"/>
        </w:rPr>
        <w:t>? W</w:t>
      </w:r>
      <w:r w:rsidR="00491687">
        <w:rPr>
          <w:rFonts w:ascii="Arial" w:eastAsia="Times New Roman" w:hAnsi="Arial" w:cs="Arial"/>
          <w:b/>
          <w:sz w:val="29"/>
          <w:szCs w:val="29"/>
          <w:lang w:eastAsia="en-GB"/>
        </w:rPr>
        <w:t>hy we need better ways of seeing data</w:t>
      </w:r>
      <w:r w:rsidR="001943A5">
        <w:rPr>
          <w:rFonts w:ascii="Arial" w:eastAsia="Times New Roman" w:hAnsi="Arial" w:cs="Arial"/>
          <w:b/>
          <w:sz w:val="29"/>
          <w:szCs w:val="29"/>
          <w:lang w:eastAsia="en-GB"/>
        </w:rPr>
        <w:t xml:space="preserve">. </w:t>
      </w:r>
      <w:r w:rsidR="008D4474">
        <w:rPr>
          <w:rFonts w:ascii="Arial" w:eastAsia="Times New Roman" w:hAnsi="Arial" w:cs="Arial"/>
          <w:b/>
          <w:sz w:val="29"/>
          <w:szCs w:val="29"/>
          <w:lang w:eastAsia="en-GB"/>
        </w:rPr>
        <w:t>A</w:t>
      </w:r>
      <w:r w:rsidR="00785F9A">
        <w:rPr>
          <w:rFonts w:ascii="Arial" w:eastAsia="Times New Roman" w:hAnsi="Arial" w:cs="Arial"/>
          <w:b/>
          <w:sz w:val="29"/>
          <w:szCs w:val="29"/>
          <w:lang w:eastAsia="en-GB"/>
        </w:rPr>
        <w:t xml:space="preserve"> c</w:t>
      </w:r>
      <w:r w:rsidR="00785F9A" w:rsidRPr="00785F9A">
        <w:rPr>
          <w:rFonts w:ascii="Arial" w:eastAsia="Times New Roman" w:hAnsi="Arial" w:cs="Arial"/>
          <w:b/>
          <w:sz w:val="29"/>
          <w:szCs w:val="29"/>
          <w:lang w:eastAsia="en-GB"/>
        </w:rPr>
        <w:t>ommentary</w:t>
      </w:r>
      <w:r w:rsidR="00785F9A">
        <w:rPr>
          <w:rFonts w:ascii="Arial" w:eastAsia="Times New Roman" w:hAnsi="Arial" w:cs="Arial"/>
          <w:b/>
          <w:sz w:val="29"/>
          <w:szCs w:val="29"/>
          <w:lang w:eastAsia="en-GB"/>
        </w:rPr>
        <w:t xml:space="preserve"> on</w:t>
      </w:r>
      <w:r w:rsidR="00785F9A" w:rsidRPr="00785F9A">
        <w:rPr>
          <w:rFonts w:ascii="Arial" w:eastAsia="Times New Roman" w:hAnsi="Arial" w:cs="Arial"/>
          <w:b/>
          <w:sz w:val="29"/>
          <w:szCs w:val="29"/>
          <w:lang w:eastAsia="en-GB"/>
        </w:rPr>
        <w:t>: ‘Rising morbidity and mortality in midlife among white non-Hispanic (WNH)</w:t>
      </w:r>
      <w:r w:rsidR="009C3681">
        <w:rPr>
          <w:rFonts w:ascii="Arial" w:eastAsia="Times New Roman" w:hAnsi="Arial" w:cs="Arial"/>
          <w:b/>
          <w:sz w:val="29"/>
          <w:szCs w:val="29"/>
          <w:lang w:eastAsia="en-GB"/>
        </w:rPr>
        <w:t xml:space="preserve"> Americans in the 21st century’</w:t>
      </w:r>
    </w:p>
    <w:p w14:paraId="437E393E" w14:textId="77777777" w:rsidR="00A37060" w:rsidRDefault="00A37060" w:rsidP="00A37060">
      <w:pPr>
        <w:shd w:val="clear" w:color="auto" w:fill="FFFFFF"/>
        <w:spacing w:after="0" w:line="240" w:lineRule="auto"/>
        <w:rPr>
          <w:rFonts w:ascii="Arial" w:eastAsia="Times New Roman" w:hAnsi="Arial" w:cs="Arial"/>
          <w:color w:val="FF0000"/>
          <w:sz w:val="29"/>
          <w:szCs w:val="29"/>
          <w:lang w:eastAsia="en-GB"/>
        </w:rPr>
      </w:pPr>
    </w:p>
    <w:p w14:paraId="090237F1" w14:textId="0EECD968" w:rsidR="007F57A8" w:rsidRPr="00E8529D" w:rsidRDefault="007F57A8" w:rsidP="00A37060">
      <w:pPr>
        <w:shd w:val="clear" w:color="auto" w:fill="FFFFFF"/>
        <w:spacing w:after="0" w:line="240" w:lineRule="auto"/>
        <w:rPr>
          <w:rFonts w:ascii="Arial" w:eastAsia="Times New Roman" w:hAnsi="Arial" w:cs="Arial"/>
          <w:sz w:val="29"/>
          <w:szCs w:val="29"/>
          <w:lang w:eastAsia="en-GB"/>
        </w:rPr>
      </w:pPr>
      <w:r w:rsidRPr="00E8529D">
        <w:rPr>
          <w:rFonts w:ascii="Arial" w:eastAsia="Times New Roman" w:hAnsi="Arial" w:cs="Arial"/>
          <w:b/>
          <w:sz w:val="29"/>
          <w:szCs w:val="29"/>
          <w:lang w:eastAsia="en-GB"/>
        </w:rPr>
        <w:t>Word count</w:t>
      </w:r>
      <w:r w:rsidRPr="00E8529D">
        <w:rPr>
          <w:rFonts w:ascii="Arial" w:eastAsia="Times New Roman" w:hAnsi="Arial" w:cs="Arial"/>
          <w:sz w:val="29"/>
          <w:szCs w:val="29"/>
          <w:lang w:eastAsia="en-GB"/>
        </w:rPr>
        <w:t>: 3309 excluding references (3579 total)</w:t>
      </w:r>
    </w:p>
    <w:p w14:paraId="3528BE8A" w14:textId="77777777" w:rsidR="007F57A8" w:rsidRPr="00E8529D" w:rsidRDefault="007F57A8" w:rsidP="00A37060">
      <w:pPr>
        <w:shd w:val="clear" w:color="auto" w:fill="FFFFFF"/>
        <w:spacing w:after="0" w:line="240" w:lineRule="auto"/>
        <w:rPr>
          <w:rFonts w:ascii="Arial" w:eastAsia="Times New Roman" w:hAnsi="Arial" w:cs="Arial"/>
          <w:sz w:val="29"/>
          <w:szCs w:val="29"/>
          <w:lang w:eastAsia="en-GB"/>
        </w:rPr>
      </w:pPr>
    </w:p>
    <w:p w14:paraId="26B90F02" w14:textId="7621DF84" w:rsidR="00BF4106" w:rsidRPr="00E8529D" w:rsidRDefault="007F57A8" w:rsidP="00E8529D">
      <w:pPr>
        <w:rPr>
          <w:rFonts w:ascii="Arial" w:eastAsia="Times New Roman" w:hAnsi="Arial" w:cs="Arial"/>
          <w:sz w:val="29"/>
          <w:szCs w:val="29"/>
          <w:lang w:eastAsia="en-GB"/>
        </w:rPr>
      </w:pPr>
      <w:r w:rsidRPr="00E8529D">
        <w:rPr>
          <w:rFonts w:ascii="Arial" w:eastAsia="Times New Roman" w:hAnsi="Arial" w:cs="Arial"/>
          <w:b/>
          <w:sz w:val="29"/>
          <w:szCs w:val="29"/>
          <w:lang w:eastAsia="en-GB"/>
        </w:rPr>
        <w:t>Acknowledgements</w:t>
      </w:r>
      <w:r w:rsidRPr="00E8529D">
        <w:rPr>
          <w:rFonts w:ascii="Arial" w:eastAsia="Times New Roman" w:hAnsi="Arial" w:cs="Arial"/>
          <w:sz w:val="29"/>
          <w:szCs w:val="29"/>
          <w:lang w:eastAsia="en-GB"/>
        </w:rPr>
        <w:t>: We would like to thank Frank Popham for helpful comments and suggestions. Funding: RS is funded by the Medical Research Council, UK [MR/K025023/1]; JM is funded by the Economic &amp; Social Re</w:t>
      </w:r>
      <w:bookmarkStart w:id="0" w:name="_GoBack"/>
      <w:bookmarkEnd w:id="0"/>
      <w:r w:rsidRPr="00E8529D">
        <w:rPr>
          <w:rFonts w:ascii="Arial" w:eastAsia="Times New Roman" w:hAnsi="Arial" w:cs="Arial"/>
          <w:sz w:val="29"/>
          <w:szCs w:val="29"/>
          <w:lang w:eastAsia="en-GB"/>
        </w:rPr>
        <w:t>search Council [ES/K006460/1]; GM has received no specific funding related to this work and is an employee of NHS Scotland; KP has received no specific funding related to this work; LV has received no specific funding related to this work</w:t>
      </w:r>
      <w:r w:rsidR="00897644">
        <w:rPr>
          <w:rFonts w:ascii="Arial" w:eastAsia="Times New Roman" w:hAnsi="Arial" w:cs="Arial"/>
          <w:sz w:val="29"/>
          <w:szCs w:val="29"/>
          <w:lang w:eastAsia="en-GB"/>
        </w:rPr>
        <w:t xml:space="preserve">; MG </w:t>
      </w:r>
      <w:r w:rsidR="00897644" w:rsidRPr="00E8529D">
        <w:rPr>
          <w:rFonts w:ascii="Arial" w:eastAsia="Times New Roman" w:hAnsi="Arial" w:cs="Arial"/>
          <w:sz w:val="29"/>
          <w:szCs w:val="29"/>
          <w:lang w:eastAsia="en-GB"/>
        </w:rPr>
        <w:t>has received no specific funding related to this work</w:t>
      </w:r>
      <w:r w:rsidRPr="00E8529D">
        <w:rPr>
          <w:rFonts w:ascii="Arial" w:eastAsia="Times New Roman" w:hAnsi="Arial" w:cs="Arial"/>
          <w:sz w:val="29"/>
          <w:szCs w:val="29"/>
          <w:lang w:eastAsia="en-GB"/>
        </w:rPr>
        <w:t xml:space="preserve">.  </w:t>
      </w:r>
      <w:r w:rsidR="00BF4106" w:rsidRPr="00E8529D">
        <w:rPr>
          <w:rFonts w:ascii="Arial" w:eastAsia="Times New Roman" w:hAnsi="Arial" w:cs="Arial"/>
          <w:sz w:val="29"/>
          <w:szCs w:val="29"/>
          <w:lang w:eastAsia="en-GB"/>
        </w:rPr>
        <w:t xml:space="preserve">Conflicts of interest statement: The authors of this commentary certify that they have no </w:t>
      </w:r>
      <w:r w:rsidR="009939AB" w:rsidRPr="009939AB">
        <w:rPr>
          <w:rFonts w:ascii="Arial" w:eastAsia="Times New Roman" w:hAnsi="Arial" w:cs="Arial"/>
          <w:sz w:val="29"/>
          <w:szCs w:val="29"/>
          <w:lang w:eastAsia="en-GB"/>
        </w:rPr>
        <w:t>affiliations</w:t>
      </w:r>
      <w:r w:rsidR="00BF4106" w:rsidRPr="00E8529D">
        <w:rPr>
          <w:rFonts w:ascii="Arial" w:eastAsia="Times New Roman" w:hAnsi="Arial" w:cs="Arial"/>
          <w:sz w:val="29"/>
          <w:szCs w:val="29"/>
          <w:lang w:eastAsia="en-GB"/>
        </w:rPr>
        <w:t xml:space="preserve"> with or involvement in any organisation or entity with any financial interest or non-financial interest in the subject matter or material discussed in this manuscript.</w:t>
      </w:r>
    </w:p>
    <w:p w14:paraId="2F5D3410" w14:textId="39153789" w:rsidR="007F57A8" w:rsidRPr="00E8529D" w:rsidRDefault="0054106B" w:rsidP="00E8529D">
      <w:pPr>
        <w:rPr>
          <w:rFonts w:ascii="Arial" w:eastAsia="Times New Roman" w:hAnsi="Arial" w:cs="Arial"/>
          <w:sz w:val="29"/>
          <w:szCs w:val="29"/>
          <w:lang w:eastAsia="en-GB"/>
        </w:rPr>
      </w:pPr>
      <w:r w:rsidRPr="00D52B4F">
        <w:rPr>
          <w:rFonts w:ascii="Arial" w:eastAsia="Times New Roman" w:hAnsi="Arial" w:cs="Arial"/>
          <w:b/>
          <w:sz w:val="29"/>
          <w:szCs w:val="29"/>
          <w:lang w:eastAsia="en-GB"/>
        </w:rPr>
        <w:t>Lead author statement</w:t>
      </w:r>
      <w:r w:rsidRPr="00E8529D">
        <w:rPr>
          <w:rFonts w:ascii="Arial" w:eastAsia="Times New Roman" w:hAnsi="Arial" w:cs="Arial"/>
          <w:sz w:val="29"/>
          <w:szCs w:val="29"/>
          <w:lang w:eastAsia="en-GB"/>
        </w:rPr>
        <w:t xml:space="preserve">: the references have been checked for accuracy and completeness. </w:t>
      </w:r>
      <w:r w:rsidR="00BF4106" w:rsidRPr="00E8529D">
        <w:rPr>
          <w:rFonts w:ascii="Arial" w:eastAsia="Times New Roman" w:hAnsi="Arial" w:cs="Arial"/>
          <w:sz w:val="29"/>
          <w:szCs w:val="29"/>
          <w:lang w:eastAsia="en-GB"/>
        </w:rPr>
        <w:t xml:space="preserve"> </w:t>
      </w:r>
    </w:p>
    <w:p w14:paraId="7B112E65" w14:textId="77777777" w:rsidR="009939AB" w:rsidRDefault="009939AB">
      <w:pPr>
        <w:rPr>
          <w:rFonts w:asciiTheme="majorHAnsi" w:eastAsiaTheme="majorEastAsia" w:hAnsiTheme="majorHAnsi" w:cstheme="majorBidi"/>
          <w:color w:val="2E74B5" w:themeColor="accent1" w:themeShade="BF"/>
          <w:sz w:val="32"/>
          <w:szCs w:val="32"/>
          <w:lang w:eastAsia="en-GB"/>
        </w:rPr>
      </w:pPr>
      <w:r>
        <w:rPr>
          <w:lang w:eastAsia="en-GB"/>
        </w:rPr>
        <w:br w:type="page"/>
      </w:r>
    </w:p>
    <w:p w14:paraId="206873D5" w14:textId="5C351270" w:rsidR="003F51A6" w:rsidRDefault="003F51A6" w:rsidP="00C23509">
      <w:pPr>
        <w:pStyle w:val="Heading1"/>
        <w:rPr>
          <w:lang w:eastAsia="en-GB"/>
        </w:rPr>
      </w:pPr>
      <w:r>
        <w:rPr>
          <w:lang w:eastAsia="en-GB"/>
        </w:rPr>
        <w:lastRenderedPageBreak/>
        <w:t>Introduction</w:t>
      </w:r>
    </w:p>
    <w:p w14:paraId="62306EFE" w14:textId="77777777" w:rsidR="003F51A6" w:rsidRDefault="003F51A6" w:rsidP="00252A2C">
      <w:pPr>
        <w:shd w:val="clear" w:color="auto" w:fill="FFFFFF"/>
        <w:spacing w:after="0" w:line="240" w:lineRule="auto"/>
        <w:rPr>
          <w:rFonts w:ascii="Arial" w:eastAsia="Times New Roman" w:hAnsi="Arial" w:cs="Arial"/>
          <w:sz w:val="29"/>
          <w:szCs w:val="29"/>
          <w:lang w:eastAsia="en-GB"/>
        </w:rPr>
      </w:pPr>
    </w:p>
    <w:p w14:paraId="5C66D384" w14:textId="1ED8A1CF" w:rsidR="00252A2C" w:rsidRDefault="00252A2C" w:rsidP="00252A2C">
      <w:pPr>
        <w:shd w:val="clear" w:color="auto" w:fill="FFFFFF"/>
        <w:spacing w:after="0" w:line="240" w:lineRule="auto"/>
        <w:rPr>
          <w:rFonts w:ascii="Arial" w:eastAsia="Times New Roman" w:hAnsi="Arial" w:cs="Arial"/>
          <w:sz w:val="29"/>
          <w:szCs w:val="29"/>
          <w:lang w:eastAsia="en-GB"/>
        </w:rPr>
      </w:pPr>
      <w:r w:rsidRPr="009D28F2">
        <w:rPr>
          <w:rFonts w:ascii="Arial" w:eastAsia="Times New Roman" w:hAnsi="Arial" w:cs="Arial"/>
          <w:sz w:val="29"/>
          <w:szCs w:val="29"/>
          <w:lang w:eastAsia="en-GB"/>
        </w:rPr>
        <w:t xml:space="preserve">A recent </w:t>
      </w:r>
      <w:r w:rsidR="00557306">
        <w:rPr>
          <w:rFonts w:ascii="Arial" w:eastAsia="Times New Roman" w:hAnsi="Arial" w:cs="Arial"/>
          <w:sz w:val="29"/>
          <w:szCs w:val="29"/>
          <w:lang w:eastAsia="en-GB"/>
        </w:rPr>
        <w:t>Proceedings of the National Academy of Sciences (</w:t>
      </w:r>
      <w:r w:rsidRPr="009D28F2">
        <w:rPr>
          <w:rFonts w:ascii="Arial" w:eastAsia="Times New Roman" w:hAnsi="Arial" w:cs="Arial"/>
          <w:sz w:val="29"/>
          <w:szCs w:val="29"/>
          <w:lang w:eastAsia="en-GB"/>
        </w:rPr>
        <w:t>PNAS</w:t>
      </w:r>
      <w:r w:rsidR="00557306">
        <w:rPr>
          <w:rFonts w:ascii="Arial" w:eastAsia="Times New Roman" w:hAnsi="Arial" w:cs="Arial"/>
          <w:sz w:val="29"/>
          <w:szCs w:val="29"/>
          <w:lang w:eastAsia="en-GB"/>
        </w:rPr>
        <w:t>)</w:t>
      </w:r>
      <w:r w:rsidRPr="009D28F2">
        <w:rPr>
          <w:rFonts w:ascii="Arial" w:eastAsia="Times New Roman" w:hAnsi="Arial" w:cs="Arial"/>
          <w:sz w:val="29"/>
          <w:szCs w:val="29"/>
          <w:lang w:eastAsia="en-GB"/>
        </w:rPr>
        <w:t xml:space="preserve"> article by Case and Deaton generated a lot of attention outside the journal’s usual readership.</w:t>
      </w:r>
      <w:r w:rsidR="00BF4106" w:rsidRPr="00E8529D">
        <w:rPr>
          <w:rFonts w:ascii="Arial" w:eastAsia="Times New Roman" w:hAnsi="Arial" w:cs="Arial"/>
          <w:sz w:val="29"/>
          <w:szCs w:val="29"/>
          <w:vertAlign w:val="superscript"/>
          <w:lang w:eastAsia="en-GB"/>
        </w:rPr>
        <w:t>1</w:t>
      </w:r>
      <w:r w:rsidRPr="009D28F2">
        <w:rPr>
          <w:rFonts w:ascii="Arial" w:eastAsia="Times New Roman" w:hAnsi="Arial" w:cs="Arial"/>
          <w:sz w:val="29"/>
          <w:szCs w:val="29"/>
          <w:lang w:eastAsia="en-GB"/>
        </w:rPr>
        <w:t xml:space="preserve"> According to the social media tracker website Altmetric, </w:t>
      </w:r>
      <w:r w:rsidR="00BF4106">
        <w:rPr>
          <w:rFonts w:ascii="Arial" w:eastAsia="Times New Roman" w:hAnsi="Arial" w:cs="Arial"/>
          <w:sz w:val="29"/>
          <w:szCs w:val="29"/>
          <w:lang w:eastAsia="en-GB"/>
        </w:rPr>
        <w:t xml:space="preserve">by 30 December 2015 </w:t>
      </w:r>
      <w:r w:rsidRPr="009D28F2">
        <w:rPr>
          <w:rFonts w:ascii="Arial" w:eastAsia="Times New Roman" w:hAnsi="Arial" w:cs="Arial"/>
          <w:sz w:val="29"/>
          <w:szCs w:val="29"/>
          <w:lang w:eastAsia="en-GB"/>
        </w:rPr>
        <w:t xml:space="preserve">the paper </w:t>
      </w:r>
      <w:r w:rsidR="00BF4106">
        <w:rPr>
          <w:rFonts w:ascii="Arial" w:eastAsia="Times New Roman" w:hAnsi="Arial" w:cs="Arial"/>
          <w:sz w:val="29"/>
          <w:szCs w:val="29"/>
          <w:lang w:eastAsia="en-GB"/>
        </w:rPr>
        <w:t>was</w:t>
      </w:r>
      <w:r w:rsidR="00BF4106" w:rsidRPr="009D28F2">
        <w:rPr>
          <w:rFonts w:ascii="Arial" w:eastAsia="Times New Roman" w:hAnsi="Arial" w:cs="Arial"/>
          <w:sz w:val="29"/>
          <w:szCs w:val="29"/>
          <w:lang w:eastAsia="en-GB"/>
        </w:rPr>
        <w:t xml:space="preserve"> </w:t>
      </w:r>
      <w:r w:rsidRPr="009D28F2">
        <w:rPr>
          <w:rFonts w:ascii="Arial" w:eastAsia="Times New Roman" w:hAnsi="Arial" w:cs="Arial"/>
          <w:sz w:val="29"/>
          <w:szCs w:val="29"/>
          <w:lang w:eastAsia="en-GB"/>
        </w:rPr>
        <w:t>picked up by 8</w:t>
      </w:r>
      <w:r w:rsidR="00BD7FC4">
        <w:rPr>
          <w:rFonts w:ascii="Arial" w:eastAsia="Times New Roman" w:hAnsi="Arial" w:cs="Arial"/>
          <w:sz w:val="29"/>
          <w:szCs w:val="29"/>
          <w:lang w:eastAsia="en-GB"/>
        </w:rPr>
        <w:t>4</w:t>
      </w:r>
      <w:r w:rsidRPr="009D28F2">
        <w:rPr>
          <w:rFonts w:ascii="Arial" w:eastAsia="Times New Roman" w:hAnsi="Arial" w:cs="Arial"/>
          <w:sz w:val="29"/>
          <w:szCs w:val="29"/>
          <w:lang w:eastAsia="en-GB"/>
        </w:rPr>
        <w:t xml:space="preserve"> news outlets, 42 blogs, and been tweeted around 600 times, </w:t>
      </w:r>
      <w:r w:rsidR="00BD7FC4">
        <w:rPr>
          <w:rFonts w:ascii="Arial" w:eastAsia="Times New Roman" w:hAnsi="Arial" w:cs="Arial"/>
          <w:sz w:val="29"/>
          <w:szCs w:val="29"/>
          <w:lang w:eastAsia="en-GB"/>
        </w:rPr>
        <w:t>all in around a month</w:t>
      </w:r>
      <w:r w:rsidRPr="009D28F2">
        <w:rPr>
          <w:rFonts w:ascii="Arial" w:eastAsia="Times New Roman" w:hAnsi="Arial" w:cs="Arial"/>
          <w:sz w:val="29"/>
          <w:szCs w:val="29"/>
          <w:lang w:eastAsia="en-GB"/>
        </w:rPr>
        <w:t xml:space="preserve">. Altmetric rates </w:t>
      </w:r>
      <w:r w:rsidR="00BF4106">
        <w:rPr>
          <w:rFonts w:ascii="Arial" w:eastAsia="Times New Roman" w:hAnsi="Arial" w:cs="Arial"/>
          <w:sz w:val="29"/>
          <w:szCs w:val="29"/>
          <w:lang w:eastAsia="en-GB"/>
        </w:rPr>
        <w:t xml:space="preserve">on that date placed </w:t>
      </w:r>
      <w:r w:rsidRPr="009D28F2">
        <w:rPr>
          <w:rFonts w:ascii="Arial" w:eastAsia="Times New Roman" w:hAnsi="Arial" w:cs="Arial"/>
          <w:sz w:val="29"/>
          <w:szCs w:val="29"/>
          <w:lang w:eastAsia="en-GB"/>
        </w:rPr>
        <w:t>it as the 11</w:t>
      </w:r>
      <w:r w:rsidRPr="009D28F2">
        <w:rPr>
          <w:rFonts w:ascii="Arial" w:eastAsia="Times New Roman" w:hAnsi="Arial" w:cs="Arial"/>
          <w:sz w:val="29"/>
          <w:szCs w:val="29"/>
          <w:vertAlign w:val="superscript"/>
          <w:lang w:eastAsia="en-GB"/>
        </w:rPr>
        <w:t>th</w:t>
      </w:r>
      <w:r w:rsidRPr="009D28F2">
        <w:rPr>
          <w:rFonts w:ascii="Arial" w:eastAsia="Times New Roman" w:hAnsi="Arial" w:cs="Arial"/>
          <w:sz w:val="29"/>
          <w:szCs w:val="29"/>
          <w:lang w:eastAsia="en-GB"/>
        </w:rPr>
        <w:t xml:space="preserve"> most impactful output of 37,873 PNAS items evaluated, placing it in the top 0.03% of all </w:t>
      </w:r>
      <w:r w:rsidR="009E0D82">
        <w:rPr>
          <w:rFonts w:ascii="Arial" w:eastAsia="Times New Roman" w:hAnsi="Arial" w:cs="Arial"/>
          <w:sz w:val="29"/>
          <w:szCs w:val="29"/>
          <w:lang w:eastAsia="en-GB"/>
        </w:rPr>
        <w:t>papers published in</w:t>
      </w:r>
      <w:r w:rsidRPr="009D28F2">
        <w:rPr>
          <w:rFonts w:ascii="Arial" w:eastAsia="Times New Roman" w:hAnsi="Arial" w:cs="Arial"/>
          <w:sz w:val="29"/>
          <w:szCs w:val="29"/>
          <w:lang w:eastAsia="en-GB"/>
        </w:rPr>
        <w:t xml:space="preserve"> the journal. </w:t>
      </w:r>
    </w:p>
    <w:p w14:paraId="75A89035" w14:textId="77777777" w:rsidR="003F51A6" w:rsidRPr="009D28F2" w:rsidRDefault="003F51A6" w:rsidP="00252A2C">
      <w:pPr>
        <w:shd w:val="clear" w:color="auto" w:fill="FFFFFF"/>
        <w:spacing w:after="0" w:line="240" w:lineRule="auto"/>
        <w:rPr>
          <w:rFonts w:ascii="Arial" w:eastAsia="Times New Roman" w:hAnsi="Arial" w:cs="Arial"/>
          <w:sz w:val="29"/>
          <w:szCs w:val="29"/>
          <w:lang w:eastAsia="en-GB"/>
        </w:rPr>
      </w:pPr>
    </w:p>
    <w:p w14:paraId="6FCD608B" w14:textId="70E2056B" w:rsidR="00252A2C" w:rsidRDefault="00252A2C" w:rsidP="00252A2C">
      <w:pPr>
        <w:shd w:val="clear" w:color="auto" w:fill="FFFFFF"/>
        <w:spacing w:after="0" w:line="240" w:lineRule="auto"/>
        <w:rPr>
          <w:rFonts w:ascii="Arial" w:eastAsia="Times New Roman" w:hAnsi="Arial" w:cs="Arial"/>
          <w:sz w:val="29"/>
          <w:szCs w:val="29"/>
          <w:lang w:eastAsia="en-GB"/>
        </w:rPr>
      </w:pPr>
      <w:r w:rsidRPr="009D28F2">
        <w:rPr>
          <w:rFonts w:ascii="Arial" w:eastAsia="Times New Roman" w:hAnsi="Arial" w:cs="Arial"/>
          <w:sz w:val="29"/>
          <w:szCs w:val="29"/>
          <w:lang w:eastAsia="en-GB"/>
        </w:rPr>
        <w:t xml:space="preserve">The title </w:t>
      </w:r>
      <w:r w:rsidR="009E0D82">
        <w:rPr>
          <w:rFonts w:ascii="Arial" w:eastAsia="Times New Roman" w:hAnsi="Arial" w:cs="Arial"/>
          <w:sz w:val="29"/>
          <w:szCs w:val="29"/>
          <w:lang w:eastAsia="en-GB"/>
        </w:rPr>
        <w:t>(</w:t>
      </w:r>
      <w:r w:rsidRPr="009D28F2">
        <w:rPr>
          <w:rFonts w:ascii="Arial" w:eastAsia="Times New Roman" w:hAnsi="Arial" w:cs="Arial"/>
          <w:sz w:val="29"/>
          <w:szCs w:val="29"/>
          <w:lang w:eastAsia="en-GB"/>
        </w:rPr>
        <w:t>and abstract</w:t>
      </w:r>
      <w:r w:rsidR="009E0D82">
        <w:rPr>
          <w:rFonts w:ascii="Arial" w:eastAsia="Times New Roman" w:hAnsi="Arial" w:cs="Arial"/>
          <w:sz w:val="29"/>
          <w:szCs w:val="29"/>
          <w:lang w:eastAsia="en-GB"/>
        </w:rPr>
        <w:t>)</w:t>
      </w:r>
      <w:r w:rsidRPr="009D28F2">
        <w:rPr>
          <w:rFonts w:ascii="Arial" w:eastAsia="Times New Roman" w:hAnsi="Arial" w:cs="Arial"/>
          <w:sz w:val="29"/>
          <w:szCs w:val="29"/>
          <w:lang w:eastAsia="en-GB"/>
        </w:rPr>
        <w:t xml:space="preserve"> of the article, ‘</w:t>
      </w:r>
      <w:r w:rsidR="009E0D82">
        <w:rPr>
          <w:rFonts w:ascii="Arial" w:eastAsia="Times New Roman" w:hAnsi="Arial" w:cs="Arial"/>
          <w:sz w:val="29"/>
          <w:szCs w:val="29"/>
          <w:lang w:eastAsia="en-GB"/>
        </w:rPr>
        <w:t>R</w:t>
      </w:r>
      <w:r w:rsidRPr="009D28F2">
        <w:rPr>
          <w:rFonts w:ascii="Arial" w:eastAsia="Times New Roman" w:hAnsi="Arial" w:cs="Arial"/>
          <w:sz w:val="29"/>
          <w:szCs w:val="29"/>
          <w:lang w:eastAsia="en-GB"/>
        </w:rPr>
        <w:t>ising morbidity and mortality in midlife among white non-Hispanic</w:t>
      </w:r>
      <w:r w:rsidR="008670D1">
        <w:rPr>
          <w:rFonts w:ascii="Arial" w:eastAsia="Times New Roman" w:hAnsi="Arial" w:cs="Arial"/>
          <w:sz w:val="29"/>
          <w:szCs w:val="29"/>
          <w:lang w:eastAsia="en-GB"/>
        </w:rPr>
        <w:t xml:space="preserve"> </w:t>
      </w:r>
      <w:r w:rsidRPr="009D28F2">
        <w:rPr>
          <w:rFonts w:ascii="Arial" w:eastAsia="Times New Roman" w:hAnsi="Arial" w:cs="Arial"/>
          <w:sz w:val="29"/>
          <w:szCs w:val="29"/>
          <w:lang w:eastAsia="en-GB"/>
        </w:rPr>
        <w:t>Americans in the 21</w:t>
      </w:r>
      <w:r w:rsidRPr="009D28F2">
        <w:rPr>
          <w:rFonts w:ascii="Arial" w:eastAsia="Times New Roman" w:hAnsi="Arial" w:cs="Arial"/>
          <w:sz w:val="29"/>
          <w:szCs w:val="29"/>
          <w:vertAlign w:val="superscript"/>
          <w:lang w:eastAsia="en-GB"/>
        </w:rPr>
        <w:t>st</w:t>
      </w:r>
      <w:r w:rsidRPr="009D28F2">
        <w:rPr>
          <w:rFonts w:ascii="Arial" w:eastAsia="Times New Roman" w:hAnsi="Arial" w:cs="Arial"/>
          <w:sz w:val="29"/>
          <w:szCs w:val="29"/>
          <w:lang w:eastAsia="en-GB"/>
        </w:rPr>
        <w:t xml:space="preserve"> century’, were </w:t>
      </w:r>
      <w:r w:rsidR="009E0D82">
        <w:rPr>
          <w:rFonts w:ascii="Arial" w:eastAsia="Times New Roman" w:hAnsi="Arial" w:cs="Arial"/>
          <w:sz w:val="29"/>
          <w:szCs w:val="29"/>
          <w:lang w:eastAsia="en-GB"/>
        </w:rPr>
        <w:t>probably</w:t>
      </w:r>
      <w:r w:rsidR="009E0D82" w:rsidRPr="009D28F2">
        <w:rPr>
          <w:rFonts w:ascii="Arial" w:eastAsia="Times New Roman" w:hAnsi="Arial" w:cs="Arial"/>
          <w:sz w:val="29"/>
          <w:szCs w:val="29"/>
          <w:lang w:eastAsia="en-GB"/>
        </w:rPr>
        <w:t xml:space="preserve"> </w:t>
      </w:r>
      <w:r w:rsidRPr="009D28F2">
        <w:rPr>
          <w:rFonts w:ascii="Arial" w:eastAsia="Times New Roman" w:hAnsi="Arial" w:cs="Arial"/>
          <w:sz w:val="29"/>
          <w:szCs w:val="29"/>
          <w:lang w:eastAsia="en-GB"/>
        </w:rPr>
        <w:t xml:space="preserve">important factors in the mainstream media attention. Though it is perhaps </w:t>
      </w:r>
      <w:r w:rsidR="009E0D82">
        <w:rPr>
          <w:rFonts w:ascii="Arial" w:eastAsia="Times New Roman" w:hAnsi="Arial" w:cs="Arial"/>
          <w:sz w:val="29"/>
          <w:szCs w:val="29"/>
          <w:lang w:eastAsia="en-GB"/>
        </w:rPr>
        <w:t>not</w:t>
      </w:r>
      <w:r w:rsidR="009E0D82" w:rsidRPr="009D28F2">
        <w:rPr>
          <w:rFonts w:ascii="Arial" w:eastAsia="Times New Roman" w:hAnsi="Arial" w:cs="Arial"/>
          <w:sz w:val="29"/>
          <w:szCs w:val="29"/>
          <w:lang w:eastAsia="en-GB"/>
        </w:rPr>
        <w:t xml:space="preserve"> </w:t>
      </w:r>
      <w:r w:rsidRPr="009D28F2">
        <w:rPr>
          <w:rFonts w:ascii="Arial" w:eastAsia="Times New Roman" w:hAnsi="Arial" w:cs="Arial"/>
          <w:sz w:val="29"/>
          <w:szCs w:val="29"/>
          <w:lang w:eastAsia="en-GB"/>
        </w:rPr>
        <w:t>news that, in the United States, life has never been easy if you are African American, Hispanic, or a young adult, the finding that life</w:t>
      </w:r>
      <w:r w:rsidR="009E0D82">
        <w:rPr>
          <w:rFonts w:ascii="Arial" w:eastAsia="Times New Roman" w:hAnsi="Arial" w:cs="Arial"/>
          <w:sz w:val="29"/>
          <w:szCs w:val="29"/>
          <w:lang w:eastAsia="en-GB"/>
        </w:rPr>
        <w:t xml:space="preserve"> </w:t>
      </w:r>
      <w:r w:rsidRPr="009D28F2">
        <w:rPr>
          <w:rFonts w:ascii="Arial" w:eastAsia="Times New Roman" w:hAnsi="Arial" w:cs="Arial"/>
          <w:sz w:val="29"/>
          <w:szCs w:val="29"/>
          <w:lang w:eastAsia="en-GB"/>
        </w:rPr>
        <w:t xml:space="preserve">may not be so long for the </w:t>
      </w:r>
      <w:r w:rsidR="001943A5">
        <w:rPr>
          <w:rFonts w:ascii="Arial" w:eastAsia="Times New Roman" w:hAnsi="Arial" w:cs="Arial"/>
          <w:sz w:val="29"/>
          <w:szCs w:val="29"/>
          <w:lang w:eastAsia="en-GB"/>
        </w:rPr>
        <w:t>w</w:t>
      </w:r>
      <w:r w:rsidRPr="009D28F2">
        <w:rPr>
          <w:rFonts w:ascii="Arial" w:eastAsia="Times New Roman" w:hAnsi="Arial" w:cs="Arial"/>
          <w:sz w:val="29"/>
          <w:szCs w:val="29"/>
          <w:lang w:eastAsia="en-GB"/>
        </w:rPr>
        <w:t>hite and the middle-aged</w:t>
      </w:r>
      <w:r w:rsidR="009E0D82">
        <w:rPr>
          <w:rFonts w:ascii="Arial" w:eastAsia="Times New Roman" w:hAnsi="Arial" w:cs="Arial"/>
          <w:sz w:val="29"/>
          <w:szCs w:val="29"/>
          <w:lang w:eastAsia="en-GB"/>
        </w:rPr>
        <w:t xml:space="preserve"> </w:t>
      </w:r>
      <w:r w:rsidR="009E0D82" w:rsidRPr="009D28F2">
        <w:rPr>
          <w:rFonts w:ascii="Arial" w:eastAsia="Times New Roman" w:hAnsi="Arial" w:cs="Arial"/>
          <w:sz w:val="29"/>
          <w:szCs w:val="29"/>
          <w:lang w:eastAsia="en-GB"/>
        </w:rPr>
        <w:t>perhaps c</w:t>
      </w:r>
      <w:r w:rsidR="001943A5">
        <w:rPr>
          <w:rFonts w:ascii="Arial" w:eastAsia="Times New Roman" w:hAnsi="Arial" w:cs="Arial"/>
          <w:sz w:val="29"/>
          <w:szCs w:val="29"/>
          <w:lang w:eastAsia="en-GB"/>
        </w:rPr>
        <w:t>a</w:t>
      </w:r>
      <w:r w:rsidR="009E0D82" w:rsidRPr="009D28F2">
        <w:rPr>
          <w:rFonts w:ascii="Arial" w:eastAsia="Times New Roman" w:hAnsi="Arial" w:cs="Arial"/>
          <w:sz w:val="29"/>
          <w:szCs w:val="29"/>
          <w:lang w:eastAsia="en-GB"/>
        </w:rPr>
        <w:t>me as more of a surprise. The Washington Post called the findings ‘startling’, PBS called them ‘stunning’, and Al Jezeera America called them ‘devastating’.</w:t>
      </w:r>
      <w:r w:rsidRPr="009D28F2">
        <w:rPr>
          <w:rFonts w:ascii="Arial" w:eastAsia="Times New Roman" w:hAnsi="Arial" w:cs="Arial"/>
          <w:sz w:val="29"/>
          <w:szCs w:val="29"/>
          <w:lang w:eastAsia="en-GB"/>
        </w:rPr>
        <w:t xml:space="preserve"> </w:t>
      </w:r>
    </w:p>
    <w:p w14:paraId="4AC3A06F" w14:textId="77777777" w:rsidR="00785F9A" w:rsidRDefault="00785F9A" w:rsidP="00252A2C">
      <w:pPr>
        <w:shd w:val="clear" w:color="auto" w:fill="FFFFFF"/>
        <w:spacing w:after="0" w:line="240" w:lineRule="auto"/>
        <w:rPr>
          <w:rFonts w:ascii="Arial" w:eastAsia="Times New Roman" w:hAnsi="Arial" w:cs="Arial"/>
          <w:sz w:val="29"/>
          <w:szCs w:val="29"/>
          <w:lang w:eastAsia="en-GB"/>
        </w:rPr>
      </w:pPr>
    </w:p>
    <w:p w14:paraId="34FD9C6C" w14:textId="40797AEC" w:rsidR="009D28F2" w:rsidRDefault="009D28F2" w:rsidP="00252A2C">
      <w:pPr>
        <w:shd w:val="clear" w:color="auto" w:fill="FFFFFF"/>
        <w:spacing w:after="0" w:line="240" w:lineRule="auto"/>
        <w:rPr>
          <w:rFonts w:ascii="Arial" w:eastAsia="Times New Roman" w:hAnsi="Arial" w:cs="Arial"/>
          <w:sz w:val="29"/>
          <w:szCs w:val="29"/>
          <w:lang w:eastAsia="en-GB"/>
        </w:rPr>
      </w:pPr>
      <w:r>
        <w:rPr>
          <w:rFonts w:ascii="Arial" w:eastAsia="Times New Roman" w:hAnsi="Arial" w:cs="Arial"/>
          <w:sz w:val="29"/>
          <w:szCs w:val="29"/>
          <w:lang w:eastAsia="en-GB"/>
        </w:rPr>
        <w:t xml:space="preserve">In parallel with </w:t>
      </w:r>
      <w:r w:rsidR="009E0D82">
        <w:rPr>
          <w:rFonts w:ascii="Arial" w:eastAsia="Times New Roman" w:hAnsi="Arial" w:cs="Arial"/>
          <w:sz w:val="29"/>
          <w:szCs w:val="29"/>
          <w:lang w:eastAsia="en-GB"/>
        </w:rPr>
        <w:t>traditional</w:t>
      </w:r>
      <w:r>
        <w:rPr>
          <w:rFonts w:ascii="Arial" w:eastAsia="Times New Roman" w:hAnsi="Arial" w:cs="Arial"/>
          <w:sz w:val="29"/>
          <w:szCs w:val="29"/>
          <w:lang w:eastAsia="en-GB"/>
        </w:rPr>
        <w:t xml:space="preserve"> media, the paper also drew interest </w:t>
      </w:r>
      <w:r w:rsidR="009E0D82">
        <w:rPr>
          <w:rFonts w:ascii="Arial" w:eastAsia="Times New Roman" w:hAnsi="Arial" w:cs="Arial"/>
          <w:sz w:val="29"/>
          <w:szCs w:val="29"/>
          <w:lang w:eastAsia="en-GB"/>
        </w:rPr>
        <w:t xml:space="preserve">within </w:t>
      </w:r>
      <w:r>
        <w:rPr>
          <w:rFonts w:ascii="Arial" w:eastAsia="Times New Roman" w:hAnsi="Arial" w:cs="Arial"/>
          <w:sz w:val="29"/>
          <w:szCs w:val="29"/>
          <w:lang w:eastAsia="en-GB"/>
        </w:rPr>
        <w:t xml:space="preserve">the new media of Facebook and </w:t>
      </w:r>
      <w:r w:rsidR="009E0D82">
        <w:rPr>
          <w:rFonts w:ascii="Arial" w:eastAsia="Times New Roman" w:hAnsi="Arial" w:cs="Arial"/>
          <w:sz w:val="29"/>
          <w:szCs w:val="29"/>
          <w:lang w:eastAsia="en-GB"/>
        </w:rPr>
        <w:t>bloggers</w:t>
      </w:r>
      <w:r>
        <w:rPr>
          <w:rFonts w:ascii="Arial" w:eastAsia="Times New Roman" w:hAnsi="Arial" w:cs="Arial"/>
          <w:sz w:val="29"/>
          <w:szCs w:val="29"/>
          <w:lang w:eastAsia="en-GB"/>
        </w:rPr>
        <w:t xml:space="preserve">. </w:t>
      </w:r>
      <w:r w:rsidR="00B67A3C">
        <w:rPr>
          <w:rFonts w:ascii="Arial" w:eastAsia="Times New Roman" w:hAnsi="Arial" w:cs="Arial"/>
          <w:sz w:val="29"/>
          <w:szCs w:val="29"/>
          <w:lang w:eastAsia="en-GB"/>
        </w:rPr>
        <w:t>And it was from the new media rather than the old, and in particular from the personal blog</w:t>
      </w:r>
      <w:r w:rsidR="00217475">
        <w:rPr>
          <w:rFonts w:ascii="Arial" w:eastAsia="Times New Roman" w:hAnsi="Arial" w:cs="Arial"/>
          <w:sz w:val="29"/>
          <w:szCs w:val="29"/>
          <w:lang w:eastAsia="en-GB"/>
        </w:rPr>
        <w:t xml:space="preserve"> </w:t>
      </w:r>
      <w:r w:rsidR="00B67A3C">
        <w:rPr>
          <w:rFonts w:ascii="Arial" w:eastAsia="Times New Roman" w:hAnsi="Arial" w:cs="Arial"/>
          <w:sz w:val="29"/>
          <w:szCs w:val="29"/>
          <w:lang w:eastAsia="en-GB"/>
        </w:rPr>
        <w:t>of statistician Andrew Gelman,</w:t>
      </w:r>
      <w:r w:rsidR="00BF4106" w:rsidRPr="00E142FC">
        <w:rPr>
          <w:rFonts w:ascii="Arial" w:eastAsia="Times New Roman" w:hAnsi="Arial" w:cs="Arial"/>
          <w:sz w:val="28"/>
          <w:szCs w:val="29"/>
          <w:vertAlign w:val="superscript"/>
          <w:lang w:eastAsia="en-GB"/>
        </w:rPr>
        <w:t>2</w:t>
      </w:r>
      <w:r w:rsidR="00B67A3C">
        <w:rPr>
          <w:rFonts w:ascii="Arial" w:eastAsia="Times New Roman" w:hAnsi="Arial" w:cs="Arial"/>
          <w:sz w:val="29"/>
          <w:szCs w:val="29"/>
          <w:lang w:eastAsia="en-GB"/>
        </w:rPr>
        <w:t xml:space="preserve"> that some of the most insightful commentaries and critiques of the paper emerged. </w:t>
      </w:r>
    </w:p>
    <w:p w14:paraId="5EB1371D" w14:textId="77777777" w:rsidR="003F51A6" w:rsidRDefault="003F51A6" w:rsidP="00252A2C">
      <w:pPr>
        <w:shd w:val="clear" w:color="auto" w:fill="FFFFFF"/>
        <w:spacing w:after="0" w:line="240" w:lineRule="auto"/>
        <w:rPr>
          <w:rFonts w:ascii="Arial" w:eastAsia="Times New Roman" w:hAnsi="Arial" w:cs="Arial"/>
          <w:sz w:val="29"/>
          <w:szCs w:val="29"/>
          <w:lang w:eastAsia="en-GB"/>
        </w:rPr>
      </w:pPr>
    </w:p>
    <w:p w14:paraId="7BFAAB7B" w14:textId="273CAD90" w:rsidR="003F51A6" w:rsidRDefault="003F51A6" w:rsidP="00C23509">
      <w:pPr>
        <w:pStyle w:val="Heading1"/>
        <w:rPr>
          <w:lang w:eastAsia="en-GB"/>
        </w:rPr>
      </w:pPr>
      <w:r>
        <w:rPr>
          <w:lang w:eastAsia="en-GB"/>
        </w:rPr>
        <w:t>Blogging and the sunlight of statistical scrutiny</w:t>
      </w:r>
    </w:p>
    <w:p w14:paraId="5A9189B0" w14:textId="77777777" w:rsidR="003F51A6" w:rsidRDefault="003F51A6" w:rsidP="00252A2C">
      <w:pPr>
        <w:shd w:val="clear" w:color="auto" w:fill="FFFFFF"/>
        <w:spacing w:after="0" w:line="240" w:lineRule="auto"/>
        <w:rPr>
          <w:rFonts w:ascii="Arial" w:eastAsia="Times New Roman" w:hAnsi="Arial" w:cs="Arial"/>
          <w:sz w:val="29"/>
          <w:szCs w:val="29"/>
          <w:lang w:eastAsia="en-GB"/>
        </w:rPr>
      </w:pPr>
    </w:p>
    <w:p w14:paraId="0066B2AE" w14:textId="2DDD8746" w:rsidR="00B67A3C" w:rsidRDefault="00B67A3C" w:rsidP="00252A2C">
      <w:pPr>
        <w:shd w:val="clear" w:color="auto" w:fill="FFFFFF"/>
        <w:spacing w:after="0" w:line="240" w:lineRule="auto"/>
        <w:rPr>
          <w:rFonts w:ascii="Arial" w:eastAsia="Times New Roman" w:hAnsi="Arial" w:cs="Arial"/>
          <w:sz w:val="29"/>
          <w:szCs w:val="29"/>
          <w:lang w:eastAsia="en-GB"/>
        </w:rPr>
      </w:pPr>
      <w:r>
        <w:rPr>
          <w:rFonts w:ascii="Arial" w:eastAsia="Times New Roman" w:hAnsi="Arial" w:cs="Arial"/>
          <w:sz w:val="29"/>
          <w:szCs w:val="29"/>
          <w:lang w:eastAsia="en-GB"/>
        </w:rPr>
        <w:t xml:space="preserve">In a series of </w:t>
      </w:r>
      <w:r w:rsidR="00672B08">
        <w:rPr>
          <w:rFonts w:ascii="Arial" w:eastAsia="Times New Roman" w:hAnsi="Arial" w:cs="Arial"/>
          <w:sz w:val="29"/>
          <w:szCs w:val="29"/>
          <w:lang w:eastAsia="en-GB"/>
        </w:rPr>
        <w:t>seven blog posts, published between 6 and 18 November 2015, Gelman shone an increasingly sharp light, narrowing from a f</w:t>
      </w:r>
      <w:r w:rsidR="00C118D6">
        <w:rPr>
          <w:rFonts w:ascii="Arial" w:eastAsia="Times New Roman" w:hAnsi="Arial" w:cs="Arial"/>
          <w:sz w:val="29"/>
          <w:szCs w:val="29"/>
          <w:lang w:eastAsia="en-GB"/>
        </w:rPr>
        <w:t>lashlight to a laser, on</w:t>
      </w:r>
      <w:r w:rsidR="00785F9A">
        <w:rPr>
          <w:rFonts w:ascii="Arial" w:eastAsia="Times New Roman" w:hAnsi="Arial" w:cs="Arial"/>
          <w:sz w:val="29"/>
          <w:szCs w:val="29"/>
          <w:lang w:eastAsia="en-GB"/>
        </w:rPr>
        <w:t xml:space="preserve"> the </w:t>
      </w:r>
      <w:r w:rsidR="00672B08">
        <w:rPr>
          <w:rFonts w:ascii="Arial" w:eastAsia="Times New Roman" w:hAnsi="Arial" w:cs="Arial"/>
          <w:sz w:val="29"/>
          <w:szCs w:val="29"/>
          <w:lang w:eastAsia="en-GB"/>
        </w:rPr>
        <w:t>methods, findings and claims</w:t>
      </w:r>
      <w:r w:rsidR="00785F9A">
        <w:rPr>
          <w:rFonts w:ascii="Arial" w:eastAsia="Times New Roman" w:hAnsi="Arial" w:cs="Arial"/>
          <w:sz w:val="29"/>
          <w:szCs w:val="29"/>
          <w:lang w:eastAsia="en-GB"/>
        </w:rPr>
        <w:t xml:space="preserve"> made by Case &amp; Deaton</w:t>
      </w:r>
      <w:r w:rsidR="00672B08">
        <w:rPr>
          <w:rFonts w:ascii="Arial" w:eastAsia="Times New Roman" w:hAnsi="Arial" w:cs="Arial"/>
          <w:sz w:val="29"/>
          <w:szCs w:val="29"/>
          <w:lang w:eastAsia="en-GB"/>
        </w:rPr>
        <w:t xml:space="preserve">. Responding quickly to comments and suggestions from </w:t>
      </w:r>
      <w:r w:rsidR="00A4540B">
        <w:rPr>
          <w:rFonts w:ascii="Arial" w:eastAsia="Times New Roman" w:hAnsi="Arial" w:cs="Arial"/>
          <w:sz w:val="29"/>
          <w:szCs w:val="29"/>
          <w:lang w:eastAsia="en-GB"/>
        </w:rPr>
        <w:t xml:space="preserve">other </w:t>
      </w:r>
      <w:r w:rsidR="00672B08">
        <w:rPr>
          <w:rFonts w:ascii="Arial" w:eastAsia="Times New Roman" w:hAnsi="Arial" w:cs="Arial"/>
          <w:sz w:val="29"/>
          <w:szCs w:val="29"/>
          <w:lang w:eastAsia="en-GB"/>
        </w:rPr>
        <w:t>bloggers, as well as initially helpful responses to queries from Case &amp; Deaton themselves, Gelman was able to carefully document, describe, and correct for a methodological flaw in Case &amp; Deaton’s paper</w:t>
      </w:r>
      <w:r w:rsidR="00A4540B">
        <w:rPr>
          <w:rFonts w:ascii="Arial" w:eastAsia="Times New Roman" w:hAnsi="Arial" w:cs="Arial"/>
          <w:sz w:val="29"/>
          <w:szCs w:val="29"/>
          <w:lang w:eastAsia="en-GB"/>
        </w:rPr>
        <w:t>. The flaw was</w:t>
      </w:r>
      <w:r w:rsidR="00672B08">
        <w:rPr>
          <w:rFonts w:ascii="Arial" w:eastAsia="Times New Roman" w:hAnsi="Arial" w:cs="Arial"/>
          <w:sz w:val="29"/>
          <w:szCs w:val="29"/>
          <w:lang w:eastAsia="en-GB"/>
        </w:rPr>
        <w:t xml:space="preserve"> severe enough to require one of the central claims of the paper to be modified, but simple enough that </w:t>
      </w:r>
      <w:r w:rsidR="00B5421C">
        <w:rPr>
          <w:rFonts w:ascii="Arial" w:eastAsia="Times New Roman" w:hAnsi="Arial" w:cs="Arial"/>
          <w:sz w:val="29"/>
          <w:szCs w:val="29"/>
          <w:lang w:eastAsia="en-GB"/>
        </w:rPr>
        <w:t xml:space="preserve">peer review and editorial </w:t>
      </w:r>
      <w:r w:rsidR="00A4540B">
        <w:rPr>
          <w:rFonts w:ascii="Arial" w:eastAsia="Times New Roman" w:hAnsi="Arial" w:cs="Arial"/>
          <w:sz w:val="29"/>
          <w:szCs w:val="29"/>
          <w:lang w:eastAsia="en-GB"/>
        </w:rPr>
        <w:t>oversight</w:t>
      </w:r>
      <w:r w:rsidR="00B5421C">
        <w:rPr>
          <w:rFonts w:ascii="Arial" w:eastAsia="Times New Roman" w:hAnsi="Arial" w:cs="Arial"/>
          <w:sz w:val="29"/>
          <w:szCs w:val="29"/>
          <w:lang w:eastAsia="en-GB"/>
        </w:rPr>
        <w:t xml:space="preserve"> ought to have </w:t>
      </w:r>
      <w:r w:rsidR="00A4540B">
        <w:rPr>
          <w:rFonts w:ascii="Arial" w:eastAsia="Times New Roman" w:hAnsi="Arial" w:cs="Arial"/>
          <w:sz w:val="29"/>
          <w:szCs w:val="29"/>
          <w:lang w:eastAsia="en-GB"/>
        </w:rPr>
        <w:t>caught the problem</w:t>
      </w:r>
      <w:r w:rsidR="00B5421C">
        <w:rPr>
          <w:rFonts w:ascii="Arial" w:eastAsia="Times New Roman" w:hAnsi="Arial" w:cs="Arial"/>
          <w:sz w:val="29"/>
          <w:szCs w:val="29"/>
          <w:lang w:eastAsia="en-GB"/>
        </w:rPr>
        <w:t xml:space="preserve"> earlier. </w:t>
      </w:r>
    </w:p>
    <w:p w14:paraId="4F9C4919" w14:textId="77777777" w:rsidR="003F51A6" w:rsidRDefault="003F51A6" w:rsidP="00252A2C">
      <w:pPr>
        <w:shd w:val="clear" w:color="auto" w:fill="FFFFFF"/>
        <w:spacing w:after="0" w:line="240" w:lineRule="auto"/>
        <w:rPr>
          <w:rFonts w:ascii="Arial" w:eastAsia="Times New Roman" w:hAnsi="Arial" w:cs="Arial"/>
          <w:sz w:val="29"/>
          <w:szCs w:val="29"/>
          <w:lang w:eastAsia="en-GB"/>
        </w:rPr>
      </w:pPr>
    </w:p>
    <w:p w14:paraId="7EE16FB6" w14:textId="71402909" w:rsidR="00B5421C" w:rsidRDefault="00B5421C" w:rsidP="00252A2C">
      <w:pPr>
        <w:shd w:val="clear" w:color="auto" w:fill="FFFFFF"/>
        <w:spacing w:after="0" w:line="240" w:lineRule="auto"/>
        <w:rPr>
          <w:rFonts w:ascii="Arial" w:eastAsia="Times New Roman" w:hAnsi="Arial" w:cs="Arial"/>
          <w:sz w:val="29"/>
          <w:szCs w:val="29"/>
          <w:lang w:eastAsia="en-GB"/>
        </w:rPr>
      </w:pPr>
      <w:r>
        <w:rPr>
          <w:rFonts w:ascii="Arial" w:eastAsia="Times New Roman" w:hAnsi="Arial" w:cs="Arial"/>
          <w:sz w:val="29"/>
          <w:szCs w:val="29"/>
          <w:lang w:eastAsia="en-GB"/>
        </w:rPr>
        <w:t>Central to the flaw identified by Gelman is aggregation bias: aggregating not just the death counts and population counts of males and females into a single population ‘pool’</w:t>
      </w:r>
      <w:r w:rsidR="007D6761">
        <w:rPr>
          <w:rFonts w:ascii="Arial" w:eastAsia="Times New Roman" w:hAnsi="Arial" w:cs="Arial"/>
          <w:sz w:val="29"/>
          <w:szCs w:val="29"/>
          <w:lang w:eastAsia="en-GB"/>
        </w:rPr>
        <w:t xml:space="preserve"> </w:t>
      </w:r>
      <w:r w:rsidR="00A4540B">
        <w:rPr>
          <w:rFonts w:ascii="Arial" w:eastAsia="Times New Roman" w:hAnsi="Arial" w:cs="Arial"/>
          <w:sz w:val="29"/>
          <w:szCs w:val="29"/>
          <w:lang w:eastAsia="en-GB"/>
        </w:rPr>
        <w:t>(</w:t>
      </w:r>
      <w:r>
        <w:rPr>
          <w:rFonts w:ascii="Arial" w:eastAsia="Times New Roman" w:hAnsi="Arial" w:cs="Arial"/>
          <w:sz w:val="29"/>
          <w:szCs w:val="29"/>
          <w:lang w:eastAsia="en-GB"/>
        </w:rPr>
        <w:t>even though males and females tend to have quite different mortality and morbidity profiles</w:t>
      </w:r>
      <w:r w:rsidR="00A4540B">
        <w:rPr>
          <w:rFonts w:ascii="Arial" w:eastAsia="Times New Roman" w:hAnsi="Arial" w:cs="Arial"/>
          <w:sz w:val="29"/>
          <w:szCs w:val="29"/>
          <w:lang w:eastAsia="en-GB"/>
        </w:rPr>
        <w:t>)</w:t>
      </w:r>
      <w:r>
        <w:rPr>
          <w:rFonts w:ascii="Arial" w:eastAsia="Times New Roman" w:hAnsi="Arial" w:cs="Arial"/>
          <w:sz w:val="29"/>
          <w:szCs w:val="29"/>
          <w:lang w:eastAsia="en-GB"/>
        </w:rPr>
        <w:t xml:space="preserve">, but also </w:t>
      </w:r>
      <w:r w:rsidR="00A4540B">
        <w:rPr>
          <w:rFonts w:ascii="Arial" w:eastAsia="Times New Roman" w:hAnsi="Arial" w:cs="Arial"/>
          <w:sz w:val="29"/>
          <w:szCs w:val="29"/>
          <w:lang w:eastAsia="en-GB"/>
        </w:rPr>
        <w:t xml:space="preserve">pooling </w:t>
      </w:r>
      <w:r>
        <w:rPr>
          <w:rFonts w:ascii="Arial" w:eastAsia="Times New Roman" w:hAnsi="Arial" w:cs="Arial"/>
          <w:sz w:val="29"/>
          <w:szCs w:val="29"/>
          <w:lang w:eastAsia="en-GB"/>
        </w:rPr>
        <w:t xml:space="preserve">all individuals within the age range 45-54 years of age. At each single year of age within this </w:t>
      </w:r>
      <w:r w:rsidR="00A4540B">
        <w:rPr>
          <w:rFonts w:ascii="Arial" w:eastAsia="Times New Roman" w:hAnsi="Arial" w:cs="Arial"/>
          <w:sz w:val="29"/>
          <w:szCs w:val="29"/>
          <w:lang w:eastAsia="en-GB"/>
        </w:rPr>
        <w:t xml:space="preserve">10 year </w:t>
      </w:r>
      <w:r>
        <w:rPr>
          <w:rFonts w:ascii="Arial" w:eastAsia="Times New Roman" w:hAnsi="Arial" w:cs="Arial"/>
          <w:sz w:val="29"/>
          <w:szCs w:val="29"/>
          <w:lang w:eastAsia="en-GB"/>
        </w:rPr>
        <w:t xml:space="preserve">age </w:t>
      </w:r>
      <w:r w:rsidR="00785F9A">
        <w:rPr>
          <w:rFonts w:ascii="Arial" w:eastAsia="Times New Roman" w:hAnsi="Arial" w:cs="Arial"/>
          <w:sz w:val="29"/>
          <w:szCs w:val="29"/>
          <w:lang w:eastAsia="en-GB"/>
        </w:rPr>
        <w:t>stratum</w:t>
      </w:r>
      <w:r>
        <w:rPr>
          <w:rFonts w:ascii="Arial" w:eastAsia="Times New Roman" w:hAnsi="Arial" w:cs="Arial"/>
          <w:sz w:val="29"/>
          <w:szCs w:val="29"/>
          <w:lang w:eastAsia="en-GB"/>
        </w:rPr>
        <w:t xml:space="preserve">, the underlying risk of dying within the next year </w:t>
      </w:r>
      <w:r w:rsidR="006D504E">
        <w:rPr>
          <w:rFonts w:ascii="Arial" w:eastAsia="Times New Roman" w:hAnsi="Arial" w:cs="Arial"/>
          <w:sz w:val="29"/>
          <w:szCs w:val="29"/>
          <w:lang w:eastAsia="en-GB"/>
        </w:rPr>
        <w:t>increases by approximately 8%</w:t>
      </w:r>
      <w:r w:rsidR="00785F9A">
        <w:rPr>
          <w:rFonts w:ascii="Arial" w:eastAsia="Times New Roman" w:hAnsi="Arial" w:cs="Arial"/>
          <w:sz w:val="29"/>
          <w:szCs w:val="29"/>
          <w:lang w:eastAsia="en-GB"/>
        </w:rPr>
        <w:t>, something which is normally accounted for (somewhat) more fully by dividing this age group into two during age standardisation</w:t>
      </w:r>
      <w:r w:rsidR="006D504E">
        <w:rPr>
          <w:rFonts w:ascii="Arial" w:eastAsia="Times New Roman" w:hAnsi="Arial" w:cs="Arial"/>
          <w:sz w:val="29"/>
          <w:szCs w:val="29"/>
          <w:lang w:eastAsia="en-GB"/>
        </w:rPr>
        <w:t xml:space="preserve">. These compounded increases in the risk of </w:t>
      </w:r>
      <w:r w:rsidR="00A4540B">
        <w:rPr>
          <w:rFonts w:ascii="Arial" w:eastAsia="Times New Roman" w:hAnsi="Arial" w:cs="Arial"/>
          <w:sz w:val="29"/>
          <w:szCs w:val="29"/>
          <w:lang w:eastAsia="en-GB"/>
        </w:rPr>
        <w:t xml:space="preserve">dying with </w:t>
      </w:r>
      <w:r w:rsidR="006D504E">
        <w:rPr>
          <w:rFonts w:ascii="Arial" w:eastAsia="Times New Roman" w:hAnsi="Arial" w:cs="Arial"/>
          <w:sz w:val="29"/>
          <w:szCs w:val="29"/>
          <w:lang w:eastAsia="en-GB"/>
        </w:rPr>
        <w:t xml:space="preserve">each </w:t>
      </w:r>
      <w:r w:rsidR="00A4540B">
        <w:rPr>
          <w:rFonts w:ascii="Arial" w:eastAsia="Times New Roman" w:hAnsi="Arial" w:cs="Arial"/>
          <w:sz w:val="29"/>
          <w:szCs w:val="29"/>
          <w:lang w:eastAsia="en-GB"/>
        </w:rPr>
        <w:t xml:space="preserve">additional </w:t>
      </w:r>
      <w:r w:rsidR="006D504E">
        <w:rPr>
          <w:rFonts w:ascii="Arial" w:eastAsia="Times New Roman" w:hAnsi="Arial" w:cs="Arial"/>
          <w:sz w:val="29"/>
          <w:szCs w:val="29"/>
          <w:lang w:eastAsia="en-GB"/>
        </w:rPr>
        <w:t>year of age are one of the earliest and most consistent findings produced by demographers, and give rise to the log-linear relationship long known to exist between mortality risk and age, for all people from around their mid-thirties onwards. They form the right hand side of the famous ‘bathtub curve’ produced by plotting log(</w:t>
      </w:r>
      <w:r w:rsidR="00D30134">
        <w:rPr>
          <w:rFonts w:ascii="Arial" w:eastAsia="Times New Roman" w:hAnsi="Arial" w:cs="Arial"/>
          <w:sz w:val="29"/>
          <w:szCs w:val="29"/>
          <w:lang w:eastAsia="en-GB"/>
        </w:rPr>
        <w:t>risk of dying within the next year</w:t>
      </w:r>
      <w:r w:rsidR="006D504E">
        <w:rPr>
          <w:rFonts w:ascii="Arial" w:eastAsia="Times New Roman" w:hAnsi="Arial" w:cs="Arial"/>
          <w:sz w:val="29"/>
          <w:szCs w:val="29"/>
          <w:lang w:eastAsia="en-GB"/>
        </w:rPr>
        <w:t>) against age</w:t>
      </w:r>
      <w:r w:rsidR="00D30134">
        <w:rPr>
          <w:rFonts w:ascii="Arial" w:eastAsia="Times New Roman" w:hAnsi="Arial" w:cs="Arial"/>
          <w:sz w:val="29"/>
          <w:szCs w:val="29"/>
          <w:lang w:eastAsia="en-GB"/>
        </w:rPr>
        <w:t xml:space="preserve"> from birth onwards</w:t>
      </w:r>
      <w:r w:rsidR="006D504E">
        <w:rPr>
          <w:rFonts w:ascii="Arial" w:eastAsia="Times New Roman" w:hAnsi="Arial" w:cs="Arial"/>
          <w:sz w:val="29"/>
          <w:szCs w:val="29"/>
          <w:lang w:eastAsia="en-GB"/>
        </w:rPr>
        <w:t>, within any given year, and for almost any cohort.</w:t>
      </w:r>
      <w:r w:rsidR="007D6761">
        <w:rPr>
          <w:rFonts w:ascii="Arial" w:eastAsia="Times New Roman" w:hAnsi="Arial" w:cs="Arial"/>
          <w:sz w:val="29"/>
          <w:szCs w:val="29"/>
          <w:lang w:eastAsia="en-GB"/>
        </w:rPr>
        <w:fldChar w:fldCharType="begin" w:fldLock="1"/>
      </w:r>
      <w:r w:rsidR="00FC434F">
        <w:rPr>
          <w:rFonts w:ascii="Arial" w:eastAsia="Times New Roman" w:hAnsi="Arial" w:cs="Arial"/>
          <w:sz w:val="29"/>
          <w:szCs w:val="29"/>
          <w:lang w:eastAsia="en-GB"/>
        </w:rPr>
        <w:instrText>ADDIN CSL_CITATION { "citationItems" : [ { "id" : "ITEM-1", "itemData" : { "DOI" : "10.2307/41134925", "ISSN" : "20461658", "author" : [ { "dropping-particle" : "", "family" : "Makeham", "given" : "William Matthew", "non-dropping-particle" : "", "parse-names" : false, "suffix" : "" } ], "container-title" : "The Assurance Magazine, and Journal of the Institute of Actuaries", "id" : "ITEM-1", "issue" : "6", "issued" : { "date-parts" : [ [ "1860", "1", "1" ] ] }, "page" : "301-310", "publisher" : "Cambridge University Press on behalf of the Institute and Faculty of Actuaries", "title" : "On the Law of Mortality and the Construction of Annuity Tables", "type" : "article-journal", "volume" : "8" }, "uris" : [ "http://www.mendeley.com/documents/?uuid=2efd5169-76fe-4627-81f1-77b557c8106d" ] }, { "id" : "ITEM-2", "itemData" : { "DOI" : "10.1098/rstl.1825.0026", "ISSN" : "0261-0523", "author" : [ { "dropping-particle" : "", "family" : "Gompertz", "given" : "B.", "non-dropping-particle" : "", "parse-names" : false, "suffix" : "" } ], "container-title" : "Philosophical Transactions of the Royal Society of London", "id" : "ITEM-2", "issued" : { "date-parts" : [ [ "1825", "1", "1" ] ] }, "page" : "513-583", "title" : "On the Nature of the Function Expressive of the Law of Human Mortality, and on a New Mode of Determining the Value of Life Contingencies", "type" : "article-journal", "volume" : "115" }, "uris" : [ "http://www.mendeley.com/documents/?uuid=6e22dbc9-8ab3-4f23-bf35-7dc17849557f" ] } ], "mendeley" : { "formattedCitation" : "&lt;sup&gt;3,4&lt;/sup&gt;", "plainTextFormattedCitation" : "3,4", "previouslyFormattedCitation" : "&lt;sup&gt;3,4&lt;/sup&gt;" }, "properties" : { "noteIndex" : 0 }, "schema" : "https://github.com/citation-style-language/schema/raw/master/csl-citation.json" }</w:instrText>
      </w:r>
      <w:r w:rsidR="007D6761">
        <w:rPr>
          <w:rFonts w:ascii="Arial" w:eastAsia="Times New Roman" w:hAnsi="Arial" w:cs="Arial"/>
          <w:sz w:val="29"/>
          <w:szCs w:val="29"/>
          <w:lang w:eastAsia="en-GB"/>
        </w:rPr>
        <w:fldChar w:fldCharType="separate"/>
      </w:r>
      <w:r w:rsidR="00D60D3C" w:rsidRPr="00D60D3C">
        <w:rPr>
          <w:rFonts w:ascii="Arial" w:eastAsia="Times New Roman" w:hAnsi="Arial" w:cs="Arial"/>
          <w:noProof/>
          <w:sz w:val="29"/>
          <w:szCs w:val="29"/>
          <w:vertAlign w:val="superscript"/>
          <w:lang w:eastAsia="en-GB"/>
        </w:rPr>
        <w:t>3,4</w:t>
      </w:r>
      <w:r w:rsidR="007D6761">
        <w:rPr>
          <w:rFonts w:ascii="Arial" w:eastAsia="Times New Roman" w:hAnsi="Arial" w:cs="Arial"/>
          <w:sz w:val="29"/>
          <w:szCs w:val="29"/>
          <w:lang w:eastAsia="en-GB"/>
        </w:rPr>
        <w:fldChar w:fldCharType="end"/>
      </w:r>
      <w:r w:rsidR="006D504E">
        <w:rPr>
          <w:rFonts w:ascii="Arial" w:eastAsia="Times New Roman" w:hAnsi="Arial" w:cs="Arial"/>
          <w:sz w:val="29"/>
          <w:szCs w:val="29"/>
          <w:lang w:eastAsia="en-GB"/>
        </w:rPr>
        <w:t xml:space="preserve"> </w:t>
      </w:r>
    </w:p>
    <w:p w14:paraId="39AD1DB2" w14:textId="77777777" w:rsidR="003F51A6" w:rsidRDefault="003F51A6" w:rsidP="00252A2C">
      <w:pPr>
        <w:shd w:val="clear" w:color="auto" w:fill="FFFFFF"/>
        <w:spacing w:after="0" w:line="240" w:lineRule="auto"/>
        <w:rPr>
          <w:rFonts w:ascii="Arial" w:eastAsia="Times New Roman" w:hAnsi="Arial" w:cs="Arial"/>
          <w:sz w:val="29"/>
          <w:szCs w:val="29"/>
          <w:lang w:eastAsia="en-GB"/>
        </w:rPr>
      </w:pPr>
    </w:p>
    <w:p w14:paraId="2987834B" w14:textId="3C0C3E66" w:rsidR="006609A9" w:rsidRDefault="006D504E" w:rsidP="00252A2C">
      <w:pPr>
        <w:shd w:val="clear" w:color="auto" w:fill="FFFFFF"/>
        <w:spacing w:after="0" w:line="240" w:lineRule="auto"/>
        <w:rPr>
          <w:rFonts w:ascii="Arial" w:eastAsia="Times New Roman" w:hAnsi="Arial" w:cs="Arial"/>
          <w:sz w:val="29"/>
          <w:szCs w:val="29"/>
          <w:lang w:eastAsia="en-GB"/>
        </w:rPr>
      </w:pPr>
      <w:r>
        <w:rPr>
          <w:rFonts w:ascii="Arial" w:eastAsia="Times New Roman" w:hAnsi="Arial" w:cs="Arial"/>
          <w:sz w:val="29"/>
          <w:szCs w:val="29"/>
          <w:lang w:eastAsia="en-GB"/>
        </w:rPr>
        <w:t xml:space="preserve">An implication of this underlying mortality risk profile is that death rates within the </w:t>
      </w:r>
      <w:r w:rsidR="00A4540B">
        <w:rPr>
          <w:rFonts w:ascii="Arial" w:eastAsia="Times New Roman" w:hAnsi="Arial" w:cs="Arial"/>
          <w:sz w:val="29"/>
          <w:szCs w:val="29"/>
          <w:lang w:eastAsia="en-GB"/>
        </w:rPr>
        <w:t xml:space="preserve">10 year age </w:t>
      </w:r>
      <w:r w:rsidR="00785F9A">
        <w:rPr>
          <w:rFonts w:ascii="Arial" w:eastAsia="Times New Roman" w:hAnsi="Arial" w:cs="Arial"/>
          <w:sz w:val="29"/>
          <w:szCs w:val="29"/>
          <w:lang w:eastAsia="en-GB"/>
        </w:rPr>
        <w:t xml:space="preserve">stratum </w:t>
      </w:r>
      <w:r>
        <w:rPr>
          <w:rFonts w:ascii="Arial" w:eastAsia="Times New Roman" w:hAnsi="Arial" w:cs="Arial"/>
          <w:sz w:val="29"/>
          <w:szCs w:val="29"/>
          <w:lang w:eastAsia="en-GB"/>
        </w:rPr>
        <w:t>can increase through change in age composition alone. With the advice of a blog commenter</w:t>
      </w:r>
      <w:r w:rsidR="00A4540B">
        <w:rPr>
          <w:rFonts w:ascii="Arial" w:eastAsia="Times New Roman" w:hAnsi="Arial" w:cs="Arial"/>
          <w:sz w:val="29"/>
          <w:szCs w:val="29"/>
          <w:lang w:eastAsia="en-GB"/>
        </w:rPr>
        <w:t>,</w:t>
      </w:r>
      <w:r>
        <w:rPr>
          <w:rFonts w:ascii="Arial" w:eastAsia="Times New Roman" w:hAnsi="Arial" w:cs="Arial"/>
          <w:sz w:val="29"/>
          <w:szCs w:val="29"/>
          <w:lang w:eastAsia="en-GB"/>
        </w:rPr>
        <w:t xml:space="preserve"> Gelman </w:t>
      </w:r>
      <w:r w:rsidR="00A4540B">
        <w:rPr>
          <w:rFonts w:ascii="Arial" w:eastAsia="Times New Roman" w:hAnsi="Arial" w:cs="Arial"/>
          <w:sz w:val="29"/>
          <w:szCs w:val="29"/>
          <w:lang w:eastAsia="en-GB"/>
        </w:rPr>
        <w:t>identified</w:t>
      </w:r>
      <w:r>
        <w:rPr>
          <w:rFonts w:ascii="Arial" w:eastAsia="Times New Roman" w:hAnsi="Arial" w:cs="Arial"/>
          <w:sz w:val="29"/>
          <w:szCs w:val="29"/>
          <w:lang w:eastAsia="en-GB"/>
        </w:rPr>
        <w:t xml:space="preserve"> that the average age of </w:t>
      </w:r>
      <w:r w:rsidR="001943A5">
        <w:rPr>
          <w:rFonts w:ascii="Arial" w:eastAsia="Times New Roman" w:hAnsi="Arial" w:cs="Arial"/>
          <w:sz w:val="29"/>
          <w:szCs w:val="29"/>
          <w:lang w:eastAsia="en-GB"/>
        </w:rPr>
        <w:t xml:space="preserve">white non-Hispanics </w:t>
      </w:r>
      <w:r>
        <w:rPr>
          <w:rFonts w:ascii="Arial" w:eastAsia="Times New Roman" w:hAnsi="Arial" w:cs="Arial"/>
          <w:sz w:val="29"/>
          <w:szCs w:val="29"/>
          <w:lang w:eastAsia="en-GB"/>
        </w:rPr>
        <w:t xml:space="preserve">within the 45-54 year age range </w:t>
      </w:r>
      <w:r w:rsidR="006609A9">
        <w:rPr>
          <w:rFonts w:ascii="Arial" w:eastAsia="Times New Roman" w:hAnsi="Arial" w:cs="Arial"/>
          <w:sz w:val="29"/>
          <w:szCs w:val="29"/>
          <w:lang w:eastAsia="en-GB"/>
        </w:rPr>
        <w:t xml:space="preserve">had indeed increased, by more than half a year of age from around 1989 to 2013. Having identified changing age composition as creating a risk of bias, Gelman then corrected for it, </w:t>
      </w:r>
      <w:r w:rsidR="00A4540B">
        <w:rPr>
          <w:rFonts w:ascii="Arial" w:eastAsia="Times New Roman" w:hAnsi="Arial" w:cs="Arial"/>
          <w:sz w:val="29"/>
          <w:szCs w:val="29"/>
          <w:lang w:eastAsia="en-GB"/>
        </w:rPr>
        <w:t xml:space="preserve">estimating that </w:t>
      </w:r>
      <w:r w:rsidR="006609A9">
        <w:rPr>
          <w:rFonts w:ascii="Arial" w:eastAsia="Times New Roman" w:hAnsi="Arial" w:cs="Arial"/>
          <w:sz w:val="29"/>
          <w:szCs w:val="29"/>
          <w:lang w:eastAsia="en-GB"/>
        </w:rPr>
        <w:t xml:space="preserve">the bias </w:t>
      </w:r>
      <w:r w:rsidR="00A4540B">
        <w:rPr>
          <w:rFonts w:ascii="Arial" w:eastAsia="Times New Roman" w:hAnsi="Arial" w:cs="Arial"/>
          <w:sz w:val="29"/>
          <w:szCs w:val="29"/>
          <w:lang w:eastAsia="en-GB"/>
        </w:rPr>
        <w:t>was</w:t>
      </w:r>
      <w:r w:rsidR="006609A9">
        <w:rPr>
          <w:rFonts w:ascii="Arial" w:eastAsia="Times New Roman" w:hAnsi="Arial" w:cs="Arial"/>
          <w:sz w:val="29"/>
          <w:szCs w:val="29"/>
          <w:lang w:eastAsia="en-GB"/>
        </w:rPr>
        <w:t xml:space="preserve"> responsible for around half of the reported increase in all-cause mortality rates. As well as quantitatively reducing the </w:t>
      </w:r>
      <w:r w:rsidR="00A4540B">
        <w:rPr>
          <w:rFonts w:ascii="Arial" w:eastAsia="Times New Roman" w:hAnsi="Arial" w:cs="Arial"/>
          <w:sz w:val="29"/>
          <w:szCs w:val="29"/>
          <w:lang w:eastAsia="en-GB"/>
        </w:rPr>
        <w:t xml:space="preserve">reported </w:t>
      </w:r>
      <w:r w:rsidR="006609A9">
        <w:rPr>
          <w:rFonts w:ascii="Arial" w:eastAsia="Times New Roman" w:hAnsi="Arial" w:cs="Arial"/>
          <w:sz w:val="29"/>
          <w:szCs w:val="29"/>
          <w:lang w:eastAsia="en-GB"/>
        </w:rPr>
        <w:t>mortality rate increase,</w:t>
      </w:r>
      <w:r w:rsidR="00A4540B">
        <w:rPr>
          <w:rFonts w:ascii="Arial" w:eastAsia="Times New Roman" w:hAnsi="Arial" w:cs="Arial"/>
          <w:sz w:val="29"/>
          <w:szCs w:val="29"/>
          <w:lang w:eastAsia="en-GB"/>
        </w:rPr>
        <w:t xml:space="preserve"> which had captured so much media attention,</w:t>
      </w:r>
      <w:r w:rsidR="006609A9">
        <w:rPr>
          <w:rFonts w:ascii="Arial" w:eastAsia="Times New Roman" w:hAnsi="Arial" w:cs="Arial"/>
          <w:sz w:val="29"/>
          <w:szCs w:val="29"/>
          <w:lang w:eastAsia="en-GB"/>
        </w:rPr>
        <w:t xml:space="preserve"> the correction also qualitatively changed the findings in two ways: first, male and female trends were no longer similar enough to be meaningfully grouped together</w:t>
      </w:r>
      <w:r w:rsidR="001921C7">
        <w:rPr>
          <w:rFonts w:ascii="Arial" w:eastAsia="Times New Roman" w:hAnsi="Arial" w:cs="Arial"/>
          <w:sz w:val="29"/>
          <w:szCs w:val="29"/>
          <w:lang w:eastAsia="en-GB"/>
        </w:rPr>
        <w:t>, with still-worsening mortality trends for women over that period, but a reversal in these adverse trends for men</w:t>
      </w:r>
      <w:r w:rsidR="006609A9">
        <w:rPr>
          <w:rFonts w:ascii="Arial" w:eastAsia="Times New Roman" w:hAnsi="Arial" w:cs="Arial"/>
          <w:sz w:val="29"/>
          <w:szCs w:val="29"/>
          <w:lang w:eastAsia="en-GB"/>
        </w:rPr>
        <w:t xml:space="preserve">; second, </w:t>
      </w:r>
      <w:r w:rsidR="00C23509">
        <w:rPr>
          <w:rFonts w:ascii="Arial" w:eastAsia="Times New Roman" w:hAnsi="Arial" w:cs="Arial"/>
          <w:sz w:val="29"/>
          <w:szCs w:val="29"/>
          <w:lang w:eastAsia="en-GB"/>
        </w:rPr>
        <w:t xml:space="preserve">if males and females are to be combined, </w:t>
      </w:r>
      <w:r w:rsidR="0070654C">
        <w:rPr>
          <w:rFonts w:ascii="Arial" w:eastAsia="Times New Roman" w:hAnsi="Arial" w:cs="Arial"/>
          <w:sz w:val="29"/>
          <w:szCs w:val="29"/>
          <w:lang w:eastAsia="en-GB"/>
        </w:rPr>
        <w:t>the</w:t>
      </w:r>
      <w:r w:rsidR="006609A9">
        <w:rPr>
          <w:rFonts w:ascii="Arial" w:eastAsia="Times New Roman" w:hAnsi="Arial" w:cs="Arial"/>
          <w:sz w:val="29"/>
          <w:szCs w:val="29"/>
          <w:lang w:eastAsia="en-GB"/>
        </w:rPr>
        <w:t xml:space="preserve"> reported continu</w:t>
      </w:r>
      <w:r w:rsidR="0070654C">
        <w:rPr>
          <w:rFonts w:ascii="Arial" w:eastAsia="Times New Roman" w:hAnsi="Arial" w:cs="Arial"/>
          <w:sz w:val="29"/>
          <w:szCs w:val="29"/>
          <w:lang w:eastAsia="en-GB"/>
        </w:rPr>
        <w:t>ously</w:t>
      </w:r>
      <w:r w:rsidR="006609A9">
        <w:rPr>
          <w:rFonts w:ascii="Arial" w:eastAsia="Times New Roman" w:hAnsi="Arial" w:cs="Arial"/>
          <w:sz w:val="29"/>
          <w:szCs w:val="29"/>
          <w:lang w:eastAsia="en-GB"/>
        </w:rPr>
        <w:t xml:space="preserve"> worsening trend in death rates</w:t>
      </w:r>
      <w:r w:rsidR="00557306">
        <w:rPr>
          <w:rFonts w:ascii="Arial" w:eastAsia="Times New Roman" w:hAnsi="Arial" w:cs="Arial"/>
          <w:sz w:val="29"/>
          <w:szCs w:val="29"/>
          <w:lang w:eastAsia="en-GB"/>
        </w:rPr>
        <w:t xml:space="preserve"> </w:t>
      </w:r>
      <w:r w:rsidR="006609A9">
        <w:rPr>
          <w:rFonts w:ascii="Arial" w:eastAsia="Times New Roman" w:hAnsi="Arial" w:cs="Arial"/>
          <w:sz w:val="29"/>
          <w:szCs w:val="29"/>
          <w:lang w:eastAsia="en-GB"/>
        </w:rPr>
        <w:t>from 1999 onwards</w:t>
      </w:r>
      <w:r w:rsidR="0070654C">
        <w:rPr>
          <w:rFonts w:ascii="Arial" w:eastAsia="Times New Roman" w:hAnsi="Arial" w:cs="Arial"/>
          <w:sz w:val="29"/>
          <w:szCs w:val="29"/>
          <w:lang w:eastAsia="en-GB"/>
        </w:rPr>
        <w:t xml:space="preserve"> would need to be amended to describe a</w:t>
      </w:r>
      <w:r w:rsidR="006609A9">
        <w:rPr>
          <w:rFonts w:ascii="Arial" w:eastAsia="Times New Roman" w:hAnsi="Arial" w:cs="Arial"/>
          <w:sz w:val="29"/>
          <w:szCs w:val="29"/>
          <w:lang w:eastAsia="en-GB"/>
        </w:rPr>
        <w:t xml:space="preserve"> stabilis</w:t>
      </w:r>
      <w:r w:rsidR="0070654C">
        <w:rPr>
          <w:rFonts w:ascii="Arial" w:eastAsia="Times New Roman" w:hAnsi="Arial" w:cs="Arial"/>
          <w:sz w:val="29"/>
          <w:szCs w:val="29"/>
          <w:lang w:eastAsia="en-GB"/>
        </w:rPr>
        <w:t>ation from</w:t>
      </w:r>
      <w:r w:rsidR="006609A9">
        <w:rPr>
          <w:rFonts w:ascii="Arial" w:eastAsia="Times New Roman" w:hAnsi="Arial" w:cs="Arial"/>
          <w:sz w:val="29"/>
          <w:szCs w:val="29"/>
          <w:lang w:eastAsia="en-GB"/>
        </w:rPr>
        <w:t xml:space="preserve"> around 2005, </w:t>
      </w:r>
      <w:r w:rsidR="0070654C">
        <w:rPr>
          <w:rFonts w:ascii="Arial" w:eastAsia="Times New Roman" w:hAnsi="Arial" w:cs="Arial"/>
          <w:sz w:val="29"/>
          <w:szCs w:val="29"/>
          <w:lang w:eastAsia="en-GB"/>
        </w:rPr>
        <w:t xml:space="preserve">which </w:t>
      </w:r>
      <w:r w:rsidR="006609A9">
        <w:rPr>
          <w:rFonts w:ascii="Arial" w:eastAsia="Times New Roman" w:hAnsi="Arial" w:cs="Arial"/>
          <w:sz w:val="29"/>
          <w:szCs w:val="29"/>
          <w:lang w:eastAsia="en-GB"/>
        </w:rPr>
        <w:t>may now</w:t>
      </w:r>
      <w:r w:rsidR="00A4540B">
        <w:rPr>
          <w:rFonts w:ascii="Arial" w:eastAsia="Times New Roman" w:hAnsi="Arial" w:cs="Arial"/>
          <w:sz w:val="29"/>
          <w:szCs w:val="29"/>
          <w:lang w:eastAsia="en-GB"/>
        </w:rPr>
        <w:t xml:space="preserve"> even</w:t>
      </w:r>
      <w:r w:rsidR="006609A9">
        <w:rPr>
          <w:rFonts w:ascii="Arial" w:eastAsia="Times New Roman" w:hAnsi="Arial" w:cs="Arial"/>
          <w:sz w:val="29"/>
          <w:szCs w:val="29"/>
          <w:lang w:eastAsia="en-GB"/>
        </w:rPr>
        <w:t xml:space="preserve"> be revers</w:t>
      </w:r>
      <w:r w:rsidR="00A4540B">
        <w:rPr>
          <w:rFonts w:ascii="Arial" w:eastAsia="Times New Roman" w:hAnsi="Arial" w:cs="Arial"/>
          <w:sz w:val="29"/>
          <w:szCs w:val="29"/>
          <w:lang w:eastAsia="en-GB"/>
        </w:rPr>
        <w:t>ing</w:t>
      </w:r>
      <w:r w:rsidR="006609A9">
        <w:rPr>
          <w:rFonts w:ascii="Arial" w:eastAsia="Times New Roman" w:hAnsi="Arial" w:cs="Arial"/>
          <w:sz w:val="29"/>
          <w:szCs w:val="29"/>
          <w:lang w:eastAsia="en-GB"/>
        </w:rPr>
        <w:t>.</w:t>
      </w:r>
      <w:r w:rsidR="00D60D3C" w:rsidDel="00D60D3C">
        <w:rPr>
          <w:rFonts w:ascii="Arial" w:eastAsia="Times New Roman" w:hAnsi="Arial" w:cs="Arial"/>
          <w:sz w:val="29"/>
          <w:szCs w:val="29"/>
          <w:lang w:eastAsia="en-GB"/>
        </w:rPr>
        <w:t xml:space="preserve"> </w:t>
      </w:r>
    </w:p>
    <w:p w14:paraId="22F46B35" w14:textId="77777777" w:rsidR="00C23509" w:rsidRDefault="00C23509" w:rsidP="00252A2C">
      <w:pPr>
        <w:shd w:val="clear" w:color="auto" w:fill="FFFFFF"/>
        <w:spacing w:after="0" w:line="240" w:lineRule="auto"/>
        <w:rPr>
          <w:rFonts w:ascii="Arial" w:eastAsia="Times New Roman" w:hAnsi="Arial" w:cs="Arial"/>
          <w:sz w:val="29"/>
          <w:szCs w:val="29"/>
          <w:lang w:eastAsia="en-GB"/>
        </w:rPr>
      </w:pPr>
    </w:p>
    <w:p w14:paraId="0AF02E7E" w14:textId="5FC1CD39" w:rsidR="007D6761" w:rsidRDefault="007D6761" w:rsidP="007D6761">
      <w:pPr>
        <w:pStyle w:val="Heading1"/>
        <w:rPr>
          <w:lang w:eastAsia="en-GB"/>
        </w:rPr>
      </w:pPr>
      <w:r>
        <w:rPr>
          <w:lang w:eastAsia="en-GB"/>
        </w:rPr>
        <w:t xml:space="preserve">A Small Giant? </w:t>
      </w:r>
    </w:p>
    <w:p w14:paraId="3B34482E" w14:textId="77777777" w:rsidR="007D6761" w:rsidRPr="007D6761" w:rsidRDefault="007D6761" w:rsidP="007D6761">
      <w:pPr>
        <w:rPr>
          <w:lang w:eastAsia="en-GB"/>
        </w:rPr>
      </w:pPr>
    </w:p>
    <w:p w14:paraId="4EC4A4F1" w14:textId="0F6D79D7" w:rsidR="001921C7" w:rsidRDefault="008D465C" w:rsidP="00252A2C">
      <w:pPr>
        <w:shd w:val="clear" w:color="auto" w:fill="FFFFFF"/>
        <w:spacing w:after="0" w:line="240" w:lineRule="auto"/>
        <w:rPr>
          <w:rFonts w:ascii="Arial" w:eastAsia="Times New Roman" w:hAnsi="Arial" w:cs="Arial"/>
          <w:sz w:val="29"/>
          <w:szCs w:val="29"/>
          <w:lang w:eastAsia="en-GB"/>
        </w:rPr>
      </w:pPr>
      <w:r>
        <w:rPr>
          <w:rFonts w:ascii="Arial" w:eastAsia="Times New Roman" w:hAnsi="Arial" w:cs="Arial"/>
          <w:sz w:val="29"/>
          <w:szCs w:val="29"/>
          <w:lang w:eastAsia="en-GB"/>
        </w:rPr>
        <w:lastRenderedPageBreak/>
        <w:t xml:space="preserve">Case &amp; Deaton’s paper is an important case study in the complex relationship, and relative strengths and weaknesses of traditional academic journal publishing, of mainstream old media, and of specialist new media. </w:t>
      </w:r>
      <w:r w:rsidR="008670D1">
        <w:rPr>
          <w:rFonts w:ascii="Arial" w:eastAsia="Times New Roman" w:hAnsi="Arial" w:cs="Arial"/>
          <w:sz w:val="29"/>
          <w:szCs w:val="29"/>
          <w:lang w:eastAsia="en-GB"/>
        </w:rPr>
        <w:t>In this case, a</w:t>
      </w:r>
      <w:r>
        <w:rPr>
          <w:rFonts w:ascii="Arial" w:eastAsia="Times New Roman" w:hAnsi="Arial" w:cs="Arial"/>
          <w:sz w:val="29"/>
          <w:szCs w:val="29"/>
          <w:lang w:eastAsia="en-GB"/>
        </w:rPr>
        <w:t xml:space="preserve">cademic </w:t>
      </w:r>
      <w:r w:rsidR="004F5E9A">
        <w:rPr>
          <w:rFonts w:ascii="Arial" w:eastAsia="Times New Roman" w:hAnsi="Arial" w:cs="Arial"/>
          <w:sz w:val="29"/>
          <w:szCs w:val="29"/>
          <w:lang w:eastAsia="en-GB"/>
        </w:rPr>
        <w:t>blogging provided a degree of methodological scrutiny that was missing from the PNAS ‘contributed submission’ route through which Case &amp; Deaton’s paper entered a high impact academic journal</w:t>
      </w:r>
      <w:r w:rsidR="001943A5">
        <w:rPr>
          <w:rFonts w:ascii="Arial" w:eastAsia="Times New Roman" w:hAnsi="Arial" w:cs="Arial"/>
          <w:sz w:val="29"/>
          <w:szCs w:val="29"/>
          <w:lang w:eastAsia="en-GB"/>
        </w:rPr>
        <w:t>;</w:t>
      </w:r>
      <w:r w:rsidR="004F5E9A">
        <w:rPr>
          <w:rFonts w:ascii="Arial" w:eastAsia="Times New Roman" w:hAnsi="Arial" w:cs="Arial"/>
          <w:sz w:val="29"/>
          <w:szCs w:val="29"/>
          <w:lang w:eastAsia="en-GB"/>
        </w:rPr>
        <w:t xml:space="preserve"> </w:t>
      </w:r>
      <w:r w:rsidR="001943A5">
        <w:rPr>
          <w:rFonts w:ascii="Arial" w:eastAsia="Times New Roman" w:hAnsi="Arial" w:cs="Arial"/>
          <w:sz w:val="29"/>
          <w:szCs w:val="29"/>
          <w:lang w:eastAsia="en-GB"/>
        </w:rPr>
        <w:t xml:space="preserve">their </w:t>
      </w:r>
      <w:r w:rsidR="004F5E9A">
        <w:rPr>
          <w:rFonts w:ascii="Arial" w:eastAsia="Times New Roman" w:hAnsi="Arial" w:cs="Arial"/>
          <w:sz w:val="29"/>
          <w:szCs w:val="29"/>
          <w:lang w:eastAsia="en-GB"/>
        </w:rPr>
        <w:t xml:space="preserve">findings were then </w:t>
      </w:r>
      <w:r>
        <w:rPr>
          <w:rFonts w:ascii="Arial" w:eastAsia="Times New Roman" w:hAnsi="Arial" w:cs="Arial"/>
          <w:sz w:val="29"/>
          <w:szCs w:val="29"/>
          <w:lang w:eastAsia="en-GB"/>
        </w:rPr>
        <w:t xml:space="preserve">simplified, </w:t>
      </w:r>
      <w:r w:rsidR="00334302">
        <w:rPr>
          <w:rFonts w:ascii="Arial" w:eastAsia="Times New Roman" w:hAnsi="Arial" w:cs="Arial"/>
          <w:sz w:val="29"/>
          <w:szCs w:val="29"/>
          <w:lang w:eastAsia="en-GB"/>
        </w:rPr>
        <w:t xml:space="preserve">publicised </w:t>
      </w:r>
      <w:r>
        <w:rPr>
          <w:rFonts w:ascii="Arial" w:eastAsia="Times New Roman" w:hAnsi="Arial" w:cs="Arial"/>
          <w:sz w:val="29"/>
          <w:szCs w:val="29"/>
          <w:lang w:eastAsia="en-GB"/>
        </w:rPr>
        <w:t>and amplified by m</w:t>
      </w:r>
      <w:r w:rsidR="001921C7">
        <w:rPr>
          <w:rFonts w:ascii="Arial" w:eastAsia="Times New Roman" w:hAnsi="Arial" w:cs="Arial"/>
          <w:sz w:val="29"/>
          <w:szCs w:val="29"/>
          <w:lang w:eastAsia="en-GB"/>
        </w:rPr>
        <w:t xml:space="preserve">ainstream media. </w:t>
      </w:r>
      <w:r w:rsidR="00334302">
        <w:rPr>
          <w:rFonts w:ascii="Arial" w:eastAsia="Times New Roman" w:hAnsi="Arial" w:cs="Arial"/>
          <w:sz w:val="29"/>
          <w:szCs w:val="29"/>
          <w:lang w:eastAsia="en-GB"/>
        </w:rPr>
        <w:t>I</w:t>
      </w:r>
      <w:r w:rsidR="001921C7">
        <w:rPr>
          <w:rFonts w:ascii="Arial" w:eastAsia="Times New Roman" w:hAnsi="Arial" w:cs="Arial"/>
          <w:sz w:val="29"/>
          <w:szCs w:val="29"/>
          <w:lang w:eastAsia="en-GB"/>
        </w:rPr>
        <w:t xml:space="preserve">t seems likely the strong, clear, unequivocal message of the paper – things are getting worse for middle-aged </w:t>
      </w:r>
      <w:r w:rsidR="001943A5">
        <w:rPr>
          <w:rFonts w:ascii="Arial" w:eastAsia="Times New Roman" w:hAnsi="Arial" w:cs="Arial"/>
          <w:sz w:val="29"/>
          <w:szCs w:val="29"/>
          <w:lang w:eastAsia="en-GB"/>
        </w:rPr>
        <w:t>w</w:t>
      </w:r>
      <w:r w:rsidR="001921C7">
        <w:rPr>
          <w:rFonts w:ascii="Arial" w:eastAsia="Times New Roman" w:hAnsi="Arial" w:cs="Arial"/>
          <w:sz w:val="29"/>
          <w:szCs w:val="29"/>
          <w:lang w:eastAsia="en-GB"/>
        </w:rPr>
        <w:t xml:space="preserve">hite, non-Hispanic Americans – was both a reason for the </w:t>
      </w:r>
      <w:r w:rsidR="00334302">
        <w:rPr>
          <w:rFonts w:ascii="Arial" w:eastAsia="Times New Roman" w:hAnsi="Arial" w:cs="Arial"/>
          <w:sz w:val="29"/>
          <w:szCs w:val="29"/>
          <w:lang w:eastAsia="en-GB"/>
        </w:rPr>
        <w:t xml:space="preserve">media attention </w:t>
      </w:r>
      <w:r w:rsidR="001921C7">
        <w:rPr>
          <w:rFonts w:ascii="Arial" w:eastAsia="Times New Roman" w:hAnsi="Arial" w:cs="Arial"/>
          <w:sz w:val="29"/>
          <w:szCs w:val="29"/>
          <w:lang w:eastAsia="en-GB"/>
        </w:rPr>
        <w:t xml:space="preserve">and </w:t>
      </w:r>
      <w:r w:rsidR="001921C7" w:rsidRPr="00944E54">
        <w:rPr>
          <w:rFonts w:ascii="Arial" w:eastAsia="Times New Roman" w:hAnsi="Arial" w:cs="Arial"/>
          <w:i/>
          <w:sz w:val="29"/>
          <w:szCs w:val="29"/>
          <w:lang w:eastAsia="en-GB"/>
        </w:rPr>
        <w:t>partly</w:t>
      </w:r>
      <w:r w:rsidR="001921C7">
        <w:rPr>
          <w:rFonts w:ascii="Arial" w:eastAsia="Times New Roman" w:hAnsi="Arial" w:cs="Arial"/>
          <w:sz w:val="29"/>
          <w:szCs w:val="29"/>
          <w:lang w:eastAsia="en-GB"/>
        </w:rPr>
        <w:t xml:space="preserve"> an artefact of failing to correct for a statistical risk of bias known since at least the 19</w:t>
      </w:r>
      <w:r w:rsidR="001921C7" w:rsidRPr="001921C7">
        <w:rPr>
          <w:rFonts w:ascii="Arial" w:eastAsia="Times New Roman" w:hAnsi="Arial" w:cs="Arial"/>
          <w:sz w:val="29"/>
          <w:szCs w:val="29"/>
          <w:vertAlign w:val="superscript"/>
          <w:lang w:eastAsia="en-GB"/>
        </w:rPr>
        <w:t>th</w:t>
      </w:r>
      <w:r w:rsidR="001921C7">
        <w:rPr>
          <w:rFonts w:ascii="Arial" w:eastAsia="Times New Roman" w:hAnsi="Arial" w:cs="Arial"/>
          <w:sz w:val="29"/>
          <w:szCs w:val="29"/>
          <w:lang w:eastAsia="en-GB"/>
        </w:rPr>
        <w:t xml:space="preserve"> century.</w:t>
      </w:r>
      <w:r w:rsidR="00BF4106" w:rsidRPr="00E142FC">
        <w:rPr>
          <w:rFonts w:ascii="Arial" w:eastAsia="Times New Roman" w:hAnsi="Arial" w:cs="Arial"/>
          <w:sz w:val="29"/>
          <w:szCs w:val="29"/>
          <w:vertAlign w:val="superscript"/>
          <w:lang w:eastAsia="en-GB"/>
        </w:rPr>
        <w:t>3,4</w:t>
      </w:r>
      <w:r w:rsidR="001921C7">
        <w:rPr>
          <w:rFonts w:ascii="Arial" w:eastAsia="Times New Roman" w:hAnsi="Arial" w:cs="Arial"/>
          <w:sz w:val="29"/>
          <w:szCs w:val="29"/>
          <w:lang w:eastAsia="en-GB"/>
        </w:rPr>
        <w:t xml:space="preserve"> </w:t>
      </w:r>
    </w:p>
    <w:p w14:paraId="415918CB" w14:textId="77777777" w:rsidR="003F51A6" w:rsidRDefault="003F51A6" w:rsidP="00252A2C">
      <w:pPr>
        <w:shd w:val="clear" w:color="auto" w:fill="FFFFFF"/>
        <w:spacing w:after="0" w:line="240" w:lineRule="auto"/>
        <w:rPr>
          <w:rFonts w:ascii="Arial" w:eastAsia="Times New Roman" w:hAnsi="Arial" w:cs="Arial"/>
          <w:sz w:val="29"/>
          <w:szCs w:val="29"/>
          <w:lang w:eastAsia="en-GB"/>
        </w:rPr>
      </w:pPr>
    </w:p>
    <w:p w14:paraId="68F8A371" w14:textId="06136F8C" w:rsidR="006609A9" w:rsidRDefault="00334302" w:rsidP="00252A2C">
      <w:pPr>
        <w:shd w:val="clear" w:color="auto" w:fill="FFFFFF"/>
        <w:spacing w:after="0" w:line="240" w:lineRule="auto"/>
        <w:rPr>
          <w:rFonts w:ascii="Arial" w:eastAsia="Times New Roman" w:hAnsi="Arial" w:cs="Arial"/>
          <w:sz w:val="29"/>
          <w:szCs w:val="29"/>
          <w:lang w:eastAsia="en-GB"/>
        </w:rPr>
      </w:pPr>
      <w:r>
        <w:rPr>
          <w:rFonts w:ascii="Arial" w:eastAsia="Times New Roman" w:hAnsi="Arial" w:cs="Arial"/>
          <w:sz w:val="29"/>
          <w:szCs w:val="29"/>
          <w:lang w:eastAsia="en-GB"/>
        </w:rPr>
        <w:t>Nevertheless, Case &amp; Deaton’s paper has had ripple effects, as scientific papers should.</w:t>
      </w:r>
      <w:r w:rsidR="001921C7">
        <w:rPr>
          <w:rFonts w:ascii="Arial" w:eastAsia="Times New Roman" w:hAnsi="Arial" w:cs="Arial"/>
          <w:sz w:val="29"/>
          <w:szCs w:val="29"/>
          <w:lang w:eastAsia="en-GB"/>
        </w:rPr>
        <w:t xml:space="preserve"> </w:t>
      </w:r>
      <w:r>
        <w:rPr>
          <w:rFonts w:ascii="Arial" w:eastAsia="Times New Roman" w:hAnsi="Arial" w:cs="Arial"/>
          <w:sz w:val="29"/>
          <w:szCs w:val="29"/>
          <w:lang w:eastAsia="en-GB"/>
        </w:rPr>
        <w:t>Isaac</w:t>
      </w:r>
      <w:r w:rsidR="001921C7">
        <w:rPr>
          <w:rFonts w:ascii="Arial" w:eastAsia="Times New Roman" w:hAnsi="Arial" w:cs="Arial"/>
          <w:sz w:val="29"/>
          <w:szCs w:val="29"/>
          <w:lang w:eastAsia="en-GB"/>
        </w:rPr>
        <w:t xml:space="preserve"> Newton</w:t>
      </w:r>
      <w:r>
        <w:rPr>
          <w:rFonts w:ascii="Arial" w:eastAsia="Times New Roman" w:hAnsi="Arial" w:cs="Arial"/>
          <w:sz w:val="29"/>
          <w:szCs w:val="29"/>
          <w:lang w:eastAsia="en-GB"/>
        </w:rPr>
        <w:t xml:space="preserve"> said that we see </w:t>
      </w:r>
      <w:r w:rsidR="001921C7">
        <w:rPr>
          <w:rFonts w:ascii="Arial" w:eastAsia="Times New Roman" w:hAnsi="Arial" w:cs="Arial"/>
          <w:sz w:val="29"/>
          <w:szCs w:val="29"/>
          <w:lang w:eastAsia="en-GB"/>
        </w:rPr>
        <w:t>further by virtue of standing on the shoulder of giants</w:t>
      </w:r>
      <w:r>
        <w:rPr>
          <w:rFonts w:ascii="Arial" w:eastAsia="Times New Roman" w:hAnsi="Arial" w:cs="Arial"/>
          <w:sz w:val="29"/>
          <w:szCs w:val="29"/>
          <w:lang w:eastAsia="en-GB"/>
        </w:rPr>
        <w:t>.</w:t>
      </w:r>
      <w:r w:rsidR="001921C7">
        <w:rPr>
          <w:rFonts w:ascii="Arial" w:eastAsia="Times New Roman" w:hAnsi="Arial" w:cs="Arial"/>
          <w:sz w:val="29"/>
          <w:szCs w:val="29"/>
          <w:lang w:eastAsia="en-GB"/>
        </w:rPr>
        <w:t xml:space="preserve"> </w:t>
      </w:r>
      <w:r>
        <w:rPr>
          <w:rFonts w:ascii="Arial" w:eastAsia="Times New Roman" w:hAnsi="Arial" w:cs="Arial"/>
          <w:sz w:val="29"/>
          <w:szCs w:val="29"/>
          <w:lang w:eastAsia="en-GB"/>
        </w:rPr>
        <w:t>P</w:t>
      </w:r>
      <w:r w:rsidR="001921C7">
        <w:rPr>
          <w:rFonts w:ascii="Arial" w:eastAsia="Times New Roman" w:hAnsi="Arial" w:cs="Arial"/>
          <w:sz w:val="29"/>
          <w:szCs w:val="29"/>
          <w:lang w:eastAsia="en-GB"/>
        </w:rPr>
        <w:t xml:space="preserve">erhaps the Case &amp; Deaton </w:t>
      </w:r>
      <w:r>
        <w:rPr>
          <w:rFonts w:ascii="Arial" w:eastAsia="Times New Roman" w:hAnsi="Arial" w:cs="Arial"/>
          <w:sz w:val="29"/>
          <w:szCs w:val="29"/>
          <w:lang w:eastAsia="en-GB"/>
        </w:rPr>
        <w:t xml:space="preserve">phenomenon </w:t>
      </w:r>
      <w:r w:rsidR="001921C7">
        <w:rPr>
          <w:rFonts w:ascii="Arial" w:eastAsia="Times New Roman" w:hAnsi="Arial" w:cs="Arial"/>
          <w:sz w:val="29"/>
          <w:szCs w:val="29"/>
          <w:lang w:eastAsia="en-GB"/>
        </w:rPr>
        <w:t>– the paper, the mainstream media attention</w:t>
      </w:r>
      <w:r w:rsidR="007D6761">
        <w:rPr>
          <w:rFonts w:ascii="Arial" w:eastAsia="Times New Roman" w:hAnsi="Arial" w:cs="Arial"/>
          <w:sz w:val="29"/>
          <w:szCs w:val="29"/>
          <w:lang w:eastAsia="en-GB"/>
        </w:rPr>
        <w:t xml:space="preserve">, the careful </w:t>
      </w:r>
      <w:r w:rsidR="00201C9A">
        <w:rPr>
          <w:rFonts w:ascii="Arial" w:eastAsia="Times New Roman" w:hAnsi="Arial" w:cs="Arial"/>
          <w:sz w:val="29"/>
          <w:szCs w:val="29"/>
          <w:lang w:eastAsia="en-GB"/>
        </w:rPr>
        <w:t xml:space="preserve">social </w:t>
      </w:r>
      <w:r w:rsidR="007D6761">
        <w:rPr>
          <w:rFonts w:ascii="Arial" w:eastAsia="Times New Roman" w:hAnsi="Arial" w:cs="Arial"/>
          <w:sz w:val="29"/>
          <w:szCs w:val="29"/>
          <w:lang w:eastAsia="en-GB"/>
        </w:rPr>
        <w:t>media scrutiny,</w:t>
      </w:r>
      <w:r w:rsidR="001921C7">
        <w:rPr>
          <w:rFonts w:ascii="Arial" w:eastAsia="Times New Roman" w:hAnsi="Arial" w:cs="Arial"/>
          <w:sz w:val="29"/>
          <w:szCs w:val="29"/>
          <w:lang w:eastAsia="en-GB"/>
        </w:rPr>
        <w:t xml:space="preserve"> the methodological flaw</w:t>
      </w:r>
      <w:r w:rsidR="007D6761">
        <w:rPr>
          <w:rFonts w:ascii="Arial" w:eastAsia="Times New Roman" w:hAnsi="Arial" w:cs="Arial"/>
          <w:sz w:val="29"/>
          <w:szCs w:val="29"/>
          <w:lang w:eastAsia="en-GB"/>
        </w:rPr>
        <w:t xml:space="preserve">, and later </w:t>
      </w:r>
      <w:r w:rsidR="000B3DD8">
        <w:rPr>
          <w:rFonts w:ascii="Arial" w:eastAsia="Times New Roman" w:hAnsi="Arial" w:cs="Arial"/>
          <w:sz w:val="29"/>
          <w:szCs w:val="29"/>
          <w:lang w:eastAsia="en-GB"/>
        </w:rPr>
        <w:t>an apparent reluctance or slowness in acknowledging this flaw</w:t>
      </w:r>
      <w:r w:rsidR="001921C7">
        <w:rPr>
          <w:rFonts w:ascii="Arial" w:eastAsia="Times New Roman" w:hAnsi="Arial" w:cs="Arial"/>
          <w:sz w:val="29"/>
          <w:szCs w:val="29"/>
          <w:lang w:eastAsia="en-GB"/>
        </w:rPr>
        <w:t xml:space="preserve"> –</w:t>
      </w:r>
      <w:r w:rsidR="001B46CA">
        <w:rPr>
          <w:rFonts w:ascii="Arial" w:eastAsia="Times New Roman" w:hAnsi="Arial" w:cs="Arial"/>
          <w:sz w:val="29"/>
          <w:szCs w:val="29"/>
          <w:lang w:eastAsia="en-GB"/>
        </w:rPr>
        <w:t xml:space="preserve"> </w:t>
      </w:r>
      <w:r>
        <w:rPr>
          <w:rFonts w:ascii="Arial" w:eastAsia="Times New Roman" w:hAnsi="Arial" w:cs="Arial"/>
          <w:sz w:val="29"/>
          <w:szCs w:val="29"/>
          <w:lang w:eastAsia="en-GB"/>
        </w:rPr>
        <w:t>is something of</w:t>
      </w:r>
      <w:r w:rsidR="001B46CA">
        <w:rPr>
          <w:rFonts w:ascii="Arial" w:eastAsia="Times New Roman" w:hAnsi="Arial" w:cs="Arial"/>
          <w:sz w:val="29"/>
          <w:szCs w:val="29"/>
          <w:lang w:eastAsia="en-GB"/>
        </w:rPr>
        <w:t xml:space="preserve"> a Small Giant: something that has had a towering impact, yet is methodologically easy to climb onto and </w:t>
      </w:r>
      <w:r>
        <w:rPr>
          <w:rFonts w:ascii="Arial" w:eastAsia="Times New Roman" w:hAnsi="Arial" w:cs="Arial"/>
          <w:sz w:val="29"/>
          <w:szCs w:val="29"/>
          <w:lang w:eastAsia="en-GB"/>
        </w:rPr>
        <w:t xml:space="preserve">see </w:t>
      </w:r>
      <w:r w:rsidR="001943A5">
        <w:rPr>
          <w:rFonts w:ascii="Arial" w:eastAsia="Times New Roman" w:hAnsi="Arial" w:cs="Arial"/>
          <w:sz w:val="29"/>
          <w:szCs w:val="29"/>
          <w:lang w:eastAsia="en-GB"/>
        </w:rPr>
        <w:t>beyond</w:t>
      </w:r>
      <w:r w:rsidR="001B46CA">
        <w:rPr>
          <w:rFonts w:ascii="Arial" w:eastAsia="Times New Roman" w:hAnsi="Arial" w:cs="Arial"/>
          <w:sz w:val="29"/>
          <w:szCs w:val="29"/>
          <w:lang w:eastAsia="en-GB"/>
        </w:rPr>
        <w:t xml:space="preserve">. </w:t>
      </w:r>
    </w:p>
    <w:p w14:paraId="662A57D1" w14:textId="77777777" w:rsidR="00C57D58" w:rsidRDefault="00C57D58" w:rsidP="00252A2C">
      <w:pPr>
        <w:shd w:val="clear" w:color="auto" w:fill="FFFFFF"/>
        <w:spacing w:after="0" w:line="240" w:lineRule="auto"/>
        <w:rPr>
          <w:rFonts w:ascii="Arial" w:eastAsia="Times New Roman" w:hAnsi="Arial" w:cs="Arial"/>
          <w:sz w:val="29"/>
          <w:szCs w:val="29"/>
          <w:lang w:eastAsia="en-GB"/>
        </w:rPr>
      </w:pPr>
    </w:p>
    <w:p w14:paraId="12190980" w14:textId="2B5CB37B" w:rsidR="003F51A6" w:rsidRDefault="00C57D58" w:rsidP="00252A2C">
      <w:pPr>
        <w:shd w:val="clear" w:color="auto" w:fill="FFFFFF"/>
        <w:spacing w:after="0" w:line="240" w:lineRule="auto"/>
        <w:rPr>
          <w:rFonts w:ascii="Arial" w:eastAsia="Times New Roman" w:hAnsi="Arial" w:cs="Arial"/>
          <w:sz w:val="29"/>
          <w:szCs w:val="29"/>
          <w:lang w:eastAsia="en-GB"/>
        </w:rPr>
      </w:pPr>
      <w:r>
        <w:rPr>
          <w:rFonts w:ascii="Arial" w:eastAsia="Times New Roman" w:hAnsi="Arial" w:cs="Arial"/>
          <w:sz w:val="29"/>
          <w:szCs w:val="29"/>
          <w:lang w:eastAsia="en-GB"/>
        </w:rPr>
        <w:t xml:space="preserve">Like many others who have been alerted to Case &amp; Deaton’s research through </w:t>
      </w:r>
      <w:r w:rsidR="001943A5">
        <w:rPr>
          <w:rFonts w:ascii="Arial" w:eastAsia="Times New Roman" w:hAnsi="Arial" w:cs="Arial"/>
          <w:sz w:val="29"/>
          <w:szCs w:val="29"/>
          <w:lang w:eastAsia="en-GB"/>
        </w:rPr>
        <w:t xml:space="preserve">the </w:t>
      </w:r>
      <w:r>
        <w:rPr>
          <w:rFonts w:ascii="Arial" w:eastAsia="Times New Roman" w:hAnsi="Arial" w:cs="Arial"/>
          <w:sz w:val="29"/>
          <w:szCs w:val="29"/>
          <w:lang w:eastAsia="en-GB"/>
        </w:rPr>
        <w:t xml:space="preserve">mainstream media tidal waves, their research has inspired us to look carefully at extant data on all cause and cause-specific mortality in the USA, and </w:t>
      </w:r>
      <w:r w:rsidR="0058409A">
        <w:rPr>
          <w:rFonts w:ascii="Arial" w:eastAsia="Times New Roman" w:hAnsi="Arial" w:cs="Arial"/>
          <w:sz w:val="29"/>
          <w:szCs w:val="29"/>
          <w:lang w:eastAsia="en-GB"/>
        </w:rPr>
        <w:t xml:space="preserve">to </w:t>
      </w:r>
      <w:r>
        <w:rPr>
          <w:rFonts w:ascii="Arial" w:eastAsia="Times New Roman" w:hAnsi="Arial" w:cs="Arial"/>
          <w:sz w:val="29"/>
          <w:szCs w:val="29"/>
          <w:lang w:eastAsia="en-GB"/>
        </w:rPr>
        <w:t xml:space="preserve">look at these data in ways that avoid the aggregation bias, and more generally the selective focus, which partially </w:t>
      </w:r>
      <w:r w:rsidR="000B3DD8">
        <w:rPr>
          <w:rFonts w:ascii="Arial" w:eastAsia="Times New Roman" w:hAnsi="Arial" w:cs="Arial"/>
          <w:sz w:val="29"/>
          <w:szCs w:val="29"/>
          <w:lang w:eastAsia="en-GB"/>
        </w:rPr>
        <w:t xml:space="preserve">impaired </w:t>
      </w:r>
      <w:r>
        <w:rPr>
          <w:rFonts w:ascii="Arial" w:eastAsia="Times New Roman" w:hAnsi="Arial" w:cs="Arial"/>
          <w:sz w:val="29"/>
          <w:szCs w:val="29"/>
          <w:lang w:eastAsia="en-GB"/>
        </w:rPr>
        <w:t xml:space="preserve">Case &amp; Deaton’s claims. Like Gelman, we were therefore inspired by Case &amp; Deaton’s research despite </w:t>
      </w:r>
      <w:r w:rsidRPr="00C57D58">
        <w:rPr>
          <w:rFonts w:ascii="Arial" w:eastAsia="Times New Roman" w:hAnsi="Arial" w:cs="Arial"/>
          <w:i/>
          <w:sz w:val="29"/>
          <w:szCs w:val="29"/>
          <w:lang w:eastAsia="en-GB"/>
        </w:rPr>
        <w:t>and because of</w:t>
      </w:r>
      <w:r>
        <w:rPr>
          <w:rFonts w:ascii="Arial" w:eastAsia="Times New Roman" w:hAnsi="Arial" w:cs="Arial"/>
          <w:sz w:val="29"/>
          <w:szCs w:val="29"/>
          <w:lang w:eastAsia="en-GB"/>
        </w:rPr>
        <w:t xml:space="preserve"> its flaws. </w:t>
      </w:r>
      <w:r w:rsidR="004F5E9A">
        <w:rPr>
          <w:rFonts w:ascii="Arial" w:eastAsia="Times New Roman" w:hAnsi="Arial" w:cs="Arial"/>
          <w:sz w:val="29"/>
          <w:szCs w:val="29"/>
          <w:lang w:eastAsia="en-GB"/>
        </w:rPr>
        <w:t>Academic blogging, together with the free availability of the data used by Case &amp; Deaton, has t</w:t>
      </w:r>
      <w:r w:rsidR="009A672B">
        <w:rPr>
          <w:rFonts w:ascii="Arial" w:eastAsia="Times New Roman" w:hAnsi="Arial" w:cs="Arial"/>
          <w:sz w:val="29"/>
          <w:szCs w:val="29"/>
          <w:lang w:eastAsia="en-GB"/>
        </w:rPr>
        <w:t>herefore made it easier for a momentum, generated both by methodological shortcomings and substantive public health engagement, to be maintained and redirected. Following the newspaper articles discussing substance and blogs describing methodology, has been a flurry of emails, phone calls, coffee room conversations</w:t>
      </w:r>
      <w:r w:rsidR="009E79AD">
        <w:rPr>
          <w:rFonts w:ascii="Arial" w:eastAsia="Times New Roman" w:hAnsi="Arial" w:cs="Arial"/>
          <w:sz w:val="29"/>
          <w:szCs w:val="29"/>
          <w:lang w:eastAsia="en-GB"/>
        </w:rPr>
        <w:t xml:space="preserve">, and other activities from which new academic outputs emerge. </w:t>
      </w:r>
      <w:r w:rsidR="00573F08">
        <w:rPr>
          <w:rFonts w:ascii="Arial" w:eastAsia="Times New Roman" w:hAnsi="Arial" w:cs="Arial"/>
          <w:sz w:val="29"/>
          <w:szCs w:val="29"/>
          <w:lang w:eastAsia="en-GB"/>
        </w:rPr>
        <w:t xml:space="preserve">There </w:t>
      </w:r>
      <w:r w:rsidR="00A52A18">
        <w:rPr>
          <w:rFonts w:ascii="Arial" w:eastAsia="Times New Roman" w:hAnsi="Arial" w:cs="Arial"/>
          <w:sz w:val="29"/>
          <w:szCs w:val="29"/>
          <w:lang w:eastAsia="en-GB"/>
        </w:rPr>
        <w:t xml:space="preserve">may have been </w:t>
      </w:r>
      <w:r w:rsidR="00573F08">
        <w:rPr>
          <w:rFonts w:ascii="Arial" w:eastAsia="Times New Roman" w:hAnsi="Arial" w:cs="Arial"/>
          <w:sz w:val="29"/>
          <w:szCs w:val="29"/>
          <w:lang w:eastAsia="en-GB"/>
        </w:rPr>
        <w:t xml:space="preserve">substantial opportunity costs imposed by Case &amp; Deaton’s paper on both academic researchers and mainstream media, </w:t>
      </w:r>
      <w:r w:rsidR="003663BE">
        <w:rPr>
          <w:rFonts w:ascii="Arial" w:eastAsia="Times New Roman" w:hAnsi="Arial" w:cs="Arial"/>
          <w:sz w:val="29"/>
          <w:szCs w:val="29"/>
          <w:lang w:eastAsia="en-GB"/>
        </w:rPr>
        <w:t xml:space="preserve">not least that the attention paid by both communities </w:t>
      </w:r>
      <w:r w:rsidR="00201C9A">
        <w:rPr>
          <w:rFonts w:ascii="Arial" w:eastAsia="Times New Roman" w:hAnsi="Arial" w:cs="Arial"/>
          <w:sz w:val="29"/>
          <w:szCs w:val="29"/>
          <w:lang w:eastAsia="en-GB"/>
        </w:rPr>
        <w:t>to</w:t>
      </w:r>
      <w:r w:rsidR="003663BE">
        <w:rPr>
          <w:rFonts w:ascii="Arial" w:eastAsia="Times New Roman" w:hAnsi="Arial" w:cs="Arial"/>
          <w:sz w:val="29"/>
          <w:szCs w:val="29"/>
          <w:lang w:eastAsia="en-GB"/>
        </w:rPr>
        <w:t xml:space="preserve"> the worsening health </w:t>
      </w:r>
      <w:r w:rsidR="003663BE">
        <w:rPr>
          <w:rFonts w:ascii="Arial" w:eastAsia="Times New Roman" w:hAnsi="Arial" w:cs="Arial"/>
          <w:sz w:val="29"/>
          <w:szCs w:val="29"/>
          <w:lang w:eastAsia="en-GB"/>
        </w:rPr>
        <w:lastRenderedPageBreak/>
        <w:t xml:space="preserve">trajectory of middle-aged White Non-Hispanics (WNHs) as a result of the paper may have directed </w:t>
      </w:r>
      <w:r w:rsidR="00F8247B">
        <w:rPr>
          <w:rFonts w:ascii="Arial" w:eastAsia="Times New Roman" w:hAnsi="Arial" w:cs="Arial"/>
          <w:sz w:val="29"/>
          <w:szCs w:val="29"/>
          <w:lang w:eastAsia="en-GB"/>
        </w:rPr>
        <w:t>focus</w:t>
      </w:r>
      <w:r w:rsidR="003663BE">
        <w:rPr>
          <w:rFonts w:ascii="Arial" w:eastAsia="Times New Roman" w:hAnsi="Arial" w:cs="Arial"/>
          <w:sz w:val="29"/>
          <w:szCs w:val="29"/>
          <w:lang w:eastAsia="en-GB"/>
        </w:rPr>
        <w:t xml:space="preserve"> away from both positive and negative health trends in other age groups and ethnic groups. However, we hope the eventual outcome of such attention will be a net gain rather than net loss to both epidemiologists and the public at large. </w:t>
      </w:r>
    </w:p>
    <w:p w14:paraId="1D512A44" w14:textId="77777777" w:rsidR="003F51A6" w:rsidRDefault="003F51A6" w:rsidP="00252A2C">
      <w:pPr>
        <w:shd w:val="clear" w:color="auto" w:fill="FFFFFF"/>
        <w:spacing w:after="0" w:line="240" w:lineRule="auto"/>
        <w:rPr>
          <w:rFonts w:ascii="Arial" w:eastAsia="Times New Roman" w:hAnsi="Arial" w:cs="Arial"/>
          <w:sz w:val="29"/>
          <w:szCs w:val="29"/>
          <w:lang w:eastAsia="en-GB"/>
        </w:rPr>
      </w:pPr>
    </w:p>
    <w:p w14:paraId="4DCF2FC5" w14:textId="6127E817" w:rsidR="003F51A6" w:rsidRDefault="003F51A6" w:rsidP="00C23509">
      <w:pPr>
        <w:pStyle w:val="Heading1"/>
        <w:rPr>
          <w:lang w:eastAsia="en-GB"/>
        </w:rPr>
      </w:pPr>
      <w:r>
        <w:rPr>
          <w:lang w:eastAsia="en-GB"/>
        </w:rPr>
        <w:t xml:space="preserve">Lexis surfaces: A better way of looking </w:t>
      </w:r>
    </w:p>
    <w:p w14:paraId="5DDB38C4" w14:textId="77777777" w:rsidR="003F51A6" w:rsidRDefault="003F51A6" w:rsidP="00C23509">
      <w:pPr>
        <w:rPr>
          <w:lang w:eastAsia="en-GB"/>
        </w:rPr>
      </w:pPr>
    </w:p>
    <w:p w14:paraId="0A709803" w14:textId="45731F9A" w:rsidR="000B1812" w:rsidRDefault="00FC434F" w:rsidP="00C23509">
      <w:pPr>
        <w:rPr>
          <w:rFonts w:ascii="Arial" w:eastAsia="Times New Roman" w:hAnsi="Arial" w:cs="Arial"/>
          <w:sz w:val="29"/>
          <w:szCs w:val="29"/>
          <w:lang w:eastAsia="en-GB"/>
        </w:rPr>
        <w:sectPr w:rsidR="000B1812">
          <w:pgSz w:w="11906" w:h="16838"/>
          <w:pgMar w:top="1440" w:right="1440" w:bottom="1440" w:left="1440" w:header="708" w:footer="708" w:gutter="0"/>
          <w:cols w:space="708"/>
          <w:docGrid w:linePitch="360"/>
        </w:sectPr>
      </w:pPr>
      <w:r>
        <w:rPr>
          <w:rFonts w:ascii="Arial" w:eastAsia="Times New Roman" w:hAnsi="Arial" w:cs="Arial"/>
          <w:sz w:val="29"/>
          <w:szCs w:val="29"/>
          <w:lang w:eastAsia="en-GB"/>
        </w:rPr>
        <w:t xml:space="preserve">The </w:t>
      </w:r>
      <w:r w:rsidR="00853A76">
        <w:rPr>
          <w:rFonts w:ascii="Arial" w:eastAsia="Times New Roman" w:hAnsi="Arial" w:cs="Arial"/>
          <w:sz w:val="29"/>
          <w:szCs w:val="29"/>
          <w:lang w:eastAsia="en-GB"/>
        </w:rPr>
        <w:t xml:space="preserve">attention generated by the Case &amp; Deaton paper has encouraged further analyses and visualisations of their source data. </w:t>
      </w:r>
      <w:r w:rsidR="00E97AA6">
        <w:rPr>
          <w:rFonts w:ascii="Arial" w:eastAsia="Times New Roman" w:hAnsi="Arial" w:cs="Arial"/>
          <w:sz w:val="29"/>
          <w:szCs w:val="29"/>
          <w:lang w:eastAsia="en-GB"/>
        </w:rPr>
        <w:t>Kolata</w:t>
      </w:r>
      <w:r w:rsidR="00853A76">
        <w:rPr>
          <w:rFonts w:ascii="Arial" w:eastAsia="Times New Roman" w:hAnsi="Arial" w:cs="Arial"/>
          <w:sz w:val="29"/>
          <w:szCs w:val="29"/>
          <w:lang w:eastAsia="en-GB"/>
        </w:rPr>
        <w:t xml:space="preserve"> and </w:t>
      </w:r>
      <w:r w:rsidR="00E97AA6">
        <w:rPr>
          <w:rFonts w:ascii="Arial" w:eastAsia="Times New Roman" w:hAnsi="Arial" w:cs="Arial"/>
          <w:sz w:val="29"/>
          <w:szCs w:val="29"/>
          <w:lang w:eastAsia="en-GB"/>
        </w:rPr>
        <w:t>Cohen</w:t>
      </w:r>
      <w:r w:rsidR="00853A76">
        <w:rPr>
          <w:rFonts w:ascii="Arial" w:eastAsia="Times New Roman" w:hAnsi="Arial" w:cs="Arial"/>
          <w:sz w:val="29"/>
          <w:szCs w:val="29"/>
          <w:lang w:eastAsia="en-GB"/>
        </w:rPr>
        <w:t>, for example, explored trends in younger age groups, and Gelman looked at mortality trends for ages in single years, indexed against 1999 levels.</w:t>
      </w:r>
      <w:r w:rsidR="00BF4106" w:rsidRPr="00E97AA6">
        <w:rPr>
          <w:rFonts w:ascii="Arial" w:eastAsia="Times New Roman" w:hAnsi="Arial" w:cs="Arial"/>
          <w:sz w:val="29"/>
          <w:szCs w:val="29"/>
          <w:vertAlign w:val="superscript"/>
          <w:lang w:eastAsia="en-GB"/>
        </w:rPr>
        <w:t>5,6</w:t>
      </w:r>
      <w:r w:rsidR="00853A76">
        <w:rPr>
          <w:rFonts w:ascii="Arial" w:eastAsia="Times New Roman" w:hAnsi="Arial" w:cs="Arial"/>
          <w:sz w:val="29"/>
          <w:szCs w:val="29"/>
          <w:lang w:eastAsia="en-GB"/>
        </w:rPr>
        <w:t xml:space="preserve"> But in both cases, simple line graphs or lattices of line graphs were used, limiting the amount of information that can be conveyed in a single figure. </w:t>
      </w:r>
      <w:r w:rsidR="00C57D58">
        <w:rPr>
          <w:rFonts w:ascii="Arial" w:eastAsia="Times New Roman" w:hAnsi="Arial" w:cs="Arial"/>
          <w:sz w:val="29"/>
          <w:szCs w:val="29"/>
          <w:lang w:eastAsia="en-GB"/>
        </w:rPr>
        <w:t>Using the</w:t>
      </w:r>
      <w:r w:rsidR="00511F79">
        <w:rPr>
          <w:rFonts w:ascii="Arial" w:eastAsia="Times New Roman" w:hAnsi="Arial" w:cs="Arial"/>
          <w:sz w:val="29"/>
          <w:szCs w:val="29"/>
          <w:lang w:eastAsia="en-GB"/>
        </w:rPr>
        <w:t xml:space="preserve"> same database used by Case &amp; Deaton, the Center for Disease Control WONDER database, but extracting data by age in single year</w:t>
      </w:r>
      <w:r w:rsidR="0058409A">
        <w:rPr>
          <w:rFonts w:ascii="Arial" w:eastAsia="Times New Roman" w:hAnsi="Arial" w:cs="Arial"/>
          <w:sz w:val="29"/>
          <w:szCs w:val="29"/>
          <w:lang w:eastAsia="en-GB"/>
        </w:rPr>
        <w:t>s</w:t>
      </w:r>
      <w:r w:rsidR="00511F79">
        <w:rPr>
          <w:rFonts w:ascii="Arial" w:eastAsia="Times New Roman" w:hAnsi="Arial" w:cs="Arial"/>
          <w:sz w:val="29"/>
          <w:szCs w:val="29"/>
          <w:lang w:eastAsia="en-GB"/>
        </w:rPr>
        <w:t>, and for both sexes and each of the three ethnic groups defined in their paper, we were able to visualise more than 40</w:t>
      </w:r>
      <w:r w:rsidR="0070654C">
        <w:rPr>
          <w:rFonts w:ascii="Arial" w:eastAsia="Times New Roman" w:hAnsi="Arial" w:cs="Arial"/>
          <w:sz w:val="29"/>
          <w:szCs w:val="29"/>
          <w:lang w:eastAsia="en-GB"/>
        </w:rPr>
        <w:t>,</w:t>
      </w:r>
      <w:r w:rsidR="00511F79">
        <w:rPr>
          <w:rFonts w:ascii="Arial" w:eastAsia="Times New Roman" w:hAnsi="Arial" w:cs="Arial"/>
          <w:sz w:val="29"/>
          <w:szCs w:val="29"/>
          <w:lang w:eastAsia="en-GB"/>
        </w:rPr>
        <w:t>000 individual sex-, ethnicity-, age- and year-specific mortality rates on a single page, using Lexis surfaces.</w:t>
      </w:r>
      <w:r w:rsidR="00BF4106" w:rsidRPr="00E97AA6">
        <w:rPr>
          <w:rFonts w:ascii="Arial" w:eastAsia="Times New Roman" w:hAnsi="Arial" w:cs="Arial"/>
          <w:sz w:val="29"/>
          <w:szCs w:val="29"/>
          <w:vertAlign w:val="superscript"/>
          <w:lang w:eastAsia="en-GB"/>
        </w:rPr>
        <w:t>7</w:t>
      </w:r>
      <w:r w:rsidR="00511F79">
        <w:rPr>
          <w:rFonts w:ascii="Arial" w:eastAsia="Times New Roman" w:hAnsi="Arial" w:cs="Arial"/>
          <w:sz w:val="29"/>
          <w:szCs w:val="29"/>
          <w:lang w:eastAsia="en-GB"/>
        </w:rPr>
        <w:t xml:space="preserve"> </w:t>
      </w:r>
      <w:r w:rsidR="000B1812">
        <w:rPr>
          <w:rFonts w:ascii="Arial" w:eastAsia="Times New Roman" w:hAnsi="Arial" w:cs="Arial"/>
          <w:sz w:val="29"/>
          <w:szCs w:val="29"/>
          <w:lang w:eastAsia="en-GB"/>
        </w:rPr>
        <w:t xml:space="preserve">In a Lexis surface, data are arranged as ‘pixels’ on a rectangular canvas, by </w:t>
      </w:r>
      <w:r w:rsidR="00F2284D">
        <w:rPr>
          <w:rFonts w:ascii="Arial" w:eastAsia="Times New Roman" w:hAnsi="Arial" w:cs="Arial"/>
          <w:sz w:val="29"/>
          <w:szCs w:val="29"/>
          <w:lang w:eastAsia="en-GB"/>
        </w:rPr>
        <w:t>age</w:t>
      </w:r>
      <w:r w:rsidR="000B1812">
        <w:rPr>
          <w:rFonts w:ascii="Arial" w:eastAsia="Times New Roman" w:hAnsi="Arial" w:cs="Arial"/>
          <w:sz w:val="29"/>
          <w:szCs w:val="29"/>
          <w:lang w:eastAsia="en-GB"/>
        </w:rPr>
        <w:t xml:space="preserve"> on one axis and year</w:t>
      </w:r>
      <w:r w:rsidR="00F2284D">
        <w:rPr>
          <w:rFonts w:ascii="Arial" w:eastAsia="Times New Roman" w:hAnsi="Arial" w:cs="Arial"/>
          <w:sz w:val="29"/>
          <w:szCs w:val="29"/>
          <w:lang w:eastAsia="en-GB"/>
        </w:rPr>
        <w:t xml:space="preserve"> on the other</w:t>
      </w:r>
      <w:r w:rsidR="000B1812">
        <w:rPr>
          <w:rFonts w:ascii="Arial" w:eastAsia="Times New Roman" w:hAnsi="Arial" w:cs="Arial"/>
          <w:sz w:val="29"/>
          <w:szCs w:val="29"/>
          <w:lang w:eastAsia="en-GB"/>
        </w:rPr>
        <w:t xml:space="preserve">. The shade </w:t>
      </w:r>
      <w:r w:rsidR="00F8247B">
        <w:rPr>
          <w:rFonts w:ascii="Arial" w:eastAsia="Times New Roman" w:hAnsi="Arial" w:cs="Arial"/>
          <w:sz w:val="29"/>
          <w:szCs w:val="29"/>
          <w:lang w:eastAsia="en-GB"/>
        </w:rPr>
        <w:t xml:space="preserve">(and, online, the colour) </w:t>
      </w:r>
      <w:r w:rsidR="000B1812">
        <w:rPr>
          <w:rFonts w:ascii="Arial" w:eastAsia="Times New Roman" w:hAnsi="Arial" w:cs="Arial"/>
          <w:sz w:val="29"/>
          <w:szCs w:val="29"/>
          <w:lang w:eastAsia="en-GB"/>
        </w:rPr>
        <w:t>of these pixels is then determined by the specific mortality risk faced by people of that particular ethnicity</w:t>
      </w:r>
      <w:r w:rsidR="0070654C">
        <w:rPr>
          <w:rFonts w:ascii="Arial" w:eastAsia="Times New Roman" w:hAnsi="Arial" w:cs="Arial"/>
          <w:sz w:val="29"/>
          <w:szCs w:val="29"/>
          <w:lang w:eastAsia="en-GB"/>
        </w:rPr>
        <w:t>,</w:t>
      </w:r>
      <w:r w:rsidR="000B1812">
        <w:rPr>
          <w:rFonts w:ascii="Arial" w:eastAsia="Times New Roman" w:hAnsi="Arial" w:cs="Arial"/>
          <w:sz w:val="29"/>
          <w:szCs w:val="29"/>
          <w:lang w:eastAsia="en-GB"/>
        </w:rPr>
        <w:t xml:space="preserve"> sex, </w:t>
      </w:r>
      <w:r w:rsidR="0070654C">
        <w:rPr>
          <w:rFonts w:ascii="Arial" w:eastAsia="Times New Roman" w:hAnsi="Arial" w:cs="Arial"/>
          <w:sz w:val="29"/>
          <w:szCs w:val="29"/>
          <w:lang w:eastAsia="en-GB"/>
        </w:rPr>
        <w:t>year of</w:t>
      </w:r>
      <w:r w:rsidR="000B1812">
        <w:rPr>
          <w:rFonts w:ascii="Arial" w:eastAsia="Times New Roman" w:hAnsi="Arial" w:cs="Arial"/>
          <w:sz w:val="29"/>
          <w:szCs w:val="29"/>
          <w:lang w:eastAsia="en-GB"/>
        </w:rPr>
        <w:t xml:space="preserve"> age, </w:t>
      </w:r>
      <w:r w:rsidR="000B3DD8">
        <w:rPr>
          <w:rFonts w:ascii="Arial" w:eastAsia="Times New Roman" w:hAnsi="Arial" w:cs="Arial"/>
          <w:sz w:val="29"/>
          <w:szCs w:val="29"/>
          <w:lang w:eastAsia="en-GB"/>
        </w:rPr>
        <w:t xml:space="preserve">and </w:t>
      </w:r>
      <w:r w:rsidR="000B1812">
        <w:rPr>
          <w:rFonts w:ascii="Arial" w:eastAsia="Times New Roman" w:hAnsi="Arial" w:cs="Arial"/>
          <w:sz w:val="29"/>
          <w:szCs w:val="29"/>
          <w:lang w:eastAsia="en-GB"/>
        </w:rPr>
        <w:t xml:space="preserve">in </w:t>
      </w:r>
      <w:r w:rsidR="0070654C">
        <w:rPr>
          <w:rFonts w:ascii="Arial" w:eastAsia="Times New Roman" w:hAnsi="Arial" w:cs="Arial"/>
          <w:sz w:val="29"/>
          <w:szCs w:val="29"/>
          <w:lang w:eastAsia="en-GB"/>
        </w:rPr>
        <w:t xml:space="preserve">a </w:t>
      </w:r>
      <w:r w:rsidR="000B1812">
        <w:rPr>
          <w:rFonts w:ascii="Arial" w:eastAsia="Times New Roman" w:hAnsi="Arial" w:cs="Arial"/>
          <w:sz w:val="29"/>
          <w:szCs w:val="29"/>
          <w:lang w:eastAsia="en-GB"/>
        </w:rPr>
        <w:t xml:space="preserve">particular </w:t>
      </w:r>
      <w:r w:rsidR="0070654C">
        <w:rPr>
          <w:rFonts w:ascii="Arial" w:eastAsia="Times New Roman" w:hAnsi="Arial" w:cs="Arial"/>
          <w:sz w:val="29"/>
          <w:szCs w:val="29"/>
          <w:lang w:eastAsia="en-GB"/>
        </w:rPr>
        <w:t xml:space="preserve">calendar </w:t>
      </w:r>
      <w:r w:rsidR="000B1812">
        <w:rPr>
          <w:rFonts w:ascii="Arial" w:eastAsia="Times New Roman" w:hAnsi="Arial" w:cs="Arial"/>
          <w:sz w:val="29"/>
          <w:szCs w:val="29"/>
          <w:lang w:eastAsia="en-GB"/>
        </w:rPr>
        <w:t xml:space="preserve">year. For one of the figures, showing all-cause mortality, contour lines are added linking spaces across this canvas with equal mortality risk. </w:t>
      </w:r>
      <w:r w:rsidR="0070654C">
        <w:rPr>
          <w:rFonts w:ascii="Arial" w:eastAsia="Times New Roman" w:hAnsi="Arial" w:cs="Arial"/>
          <w:sz w:val="29"/>
          <w:szCs w:val="29"/>
          <w:lang w:eastAsia="en-GB"/>
        </w:rPr>
        <w:t>In</w:t>
      </w:r>
      <w:r w:rsidR="000B1812">
        <w:rPr>
          <w:rFonts w:ascii="Arial" w:eastAsia="Times New Roman" w:hAnsi="Arial" w:cs="Arial"/>
          <w:sz w:val="29"/>
          <w:szCs w:val="29"/>
          <w:lang w:eastAsia="en-GB"/>
        </w:rPr>
        <w:t xml:space="preserve"> contrast, most of the figures and tables presented by Case &amp; Deaton are equivalent to focusing on a small horizontal strip within these surfaces, </w:t>
      </w:r>
      <w:r w:rsidR="0058409A">
        <w:rPr>
          <w:rFonts w:ascii="Arial" w:eastAsia="Times New Roman" w:hAnsi="Arial" w:cs="Arial"/>
          <w:sz w:val="29"/>
          <w:szCs w:val="29"/>
          <w:lang w:eastAsia="en-GB"/>
        </w:rPr>
        <w:t>just</w:t>
      </w:r>
      <w:r w:rsidR="000B1812">
        <w:rPr>
          <w:rFonts w:ascii="Arial" w:eastAsia="Times New Roman" w:hAnsi="Arial" w:cs="Arial"/>
          <w:sz w:val="29"/>
          <w:szCs w:val="29"/>
          <w:lang w:eastAsia="en-GB"/>
        </w:rPr>
        <w:t xml:space="preserve"> the 45-54 year age range, and then merging all the vertical strips of pixels, 10 separate age specific mortality risks within each year, into a single value, namely the vertical position of a line on a graph. </w:t>
      </w:r>
      <w:r w:rsidR="00655421">
        <w:rPr>
          <w:rFonts w:ascii="Arial" w:eastAsia="Times New Roman" w:hAnsi="Arial" w:cs="Arial"/>
          <w:sz w:val="29"/>
          <w:szCs w:val="29"/>
          <w:lang w:eastAsia="en-GB"/>
        </w:rPr>
        <w:t xml:space="preserve">For convenience we use the shorthand WNH to refer to White Non-Hispanics, H for Hispanics, and BNH for Black Non-Hispanics. This information-intensive method of visualisation allows us to see what Case &amp; Deaton saw, as well as a lot of additional information that they </w:t>
      </w:r>
      <w:r w:rsidR="0058409A">
        <w:rPr>
          <w:rFonts w:ascii="Arial" w:eastAsia="Times New Roman" w:hAnsi="Arial" w:cs="Arial"/>
          <w:sz w:val="29"/>
          <w:szCs w:val="29"/>
          <w:lang w:eastAsia="en-GB"/>
        </w:rPr>
        <w:t>could not see with their methods</w:t>
      </w:r>
      <w:r w:rsidR="00655421">
        <w:rPr>
          <w:rFonts w:ascii="Arial" w:eastAsia="Times New Roman" w:hAnsi="Arial" w:cs="Arial"/>
          <w:sz w:val="29"/>
          <w:szCs w:val="29"/>
          <w:lang w:eastAsia="en-GB"/>
        </w:rPr>
        <w:t>.</w:t>
      </w:r>
    </w:p>
    <w:p w14:paraId="66386436" w14:textId="0F4997C8" w:rsidR="00E30F18" w:rsidRDefault="00E30F18" w:rsidP="00655421">
      <w:pPr>
        <w:pStyle w:val="Caption"/>
        <w:keepNext/>
      </w:pPr>
      <w:r>
        <w:lastRenderedPageBreak/>
        <w:t xml:space="preserve">Figure 1 Lexis surface visualisation of CDC all-cause mortality (log10 scale) for White Non-Hispanic males and females. </w:t>
      </w:r>
    </w:p>
    <w:p w14:paraId="1DB14D79" w14:textId="08DA57A3" w:rsidR="00E30F18" w:rsidRPr="00E30F18" w:rsidRDefault="001C0C6C" w:rsidP="0050188F">
      <w:r>
        <w:rPr>
          <w:noProof/>
          <w:lang w:eastAsia="en-GB"/>
        </w:rPr>
        <w:drawing>
          <wp:inline distT="0" distB="0" distL="0" distR="0" wp14:anchorId="15C448AB" wp14:editId="201ABA13">
            <wp:extent cx="6989536" cy="6353175"/>
            <wp:effectExtent l="0" t="0" r="1905" b="0"/>
            <wp:docPr id="8" name="Picture 8" descr="https://raw.githubusercontent.com/JonMinton/Lexis_Surface_Difference_Maps/master/figures/case_deaton/usa_scp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aw.githubusercontent.com/JonMinton/Lexis_Surface_Difference_Maps/master/figures/case_deaton/usa_scp_al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3318" cy="6365702"/>
                    </a:xfrm>
                    <a:prstGeom prst="rect">
                      <a:avLst/>
                    </a:prstGeom>
                    <a:noFill/>
                    <a:ln>
                      <a:noFill/>
                    </a:ln>
                  </pic:spPr>
                </pic:pic>
              </a:graphicData>
            </a:graphic>
          </wp:inline>
        </w:drawing>
      </w:r>
    </w:p>
    <w:p w14:paraId="2CCF5DAB" w14:textId="77777777" w:rsidR="001C0C6C" w:rsidRDefault="001C0C6C">
      <w:pPr>
        <w:rPr>
          <w:i/>
          <w:iCs/>
          <w:color w:val="44546A" w:themeColor="text2"/>
          <w:sz w:val="18"/>
          <w:szCs w:val="18"/>
        </w:rPr>
      </w:pPr>
      <w:r>
        <w:br w:type="page"/>
      </w:r>
    </w:p>
    <w:p w14:paraId="473198C9" w14:textId="45035B38" w:rsidR="00655421" w:rsidRDefault="00655421" w:rsidP="00655421">
      <w:pPr>
        <w:pStyle w:val="Caption"/>
        <w:keepNext/>
      </w:pPr>
      <w:r>
        <w:lastRenderedPageBreak/>
        <w:t xml:space="preserve">Figure </w:t>
      </w:r>
      <w:r w:rsidR="00E30F18">
        <w:t xml:space="preserve">2 </w:t>
      </w:r>
      <w:r>
        <w:t>Lexis surface visualisations of CDC all-cause and external cause specific mortality rates</w:t>
      </w:r>
      <w:r w:rsidR="00F60A2B">
        <w:t xml:space="preserve"> (colour online)</w:t>
      </w:r>
    </w:p>
    <w:p w14:paraId="5C2DA825" w14:textId="344EB259" w:rsidR="00655421" w:rsidRDefault="001C0C6C" w:rsidP="00C23509">
      <w:pPr>
        <w:rPr>
          <w:lang w:eastAsia="en-GB"/>
        </w:rPr>
      </w:pPr>
      <w:r>
        <w:rPr>
          <w:noProof/>
          <w:lang w:eastAsia="en-GB"/>
        </w:rPr>
        <w:drawing>
          <wp:inline distT="0" distB="0" distL="0" distR="0" wp14:anchorId="79B78CC3" wp14:editId="11A00E3A">
            <wp:extent cx="1878190" cy="5929024"/>
            <wp:effectExtent l="0" t="0" r="8255" b="0"/>
            <wp:docPr id="4" name="Content Placeholder 3" descr="cdc_all_cause__portrait.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cdc_all_cause__portrait.png"/>
                    <pic:cNvPicPr>
                      <a:picLocks noGrp="1" noChangeAspect="1"/>
                    </pic:cNvPicPr>
                  </pic:nvPicPr>
                  <pic:blipFill rotWithShape="1">
                    <a:blip r:embed="rId9">
                      <a:extLst>
                        <a:ext uri="{28A0092B-C50C-407E-A947-70E740481C1C}">
                          <a14:useLocalDpi xmlns:a14="http://schemas.microsoft.com/office/drawing/2010/main" val="0"/>
                        </a:ext>
                      </a:extLst>
                    </a:blip>
                    <a:srcRect l="12305" r="13769"/>
                    <a:stretch/>
                  </pic:blipFill>
                  <pic:spPr>
                    <a:xfrm>
                      <a:off x="0" y="0"/>
                      <a:ext cx="1878190" cy="5929024"/>
                    </a:xfrm>
                    <a:prstGeom prst="rect">
                      <a:avLst/>
                    </a:prstGeom>
                  </pic:spPr>
                </pic:pic>
              </a:graphicData>
            </a:graphic>
          </wp:inline>
        </w:drawing>
      </w:r>
      <w:r>
        <w:rPr>
          <w:noProof/>
          <w:lang w:eastAsia="en-GB"/>
        </w:rPr>
        <w:drawing>
          <wp:inline distT="0" distB="0" distL="0" distR="0" wp14:anchorId="3A03FD09" wp14:editId="460F1DC2">
            <wp:extent cx="1637529" cy="5956471"/>
            <wp:effectExtent l="0" t="0" r="1270" b="6350"/>
            <wp:docPr id="5" name="Picture 4" descr="suicides_per_100000_smoothed_levelplot_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uicides_per_100000_smoothed_levelplot_portrait.png"/>
                    <pic:cNvPicPr>
                      <a:picLocks noChangeAspect="1"/>
                    </pic:cNvPicPr>
                  </pic:nvPicPr>
                  <pic:blipFill rotWithShape="1">
                    <a:blip r:embed="rId10">
                      <a:extLst>
                        <a:ext uri="{28A0092B-C50C-407E-A947-70E740481C1C}">
                          <a14:useLocalDpi xmlns:a14="http://schemas.microsoft.com/office/drawing/2010/main" val="0"/>
                        </a:ext>
                      </a:extLst>
                    </a:blip>
                    <a:srcRect l="20944" r="14900"/>
                    <a:stretch/>
                  </pic:blipFill>
                  <pic:spPr>
                    <a:xfrm>
                      <a:off x="0" y="0"/>
                      <a:ext cx="1637529" cy="5956471"/>
                    </a:xfrm>
                    <a:prstGeom prst="rect">
                      <a:avLst/>
                    </a:prstGeom>
                  </pic:spPr>
                </pic:pic>
              </a:graphicData>
            </a:graphic>
          </wp:inline>
        </w:drawing>
      </w:r>
      <w:r>
        <w:rPr>
          <w:noProof/>
          <w:lang w:eastAsia="en-GB"/>
        </w:rPr>
        <w:drawing>
          <wp:inline distT="0" distB="0" distL="0" distR="0" wp14:anchorId="124698BE" wp14:editId="395E73C9">
            <wp:extent cx="1656167" cy="6030090"/>
            <wp:effectExtent l="0" t="0" r="1270" b="8890"/>
            <wp:docPr id="6" name="Picture 5" descr="drug_induced_per_100000_portrait_smoothed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rug_induced_per_100000_portrait_smoothed_level.png"/>
                    <pic:cNvPicPr>
                      <a:picLocks noChangeAspect="1"/>
                    </pic:cNvPicPr>
                  </pic:nvPicPr>
                  <pic:blipFill rotWithShape="1">
                    <a:blip r:embed="rId11">
                      <a:extLst>
                        <a:ext uri="{28A0092B-C50C-407E-A947-70E740481C1C}">
                          <a14:useLocalDpi xmlns:a14="http://schemas.microsoft.com/office/drawing/2010/main" val="0"/>
                        </a:ext>
                      </a:extLst>
                    </a:blip>
                    <a:srcRect l="20923" r="14981"/>
                    <a:stretch/>
                  </pic:blipFill>
                  <pic:spPr>
                    <a:xfrm>
                      <a:off x="0" y="0"/>
                      <a:ext cx="1656167" cy="6030090"/>
                    </a:xfrm>
                    <a:prstGeom prst="rect">
                      <a:avLst/>
                    </a:prstGeom>
                  </pic:spPr>
                </pic:pic>
              </a:graphicData>
            </a:graphic>
          </wp:inline>
        </w:drawing>
      </w:r>
      <w:r>
        <w:rPr>
          <w:noProof/>
          <w:lang w:eastAsia="en-GB"/>
        </w:rPr>
        <w:drawing>
          <wp:inline distT="0" distB="0" distL="0" distR="0" wp14:anchorId="4A1CDFCA" wp14:editId="50C231F5">
            <wp:extent cx="1704432" cy="6044895"/>
            <wp:effectExtent l="0" t="0" r="0" b="0"/>
            <wp:docPr id="7" name="Picture 6" descr="vehicle_deaths_per_100000_portrait_smoothed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vehicle_deaths_per_100000_portrait_smoothed_level.png"/>
                    <pic:cNvPicPr>
                      <a:picLocks noChangeAspect="1"/>
                    </pic:cNvPicPr>
                  </pic:nvPicPr>
                  <pic:blipFill rotWithShape="1">
                    <a:blip r:embed="rId12">
                      <a:extLst>
                        <a:ext uri="{28A0092B-C50C-407E-A947-70E740481C1C}">
                          <a14:useLocalDpi xmlns:a14="http://schemas.microsoft.com/office/drawing/2010/main" val="0"/>
                        </a:ext>
                      </a:extLst>
                    </a:blip>
                    <a:srcRect l="21722" r="12476"/>
                    <a:stretch/>
                  </pic:blipFill>
                  <pic:spPr>
                    <a:xfrm>
                      <a:off x="0" y="0"/>
                      <a:ext cx="1704432" cy="6044895"/>
                    </a:xfrm>
                    <a:prstGeom prst="rect">
                      <a:avLst/>
                    </a:prstGeom>
                  </pic:spPr>
                </pic:pic>
              </a:graphicData>
            </a:graphic>
          </wp:inline>
        </w:drawing>
      </w:r>
    </w:p>
    <w:p w14:paraId="4CF56D00" w14:textId="451C8D03" w:rsidR="001C0C6C" w:rsidRDefault="001C0C6C" w:rsidP="001C0C6C">
      <w:pPr>
        <w:ind w:left="720" w:firstLine="720"/>
        <w:rPr>
          <w:lang w:eastAsia="en-GB"/>
        </w:rPr>
      </w:pPr>
      <w:r>
        <w:rPr>
          <w:lang w:eastAsia="en-GB"/>
        </w:rPr>
        <w:t>(a)</w:t>
      </w:r>
      <w:r>
        <w:rPr>
          <w:lang w:eastAsia="en-GB"/>
        </w:rPr>
        <w:tab/>
      </w:r>
      <w:r>
        <w:rPr>
          <w:lang w:eastAsia="en-GB"/>
        </w:rPr>
        <w:tab/>
      </w:r>
      <w:r>
        <w:rPr>
          <w:lang w:eastAsia="en-GB"/>
        </w:rPr>
        <w:tab/>
        <w:t xml:space="preserve">         (b)</w:t>
      </w:r>
      <w:r>
        <w:rPr>
          <w:lang w:eastAsia="en-GB"/>
        </w:rPr>
        <w:tab/>
      </w:r>
      <w:r>
        <w:rPr>
          <w:lang w:eastAsia="en-GB"/>
        </w:rPr>
        <w:tab/>
      </w:r>
      <w:r>
        <w:rPr>
          <w:lang w:eastAsia="en-GB"/>
        </w:rPr>
        <w:tab/>
      </w:r>
      <w:r>
        <w:rPr>
          <w:lang w:eastAsia="en-GB"/>
        </w:rPr>
        <w:tab/>
        <w:t xml:space="preserve">    (c)</w:t>
      </w:r>
      <w:r>
        <w:rPr>
          <w:lang w:eastAsia="en-GB"/>
        </w:rPr>
        <w:tab/>
      </w:r>
      <w:r>
        <w:rPr>
          <w:lang w:eastAsia="en-GB"/>
        </w:rPr>
        <w:tab/>
      </w:r>
      <w:r>
        <w:rPr>
          <w:lang w:eastAsia="en-GB"/>
        </w:rPr>
        <w:tab/>
        <w:t xml:space="preserve">            (d)</w:t>
      </w:r>
    </w:p>
    <w:p w14:paraId="7884E766" w14:textId="51D86220" w:rsidR="001C0C6C" w:rsidRDefault="00655421" w:rsidP="00C23509">
      <w:pPr>
        <w:rPr>
          <w:lang w:eastAsia="en-GB"/>
        </w:rPr>
      </w:pPr>
      <w:r>
        <w:rPr>
          <w:lang w:eastAsia="en-GB"/>
        </w:rPr>
        <w:t>NOTE: sub-figures from left to right are (a) all-cause mortality (log</w:t>
      </w:r>
      <w:r>
        <w:rPr>
          <w:vertAlign w:val="subscript"/>
          <w:lang w:eastAsia="en-GB"/>
        </w:rPr>
        <w:t>10</w:t>
      </w:r>
      <w:r>
        <w:rPr>
          <w:lang w:eastAsia="en-GB"/>
        </w:rPr>
        <w:t xml:space="preserve"> scale); (b) Suicides; (c) Drugs; (d) Vehicles. (b-</w:t>
      </w:r>
      <w:r w:rsidR="009E79AD">
        <w:rPr>
          <w:lang w:eastAsia="en-GB"/>
        </w:rPr>
        <w:t>d</w:t>
      </w:r>
      <w:r>
        <w:rPr>
          <w:lang w:eastAsia="en-GB"/>
        </w:rPr>
        <w:t xml:space="preserve"> are deaths per 100 000 population.</w:t>
      </w:r>
      <w:r w:rsidR="00C3534E">
        <w:rPr>
          <w:lang w:eastAsia="en-GB"/>
        </w:rPr>
        <w:t>)</w:t>
      </w:r>
      <w:r>
        <w:rPr>
          <w:lang w:eastAsia="en-GB"/>
        </w:rPr>
        <w:t xml:space="preserve"> Within each sub-figure the left column shows female and right column show male mortal</w:t>
      </w:r>
      <w:r w:rsidR="00C3534E">
        <w:rPr>
          <w:lang w:eastAsia="en-GB"/>
        </w:rPr>
        <w:t xml:space="preserve">ity risks. The top row is for White Non-Hispanics (WNH), the middle row for Hispanics (H), and the bottom row for Black Non-Hispanics (BNHs). </w:t>
      </w:r>
    </w:p>
    <w:p w14:paraId="32C86CEF" w14:textId="3C613562" w:rsidR="001C0C6C" w:rsidRPr="00655421" w:rsidRDefault="001C0C6C" w:rsidP="00C23509">
      <w:pPr>
        <w:rPr>
          <w:lang w:eastAsia="en-GB"/>
        </w:rPr>
        <w:sectPr w:rsidR="001C0C6C" w:rsidRPr="00655421" w:rsidSect="001C0C6C">
          <w:pgSz w:w="11906" w:h="16838"/>
          <w:pgMar w:top="1440" w:right="454" w:bottom="1440" w:left="454" w:header="708" w:footer="708" w:gutter="0"/>
          <w:cols w:space="708"/>
          <w:docGrid w:linePitch="360"/>
        </w:sectPr>
      </w:pPr>
      <w:r>
        <w:rPr>
          <w:lang w:eastAsia="en-GB"/>
        </w:rPr>
        <w:br w:type="page"/>
      </w:r>
    </w:p>
    <w:p w14:paraId="7123B6CE" w14:textId="3E89196F" w:rsidR="003F51A6" w:rsidRDefault="003F51A6" w:rsidP="00C23509">
      <w:pPr>
        <w:pStyle w:val="Heading1"/>
        <w:rPr>
          <w:lang w:eastAsia="en-GB"/>
        </w:rPr>
      </w:pPr>
      <w:r>
        <w:rPr>
          <w:lang w:eastAsia="en-GB"/>
        </w:rPr>
        <w:lastRenderedPageBreak/>
        <w:t>All</w:t>
      </w:r>
      <w:r w:rsidR="00AC4854">
        <w:rPr>
          <w:lang w:eastAsia="en-GB"/>
        </w:rPr>
        <w:t>-</w:t>
      </w:r>
      <w:r>
        <w:rPr>
          <w:lang w:eastAsia="en-GB"/>
        </w:rPr>
        <w:t>cause mortality</w:t>
      </w:r>
    </w:p>
    <w:p w14:paraId="55AD80BE" w14:textId="77777777" w:rsidR="00B65E38" w:rsidRDefault="00B65E38" w:rsidP="00252A2C">
      <w:pPr>
        <w:shd w:val="clear" w:color="auto" w:fill="FFFFFF"/>
        <w:spacing w:after="0" w:line="240" w:lineRule="auto"/>
        <w:rPr>
          <w:rFonts w:ascii="Arial" w:eastAsia="Times New Roman" w:hAnsi="Arial" w:cs="Arial"/>
          <w:sz w:val="29"/>
          <w:szCs w:val="29"/>
          <w:lang w:eastAsia="en-GB"/>
        </w:rPr>
      </w:pPr>
    </w:p>
    <w:p w14:paraId="523E0B38" w14:textId="76F37456" w:rsidR="00E30F18" w:rsidRDefault="003663BE" w:rsidP="00252A2C">
      <w:pPr>
        <w:shd w:val="clear" w:color="auto" w:fill="FFFFFF"/>
        <w:spacing w:after="0" w:line="240" w:lineRule="auto"/>
        <w:rPr>
          <w:rFonts w:ascii="Arial" w:eastAsia="Times New Roman" w:hAnsi="Arial" w:cs="Arial"/>
          <w:sz w:val="29"/>
          <w:szCs w:val="29"/>
          <w:lang w:eastAsia="en-GB"/>
        </w:rPr>
      </w:pPr>
      <w:r>
        <w:rPr>
          <w:rFonts w:ascii="Arial" w:eastAsia="Times New Roman" w:hAnsi="Arial" w:cs="Arial"/>
          <w:sz w:val="29"/>
          <w:szCs w:val="29"/>
          <w:lang w:eastAsia="en-GB"/>
        </w:rPr>
        <w:t>We begin by looking at all</w:t>
      </w:r>
      <w:r w:rsidR="00E30F18">
        <w:rPr>
          <w:rFonts w:ascii="Arial" w:eastAsia="Times New Roman" w:hAnsi="Arial" w:cs="Arial"/>
          <w:sz w:val="29"/>
          <w:szCs w:val="29"/>
          <w:lang w:eastAsia="en-GB"/>
        </w:rPr>
        <w:t>-</w:t>
      </w:r>
      <w:r>
        <w:rPr>
          <w:rFonts w:ascii="Arial" w:eastAsia="Times New Roman" w:hAnsi="Arial" w:cs="Arial"/>
          <w:sz w:val="29"/>
          <w:szCs w:val="29"/>
          <w:lang w:eastAsia="en-GB"/>
        </w:rPr>
        <w:t xml:space="preserve">cause mortality, for ages in single years ranging from newborns to </w:t>
      </w:r>
      <w:r w:rsidR="00984857">
        <w:rPr>
          <w:rFonts w:ascii="Arial" w:eastAsia="Times New Roman" w:hAnsi="Arial" w:cs="Arial"/>
          <w:sz w:val="29"/>
          <w:szCs w:val="29"/>
          <w:lang w:eastAsia="en-GB"/>
        </w:rPr>
        <w:t>80 years</w:t>
      </w:r>
      <w:r w:rsidR="00E30F18">
        <w:rPr>
          <w:rFonts w:ascii="Arial" w:eastAsia="Times New Roman" w:hAnsi="Arial" w:cs="Arial"/>
          <w:sz w:val="29"/>
          <w:szCs w:val="29"/>
          <w:lang w:eastAsia="en-GB"/>
        </w:rPr>
        <w:t>, for WNH males and females only</w:t>
      </w:r>
      <w:r w:rsidR="00984857">
        <w:rPr>
          <w:rFonts w:ascii="Arial" w:eastAsia="Times New Roman" w:hAnsi="Arial" w:cs="Arial"/>
          <w:sz w:val="29"/>
          <w:szCs w:val="29"/>
          <w:lang w:eastAsia="en-GB"/>
        </w:rPr>
        <w:t xml:space="preserve">. This is shown in Figure 1. </w:t>
      </w:r>
      <w:r w:rsidR="00B65E38">
        <w:rPr>
          <w:rFonts w:ascii="Arial" w:eastAsia="Times New Roman" w:hAnsi="Arial" w:cs="Arial"/>
          <w:sz w:val="29"/>
          <w:szCs w:val="29"/>
          <w:lang w:eastAsia="en-GB"/>
        </w:rPr>
        <w:t>Figure</w:t>
      </w:r>
      <w:r w:rsidR="00E30F18">
        <w:rPr>
          <w:rFonts w:ascii="Arial" w:eastAsia="Times New Roman" w:hAnsi="Arial" w:cs="Arial"/>
          <w:sz w:val="29"/>
          <w:szCs w:val="29"/>
          <w:lang w:eastAsia="en-GB"/>
        </w:rPr>
        <w:t xml:space="preserve"> 2 places the pair of </w:t>
      </w:r>
      <w:r w:rsidR="00353FB6">
        <w:rPr>
          <w:rFonts w:ascii="Arial" w:eastAsia="Times New Roman" w:hAnsi="Arial" w:cs="Arial"/>
          <w:sz w:val="29"/>
          <w:szCs w:val="29"/>
          <w:lang w:eastAsia="en-GB"/>
        </w:rPr>
        <w:t>tiles</w:t>
      </w:r>
      <w:r w:rsidR="00E30F18">
        <w:rPr>
          <w:rFonts w:ascii="Arial" w:eastAsia="Times New Roman" w:hAnsi="Arial" w:cs="Arial"/>
          <w:sz w:val="29"/>
          <w:szCs w:val="29"/>
          <w:lang w:eastAsia="en-GB"/>
        </w:rPr>
        <w:t xml:space="preserve"> in figure 1 in a much broader context, showing not just all-cause mortality for WNH males and females (top row of figure 2a) but equivalent all-cause mortality rates for H males and females (middle row of figure 2a) and BNH males and females (bottom row of figure 2a); as well as various forms of cause-specific mortality for each of these six ethnic/gendered groups (additional subfigures in figure 2). The purpose of this is to show the richness and range of information that can be presented on a single page, but readers may wish to look at Figure 1 in the first instance.</w:t>
      </w:r>
      <w:r w:rsidR="00B65E38">
        <w:rPr>
          <w:rFonts w:ascii="Arial" w:eastAsia="Times New Roman" w:hAnsi="Arial" w:cs="Arial"/>
          <w:sz w:val="29"/>
          <w:szCs w:val="29"/>
          <w:lang w:eastAsia="en-GB"/>
        </w:rPr>
        <w:t xml:space="preserve"> </w:t>
      </w:r>
    </w:p>
    <w:p w14:paraId="10694419" w14:textId="77777777" w:rsidR="00E30F18" w:rsidRDefault="00E30F18" w:rsidP="00252A2C">
      <w:pPr>
        <w:shd w:val="clear" w:color="auto" w:fill="FFFFFF"/>
        <w:spacing w:after="0" w:line="240" w:lineRule="auto"/>
        <w:rPr>
          <w:rFonts w:ascii="Arial" w:eastAsia="Times New Roman" w:hAnsi="Arial" w:cs="Arial"/>
          <w:sz w:val="29"/>
          <w:szCs w:val="29"/>
          <w:lang w:eastAsia="en-GB"/>
        </w:rPr>
      </w:pPr>
    </w:p>
    <w:p w14:paraId="7B03B337" w14:textId="58C88497" w:rsidR="002A732C" w:rsidRDefault="00E30F18" w:rsidP="00252A2C">
      <w:pPr>
        <w:shd w:val="clear" w:color="auto" w:fill="FFFFFF"/>
        <w:spacing w:after="0" w:line="240" w:lineRule="auto"/>
        <w:rPr>
          <w:rFonts w:ascii="Arial" w:eastAsia="Times New Roman" w:hAnsi="Arial" w:cs="Arial"/>
          <w:sz w:val="29"/>
          <w:szCs w:val="29"/>
          <w:lang w:eastAsia="en-GB"/>
        </w:rPr>
      </w:pPr>
      <w:r>
        <w:rPr>
          <w:rFonts w:ascii="Arial" w:eastAsia="Times New Roman" w:hAnsi="Arial" w:cs="Arial"/>
          <w:sz w:val="29"/>
          <w:szCs w:val="29"/>
          <w:lang w:eastAsia="en-GB"/>
        </w:rPr>
        <w:t>Figure 2</w:t>
      </w:r>
      <w:r w:rsidR="00B65E38">
        <w:rPr>
          <w:rFonts w:ascii="Arial" w:eastAsia="Times New Roman" w:hAnsi="Arial" w:cs="Arial"/>
          <w:sz w:val="29"/>
          <w:szCs w:val="29"/>
          <w:lang w:eastAsia="en-GB"/>
        </w:rPr>
        <w:t xml:space="preserve">(a), the left </w:t>
      </w:r>
      <w:r w:rsidR="0058409A">
        <w:rPr>
          <w:rFonts w:ascii="Arial" w:eastAsia="Times New Roman" w:hAnsi="Arial" w:cs="Arial"/>
          <w:sz w:val="29"/>
          <w:szCs w:val="29"/>
          <w:lang w:eastAsia="en-GB"/>
        </w:rPr>
        <w:t xml:space="preserve">hand </w:t>
      </w:r>
      <w:r w:rsidR="00353FB6">
        <w:rPr>
          <w:rFonts w:ascii="Arial" w:eastAsia="Times New Roman" w:hAnsi="Arial" w:cs="Arial"/>
          <w:sz w:val="29"/>
          <w:szCs w:val="29"/>
          <w:lang w:eastAsia="en-GB"/>
        </w:rPr>
        <w:t>tile</w:t>
      </w:r>
      <w:r w:rsidR="00B65E38">
        <w:rPr>
          <w:rFonts w:ascii="Arial" w:eastAsia="Times New Roman" w:hAnsi="Arial" w:cs="Arial"/>
          <w:sz w:val="29"/>
          <w:szCs w:val="29"/>
          <w:lang w:eastAsia="en-GB"/>
        </w:rPr>
        <w:t>, shows all</w:t>
      </w:r>
      <w:r w:rsidR="000B3DD8">
        <w:rPr>
          <w:rFonts w:ascii="Arial" w:eastAsia="Times New Roman" w:hAnsi="Arial" w:cs="Arial"/>
          <w:sz w:val="29"/>
          <w:szCs w:val="29"/>
          <w:lang w:eastAsia="en-GB"/>
        </w:rPr>
        <w:t>-</w:t>
      </w:r>
      <w:r w:rsidR="00B65E38">
        <w:rPr>
          <w:rFonts w:ascii="Arial" w:eastAsia="Times New Roman" w:hAnsi="Arial" w:cs="Arial"/>
          <w:sz w:val="29"/>
          <w:szCs w:val="29"/>
          <w:lang w:eastAsia="en-GB"/>
        </w:rPr>
        <w:t>cause mortality rates for each of the six populations</w:t>
      </w:r>
      <w:r w:rsidR="00AF64DF">
        <w:rPr>
          <w:rFonts w:ascii="Arial" w:eastAsia="Times New Roman" w:hAnsi="Arial" w:cs="Arial"/>
          <w:sz w:val="29"/>
          <w:szCs w:val="29"/>
          <w:lang w:eastAsia="en-GB"/>
        </w:rPr>
        <w:t>, using a base 10 log scale</w:t>
      </w:r>
      <w:r w:rsidR="0058409A">
        <w:rPr>
          <w:rFonts w:ascii="Arial" w:eastAsia="Times New Roman" w:hAnsi="Arial" w:cs="Arial"/>
          <w:sz w:val="29"/>
          <w:szCs w:val="29"/>
          <w:lang w:eastAsia="en-GB"/>
        </w:rPr>
        <w:t>.</w:t>
      </w:r>
      <w:r w:rsidR="00AC4854">
        <w:rPr>
          <w:rFonts w:ascii="Arial" w:eastAsia="Times New Roman" w:hAnsi="Arial" w:cs="Arial"/>
          <w:sz w:val="29"/>
          <w:szCs w:val="29"/>
          <w:lang w:eastAsia="en-GB"/>
        </w:rPr>
        <w:t xml:space="preserve"> </w:t>
      </w:r>
      <w:r w:rsidR="002A732C">
        <w:rPr>
          <w:rFonts w:ascii="Arial" w:eastAsia="Times New Roman" w:hAnsi="Arial" w:cs="Arial"/>
          <w:sz w:val="29"/>
          <w:szCs w:val="29"/>
          <w:lang w:eastAsia="en-GB"/>
        </w:rPr>
        <w:t>Contour lines are added linking cells in the Lexis surface with equal mortality risks</w:t>
      </w:r>
      <w:r w:rsidR="00AF64DF">
        <w:rPr>
          <w:rFonts w:ascii="Arial" w:eastAsia="Times New Roman" w:hAnsi="Arial" w:cs="Arial"/>
          <w:sz w:val="29"/>
          <w:szCs w:val="29"/>
          <w:lang w:eastAsia="en-GB"/>
        </w:rPr>
        <w:t>; as base 10 is used</w:t>
      </w:r>
      <w:r w:rsidR="00944E54">
        <w:rPr>
          <w:rFonts w:ascii="Arial" w:eastAsia="Times New Roman" w:hAnsi="Arial" w:cs="Arial"/>
          <w:sz w:val="29"/>
          <w:szCs w:val="29"/>
          <w:lang w:eastAsia="en-GB"/>
        </w:rPr>
        <w:t>,</w:t>
      </w:r>
      <w:r w:rsidR="00AF64DF">
        <w:rPr>
          <w:rFonts w:ascii="Arial" w:eastAsia="Times New Roman" w:hAnsi="Arial" w:cs="Arial"/>
          <w:sz w:val="29"/>
          <w:szCs w:val="29"/>
          <w:lang w:eastAsia="en-GB"/>
        </w:rPr>
        <w:t xml:space="preserve"> the labels on the contour lines indicate the ‘number of zeroes’ </w:t>
      </w:r>
      <w:r w:rsidR="00944E54">
        <w:rPr>
          <w:rFonts w:ascii="Arial" w:eastAsia="Times New Roman" w:hAnsi="Arial" w:cs="Arial"/>
          <w:sz w:val="29"/>
          <w:szCs w:val="29"/>
          <w:lang w:eastAsia="en-GB"/>
        </w:rPr>
        <w:t xml:space="preserve">in </w:t>
      </w:r>
      <w:r w:rsidR="00AF64DF">
        <w:rPr>
          <w:rFonts w:ascii="Arial" w:eastAsia="Times New Roman" w:hAnsi="Arial" w:cs="Arial"/>
          <w:sz w:val="29"/>
          <w:szCs w:val="29"/>
          <w:lang w:eastAsia="en-GB"/>
        </w:rPr>
        <w:t>12 month death rates (-1.0 meaning 1/10, -2.0 meaning 1/100, and so on)</w:t>
      </w:r>
      <w:r w:rsidR="002A732C">
        <w:rPr>
          <w:rFonts w:ascii="Arial" w:eastAsia="Times New Roman" w:hAnsi="Arial" w:cs="Arial"/>
          <w:sz w:val="29"/>
          <w:szCs w:val="29"/>
          <w:lang w:eastAsia="en-GB"/>
        </w:rPr>
        <w:t xml:space="preserve">. By implication this means that contour lines which bank upwards from left to right indicate generally improving mortality rates over time, lines which bank downwards from left to right indicate worsening mortality rates over time, and horizontal lines indicate no change in age-specific mortality rates over time. </w:t>
      </w:r>
    </w:p>
    <w:p w14:paraId="3382A899" w14:textId="77777777" w:rsidR="00C23509" w:rsidRDefault="00C23509" w:rsidP="00252A2C">
      <w:pPr>
        <w:shd w:val="clear" w:color="auto" w:fill="FFFFFF"/>
        <w:spacing w:after="0" w:line="240" w:lineRule="auto"/>
        <w:rPr>
          <w:rFonts w:ascii="Arial" w:eastAsia="Times New Roman" w:hAnsi="Arial" w:cs="Arial"/>
          <w:sz w:val="29"/>
          <w:szCs w:val="29"/>
          <w:lang w:eastAsia="en-GB"/>
        </w:rPr>
      </w:pPr>
    </w:p>
    <w:p w14:paraId="76972175" w14:textId="2FD864CF" w:rsidR="00E202D1" w:rsidRDefault="002A732C" w:rsidP="00252A2C">
      <w:pPr>
        <w:shd w:val="clear" w:color="auto" w:fill="FFFFFF"/>
        <w:spacing w:after="0" w:line="240" w:lineRule="auto"/>
        <w:rPr>
          <w:rFonts w:ascii="Arial" w:eastAsia="Times New Roman" w:hAnsi="Arial" w:cs="Arial"/>
          <w:sz w:val="29"/>
          <w:szCs w:val="29"/>
          <w:lang w:eastAsia="en-GB"/>
        </w:rPr>
      </w:pPr>
      <w:r>
        <w:rPr>
          <w:rFonts w:ascii="Arial" w:eastAsia="Times New Roman" w:hAnsi="Arial" w:cs="Arial"/>
          <w:sz w:val="29"/>
          <w:szCs w:val="29"/>
          <w:lang w:eastAsia="en-GB"/>
        </w:rPr>
        <w:t xml:space="preserve">We can therefore see that mortality rates in adulthood have been continuing to improve for </w:t>
      </w:r>
      <w:r w:rsidR="00A06093">
        <w:rPr>
          <w:rFonts w:ascii="Arial" w:eastAsia="Times New Roman" w:hAnsi="Arial" w:cs="Arial"/>
          <w:sz w:val="29"/>
          <w:szCs w:val="29"/>
          <w:lang w:eastAsia="en-GB"/>
        </w:rPr>
        <w:t>BNHs</w:t>
      </w:r>
      <w:r>
        <w:rPr>
          <w:rFonts w:ascii="Arial" w:eastAsia="Times New Roman" w:hAnsi="Arial" w:cs="Arial"/>
          <w:sz w:val="29"/>
          <w:szCs w:val="29"/>
          <w:lang w:eastAsia="en-GB"/>
        </w:rPr>
        <w:t xml:space="preserve"> and for </w:t>
      </w:r>
      <w:r w:rsidR="00A06093">
        <w:rPr>
          <w:rFonts w:ascii="Arial" w:eastAsia="Times New Roman" w:hAnsi="Arial" w:cs="Arial"/>
          <w:sz w:val="29"/>
          <w:szCs w:val="29"/>
          <w:lang w:eastAsia="en-GB"/>
        </w:rPr>
        <w:t xml:space="preserve">Hs </w:t>
      </w:r>
      <w:r>
        <w:rPr>
          <w:rFonts w:ascii="Arial" w:eastAsia="Times New Roman" w:hAnsi="Arial" w:cs="Arial"/>
          <w:sz w:val="29"/>
          <w:szCs w:val="29"/>
          <w:lang w:eastAsia="en-GB"/>
        </w:rPr>
        <w:t xml:space="preserve">over this period. By contrast the mortality rates </w:t>
      </w:r>
      <w:r w:rsidR="00D72781">
        <w:rPr>
          <w:rFonts w:ascii="Arial" w:eastAsia="Times New Roman" w:hAnsi="Arial" w:cs="Arial"/>
          <w:sz w:val="29"/>
          <w:szCs w:val="29"/>
          <w:lang w:eastAsia="en-GB"/>
        </w:rPr>
        <w:t xml:space="preserve">for those </w:t>
      </w:r>
      <w:r w:rsidR="0070654C">
        <w:rPr>
          <w:rFonts w:ascii="Arial" w:eastAsia="Times New Roman" w:hAnsi="Arial" w:cs="Arial"/>
          <w:sz w:val="29"/>
          <w:szCs w:val="29"/>
          <w:lang w:eastAsia="en-GB"/>
        </w:rPr>
        <w:t xml:space="preserve">who are </w:t>
      </w:r>
      <w:r w:rsidR="00D72781">
        <w:rPr>
          <w:rFonts w:ascii="Arial" w:eastAsia="Times New Roman" w:hAnsi="Arial" w:cs="Arial"/>
          <w:sz w:val="29"/>
          <w:szCs w:val="29"/>
          <w:lang w:eastAsia="en-GB"/>
        </w:rPr>
        <w:t>age</w:t>
      </w:r>
      <w:r w:rsidR="0070654C">
        <w:rPr>
          <w:rFonts w:ascii="Arial" w:eastAsia="Times New Roman" w:hAnsi="Arial" w:cs="Arial"/>
          <w:sz w:val="29"/>
          <w:szCs w:val="29"/>
          <w:lang w:eastAsia="en-GB"/>
        </w:rPr>
        <w:t>d</w:t>
      </w:r>
      <w:r w:rsidR="00D72781">
        <w:rPr>
          <w:rFonts w:ascii="Arial" w:eastAsia="Times New Roman" w:hAnsi="Arial" w:cs="Arial"/>
          <w:sz w:val="29"/>
          <w:szCs w:val="29"/>
          <w:lang w:eastAsia="en-GB"/>
        </w:rPr>
        <w:t xml:space="preserve"> </w:t>
      </w:r>
      <w:r w:rsidR="0070654C" w:rsidRPr="00944E54">
        <w:rPr>
          <w:rFonts w:ascii="Arial" w:eastAsia="Times New Roman" w:hAnsi="Arial" w:cs="Arial"/>
          <w:sz w:val="29"/>
          <w:szCs w:val="29"/>
          <w:u w:val="single"/>
          <w:lang w:eastAsia="en-GB"/>
        </w:rPr>
        <w:t>&gt;</w:t>
      </w:r>
      <w:r w:rsidR="0070654C">
        <w:rPr>
          <w:rFonts w:ascii="Arial" w:eastAsia="Times New Roman" w:hAnsi="Arial" w:cs="Arial"/>
          <w:sz w:val="29"/>
          <w:szCs w:val="29"/>
          <w:lang w:eastAsia="en-GB"/>
        </w:rPr>
        <w:t xml:space="preserve">c.35 years </w:t>
      </w:r>
      <w:r>
        <w:rPr>
          <w:rFonts w:ascii="Arial" w:eastAsia="Times New Roman" w:hAnsi="Arial" w:cs="Arial"/>
          <w:sz w:val="29"/>
          <w:szCs w:val="29"/>
          <w:lang w:eastAsia="en-GB"/>
        </w:rPr>
        <w:t xml:space="preserve">have been roughly flat since 1999. These findings can be largely inferred from data presented in the tables of Case &amp; Deaton’s paper, which indicate that mortality trends have improved much faster for </w:t>
      </w:r>
      <w:r w:rsidR="00A06093">
        <w:rPr>
          <w:rFonts w:ascii="Arial" w:eastAsia="Times New Roman" w:hAnsi="Arial" w:cs="Arial"/>
          <w:sz w:val="29"/>
          <w:szCs w:val="29"/>
          <w:lang w:eastAsia="en-GB"/>
        </w:rPr>
        <w:t>BNH</w:t>
      </w:r>
      <w:r>
        <w:rPr>
          <w:rFonts w:ascii="Arial" w:eastAsia="Times New Roman" w:hAnsi="Arial" w:cs="Arial"/>
          <w:sz w:val="29"/>
          <w:szCs w:val="29"/>
          <w:lang w:eastAsia="en-GB"/>
        </w:rPr>
        <w:t xml:space="preserve">, in particular, than they have deteriorated for </w:t>
      </w:r>
      <w:r w:rsidR="00A06093">
        <w:rPr>
          <w:rFonts w:ascii="Arial" w:eastAsia="Times New Roman" w:hAnsi="Arial" w:cs="Arial"/>
          <w:sz w:val="29"/>
          <w:szCs w:val="29"/>
          <w:lang w:eastAsia="en-GB"/>
        </w:rPr>
        <w:t>WNH</w:t>
      </w:r>
      <w:r>
        <w:rPr>
          <w:rFonts w:ascii="Arial" w:eastAsia="Times New Roman" w:hAnsi="Arial" w:cs="Arial"/>
          <w:sz w:val="29"/>
          <w:szCs w:val="29"/>
          <w:lang w:eastAsia="en-GB"/>
        </w:rPr>
        <w:t xml:space="preserve">. Two other important </w:t>
      </w:r>
      <w:r w:rsidR="000C3BF4">
        <w:rPr>
          <w:rFonts w:ascii="Arial" w:eastAsia="Times New Roman" w:hAnsi="Arial" w:cs="Arial"/>
          <w:sz w:val="29"/>
          <w:szCs w:val="29"/>
          <w:lang w:eastAsia="en-GB"/>
        </w:rPr>
        <w:t xml:space="preserve">things to note about the </w:t>
      </w:r>
      <w:r w:rsidR="00A06093">
        <w:rPr>
          <w:rFonts w:ascii="Arial" w:eastAsia="Times New Roman" w:hAnsi="Arial" w:cs="Arial"/>
          <w:sz w:val="29"/>
          <w:szCs w:val="29"/>
          <w:lang w:eastAsia="en-GB"/>
        </w:rPr>
        <w:t xml:space="preserve">WNH </w:t>
      </w:r>
      <w:r w:rsidR="000C3BF4">
        <w:rPr>
          <w:rFonts w:ascii="Arial" w:eastAsia="Times New Roman" w:hAnsi="Arial" w:cs="Arial"/>
          <w:sz w:val="29"/>
          <w:szCs w:val="29"/>
          <w:lang w:eastAsia="en-GB"/>
        </w:rPr>
        <w:t xml:space="preserve">panes are that the contour lines for females within the 45-54 year age range </w:t>
      </w:r>
      <w:r w:rsidR="00F52C22">
        <w:rPr>
          <w:rFonts w:ascii="Arial" w:eastAsia="Times New Roman" w:hAnsi="Arial" w:cs="Arial"/>
          <w:sz w:val="29"/>
          <w:szCs w:val="29"/>
          <w:lang w:eastAsia="en-GB"/>
        </w:rPr>
        <w:t>indicate rising mortality at that age</w:t>
      </w:r>
      <w:r w:rsidR="00F21380">
        <w:rPr>
          <w:rFonts w:ascii="Arial" w:eastAsia="Times New Roman" w:hAnsi="Arial" w:cs="Arial"/>
          <w:sz w:val="29"/>
          <w:szCs w:val="29"/>
          <w:lang w:eastAsia="en-GB"/>
        </w:rPr>
        <w:t xml:space="preserve"> until 2003 before </w:t>
      </w:r>
      <w:r w:rsidR="00F52C22">
        <w:rPr>
          <w:rFonts w:ascii="Arial" w:eastAsia="Times New Roman" w:hAnsi="Arial" w:cs="Arial"/>
          <w:sz w:val="29"/>
          <w:szCs w:val="29"/>
          <w:lang w:eastAsia="en-GB"/>
        </w:rPr>
        <w:t>stabilising</w:t>
      </w:r>
      <w:r w:rsidR="00F21380">
        <w:rPr>
          <w:rFonts w:ascii="Arial" w:eastAsia="Times New Roman" w:hAnsi="Arial" w:cs="Arial"/>
          <w:sz w:val="29"/>
          <w:szCs w:val="29"/>
          <w:lang w:eastAsia="en-GB"/>
        </w:rPr>
        <w:t>; for males the</w:t>
      </w:r>
      <w:r w:rsidR="00F52C22">
        <w:rPr>
          <w:rFonts w:ascii="Arial" w:eastAsia="Times New Roman" w:hAnsi="Arial" w:cs="Arial"/>
          <w:sz w:val="29"/>
          <w:szCs w:val="29"/>
          <w:lang w:eastAsia="en-GB"/>
        </w:rPr>
        <w:t xml:space="preserve"> mortality rates were flat or increased amongst 45-54 year olds age </w:t>
      </w:r>
      <w:r w:rsidR="00F21380">
        <w:rPr>
          <w:rFonts w:ascii="Arial" w:eastAsia="Times New Roman" w:hAnsi="Arial" w:cs="Arial"/>
          <w:sz w:val="29"/>
          <w:szCs w:val="29"/>
          <w:lang w:eastAsia="en-GB"/>
        </w:rPr>
        <w:t xml:space="preserve">until around 2004 before </w:t>
      </w:r>
      <w:r w:rsidR="00F52C22">
        <w:rPr>
          <w:rFonts w:ascii="Arial" w:eastAsia="Times New Roman" w:hAnsi="Arial" w:cs="Arial"/>
          <w:sz w:val="29"/>
          <w:szCs w:val="29"/>
          <w:lang w:eastAsia="en-GB"/>
        </w:rPr>
        <w:t>declining</w:t>
      </w:r>
      <w:r w:rsidR="00F21380">
        <w:rPr>
          <w:rFonts w:ascii="Arial" w:eastAsia="Times New Roman" w:hAnsi="Arial" w:cs="Arial"/>
          <w:sz w:val="29"/>
          <w:szCs w:val="29"/>
          <w:lang w:eastAsia="en-GB"/>
        </w:rPr>
        <w:t xml:space="preserve">. </w:t>
      </w:r>
      <w:r w:rsidR="00F52C22">
        <w:rPr>
          <w:rFonts w:ascii="Arial" w:eastAsia="Times New Roman" w:hAnsi="Arial" w:cs="Arial"/>
          <w:sz w:val="29"/>
          <w:szCs w:val="29"/>
          <w:lang w:eastAsia="en-GB"/>
        </w:rPr>
        <w:t xml:space="preserve">Over the age of 60 years, mortality rates declined continuously for WNH men and women. </w:t>
      </w:r>
      <w:r w:rsidR="00E202D1">
        <w:rPr>
          <w:rFonts w:ascii="Arial" w:eastAsia="Times New Roman" w:hAnsi="Arial" w:cs="Arial"/>
          <w:sz w:val="29"/>
          <w:szCs w:val="29"/>
          <w:lang w:eastAsia="en-GB"/>
        </w:rPr>
        <w:t>The greatest drops in the contour lines from left to right, indicating the greatest increases in mortality risk on the log scale</w:t>
      </w:r>
      <w:r w:rsidR="00F52C22">
        <w:rPr>
          <w:rFonts w:ascii="Arial" w:eastAsia="Times New Roman" w:hAnsi="Arial" w:cs="Arial"/>
          <w:sz w:val="29"/>
          <w:szCs w:val="29"/>
          <w:lang w:eastAsia="en-GB"/>
        </w:rPr>
        <w:t xml:space="preserve"> for WNH</w:t>
      </w:r>
      <w:r w:rsidR="00E202D1">
        <w:rPr>
          <w:rFonts w:ascii="Arial" w:eastAsia="Times New Roman" w:hAnsi="Arial" w:cs="Arial"/>
          <w:sz w:val="29"/>
          <w:szCs w:val="29"/>
          <w:lang w:eastAsia="en-GB"/>
        </w:rPr>
        <w:t xml:space="preserve">, occurred at younger adult </w:t>
      </w:r>
      <w:r w:rsidR="00E202D1">
        <w:rPr>
          <w:rFonts w:ascii="Arial" w:eastAsia="Times New Roman" w:hAnsi="Arial" w:cs="Arial"/>
          <w:sz w:val="29"/>
          <w:szCs w:val="29"/>
          <w:lang w:eastAsia="en-GB"/>
        </w:rPr>
        <w:lastRenderedPageBreak/>
        <w:t>ages for both genders, as seen by following the contours marked -3.2 for females and -2.8 for males. Although the underlying mortality risks at these younger ages –</w:t>
      </w:r>
      <w:r w:rsidR="00F8247B">
        <w:rPr>
          <w:rFonts w:ascii="Arial" w:eastAsia="Times New Roman" w:hAnsi="Arial" w:cs="Arial"/>
          <w:sz w:val="29"/>
          <w:szCs w:val="29"/>
          <w:lang w:eastAsia="en-GB"/>
        </w:rPr>
        <w:t xml:space="preserve"> </w:t>
      </w:r>
      <w:r w:rsidR="00E202D1">
        <w:rPr>
          <w:rFonts w:ascii="Arial" w:eastAsia="Times New Roman" w:hAnsi="Arial" w:cs="Arial"/>
          <w:sz w:val="29"/>
          <w:szCs w:val="29"/>
          <w:lang w:eastAsia="en-GB"/>
        </w:rPr>
        <w:t xml:space="preserve">twenties and thirties – are lower than at older ages for the reasons discussed above, the ‘right side of the bathtub’, the greatest relative increases in mortality seem to be in younger adults, rather than the 45-54 year age group which Case &amp; Deaton focused on. </w:t>
      </w:r>
    </w:p>
    <w:p w14:paraId="368AD44B" w14:textId="77777777" w:rsidR="00C23509" w:rsidRDefault="00C23509" w:rsidP="00252A2C">
      <w:pPr>
        <w:shd w:val="clear" w:color="auto" w:fill="FFFFFF"/>
        <w:spacing w:after="0" w:line="240" w:lineRule="auto"/>
        <w:rPr>
          <w:rFonts w:ascii="Arial" w:eastAsia="Times New Roman" w:hAnsi="Arial" w:cs="Arial"/>
          <w:sz w:val="29"/>
          <w:szCs w:val="29"/>
          <w:lang w:eastAsia="en-GB"/>
        </w:rPr>
      </w:pPr>
    </w:p>
    <w:p w14:paraId="1CECCF3C" w14:textId="21401C19" w:rsidR="00E202D1" w:rsidRDefault="00C23509" w:rsidP="00252A2C">
      <w:pPr>
        <w:shd w:val="clear" w:color="auto" w:fill="FFFFFF"/>
        <w:spacing w:after="0" w:line="240" w:lineRule="auto"/>
        <w:rPr>
          <w:rFonts w:ascii="Arial" w:eastAsia="Times New Roman" w:hAnsi="Arial" w:cs="Arial"/>
          <w:sz w:val="29"/>
          <w:szCs w:val="29"/>
          <w:lang w:eastAsia="en-GB"/>
        </w:rPr>
      </w:pPr>
      <w:r>
        <w:rPr>
          <w:rFonts w:ascii="Arial" w:eastAsia="Times New Roman" w:hAnsi="Arial" w:cs="Arial"/>
          <w:sz w:val="29"/>
          <w:szCs w:val="29"/>
          <w:lang w:eastAsia="en-GB"/>
        </w:rPr>
        <w:t>By</w:t>
      </w:r>
      <w:r w:rsidR="00E202D1">
        <w:rPr>
          <w:rFonts w:ascii="Arial" w:eastAsia="Times New Roman" w:hAnsi="Arial" w:cs="Arial"/>
          <w:sz w:val="29"/>
          <w:szCs w:val="29"/>
          <w:lang w:eastAsia="en-GB"/>
        </w:rPr>
        <w:t xml:space="preserve"> comparing the mortality contours for adult </w:t>
      </w:r>
      <w:r w:rsidR="00A06093">
        <w:rPr>
          <w:rFonts w:ascii="Arial" w:eastAsia="Times New Roman" w:hAnsi="Arial" w:cs="Arial"/>
          <w:sz w:val="29"/>
          <w:szCs w:val="29"/>
          <w:lang w:eastAsia="en-GB"/>
        </w:rPr>
        <w:t xml:space="preserve">WNHs </w:t>
      </w:r>
      <w:r w:rsidR="00E202D1">
        <w:rPr>
          <w:rFonts w:ascii="Arial" w:eastAsia="Times New Roman" w:hAnsi="Arial" w:cs="Arial"/>
          <w:sz w:val="29"/>
          <w:szCs w:val="29"/>
          <w:lang w:eastAsia="en-GB"/>
        </w:rPr>
        <w:t xml:space="preserve">with </w:t>
      </w:r>
      <w:r w:rsidR="00A06093">
        <w:rPr>
          <w:rFonts w:ascii="Arial" w:eastAsia="Times New Roman" w:hAnsi="Arial" w:cs="Arial"/>
          <w:sz w:val="29"/>
          <w:szCs w:val="29"/>
          <w:lang w:eastAsia="en-GB"/>
        </w:rPr>
        <w:t xml:space="preserve">Hs </w:t>
      </w:r>
      <w:r w:rsidR="00E202D1">
        <w:rPr>
          <w:rFonts w:ascii="Arial" w:eastAsia="Times New Roman" w:hAnsi="Arial" w:cs="Arial"/>
          <w:sz w:val="29"/>
          <w:szCs w:val="29"/>
          <w:lang w:eastAsia="en-GB"/>
        </w:rPr>
        <w:t xml:space="preserve">and </w:t>
      </w:r>
      <w:r w:rsidR="00A06093">
        <w:rPr>
          <w:rFonts w:ascii="Arial" w:eastAsia="Times New Roman" w:hAnsi="Arial" w:cs="Arial"/>
          <w:sz w:val="29"/>
          <w:szCs w:val="29"/>
          <w:lang w:eastAsia="en-GB"/>
        </w:rPr>
        <w:t xml:space="preserve">BNHs </w:t>
      </w:r>
      <w:r w:rsidR="00E202D1">
        <w:rPr>
          <w:rFonts w:ascii="Arial" w:eastAsia="Times New Roman" w:hAnsi="Arial" w:cs="Arial"/>
          <w:sz w:val="29"/>
          <w:szCs w:val="29"/>
          <w:lang w:eastAsia="en-GB"/>
        </w:rPr>
        <w:t>of the same age</w:t>
      </w:r>
      <w:r w:rsidR="00485243">
        <w:rPr>
          <w:rFonts w:ascii="Arial" w:eastAsia="Times New Roman" w:hAnsi="Arial" w:cs="Arial"/>
          <w:sz w:val="29"/>
          <w:szCs w:val="29"/>
          <w:lang w:eastAsia="en-GB"/>
        </w:rPr>
        <w:t xml:space="preserve"> and gender,</w:t>
      </w:r>
      <w:r w:rsidR="00A06093">
        <w:rPr>
          <w:rFonts w:ascii="Arial" w:eastAsia="Times New Roman" w:hAnsi="Arial" w:cs="Arial"/>
          <w:sz w:val="29"/>
          <w:szCs w:val="29"/>
          <w:lang w:eastAsia="en-GB"/>
        </w:rPr>
        <w:t xml:space="preserve"> </w:t>
      </w:r>
      <w:r>
        <w:rPr>
          <w:rFonts w:ascii="Arial" w:eastAsia="Times New Roman" w:hAnsi="Arial" w:cs="Arial"/>
          <w:sz w:val="29"/>
          <w:szCs w:val="29"/>
          <w:lang w:eastAsia="en-GB"/>
        </w:rPr>
        <w:t xml:space="preserve">we see </w:t>
      </w:r>
      <w:r w:rsidR="00E202D1">
        <w:rPr>
          <w:rFonts w:ascii="Arial" w:eastAsia="Times New Roman" w:hAnsi="Arial" w:cs="Arial"/>
          <w:sz w:val="29"/>
          <w:szCs w:val="29"/>
          <w:lang w:eastAsia="en-GB"/>
        </w:rPr>
        <w:t xml:space="preserve">that mortality trends for </w:t>
      </w:r>
      <w:r w:rsidR="00A06093">
        <w:rPr>
          <w:rFonts w:ascii="Arial" w:eastAsia="Times New Roman" w:hAnsi="Arial" w:cs="Arial"/>
          <w:sz w:val="29"/>
          <w:szCs w:val="29"/>
          <w:lang w:eastAsia="en-GB"/>
        </w:rPr>
        <w:t>WNHs</w:t>
      </w:r>
      <w:r>
        <w:rPr>
          <w:rFonts w:ascii="Arial" w:eastAsia="Times New Roman" w:hAnsi="Arial" w:cs="Arial"/>
          <w:sz w:val="29"/>
          <w:szCs w:val="29"/>
          <w:lang w:eastAsia="en-GB"/>
        </w:rPr>
        <w:t>, with contour lines horizontal or banking downwards throughout much of adulthood, are</w:t>
      </w:r>
      <w:r w:rsidR="00E202D1">
        <w:rPr>
          <w:rFonts w:ascii="Arial" w:eastAsia="Times New Roman" w:hAnsi="Arial" w:cs="Arial"/>
          <w:sz w:val="29"/>
          <w:szCs w:val="29"/>
          <w:lang w:eastAsia="en-GB"/>
        </w:rPr>
        <w:t xml:space="preserve"> at odds with </w:t>
      </w:r>
      <w:r>
        <w:rPr>
          <w:rFonts w:ascii="Arial" w:eastAsia="Times New Roman" w:hAnsi="Arial" w:cs="Arial"/>
          <w:sz w:val="29"/>
          <w:szCs w:val="29"/>
          <w:lang w:eastAsia="en-GB"/>
        </w:rPr>
        <w:t xml:space="preserve">the upwards banking contour lines of these </w:t>
      </w:r>
      <w:r w:rsidR="00E202D1">
        <w:rPr>
          <w:rFonts w:ascii="Arial" w:eastAsia="Times New Roman" w:hAnsi="Arial" w:cs="Arial"/>
          <w:sz w:val="29"/>
          <w:szCs w:val="29"/>
          <w:lang w:eastAsia="en-GB"/>
        </w:rPr>
        <w:t>other ethnic groups. Case &amp; Deaton compared mortality rates for 45-54 ye</w:t>
      </w:r>
      <w:r w:rsidR="00485243">
        <w:rPr>
          <w:rFonts w:ascii="Arial" w:eastAsia="Times New Roman" w:hAnsi="Arial" w:cs="Arial"/>
          <w:sz w:val="29"/>
          <w:szCs w:val="29"/>
          <w:lang w:eastAsia="en-GB"/>
        </w:rPr>
        <w:t xml:space="preserve">ar old </w:t>
      </w:r>
      <w:r w:rsidR="00A06093">
        <w:rPr>
          <w:rFonts w:ascii="Arial" w:eastAsia="Times New Roman" w:hAnsi="Arial" w:cs="Arial"/>
          <w:sz w:val="29"/>
          <w:szCs w:val="29"/>
          <w:lang w:eastAsia="en-GB"/>
        </w:rPr>
        <w:t>WNHs</w:t>
      </w:r>
      <w:r w:rsidR="00485243">
        <w:rPr>
          <w:rFonts w:ascii="Arial" w:eastAsia="Times New Roman" w:hAnsi="Arial" w:cs="Arial"/>
          <w:sz w:val="29"/>
          <w:szCs w:val="29"/>
          <w:lang w:eastAsia="en-GB"/>
        </w:rPr>
        <w:t xml:space="preserve"> with total population mortality rates in a number of other countries, using data from the Human Mortality Database (HMD); the trends compared with other ethnic groups within the USA are therefore similar. </w:t>
      </w:r>
    </w:p>
    <w:p w14:paraId="7A07545F" w14:textId="77777777" w:rsidR="003F51A6" w:rsidRDefault="003F51A6" w:rsidP="00252A2C">
      <w:pPr>
        <w:shd w:val="clear" w:color="auto" w:fill="FFFFFF"/>
        <w:spacing w:after="0" w:line="240" w:lineRule="auto"/>
        <w:rPr>
          <w:rFonts w:ascii="Arial" w:eastAsia="Times New Roman" w:hAnsi="Arial" w:cs="Arial"/>
          <w:sz w:val="29"/>
          <w:szCs w:val="29"/>
          <w:lang w:eastAsia="en-GB"/>
        </w:rPr>
      </w:pPr>
    </w:p>
    <w:p w14:paraId="063CCC56" w14:textId="396F6CC7" w:rsidR="003F51A6" w:rsidRDefault="003F51A6" w:rsidP="00C23509">
      <w:pPr>
        <w:pStyle w:val="Heading1"/>
        <w:rPr>
          <w:lang w:eastAsia="en-GB"/>
        </w:rPr>
      </w:pPr>
      <w:r>
        <w:rPr>
          <w:lang w:eastAsia="en-GB"/>
        </w:rPr>
        <w:t xml:space="preserve">Cause-specific mortality </w:t>
      </w:r>
    </w:p>
    <w:p w14:paraId="6577A12F" w14:textId="77777777" w:rsidR="003F51A6" w:rsidRPr="003F51A6" w:rsidRDefault="003F51A6" w:rsidP="00C23509">
      <w:pPr>
        <w:rPr>
          <w:lang w:eastAsia="en-GB"/>
        </w:rPr>
      </w:pPr>
    </w:p>
    <w:p w14:paraId="586F5E20" w14:textId="7B4F133C" w:rsidR="00485243" w:rsidRDefault="00485243" w:rsidP="00252A2C">
      <w:pPr>
        <w:shd w:val="clear" w:color="auto" w:fill="FFFFFF"/>
        <w:spacing w:after="0" w:line="240" w:lineRule="auto"/>
        <w:rPr>
          <w:rFonts w:ascii="Arial" w:eastAsia="Times New Roman" w:hAnsi="Arial" w:cs="Arial"/>
          <w:sz w:val="29"/>
          <w:szCs w:val="29"/>
          <w:lang w:eastAsia="en-GB"/>
        </w:rPr>
      </w:pPr>
      <w:r>
        <w:rPr>
          <w:rFonts w:ascii="Arial" w:eastAsia="Times New Roman" w:hAnsi="Arial" w:cs="Arial"/>
          <w:sz w:val="29"/>
          <w:szCs w:val="29"/>
          <w:lang w:eastAsia="en-GB"/>
        </w:rPr>
        <w:t xml:space="preserve">The other </w:t>
      </w:r>
      <w:r w:rsidR="00353FB6">
        <w:rPr>
          <w:rFonts w:ascii="Arial" w:eastAsia="Times New Roman" w:hAnsi="Arial" w:cs="Arial"/>
          <w:sz w:val="29"/>
          <w:szCs w:val="29"/>
          <w:lang w:eastAsia="en-GB"/>
        </w:rPr>
        <w:t xml:space="preserve">three </w:t>
      </w:r>
      <w:r>
        <w:rPr>
          <w:rFonts w:ascii="Arial" w:eastAsia="Times New Roman" w:hAnsi="Arial" w:cs="Arial"/>
          <w:sz w:val="29"/>
          <w:szCs w:val="29"/>
          <w:lang w:eastAsia="en-GB"/>
        </w:rPr>
        <w:t xml:space="preserve">tiles show trends on an identity scale for </w:t>
      </w:r>
      <w:r w:rsidR="0050188F">
        <w:rPr>
          <w:rFonts w:ascii="Arial" w:eastAsia="Times New Roman" w:hAnsi="Arial" w:cs="Arial"/>
          <w:sz w:val="29"/>
          <w:szCs w:val="29"/>
          <w:lang w:eastAsia="en-GB"/>
        </w:rPr>
        <w:t xml:space="preserve">three </w:t>
      </w:r>
      <w:r>
        <w:rPr>
          <w:rFonts w:ascii="Arial" w:eastAsia="Times New Roman" w:hAnsi="Arial" w:cs="Arial"/>
          <w:sz w:val="29"/>
          <w:szCs w:val="29"/>
          <w:lang w:eastAsia="en-GB"/>
        </w:rPr>
        <w:t xml:space="preserve">external causes of death, i.e. deaths that do not result from broader and inevitable processes of ageing and decline. The legend to the right of each tile shows the scale, with the numbers indicating the number of deaths per 100 000 population denoted by different shades of grey, with darker shades indicating higher mortality rates and lighter shades indicating lower mortality rates. These plots support some of the trends highlighted by Case &amp; Deaton, </w:t>
      </w:r>
      <w:r w:rsidR="0058409A">
        <w:rPr>
          <w:rFonts w:ascii="Arial" w:eastAsia="Times New Roman" w:hAnsi="Arial" w:cs="Arial"/>
          <w:sz w:val="29"/>
          <w:szCs w:val="29"/>
          <w:lang w:eastAsia="en-GB"/>
        </w:rPr>
        <w:t>but also reveal</w:t>
      </w:r>
      <w:r>
        <w:rPr>
          <w:rFonts w:ascii="Arial" w:eastAsia="Times New Roman" w:hAnsi="Arial" w:cs="Arial"/>
          <w:sz w:val="29"/>
          <w:szCs w:val="29"/>
          <w:lang w:eastAsia="en-GB"/>
        </w:rPr>
        <w:t xml:space="preserve"> other important patterns affecting both </w:t>
      </w:r>
      <w:r w:rsidR="00A06093">
        <w:rPr>
          <w:rFonts w:ascii="Arial" w:eastAsia="Times New Roman" w:hAnsi="Arial" w:cs="Arial"/>
          <w:sz w:val="29"/>
          <w:szCs w:val="29"/>
          <w:lang w:eastAsia="en-GB"/>
        </w:rPr>
        <w:t xml:space="preserve">WNHs of other ages, and other ethnic groups of all ages. Briefly, some important patterns revealed by these figures include: </w:t>
      </w:r>
    </w:p>
    <w:p w14:paraId="42D14B87" w14:textId="6EB55334" w:rsidR="00A06093" w:rsidRDefault="00A06093" w:rsidP="003F51A6">
      <w:pPr>
        <w:pStyle w:val="ListParagraph"/>
        <w:numPr>
          <w:ilvl w:val="0"/>
          <w:numId w:val="3"/>
        </w:numPr>
        <w:shd w:val="clear" w:color="auto" w:fill="FFFFFF"/>
        <w:spacing w:after="0" w:line="240" w:lineRule="auto"/>
        <w:rPr>
          <w:rFonts w:ascii="Arial" w:eastAsia="Times New Roman" w:hAnsi="Arial" w:cs="Arial"/>
          <w:sz w:val="29"/>
          <w:szCs w:val="29"/>
          <w:lang w:eastAsia="en-GB"/>
        </w:rPr>
      </w:pPr>
      <w:r>
        <w:rPr>
          <w:rFonts w:ascii="Arial" w:eastAsia="Times New Roman" w:hAnsi="Arial" w:cs="Arial"/>
          <w:sz w:val="29"/>
          <w:szCs w:val="29"/>
          <w:lang w:eastAsia="en-GB"/>
        </w:rPr>
        <w:t xml:space="preserve">Suicide rates </w:t>
      </w:r>
      <w:r w:rsidR="00C3534E">
        <w:rPr>
          <w:rFonts w:ascii="Arial" w:eastAsia="Times New Roman" w:hAnsi="Arial" w:cs="Arial"/>
          <w:sz w:val="29"/>
          <w:szCs w:val="29"/>
          <w:lang w:eastAsia="en-GB"/>
        </w:rPr>
        <w:t xml:space="preserve">(b) </w:t>
      </w:r>
      <w:r>
        <w:rPr>
          <w:rFonts w:ascii="Arial" w:eastAsia="Times New Roman" w:hAnsi="Arial" w:cs="Arial"/>
          <w:sz w:val="29"/>
          <w:szCs w:val="29"/>
          <w:lang w:eastAsia="en-GB"/>
        </w:rPr>
        <w:t xml:space="preserve">differ markedly by gender, but also by ethnicity. High rates of male suicide increased for WNH </w:t>
      </w:r>
      <w:r w:rsidR="00F52C22">
        <w:rPr>
          <w:rFonts w:ascii="Arial" w:eastAsia="Times New Roman" w:hAnsi="Arial" w:cs="Arial"/>
          <w:sz w:val="29"/>
          <w:szCs w:val="29"/>
          <w:lang w:eastAsia="en-GB"/>
        </w:rPr>
        <w:t>aged</w:t>
      </w:r>
      <w:r>
        <w:rPr>
          <w:rFonts w:ascii="Arial" w:eastAsia="Times New Roman" w:hAnsi="Arial" w:cs="Arial"/>
          <w:sz w:val="29"/>
          <w:szCs w:val="29"/>
          <w:lang w:eastAsia="en-GB"/>
        </w:rPr>
        <w:t xml:space="preserve"> </w:t>
      </w:r>
      <w:r w:rsidR="00F52C22">
        <w:rPr>
          <w:rFonts w:ascii="Arial" w:eastAsia="Times New Roman" w:hAnsi="Arial" w:cs="Arial"/>
          <w:sz w:val="29"/>
          <w:szCs w:val="29"/>
          <w:lang w:eastAsia="en-GB"/>
        </w:rPr>
        <w:t xml:space="preserve">around </w:t>
      </w:r>
      <w:r>
        <w:rPr>
          <w:rFonts w:ascii="Arial" w:eastAsia="Times New Roman" w:hAnsi="Arial" w:cs="Arial"/>
          <w:sz w:val="29"/>
          <w:szCs w:val="29"/>
          <w:lang w:eastAsia="en-GB"/>
        </w:rPr>
        <w:t xml:space="preserve">45-54 </w:t>
      </w:r>
      <w:r w:rsidR="00F52C22">
        <w:rPr>
          <w:rFonts w:ascii="Arial" w:eastAsia="Times New Roman" w:hAnsi="Arial" w:cs="Arial"/>
          <w:sz w:val="29"/>
          <w:szCs w:val="29"/>
          <w:lang w:eastAsia="en-GB"/>
        </w:rPr>
        <w:t>years</w:t>
      </w:r>
      <w:r>
        <w:rPr>
          <w:rFonts w:ascii="Arial" w:eastAsia="Times New Roman" w:hAnsi="Arial" w:cs="Arial"/>
          <w:sz w:val="29"/>
          <w:szCs w:val="29"/>
          <w:lang w:eastAsia="en-GB"/>
        </w:rPr>
        <w:t>, but had also been raised for a broadly defined WNH cohort who were in their 40s around 1999. High rates of suicide are also seen at much higher ages</w:t>
      </w:r>
      <w:r w:rsidR="00F52C22">
        <w:rPr>
          <w:rFonts w:ascii="Arial" w:eastAsia="Times New Roman" w:hAnsi="Arial" w:cs="Arial"/>
          <w:sz w:val="29"/>
          <w:szCs w:val="29"/>
          <w:lang w:eastAsia="en-GB"/>
        </w:rPr>
        <w:t xml:space="preserve"> (</w:t>
      </w:r>
      <w:r w:rsidR="00F52C22" w:rsidRPr="00944E54">
        <w:rPr>
          <w:rFonts w:ascii="Arial" w:eastAsia="Times New Roman" w:hAnsi="Arial" w:cs="Arial"/>
          <w:sz w:val="29"/>
          <w:szCs w:val="29"/>
          <w:u w:val="single"/>
          <w:lang w:eastAsia="en-GB"/>
        </w:rPr>
        <w:t>&gt;</w:t>
      </w:r>
      <w:r>
        <w:rPr>
          <w:rFonts w:ascii="Arial" w:eastAsia="Times New Roman" w:hAnsi="Arial" w:cs="Arial"/>
          <w:sz w:val="29"/>
          <w:szCs w:val="29"/>
          <w:lang w:eastAsia="en-GB"/>
        </w:rPr>
        <w:t>70 years</w:t>
      </w:r>
      <w:r w:rsidR="00F52C22">
        <w:rPr>
          <w:rFonts w:ascii="Arial" w:eastAsia="Times New Roman" w:hAnsi="Arial" w:cs="Arial"/>
          <w:sz w:val="29"/>
          <w:szCs w:val="29"/>
          <w:lang w:eastAsia="en-GB"/>
        </w:rPr>
        <w:t>)</w:t>
      </w:r>
      <w:r>
        <w:rPr>
          <w:rFonts w:ascii="Arial" w:eastAsia="Times New Roman" w:hAnsi="Arial" w:cs="Arial"/>
          <w:sz w:val="29"/>
          <w:szCs w:val="29"/>
          <w:lang w:eastAsia="en-GB"/>
        </w:rPr>
        <w:t xml:space="preserve"> for </w:t>
      </w:r>
      <w:r w:rsidR="002F7FE2">
        <w:rPr>
          <w:rFonts w:ascii="Arial" w:eastAsia="Times New Roman" w:hAnsi="Arial" w:cs="Arial"/>
          <w:sz w:val="29"/>
          <w:szCs w:val="29"/>
          <w:lang w:eastAsia="en-GB"/>
        </w:rPr>
        <w:t xml:space="preserve">male WNHs, and to a lesser extent for H males. For BNH males, suicide rates are lower, but highest in their twenties. </w:t>
      </w:r>
    </w:p>
    <w:p w14:paraId="196A7F79" w14:textId="54C0AB0C" w:rsidR="002F7FE2" w:rsidRDefault="002F7FE2" w:rsidP="003F51A6">
      <w:pPr>
        <w:pStyle w:val="ListParagraph"/>
        <w:numPr>
          <w:ilvl w:val="0"/>
          <w:numId w:val="3"/>
        </w:numPr>
        <w:shd w:val="clear" w:color="auto" w:fill="FFFFFF"/>
        <w:spacing w:after="0" w:line="240" w:lineRule="auto"/>
        <w:rPr>
          <w:rFonts w:ascii="Arial" w:eastAsia="Times New Roman" w:hAnsi="Arial" w:cs="Arial"/>
          <w:sz w:val="29"/>
          <w:szCs w:val="29"/>
          <w:lang w:eastAsia="en-GB"/>
        </w:rPr>
      </w:pPr>
      <w:r>
        <w:rPr>
          <w:rFonts w:ascii="Arial" w:eastAsia="Times New Roman" w:hAnsi="Arial" w:cs="Arial"/>
          <w:sz w:val="29"/>
          <w:szCs w:val="29"/>
          <w:lang w:eastAsia="en-GB"/>
        </w:rPr>
        <w:t xml:space="preserve">Drug-based deaths </w:t>
      </w:r>
      <w:r w:rsidR="00C3534E">
        <w:rPr>
          <w:rFonts w:ascii="Arial" w:eastAsia="Times New Roman" w:hAnsi="Arial" w:cs="Arial"/>
          <w:sz w:val="29"/>
          <w:szCs w:val="29"/>
          <w:lang w:eastAsia="en-GB"/>
        </w:rPr>
        <w:t xml:space="preserve">(c) </w:t>
      </w:r>
      <w:r>
        <w:rPr>
          <w:rFonts w:ascii="Arial" w:eastAsia="Times New Roman" w:hAnsi="Arial" w:cs="Arial"/>
          <w:sz w:val="29"/>
          <w:szCs w:val="29"/>
          <w:lang w:eastAsia="en-GB"/>
        </w:rPr>
        <w:t xml:space="preserve">have increased for both males and female WNHs </w:t>
      </w:r>
      <w:r w:rsidR="00F52C22">
        <w:rPr>
          <w:rFonts w:ascii="Arial" w:eastAsia="Times New Roman" w:hAnsi="Arial" w:cs="Arial"/>
          <w:sz w:val="29"/>
          <w:szCs w:val="29"/>
          <w:lang w:eastAsia="en-GB"/>
        </w:rPr>
        <w:t>aged</w:t>
      </w:r>
      <w:r>
        <w:rPr>
          <w:rFonts w:ascii="Arial" w:eastAsia="Times New Roman" w:hAnsi="Arial" w:cs="Arial"/>
          <w:sz w:val="29"/>
          <w:szCs w:val="29"/>
          <w:lang w:eastAsia="en-GB"/>
        </w:rPr>
        <w:t xml:space="preserve"> 45-54 </w:t>
      </w:r>
      <w:r w:rsidR="00F52C22">
        <w:rPr>
          <w:rFonts w:ascii="Arial" w:eastAsia="Times New Roman" w:hAnsi="Arial" w:cs="Arial"/>
          <w:sz w:val="29"/>
          <w:szCs w:val="29"/>
          <w:lang w:eastAsia="en-GB"/>
        </w:rPr>
        <w:t>years</w:t>
      </w:r>
      <w:r>
        <w:rPr>
          <w:rFonts w:ascii="Arial" w:eastAsia="Times New Roman" w:hAnsi="Arial" w:cs="Arial"/>
          <w:sz w:val="29"/>
          <w:szCs w:val="29"/>
          <w:lang w:eastAsia="en-GB"/>
        </w:rPr>
        <w:t xml:space="preserve">, consistent with the emphasis in </w:t>
      </w:r>
      <w:r>
        <w:rPr>
          <w:rFonts w:ascii="Arial" w:eastAsia="Times New Roman" w:hAnsi="Arial" w:cs="Arial"/>
          <w:sz w:val="29"/>
          <w:szCs w:val="29"/>
          <w:lang w:eastAsia="en-GB"/>
        </w:rPr>
        <w:lastRenderedPageBreak/>
        <w:t>Case &amp; Deaton, but for both males and females WNH drug deaths have increased at younger adult ages too. For male</w:t>
      </w:r>
      <w:r w:rsidR="0050188F">
        <w:rPr>
          <w:rFonts w:ascii="Arial" w:eastAsia="Times New Roman" w:hAnsi="Arial" w:cs="Arial"/>
          <w:sz w:val="29"/>
          <w:szCs w:val="29"/>
          <w:lang w:eastAsia="en-GB"/>
        </w:rPr>
        <w:t xml:space="preserve"> WNH</w:t>
      </w:r>
      <w:r>
        <w:rPr>
          <w:rFonts w:ascii="Arial" w:eastAsia="Times New Roman" w:hAnsi="Arial" w:cs="Arial"/>
          <w:sz w:val="29"/>
          <w:szCs w:val="29"/>
          <w:lang w:eastAsia="en-GB"/>
        </w:rPr>
        <w:t>s aged around 30 years, in particular, there is evidence of a marked increase in such deaths, largely following the 2008 recession. For ma</w:t>
      </w:r>
      <w:r w:rsidR="00E401AB">
        <w:rPr>
          <w:rFonts w:ascii="Arial" w:eastAsia="Times New Roman" w:hAnsi="Arial" w:cs="Arial"/>
          <w:sz w:val="29"/>
          <w:szCs w:val="29"/>
          <w:lang w:eastAsia="en-GB"/>
        </w:rPr>
        <w:t>le BNH, especially, there is evidence of a cohort effect, with an increased risk of drug deaths for those aged around 40</w:t>
      </w:r>
      <w:r w:rsidR="00F52C22">
        <w:rPr>
          <w:rFonts w:ascii="Arial" w:eastAsia="Times New Roman" w:hAnsi="Arial" w:cs="Arial"/>
          <w:sz w:val="29"/>
          <w:szCs w:val="29"/>
          <w:lang w:eastAsia="en-GB"/>
        </w:rPr>
        <w:t>-50 years</w:t>
      </w:r>
      <w:r w:rsidR="00E401AB">
        <w:rPr>
          <w:rFonts w:ascii="Arial" w:eastAsia="Times New Roman" w:hAnsi="Arial" w:cs="Arial"/>
          <w:sz w:val="29"/>
          <w:szCs w:val="29"/>
          <w:lang w:eastAsia="en-GB"/>
        </w:rPr>
        <w:t xml:space="preserve"> in 1999, diminishing after around 2008. It is worth noting that this broad cohort ‘drifted’ into and out of the 45-54 year age range over the period 1999-2012, again highlighting a difficulty with assuming this age group to remain homogeneous over time. </w:t>
      </w:r>
    </w:p>
    <w:p w14:paraId="2DE883B2" w14:textId="23A1CDC6" w:rsidR="009E79AD" w:rsidRDefault="00E401AB">
      <w:pPr>
        <w:pStyle w:val="ListParagraph"/>
        <w:numPr>
          <w:ilvl w:val="0"/>
          <w:numId w:val="3"/>
        </w:numPr>
        <w:shd w:val="clear" w:color="auto" w:fill="FFFFFF"/>
        <w:spacing w:after="0" w:line="240" w:lineRule="auto"/>
        <w:rPr>
          <w:rFonts w:ascii="Arial" w:eastAsia="Times New Roman" w:hAnsi="Arial" w:cs="Arial"/>
          <w:sz w:val="29"/>
          <w:szCs w:val="29"/>
          <w:lang w:eastAsia="en-GB"/>
        </w:rPr>
      </w:pPr>
      <w:r>
        <w:rPr>
          <w:rFonts w:ascii="Arial" w:eastAsia="Times New Roman" w:hAnsi="Arial" w:cs="Arial"/>
          <w:sz w:val="29"/>
          <w:szCs w:val="29"/>
          <w:lang w:eastAsia="en-GB"/>
        </w:rPr>
        <w:t xml:space="preserve">Vehicle deaths </w:t>
      </w:r>
      <w:r w:rsidR="00C3534E">
        <w:rPr>
          <w:rFonts w:ascii="Arial" w:eastAsia="Times New Roman" w:hAnsi="Arial" w:cs="Arial"/>
          <w:sz w:val="29"/>
          <w:szCs w:val="29"/>
          <w:lang w:eastAsia="en-GB"/>
        </w:rPr>
        <w:t xml:space="preserve">(d) </w:t>
      </w:r>
      <w:r>
        <w:rPr>
          <w:rFonts w:ascii="Arial" w:eastAsia="Times New Roman" w:hAnsi="Arial" w:cs="Arial"/>
          <w:sz w:val="29"/>
          <w:szCs w:val="29"/>
          <w:lang w:eastAsia="en-GB"/>
        </w:rPr>
        <w:t xml:space="preserve">have historically tended to be much higher for males than females for all ethnic groups, peak around the age of 20 years, and have decreased markedly following the 2008 recession. This is one of the clearest period changes apparent in the data, and went uncommented on within the Case &amp; Deaton paper because they focused on a different age group. However the 2008 recession seems to </w:t>
      </w:r>
      <w:r w:rsidR="00B0636B">
        <w:rPr>
          <w:rFonts w:ascii="Arial" w:eastAsia="Times New Roman" w:hAnsi="Arial" w:cs="Arial"/>
          <w:sz w:val="29"/>
          <w:szCs w:val="29"/>
          <w:lang w:eastAsia="en-GB"/>
        </w:rPr>
        <w:t>be associated with</w:t>
      </w:r>
      <w:r w:rsidR="0058409A">
        <w:rPr>
          <w:rFonts w:ascii="Arial" w:eastAsia="Times New Roman" w:hAnsi="Arial" w:cs="Arial"/>
          <w:sz w:val="29"/>
          <w:szCs w:val="29"/>
          <w:lang w:eastAsia="en-GB"/>
        </w:rPr>
        <w:t xml:space="preserve"> both</w:t>
      </w:r>
      <w:r w:rsidR="00B0636B">
        <w:rPr>
          <w:rFonts w:ascii="Arial" w:eastAsia="Times New Roman" w:hAnsi="Arial" w:cs="Arial"/>
          <w:sz w:val="29"/>
          <w:szCs w:val="29"/>
          <w:lang w:eastAsia="en-GB"/>
        </w:rPr>
        <w:t xml:space="preserve"> increased</w:t>
      </w:r>
      <w:r>
        <w:rPr>
          <w:rFonts w:ascii="Arial" w:eastAsia="Times New Roman" w:hAnsi="Arial" w:cs="Arial"/>
          <w:sz w:val="29"/>
          <w:szCs w:val="29"/>
          <w:lang w:eastAsia="en-GB"/>
        </w:rPr>
        <w:t xml:space="preserve"> drug deaths among WNHs of middle age and decreased car deaths amongst WN</w:t>
      </w:r>
      <w:r w:rsidR="00972D90">
        <w:rPr>
          <w:rFonts w:ascii="Arial" w:eastAsia="Times New Roman" w:hAnsi="Arial" w:cs="Arial"/>
          <w:sz w:val="29"/>
          <w:szCs w:val="29"/>
          <w:lang w:eastAsia="en-GB"/>
        </w:rPr>
        <w:t>H</w:t>
      </w:r>
      <w:r>
        <w:rPr>
          <w:rFonts w:ascii="Arial" w:eastAsia="Times New Roman" w:hAnsi="Arial" w:cs="Arial"/>
          <w:sz w:val="29"/>
          <w:szCs w:val="29"/>
          <w:lang w:eastAsia="en-GB"/>
        </w:rPr>
        <w:t>s of younger adult age, and so a better understanding of the health impact of the recession clearly requires looking at all age groups.</w:t>
      </w:r>
      <w:r w:rsidR="00456AC0" w:rsidRPr="0050188F">
        <w:rPr>
          <w:rFonts w:ascii="Arial" w:eastAsia="Times New Roman" w:hAnsi="Arial" w:cs="Arial"/>
          <w:sz w:val="29"/>
          <w:szCs w:val="29"/>
          <w:vertAlign w:val="superscript"/>
          <w:lang w:eastAsia="en-GB"/>
        </w:rPr>
        <w:t>8,9</w:t>
      </w:r>
      <w:r>
        <w:rPr>
          <w:rFonts w:ascii="Arial" w:eastAsia="Times New Roman" w:hAnsi="Arial" w:cs="Arial"/>
          <w:sz w:val="29"/>
          <w:szCs w:val="29"/>
          <w:lang w:eastAsia="en-GB"/>
        </w:rPr>
        <w:t xml:space="preserve"> By looking at all ages, we can also see, for all ethnicities, and particular</w:t>
      </w:r>
      <w:r w:rsidR="0058409A">
        <w:rPr>
          <w:rFonts w:ascii="Arial" w:eastAsia="Times New Roman" w:hAnsi="Arial" w:cs="Arial"/>
          <w:sz w:val="29"/>
          <w:szCs w:val="29"/>
          <w:lang w:eastAsia="en-GB"/>
        </w:rPr>
        <w:t>ly</w:t>
      </w:r>
      <w:r>
        <w:rPr>
          <w:rFonts w:ascii="Arial" w:eastAsia="Times New Roman" w:hAnsi="Arial" w:cs="Arial"/>
          <w:sz w:val="29"/>
          <w:szCs w:val="29"/>
          <w:lang w:eastAsia="en-GB"/>
        </w:rPr>
        <w:t xml:space="preserve"> for males, elevated car deaths amongst people in their mid to late seventies, which again appear to have reduced </w:t>
      </w:r>
      <w:r w:rsidR="009C187A">
        <w:rPr>
          <w:rFonts w:ascii="Arial" w:eastAsia="Times New Roman" w:hAnsi="Arial" w:cs="Arial"/>
          <w:sz w:val="29"/>
          <w:szCs w:val="29"/>
          <w:lang w:eastAsia="en-GB"/>
        </w:rPr>
        <w:t>following the 2008 recession. Again the focus on the 45-54 year age range meant that Case &amp; Deaton did not identify this pattern in the data.</w:t>
      </w:r>
    </w:p>
    <w:p w14:paraId="594985F1" w14:textId="77777777" w:rsidR="009E79AD" w:rsidRDefault="009E79AD" w:rsidP="00944E54">
      <w:pPr>
        <w:shd w:val="clear" w:color="auto" w:fill="FFFFFF"/>
        <w:spacing w:after="0" w:line="240" w:lineRule="auto"/>
        <w:rPr>
          <w:rFonts w:ascii="Arial" w:eastAsia="Times New Roman" w:hAnsi="Arial" w:cs="Arial"/>
          <w:sz w:val="29"/>
          <w:szCs w:val="29"/>
          <w:lang w:eastAsia="en-GB"/>
        </w:rPr>
      </w:pPr>
    </w:p>
    <w:p w14:paraId="4E72314A" w14:textId="29AFBE09" w:rsidR="007249AA" w:rsidRDefault="009E79AD" w:rsidP="00944E54">
      <w:pPr>
        <w:shd w:val="clear" w:color="auto" w:fill="FFFFFF"/>
        <w:spacing w:after="0" w:line="240" w:lineRule="auto"/>
        <w:rPr>
          <w:rFonts w:ascii="Arial" w:eastAsia="Times New Roman" w:hAnsi="Arial" w:cs="Arial"/>
          <w:sz w:val="29"/>
          <w:szCs w:val="29"/>
          <w:lang w:eastAsia="en-GB"/>
        </w:rPr>
      </w:pPr>
      <w:r>
        <w:rPr>
          <w:rFonts w:ascii="Arial" w:eastAsia="Times New Roman" w:hAnsi="Arial" w:cs="Arial"/>
          <w:sz w:val="29"/>
          <w:szCs w:val="29"/>
          <w:lang w:eastAsia="en-GB"/>
        </w:rPr>
        <w:t>Suicide rates have therefore clearly increased in recent years for WNH males, and Case &amp; Deaton’s paper was valuable in highlighting this increase.</w:t>
      </w:r>
      <w:r w:rsidR="007249AA">
        <w:rPr>
          <w:rFonts w:ascii="Arial" w:eastAsia="Times New Roman" w:hAnsi="Arial" w:cs="Arial"/>
          <w:sz w:val="29"/>
          <w:szCs w:val="29"/>
          <w:lang w:eastAsia="en-GB"/>
        </w:rPr>
        <w:t xml:space="preserve"> However, being able to look at mortality rates at all ages show</w:t>
      </w:r>
      <w:r w:rsidR="00BC77BC">
        <w:rPr>
          <w:rFonts w:ascii="Arial" w:eastAsia="Times New Roman" w:hAnsi="Arial" w:cs="Arial"/>
          <w:sz w:val="29"/>
          <w:szCs w:val="29"/>
          <w:lang w:eastAsia="en-GB"/>
        </w:rPr>
        <w:t>s</w:t>
      </w:r>
      <w:r w:rsidR="007249AA">
        <w:rPr>
          <w:rFonts w:ascii="Arial" w:eastAsia="Times New Roman" w:hAnsi="Arial" w:cs="Arial"/>
          <w:sz w:val="29"/>
          <w:szCs w:val="29"/>
          <w:lang w:eastAsia="en-GB"/>
        </w:rPr>
        <w:t xml:space="preserve"> that this increase, and the increase in drug-based deaths, was not just a middle-aged phenomenon. Looking at all ages </w:t>
      </w:r>
      <w:r w:rsidR="00BC77BC">
        <w:rPr>
          <w:rFonts w:ascii="Arial" w:eastAsia="Times New Roman" w:hAnsi="Arial" w:cs="Arial"/>
          <w:sz w:val="29"/>
          <w:szCs w:val="29"/>
          <w:lang w:eastAsia="en-GB"/>
        </w:rPr>
        <w:t>shows</w:t>
      </w:r>
      <w:r w:rsidR="007249AA">
        <w:rPr>
          <w:rFonts w:ascii="Arial" w:eastAsia="Times New Roman" w:hAnsi="Arial" w:cs="Arial"/>
          <w:sz w:val="29"/>
          <w:szCs w:val="29"/>
          <w:lang w:eastAsia="en-GB"/>
        </w:rPr>
        <w:t xml:space="preserve"> the 2008 recession as having an </w:t>
      </w:r>
      <w:r w:rsidR="00BC77BC">
        <w:rPr>
          <w:rFonts w:ascii="Arial" w:eastAsia="Times New Roman" w:hAnsi="Arial" w:cs="Arial"/>
          <w:sz w:val="29"/>
          <w:szCs w:val="29"/>
          <w:lang w:eastAsia="en-GB"/>
        </w:rPr>
        <w:t xml:space="preserve">exacerbating </w:t>
      </w:r>
      <w:r w:rsidR="007249AA">
        <w:rPr>
          <w:rFonts w:ascii="Arial" w:eastAsia="Times New Roman" w:hAnsi="Arial" w:cs="Arial"/>
          <w:sz w:val="29"/>
          <w:szCs w:val="29"/>
          <w:lang w:eastAsia="en-GB"/>
        </w:rPr>
        <w:t>role in both causes of deaths for WNHs, as well as an inhibitory role for young adult WNHs.</w:t>
      </w:r>
    </w:p>
    <w:p w14:paraId="1D4F58DE" w14:textId="0DD9BA0E" w:rsidR="007249AA" w:rsidRDefault="007249AA" w:rsidP="00944E54">
      <w:pPr>
        <w:shd w:val="clear" w:color="auto" w:fill="FFFFFF"/>
        <w:spacing w:after="0" w:line="240" w:lineRule="auto"/>
        <w:rPr>
          <w:rFonts w:ascii="Arial" w:eastAsia="Times New Roman" w:hAnsi="Arial" w:cs="Arial"/>
          <w:sz w:val="29"/>
          <w:szCs w:val="29"/>
          <w:lang w:eastAsia="en-GB"/>
        </w:rPr>
      </w:pPr>
      <w:r>
        <w:rPr>
          <w:rFonts w:ascii="Arial" w:eastAsia="Times New Roman" w:hAnsi="Arial" w:cs="Arial"/>
          <w:sz w:val="29"/>
          <w:szCs w:val="29"/>
          <w:lang w:eastAsia="en-GB"/>
        </w:rPr>
        <w:t xml:space="preserve"> </w:t>
      </w:r>
    </w:p>
    <w:p w14:paraId="1D3AB6C1" w14:textId="77777777" w:rsidR="00637A88" w:rsidRDefault="00637A88" w:rsidP="00637A88">
      <w:pPr>
        <w:shd w:val="clear" w:color="auto" w:fill="FFFFFF"/>
        <w:spacing w:after="0" w:line="240" w:lineRule="auto"/>
        <w:rPr>
          <w:rFonts w:ascii="Arial" w:eastAsia="Times New Roman" w:hAnsi="Arial" w:cs="Arial"/>
          <w:sz w:val="29"/>
          <w:szCs w:val="29"/>
          <w:lang w:eastAsia="en-GB"/>
        </w:rPr>
      </w:pPr>
    </w:p>
    <w:p w14:paraId="7849B934" w14:textId="77777777" w:rsidR="001C0C6C" w:rsidRDefault="001C0C6C" w:rsidP="00637A88">
      <w:pPr>
        <w:shd w:val="clear" w:color="auto" w:fill="FFFFFF"/>
        <w:spacing w:after="0" w:line="240" w:lineRule="auto"/>
        <w:rPr>
          <w:rFonts w:ascii="Arial" w:eastAsia="Times New Roman" w:hAnsi="Arial" w:cs="Arial"/>
          <w:sz w:val="29"/>
          <w:szCs w:val="29"/>
          <w:lang w:eastAsia="en-GB"/>
        </w:rPr>
      </w:pPr>
    </w:p>
    <w:p w14:paraId="3802783F" w14:textId="278F378F" w:rsidR="003F51A6" w:rsidRDefault="003F51A6" w:rsidP="00C23509">
      <w:pPr>
        <w:pStyle w:val="Heading1"/>
        <w:rPr>
          <w:lang w:eastAsia="en-GB"/>
        </w:rPr>
      </w:pPr>
      <w:r>
        <w:rPr>
          <w:lang w:eastAsia="en-GB"/>
        </w:rPr>
        <w:lastRenderedPageBreak/>
        <w:t>Discussion</w:t>
      </w:r>
    </w:p>
    <w:p w14:paraId="03F06294" w14:textId="77777777" w:rsidR="003F51A6" w:rsidRDefault="003F51A6" w:rsidP="00637A88">
      <w:pPr>
        <w:shd w:val="clear" w:color="auto" w:fill="FFFFFF"/>
        <w:spacing w:after="0" w:line="240" w:lineRule="auto"/>
        <w:rPr>
          <w:rFonts w:ascii="Arial" w:eastAsia="Times New Roman" w:hAnsi="Arial" w:cs="Arial"/>
          <w:sz w:val="29"/>
          <w:szCs w:val="29"/>
          <w:lang w:eastAsia="en-GB"/>
        </w:rPr>
      </w:pPr>
    </w:p>
    <w:p w14:paraId="55D44399" w14:textId="66F7F858" w:rsidR="008B05F8" w:rsidRDefault="00AC4854">
      <w:pPr>
        <w:rPr>
          <w:rFonts w:ascii="Arial" w:eastAsia="Times New Roman" w:hAnsi="Arial" w:cs="Arial"/>
          <w:sz w:val="29"/>
          <w:szCs w:val="29"/>
          <w:lang w:eastAsia="en-GB"/>
        </w:rPr>
      </w:pPr>
      <w:r>
        <w:rPr>
          <w:rFonts w:ascii="Arial" w:eastAsia="Times New Roman" w:hAnsi="Arial" w:cs="Arial"/>
          <w:sz w:val="29"/>
          <w:szCs w:val="29"/>
          <w:lang w:eastAsia="en-GB"/>
        </w:rPr>
        <w:t>T</w:t>
      </w:r>
      <w:r w:rsidR="00637A88">
        <w:rPr>
          <w:rFonts w:ascii="Arial" w:eastAsia="Times New Roman" w:hAnsi="Arial" w:cs="Arial"/>
          <w:sz w:val="29"/>
          <w:szCs w:val="29"/>
          <w:lang w:eastAsia="en-GB"/>
        </w:rPr>
        <w:t xml:space="preserve">he mortality patterns and trends revealed by the data and the range of public health narratives that </w:t>
      </w:r>
      <w:r w:rsidR="00BC77BC">
        <w:rPr>
          <w:rFonts w:ascii="Arial" w:eastAsia="Times New Roman" w:hAnsi="Arial" w:cs="Arial"/>
          <w:sz w:val="29"/>
          <w:szCs w:val="29"/>
          <w:lang w:eastAsia="en-GB"/>
        </w:rPr>
        <w:t xml:space="preserve">can </w:t>
      </w:r>
      <w:r w:rsidR="00637A88">
        <w:rPr>
          <w:rFonts w:ascii="Arial" w:eastAsia="Times New Roman" w:hAnsi="Arial" w:cs="Arial"/>
          <w:sz w:val="29"/>
          <w:szCs w:val="29"/>
          <w:lang w:eastAsia="en-GB"/>
        </w:rPr>
        <w:t xml:space="preserve">be told, are richer and more complex than </w:t>
      </w:r>
      <w:r w:rsidR="00E54202">
        <w:rPr>
          <w:rFonts w:ascii="Arial" w:eastAsia="Times New Roman" w:hAnsi="Arial" w:cs="Arial"/>
          <w:sz w:val="29"/>
          <w:szCs w:val="29"/>
          <w:lang w:eastAsia="en-GB"/>
        </w:rPr>
        <w:t xml:space="preserve">those </w:t>
      </w:r>
      <w:r w:rsidR="00BC77BC">
        <w:rPr>
          <w:rFonts w:ascii="Arial" w:eastAsia="Times New Roman" w:hAnsi="Arial" w:cs="Arial"/>
          <w:sz w:val="29"/>
          <w:szCs w:val="29"/>
          <w:lang w:eastAsia="en-GB"/>
        </w:rPr>
        <w:t xml:space="preserve">presented by </w:t>
      </w:r>
      <w:r w:rsidR="00E54202">
        <w:rPr>
          <w:rFonts w:ascii="Arial" w:eastAsia="Times New Roman" w:hAnsi="Arial" w:cs="Arial"/>
          <w:sz w:val="29"/>
          <w:szCs w:val="29"/>
          <w:lang w:eastAsia="en-GB"/>
        </w:rPr>
        <w:t xml:space="preserve">Case &amp; Deaton, and </w:t>
      </w:r>
      <w:r w:rsidR="00BC77BC">
        <w:rPr>
          <w:rFonts w:ascii="Arial" w:eastAsia="Times New Roman" w:hAnsi="Arial" w:cs="Arial"/>
          <w:sz w:val="29"/>
          <w:szCs w:val="29"/>
          <w:lang w:eastAsia="en-GB"/>
        </w:rPr>
        <w:t xml:space="preserve">which were </w:t>
      </w:r>
      <w:r w:rsidR="00E54202">
        <w:rPr>
          <w:rFonts w:ascii="Arial" w:eastAsia="Times New Roman" w:hAnsi="Arial" w:cs="Arial"/>
          <w:sz w:val="29"/>
          <w:szCs w:val="29"/>
          <w:lang w:eastAsia="en-GB"/>
        </w:rPr>
        <w:t xml:space="preserve">the </w:t>
      </w:r>
      <w:r w:rsidR="00BC77BC">
        <w:rPr>
          <w:rFonts w:ascii="Arial" w:eastAsia="Times New Roman" w:hAnsi="Arial" w:cs="Arial"/>
          <w:sz w:val="29"/>
          <w:szCs w:val="29"/>
          <w:lang w:eastAsia="en-GB"/>
        </w:rPr>
        <w:t xml:space="preserve">focus of </w:t>
      </w:r>
      <w:r w:rsidR="00E54202">
        <w:rPr>
          <w:rFonts w:ascii="Arial" w:eastAsia="Times New Roman" w:hAnsi="Arial" w:cs="Arial"/>
          <w:sz w:val="29"/>
          <w:szCs w:val="29"/>
          <w:lang w:eastAsia="en-GB"/>
        </w:rPr>
        <w:t>dozens of newspaper reports. Rising deaths from certain external causes amongst middle-aged WNHs are</w:t>
      </w:r>
      <w:r w:rsidR="00BC77BC">
        <w:rPr>
          <w:rFonts w:ascii="Arial" w:eastAsia="Times New Roman" w:hAnsi="Arial" w:cs="Arial"/>
          <w:sz w:val="29"/>
          <w:szCs w:val="29"/>
          <w:lang w:eastAsia="en-GB"/>
        </w:rPr>
        <w:t>, however,</w:t>
      </w:r>
      <w:r w:rsidR="00E54202">
        <w:rPr>
          <w:rFonts w:ascii="Arial" w:eastAsia="Times New Roman" w:hAnsi="Arial" w:cs="Arial"/>
          <w:sz w:val="29"/>
          <w:szCs w:val="29"/>
          <w:lang w:eastAsia="en-GB"/>
        </w:rPr>
        <w:t xml:space="preserve"> an important and troubling public health phenomena in the USA, and Case &amp; Deaton are to be commended in identifying and highlighting such issues. </w:t>
      </w:r>
    </w:p>
    <w:p w14:paraId="06720C5F" w14:textId="582FEC81" w:rsidR="00944E54" w:rsidRPr="00C118D6" w:rsidRDefault="00D60D3C">
      <w:pPr>
        <w:rPr>
          <w:rFonts w:ascii="Arial" w:eastAsia="Times New Roman" w:hAnsi="Arial" w:cs="Arial"/>
          <w:sz w:val="29"/>
          <w:szCs w:val="29"/>
          <w:lang w:eastAsia="en-GB"/>
        </w:rPr>
      </w:pPr>
      <w:r w:rsidRPr="00C118D6">
        <w:rPr>
          <w:rFonts w:ascii="Arial" w:eastAsia="Times New Roman" w:hAnsi="Arial" w:cs="Arial"/>
          <w:sz w:val="29"/>
          <w:szCs w:val="29"/>
          <w:lang w:eastAsia="en-GB"/>
        </w:rPr>
        <w:t xml:space="preserve">What does the case of Case &amp; Deaton show about the relationship between new and traditional media, and between the mainstream and academia? The answer, as always, seems to be “it’s complicated.” Online publication made it easier for the original article and </w:t>
      </w:r>
      <w:r w:rsidR="0005411D" w:rsidRPr="00C118D6">
        <w:rPr>
          <w:rFonts w:ascii="Arial" w:eastAsia="Times New Roman" w:hAnsi="Arial" w:cs="Arial"/>
          <w:sz w:val="29"/>
          <w:szCs w:val="29"/>
          <w:lang w:eastAsia="en-GB"/>
        </w:rPr>
        <w:t xml:space="preserve">news stories </w:t>
      </w:r>
      <w:r w:rsidRPr="00C118D6">
        <w:rPr>
          <w:rFonts w:ascii="Arial" w:eastAsia="Times New Roman" w:hAnsi="Arial" w:cs="Arial"/>
          <w:sz w:val="29"/>
          <w:szCs w:val="29"/>
          <w:lang w:eastAsia="en-GB"/>
        </w:rPr>
        <w:t xml:space="preserve">based on it to be tweeted and shared very quickly, for editorialised bottom lines to traverse the globe in minutes and hours rather than weeks and months, and for a simple summary of a depressing finding to become so widely shared as to be common knowledge. Information communication technologies </w:t>
      </w:r>
      <w:r w:rsidR="00C8080E" w:rsidRPr="00C118D6">
        <w:rPr>
          <w:rFonts w:ascii="Arial" w:eastAsia="Times New Roman" w:hAnsi="Arial" w:cs="Arial"/>
          <w:sz w:val="29"/>
          <w:szCs w:val="29"/>
          <w:lang w:eastAsia="en-GB"/>
        </w:rPr>
        <w:t xml:space="preserve">(ICTs) </w:t>
      </w:r>
      <w:r w:rsidRPr="00C118D6">
        <w:rPr>
          <w:rFonts w:ascii="Arial" w:eastAsia="Times New Roman" w:hAnsi="Arial" w:cs="Arial"/>
          <w:sz w:val="29"/>
          <w:szCs w:val="29"/>
          <w:lang w:eastAsia="en-GB"/>
        </w:rPr>
        <w:t>the</w:t>
      </w:r>
      <w:r w:rsidR="00C8080E" w:rsidRPr="00C118D6">
        <w:rPr>
          <w:rFonts w:ascii="Arial" w:eastAsia="Times New Roman" w:hAnsi="Arial" w:cs="Arial"/>
          <w:sz w:val="29"/>
          <w:szCs w:val="29"/>
          <w:lang w:eastAsia="en-GB"/>
        </w:rPr>
        <w:t xml:space="preserve">refore allowed for rapid amplification of the errors within the message, as well as the message itself, within mainstream media. But at the same time, ICTs allowed for very rapid and very careful scrutiny of the claims and correction of the findings by </w:t>
      </w:r>
      <w:r w:rsidR="0071133E" w:rsidRPr="00C118D6">
        <w:rPr>
          <w:rFonts w:ascii="Arial" w:eastAsia="Times New Roman" w:hAnsi="Arial" w:cs="Arial"/>
          <w:sz w:val="29"/>
          <w:szCs w:val="29"/>
          <w:lang w:eastAsia="en-GB"/>
        </w:rPr>
        <w:t xml:space="preserve">tech-savvy </w:t>
      </w:r>
      <w:r w:rsidR="00C8080E" w:rsidRPr="00C118D6">
        <w:rPr>
          <w:rFonts w:ascii="Arial" w:eastAsia="Times New Roman" w:hAnsi="Arial" w:cs="Arial"/>
          <w:sz w:val="29"/>
          <w:szCs w:val="29"/>
          <w:lang w:eastAsia="en-GB"/>
        </w:rPr>
        <w:t>academics. We cannot therefore conclude that ICTs have simply helped or simply harmed the process of academic debates in this case. Yet we can conclude that ICTs</w:t>
      </w:r>
      <w:r w:rsidR="0071133E" w:rsidRPr="00C118D6">
        <w:rPr>
          <w:rFonts w:ascii="Arial" w:eastAsia="Times New Roman" w:hAnsi="Arial" w:cs="Arial"/>
          <w:sz w:val="29"/>
          <w:szCs w:val="29"/>
          <w:lang w:eastAsia="en-GB"/>
        </w:rPr>
        <w:t>, for good and for bad,</w:t>
      </w:r>
      <w:r w:rsidR="00C8080E" w:rsidRPr="00C118D6">
        <w:rPr>
          <w:rFonts w:ascii="Arial" w:eastAsia="Times New Roman" w:hAnsi="Arial" w:cs="Arial"/>
          <w:sz w:val="29"/>
          <w:szCs w:val="29"/>
          <w:lang w:eastAsia="en-GB"/>
        </w:rPr>
        <w:t xml:space="preserve"> have both increased the volume and the velocity with which such debates have occurred. </w:t>
      </w:r>
    </w:p>
    <w:p w14:paraId="3F3445F3" w14:textId="7899D6D9" w:rsidR="003663BE" w:rsidRDefault="00E54202">
      <w:pPr>
        <w:rPr>
          <w:rFonts w:ascii="Arial" w:eastAsia="Times New Roman" w:hAnsi="Arial" w:cs="Arial"/>
          <w:sz w:val="29"/>
          <w:szCs w:val="29"/>
          <w:lang w:eastAsia="en-GB"/>
        </w:rPr>
      </w:pPr>
      <w:r>
        <w:rPr>
          <w:rFonts w:ascii="Arial" w:eastAsia="Times New Roman" w:hAnsi="Arial" w:cs="Arial"/>
          <w:sz w:val="29"/>
          <w:szCs w:val="29"/>
          <w:lang w:eastAsia="en-GB"/>
        </w:rPr>
        <w:t>The Lexis surface visualisations presented here show that it is neither necessary nor desirable to cut out small strips from the much richer tapestries of US mortality phenomena</w:t>
      </w:r>
      <w:r w:rsidR="00D30134">
        <w:rPr>
          <w:rFonts w:ascii="Arial" w:eastAsia="Times New Roman" w:hAnsi="Arial" w:cs="Arial"/>
          <w:sz w:val="29"/>
          <w:szCs w:val="29"/>
          <w:lang w:eastAsia="en-GB"/>
        </w:rPr>
        <w:t xml:space="preserve">. By using appropriate data smoothing methods they have also been applied effectively to identifying age, period and cohort effects in suicide mortality in Scotland, a much smaller population than the USA (around 5.3 million compared with around 318.9 million according to recent population estimates), whose population was then further subdivided into deprivation quintiles (slightly over one million) as well as by sex (slightly over 0.5 million); in </w:t>
      </w:r>
      <w:r w:rsidR="00A669DF">
        <w:rPr>
          <w:rFonts w:ascii="Arial" w:eastAsia="Times New Roman" w:hAnsi="Arial" w:cs="Arial"/>
          <w:sz w:val="29"/>
          <w:szCs w:val="29"/>
          <w:lang w:eastAsia="en-GB"/>
        </w:rPr>
        <w:t>that study</w:t>
      </w:r>
      <w:r w:rsidR="00D30134">
        <w:rPr>
          <w:rFonts w:ascii="Arial" w:eastAsia="Times New Roman" w:hAnsi="Arial" w:cs="Arial"/>
          <w:sz w:val="29"/>
          <w:szCs w:val="29"/>
          <w:lang w:eastAsia="en-GB"/>
        </w:rPr>
        <w:t xml:space="preserve"> their use complemented </w:t>
      </w:r>
      <w:r w:rsidR="00D30134">
        <w:rPr>
          <w:rFonts w:ascii="Arial" w:eastAsia="Times New Roman" w:hAnsi="Arial" w:cs="Arial"/>
          <w:sz w:val="29"/>
          <w:szCs w:val="29"/>
          <w:lang w:eastAsia="en-GB"/>
        </w:rPr>
        <w:lastRenderedPageBreak/>
        <w:t>intrinsic estimator models which indicated ‘statistically significant’ cohort effects for suicide risk for males from the most socioeconomically deprived areas within Scotland who entered the labour market after the Neoliberal reforms undertaken by Conservative governments in the early 1980s.</w:t>
      </w:r>
      <w:r w:rsidR="00456AC0" w:rsidRPr="00E97AA6">
        <w:rPr>
          <w:rFonts w:ascii="Arial" w:eastAsia="Times New Roman" w:hAnsi="Arial" w:cs="Arial"/>
          <w:sz w:val="29"/>
          <w:szCs w:val="29"/>
          <w:vertAlign w:val="superscript"/>
          <w:lang w:eastAsia="en-GB"/>
        </w:rPr>
        <w:t>10</w:t>
      </w:r>
      <w:r w:rsidR="00D30134">
        <w:rPr>
          <w:rFonts w:ascii="Arial" w:eastAsia="Times New Roman" w:hAnsi="Arial" w:cs="Arial"/>
          <w:sz w:val="29"/>
          <w:szCs w:val="29"/>
          <w:lang w:eastAsia="en-GB"/>
        </w:rPr>
        <w:t xml:space="preserve"> </w:t>
      </w:r>
      <w:r w:rsidR="00294CE3">
        <w:rPr>
          <w:rFonts w:ascii="Arial" w:eastAsia="Times New Roman" w:hAnsi="Arial" w:cs="Arial"/>
          <w:sz w:val="29"/>
          <w:szCs w:val="29"/>
          <w:lang w:eastAsia="en-GB"/>
        </w:rPr>
        <w:t xml:space="preserve">We therefore suggest that the complex data visualisations presented here are complements to statistical models, </w:t>
      </w:r>
      <w:r w:rsidR="00A669DF">
        <w:rPr>
          <w:rFonts w:ascii="Arial" w:eastAsia="Times New Roman" w:hAnsi="Arial" w:cs="Arial"/>
          <w:sz w:val="29"/>
          <w:szCs w:val="29"/>
          <w:lang w:eastAsia="en-GB"/>
        </w:rPr>
        <w:t>useful in both large and small populations, and</w:t>
      </w:r>
      <w:r w:rsidR="00294CE3">
        <w:rPr>
          <w:rFonts w:ascii="Arial" w:eastAsia="Times New Roman" w:hAnsi="Arial" w:cs="Arial"/>
          <w:sz w:val="29"/>
          <w:szCs w:val="29"/>
          <w:lang w:eastAsia="en-GB"/>
        </w:rPr>
        <w:t xml:space="preserve"> useful for supporting inductive reasoning and hypothesis generation just as statistical models and significance test support deductive reasoning.</w:t>
      </w:r>
      <w:r>
        <w:rPr>
          <w:rFonts w:ascii="Arial" w:eastAsia="Times New Roman" w:hAnsi="Arial" w:cs="Arial"/>
          <w:sz w:val="29"/>
          <w:szCs w:val="29"/>
          <w:lang w:eastAsia="en-GB"/>
        </w:rPr>
        <w:t xml:space="preserve"> </w:t>
      </w:r>
    </w:p>
    <w:p w14:paraId="652D7CE3" w14:textId="51FF3045" w:rsidR="00353FB6" w:rsidRDefault="00E54202">
      <w:pPr>
        <w:rPr>
          <w:rFonts w:ascii="Arial" w:eastAsia="Times New Roman" w:hAnsi="Arial" w:cs="Arial"/>
          <w:sz w:val="29"/>
          <w:szCs w:val="29"/>
          <w:lang w:eastAsia="en-GB"/>
        </w:rPr>
      </w:pPr>
      <w:r>
        <w:rPr>
          <w:rFonts w:ascii="Arial" w:eastAsia="Times New Roman" w:hAnsi="Arial" w:cs="Arial"/>
          <w:sz w:val="29"/>
          <w:szCs w:val="29"/>
          <w:lang w:eastAsia="en-GB"/>
        </w:rPr>
        <w:t xml:space="preserve">Better approaches for </w:t>
      </w:r>
      <w:r w:rsidR="0044369D">
        <w:rPr>
          <w:rFonts w:ascii="Arial" w:eastAsia="Times New Roman" w:hAnsi="Arial" w:cs="Arial"/>
          <w:sz w:val="29"/>
          <w:szCs w:val="29"/>
          <w:lang w:eastAsia="en-GB"/>
        </w:rPr>
        <w:t>looking broadly at trends in mortality rates are both achievable and necessary</w:t>
      </w:r>
      <w:r w:rsidR="003F51A6">
        <w:rPr>
          <w:rFonts w:ascii="Arial" w:eastAsia="Times New Roman" w:hAnsi="Arial" w:cs="Arial"/>
          <w:sz w:val="29"/>
          <w:szCs w:val="29"/>
          <w:lang w:eastAsia="en-GB"/>
        </w:rPr>
        <w:t xml:space="preserve"> for helping to identify and address public health issues that affect all US citizens</w:t>
      </w:r>
      <w:r w:rsidR="008B05F8">
        <w:rPr>
          <w:rFonts w:ascii="Arial" w:eastAsia="Times New Roman" w:hAnsi="Arial" w:cs="Arial"/>
          <w:sz w:val="29"/>
          <w:szCs w:val="29"/>
          <w:lang w:eastAsia="en-GB"/>
        </w:rPr>
        <w:t>, regardless of age, sex, and ethnicity</w:t>
      </w:r>
      <w:r w:rsidR="0044369D">
        <w:rPr>
          <w:rFonts w:ascii="Arial" w:eastAsia="Times New Roman" w:hAnsi="Arial" w:cs="Arial"/>
          <w:sz w:val="29"/>
          <w:szCs w:val="29"/>
          <w:lang w:eastAsia="en-GB"/>
        </w:rPr>
        <w:t xml:space="preserve">. </w:t>
      </w:r>
    </w:p>
    <w:p w14:paraId="7C0764F7" w14:textId="77777777" w:rsidR="00353FB6" w:rsidRDefault="00353FB6">
      <w:pPr>
        <w:rPr>
          <w:rFonts w:ascii="Arial" w:eastAsia="Times New Roman" w:hAnsi="Arial" w:cs="Arial"/>
          <w:sz w:val="29"/>
          <w:szCs w:val="29"/>
          <w:lang w:eastAsia="en-GB"/>
        </w:rPr>
      </w:pPr>
    </w:p>
    <w:p w14:paraId="42B95FE0" w14:textId="77777777" w:rsidR="00353FB6" w:rsidRDefault="00353FB6">
      <w:pPr>
        <w:rPr>
          <w:rFonts w:ascii="Arial" w:eastAsia="Times New Roman" w:hAnsi="Arial" w:cs="Arial"/>
          <w:b/>
          <w:sz w:val="29"/>
          <w:szCs w:val="29"/>
          <w:lang w:eastAsia="en-GB"/>
        </w:rPr>
      </w:pPr>
      <w:r>
        <w:rPr>
          <w:rFonts w:ascii="Arial" w:eastAsia="Times New Roman" w:hAnsi="Arial" w:cs="Arial"/>
          <w:b/>
          <w:sz w:val="29"/>
          <w:szCs w:val="29"/>
          <w:lang w:eastAsia="en-GB"/>
        </w:rPr>
        <w:t>Key Messages</w:t>
      </w:r>
    </w:p>
    <w:p w14:paraId="123BA026" w14:textId="77777777" w:rsidR="00353FB6" w:rsidRDefault="00353FB6" w:rsidP="00353FB6">
      <w:pPr>
        <w:pStyle w:val="NormalWeb"/>
        <w:shd w:val="clear" w:color="auto" w:fill="FFFFFF"/>
        <w:rPr>
          <w:color w:val="222222"/>
        </w:rPr>
      </w:pPr>
      <w:r>
        <w:rPr>
          <w:rFonts w:ascii="Symbol" w:hAnsi="Symbol"/>
          <w:color w:val="222222"/>
        </w:rPr>
        <w:t></w:t>
      </w:r>
      <w:r>
        <w:rPr>
          <w:color w:val="222222"/>
          <w:sz w:val="14"/>
          <w:szCs w:val="14"/>
        </w:rPr>
        <w:t>        </w:t>
      </w:r>
      <w:r>
        <w:rPr>
          <w:rStyle w:val="apple-converted-space"/>
          <w:color w:val="222222"/>
          <w:sz w:val="14"/>
          <w:szCs w:val="14"/>
        </w:rPr>
        <w:t> </w:t>
      </w:r>
      <w:r>
        <w:rPr>
          <w:color w:val="222222"/>
        </w:rPr>
        <w:t>New forms of media can supplement and critique traditional academic dissemination approaches</w:t>
      </w:r>
    </w:p>
    <w:p w14:paraId="147B8788" w14:textId="77777777" w:rsidR="00353FB6" w:rsidRDefault="00353FB6" w:rsidP="001C0C6C">
      <w:pPr>
        <w:pStyle w:val="NormalWeb"/>
        <w:shd w:val="clear" w:color="auto" w:fill="FFFFFF"/>
        <w:rPr>
          <w:color w:val="222222"/>
        </w:rPr>
      </w:pPr>
      <w:r>
        <w:rPr>
          <w:rFonts w:ascii="Symbol" w:hAnsi="Symbol"/>
          <w:color w:val="222222"/>
        </w:rPr>
        <w:t></w:t>
      </w:r>
      <w:r>
        <w:rPr>
          <w:color w:val="222222"/>
          <w:sz w:val="14"/>
          <w:szCs w:val="14"/>
        </w:rPr>
        <w:t>        </w:t>
      </w:r>
      <w:r>
        <w:rPr>
          <w:rStyle w:val="apple-converted-space"/>
          <w:color w:val="222222"/>
          <w:sz w:val="14"/>
          <w:szCs w:val="14"/>
        </w:rPr>
        <w:t> </w:t>
      </w:r>
      <w:r>
        <w:rPr>
          <w:color w:val="222222"/>
        </w:rPr>
        <w:t>Case and Deaton’s widely publicised findings were corrected through blogs</w:t>
      </w:r>
    </w:p>
    <w:p w14:paraId="620B28F2" w14:textId="77777777" w:rsidR="00353FB6" w:rsidRDefault="00353FB6" w:rsidP="00353FB6">
      <w:pPr>
        <w:pStyle w:val="NormalWeb"/>
        <w:shd w:val="clear" w:color="auto" w:fill="FFFFFF"/>
        <w:rPr>
          <w:color w:val="222222"/>
        </w:rPr>
      </w:pPr>
      <w:r>
        <w:rPr>
          <w:rFonts w:ascii="Symbol" w:hAnsi="Symbol"/>
          <w:color w:val="222222"/>
        </w:rPr>
        <w:t></w:t>
      </w:r>
      <w:r>
        <w:rPr>
          <w:color w:val="222222"/>
          <w:sz w:val="14"/>
          <w:szCs w:val="14"/>
        </w:rPr>
        <w:t>        </w:t>
      </w:r>
      <w:r>
        <w:rPr>
          <w:rStyle w:val="apple-converted-space"/>
          <w:color w:val="222222"/>
          <w:sz w:val="14"/>
          <w:szCs w:val="14"/>
        </w:rPr>
        <w:t> </w:t>
      </w:r>
      <w:r>
        <w:rPr>
          <w:color w:val="222222"/>
        </w:rPr>
        <w:t>Visualising mortality data using Lexis surfaces would have avoided the issue</w:t>
      </w:r>
    </w:p>
    <w:p w14:paraId="612EC320" w14:textId="5FA5538C" w:rsidR="00353FB6" w:rsidRDefault="00353FB6" w:rsidP="00353FB6">
      <w:pPr>
        <w:pStyle w:val="NormalWeb"/>
        <w:shd w:val="clear" w:color="auto" w:fill="FFFFFF"/>
        <w:rPr>
          <w:color w:val="222222"/>
        </w:rPr>
      </w:pPr>
      <w:r>
        <w:rPr>
          <w:rFonts w:ascii="Symbol" w:hAnsi="Symbol"/>
          <w:color w:val="222222"/>
        </w:rPr>
        <w:t></w:t>
      </w:r>
      <w:r>
        <w:rPr>
          <w:color w:val="222222"/>
          <w:sz w:val="14"/>
          <w:szCs w:val="14"/>
        </w:rPr>
        <w:t>        </w:t>
      </w:r>
      <w:r>
        <w:rPr>
          <w:rStyle w:val="apple-converted-space"/>
          <w:color w:val="222222"/>
          <w:sz w:val="14"/>
          <w:szCs w:val="14"/>
        </w:rPr>
        <w:t> </w:t>
      </w:r>
      <w:r>
        <w:rPr>
          <w:color w:val="222222"/>
        </w:rPr>
        <w:t>Lexis surfaces also present a rich visualisation of trends building on these debates</w:t>
      </w:r>
    </w:p>
    <w:p w14:paraId="79FFC0DF" w14:textId="5C9FEFDC" w:rsidR="00C23509" w:rsidRDefault="00C23509">
      <w:pPr>
        <w:rPr>
          <w:color w:val="FF0000"/>
        </w:rPr>
      </w:pPr>
      <w:r>
        <w:rPr>
          <w:color w:val="FF0000"/>
        </w:rPr>
        <w:br w:type="page"/>
      </w:r>
    </w:p>
    <w:p w14:paraId="3DA7DA6E" w14:textId="4B80C5E2" w:rsidR="00A37060" w:rsidRDefault="00C23509" w:rsidP="00C23509">
      <w:pPr>
        <w:pStyle w:val="Heading1"/>
      </w:pPr>
      <w:r>
        <w:lastRenderedPageBreak/>
        <w:t xml:space="preserve">References </w:t>
      </w:r>
    </w:p>
    <w:p w14:paraId="0685F589" w14:textId="77777777" w:rsidR="00BF4106" w:rsidRPr="00BF4106" w:rsidRDefault="00BF4106" w:rsidP="00BF4106">
      <w:pPr>
        <w:rPr>
          <w:color w:val="FF0000"/>
        </w:rPr>
      </w:pPr>
    </w:p>
    <w:p w14:paraId="5C294CE1" w14:textId="77777777" w:rsidR="00BF4106" w:rsidRPr="002242DA" w:rsidRDefault="00BF4106" w:rsidP="00BF4106">
      <w:r w:rsidRPr="002242DA">
        <w:t xml:space="preserve">1. </w:t>
      </w:r>
      <w:r w:rsidRPr="002242DA">
        <w:tab/>
        <w:t>Case A, Deaton A. Rising morbidity and mortality in midlife among white non-Hispanic Americans in the 21st century. Proc Natl Acad Sci [Internet]. 2015 Nov 2;201518393. Available from: http://www.pnas.org/lookup/doi/10.1073/pnas.1518393112</w:t>
      </w:r>
    </w:p>
    <w:p w14:paraId="377731D9" w14:textId="77777777" w:rsidR="00BF4106" w:rsidRPr="002242DA" w:rsidRDefault="00BF4106" w:rsidP="00BF4106">
      <w:r w:rsidRPr="002242DA">
        <w:t xml:space="preserve">2. </w:t>
      </w:r>
      <w:r w:rsidRPr="002242DA">
        <w:tab/>
        <w:t>Gelman A. Andrew Gelman’s Blog [Internet]. https://andrewgelman.com 2015 [cited 2015 Dec 30]. Available from: http://andrewgelman.com/</w:t>
      </w:r>
    </w:p>
    <w:p w14:paraId="72C03110" w14:textId="77777777" w:rsidR="00BF4106" w:rsidRPr="002242DA" w:rsidRDefault="00BF4106" w:rsidP="00BF4106">
      <w:r w:rsidRPr="002242DA">
        <w:t xml:space="preserve">3. </w:t>
      </w:r>
      <w:r w:rsidRPr="002242DA">
        <w:tab/>
        <w:t>Makeham WM. On the Law of Mortality and the Construction of Annuity Tables. Assur Mag J Inst Actuar [Internet]. Cambridge University Press on behalf of the Institute and Faculty of Actuaries; 1860 Jan 1;8(6):301–310. Available from: http://www.jstor.org/stable/41134925</w:t>
      </w:r>
    </w:p>
    <w:p w14:paraId="52272DD8" w14:textId="77777777" w:rsidR="00BF4106" w:rsidRPr="002242DA" w:rsidRDefault="00BF4106" w:rsidP="00BF4106">
      <w:r w:rsidRPr="002242DA">
        <w:t xml:space="preserve">4. </w:t>
      </w:r>
      <w:r w:rsidRPr="002242DA">
        <w:tab/>
        <w:t>Gompertz B. On the Nature of the Function Expressive of the Law of Human Mortality, and on a New Mode of Determining the Value of Life Contingencies. Philos Trans R Soc London [Internet]. 1825 Jan 1 [cited 2012 Apr 11];115:513–583. Available from: http://rstl.royalsocietypublishing.org/cgi/doi/10.1098/rstl.1825.0026</w:t>
      </w:r>
    </w:p>
    <w:p w14:paraId="44169B33" w14:textId="77777777" w:rsidR="00BF4106" w:rsidRPr="002242DA" w:rsidRDefault="00BF4106" w:rsidP="00BF4106">
      <w:r w:rsidRPr="002242DA">
        <w:t xml:space="preserve">5. </w:t>
      </w:r>
      <w:r w:rsidRPr="002242DA">
        <w:tab/>
        <w:t>Gelman A. Death rates have been increasing for middle aged white women, decreasing for men [Internet]. http://andrewgelman.com 2015 [cited 2015 Dec 30]. Available from: http://andrewgelman.com/2015/11/10/death-rates-have-been-increasing-for-middle-aged-white-women-decreasing-for-men/</w:t>
      </w:r>
    </w:p>
    <w:p w14:paraId="324CC44D" w14:textId="77777777" w:rsidR="00BF4106" w:rsidRPr="002242DA" w:rsidRDefault="00BF4106" w:rsidP="00BF4106">
      <w:r w:rsidRPr="002242DA">
        <w:t xml:space="preserve">6. </w:t>
      </w:r>
      <w:r w:rsidRPr="002242DA">
        <w:tab/>
        <w:t>Kolata G, Cohen S. Drug overdoses propel rise in mortality rates of young whites. New York Times [Internet]. 2016 Jan 16; Available from: http://www.nytimes.com/2016/01/17/science/drug-overdoses-propel-rise-in-mortality-rates-of-young-whites.html?_r=0</w:t>
      </w:r>
    </w:p>
    <w:p w14:paraId="46139078" w14:textId="4E0D9AE0" w:rsidR="00BF4106" w:rsidRPr="002242DA" w:rsidRDefault="00BF4106" w:rsidP="00BF4106">
      <w:r w:rsidRPr="002242DA">
        <w:t xml:space="preserve">7. </w:t>
      </w:r>
      <w:r w:rsidRPr="002242DA">
        <w:tab/>
        <w:t xml:space="preserve">Minton J, Vanderbloemen L, Dorling D. Visualizing Europe’s demographic scars with coplots and contour plots. Int J Epidemiol [Internet]. 2013;42(4):1164–1176. Available from: </w:t>
      </w:r>
      <w:hyperlink r:id="rId13" w:history="1">
        <w:r w:rsidR="00456AC0" w:rsidRPr="002242DA">
          <w:rPr>
            <w:rStyle w:val="Hyperlink"/>
            <w:color w:val="auto"/>
          </w:rPr>
          <w:t>http://ije.oxfordjournals.org/content/42/4/1164.full</w:t>
        </w:r>
      </w:hyperlink>
    </w:p>
    <w:p w14:paraId="09829758" w14:textId="37511818" w:rsidR="00456AC0" w:rsidRPr="002242DA" w:rsidRDefault="00456AC0" w:rsidP="00456AC0">
      <w:r w:rsidRPr="002242DA">
        <w:t xml:space="preserve">8. </w:t>
      </w:r>
      <w:r w:rsidRPr="002242DA">
        <w:tab/>
        <w:t>Stuckler D, Basu S, Suhrcke M, Coutts A, McKee M. The public health effect of economic crises and alternative policy responses in Europe: an empirical analysis. Lancet [Internet]. 2009 Jul;374(9686):315–323. Available from: http://linkinghub.elsevier.com/retrieve/pii/S0140673609611247</w:t>
      </w:r>
    </w:p>
    <w:p w14:paraId="71F4B3BA" w14:textId="1371C3E5" w:rsidR="00456AC0" w:rsidRPr="002242DA" w:rsidRDefault="00456AC0" w:rsidP="00456AC0">
      <w:r w:rsidRPr="002242DA">
        <w:t xml:space="preserve">9. </w:t>
      </w:r>
      <w:r w:rsidRPr="002242DA">
        <w:tab/>
        <w:t>Tapia Granados JA. Commentary: William Ogburn, Dorothy Thomas and the influence of recessions and expansions on mortality: Table 1. Int J Epidemiol [Internet]. 2015 Oct;44(5):1484–1490. Available from: http://www.ije.oxfordjournals.org/lookup/doi/10.1093/ije/dyv288</w:t>
      </w:r>
    </w:p>
    <w:p w14:paraId="779A24E8" w14:textId="7C791D2E" w:rsidR="00BF4106" w:rsidRPr="002242DA" w:rsidRDefault="00456AC0" w:rsidP="00BF4106">
      <w:r w:rsidRPr="002242DA">
        <w:t>10</w:t>
      </w:r>
      <w:r w:rsidR="00BF4106" w:rsidRPr="002242DA">
        <w:t xml:space="preserve">. </w:t>
      </w:r>
      <w:r w:rsidR="00BF4106" w:rsidRPr="002242DA">
        <w:tab/>
        <w:t xml:space="preserve">Parkinson J, Minton J, Lewsey J, Bouttell J, McCartney G. Recent cohort effects in suicide in Scotland: a legacy of the 1980s? (Under Review) </w:t>
      </w:r>
    </w:p>
    <w:p w14:paraId="3555A284" w14:textId="437D1B08" w:rsidR="00EF2674" w:rsidRDefault="00EF2674">
      <w:pPr>
        <w:rPr>
          <w:color w:val="FF0000"/>
        </w:rPr>
      </w:pPr>
    </w:p>
    <w:p w14:paraId="2363FC1C" w14:textId="77777777" w:rsidR="00A37060" w:rsidRPr="00252A2C" w:rsidRDefault="00A37060">
      <w:pPr>
        <w:rPr>
          <w:color w:val="FF0000"/>
        </w:rPr>
      </w:pPr>
    </w:p>
    <w:sectPr w:rsidR="00A37060" w:rsidRPr="00252A2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DB8CEB" w14:textId="77777777" w:rsidR="007762B4" w:rsidRDefault="007762B4" w:rsidP="00252A2C">
      <w:pPr>
        <w:spacing w:after="0" w:line="240" w:lineRule="auto"/>
      </w:pPr>
      <w:r>
        <w:separator/>
      </w:r>
    </w:p>
  </w:endnote>
  <w:endnote w:type="continuationSeparator" w:id="0">
    <w:p w14:paraId="069AF2A9" w14:textId="77777777" w:rsidR="007762B4" w:rsidRDefault="007762B4" w:rsidP="0025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DA6596" w14:textId="77777777" w:rsidR="007762B4" w:rsidRDefault="007762B4" w:rsidP="00252A2C">
      <w:pPr>
        <w:spacing w:after="0" w:line="240" w:lineRule="auto"/>
      </w:pPr>
      <w:r>
        <w:separator/>
      </w:r>
    </w:p>
  </w:footnote>
  <w:footnote w:type="continuationSeparator" w:id="0">
    <w:p w14:paraId="38E99797" w14:textId="77777777" w:rsidR="007762B4" w:rsidRDefault="007762B4" w:rsidP="00252A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32AF3"/>
    <w:multiLevelType w:val="hybridMultilevel"/>
    <w:tmpl w:val="C80639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F7F60EA"/>
    <w:multiLevelType w:val="hybridMultilevel"/>
    <w:tmpl w:val="6652EB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E1119FD"/>
    <w:multiLevelType w:val="hybridMultilevel"/>
    <w:tmpl w:val="7898E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CB1443"/>
    <w:multiLevelType w:val="hybridMultilevel"/>
    <w:tmpl w:val="1A4E9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A2C"/>
    <w:rsid w:val="0005411D"/>
    <w:rsid w:val="00066AF4"/>
    <w:rsid w:val="000772A1"/>
    <w:rsid w:val="00087F1A"/>
    <w:rsid w:val="000B1812"/>
    <w:rsid w:val="000B3DD8"/>
    <w:rsid w:val="000C3BF4"/>
    <w:rsid w:val="000E090E"/>
    <w:rsid w:val="000F6890"/>
    <w:rsid w:val="00125CDE"/>
    <w:rsid w:val="00147759"/>
    <w:rsid w:val="001921C7"/>
    <w:rsid w:val="001943A5"/>
    <w:rsid w:val="001B46CA"/>
    <w:rsid w:val="001C0C6C"/>
    <w:rsid w:val="00201C9A"/>
    <w:rsid w:val="00217475"/>
    <w:rsid w:val="002242DA"/>
    <w:rsid w:val="00231B94"/>
    <w:rsid w:val="00252A2C"/>
    <w:rsid w:val="00253044"/>
    <w:rsid w:val="00261358"/>
    <w:rsid w:val="002754A6"/>
    <w:rsid w:val="00281A21"/>
    <w:rsid w:val="00286D1A"/>
    <w:rsid w:val="00294CE3"/>
    <w:rsid w:val="00297144"/>
    <w:rsid w:val="002A1B67"/>
    <w:rsid w:val="002A732C"/>
    <w:rsid w:val="002F7FE2"/>
    <w:rsid w:val="00316374"/>
    <w:rsid w:val="00334302"/>
    <w:rsid w:val="00334ACB"/>
    <w:rsid w:val="00341A4C"/>
    <w:rsid w:val="00353FB6"/>
    <w:rsid w:val="003663BE"/>
    <w:rsid w:val="003B2373"/>
    <w:rsid w:val="003B7CA2"/>
    <w:rsid w:val="003D4ADA"/>
    <w:rsid w:val="003F0264"/>
    <w:rsid w:val="003F51A6"/>
    <w:rsid w:val="00427045"/>
    <w:rsid w:val="0044369D"/>
    <w:rsid w:val="00456AC0"/>
    <w:rsid w:val="00485243"/>
    <w:rsid w:val="00491687"/>
    <w:rsid w:val="004A0482"/>
    <w:rsid w:val="004A6B0A"/>
    <w:rsid w:val="004F5E9A"/>
    <w:rsid w:val="0050188F"/>
    <w:rsid w:val="00511F79"/>
    <w:rsid w:val="0052081F"/>
    <w:rsid w:val="00520F6D"/>
    <w:rsid w:val="0054106B"/>
    <w:rsid w:val="00541C1D"/>
    <w:rsid w:val="00557306"/>
    <w:rsid w:val="00573F08"/>
    <w:rsid w:val="0058409A"/>
    <w:rsid w:val="00584D01"/>
    <w:rsid w:val="005E7F6A"/>
    <w:rsid w:val="005F353F"/>
    <w:rsid w:val="00637A88"/>
    <w:rsid w:val="00655421"/>
    <w:rsid w:val="006609A9"/>
    <w:rsid w:val="00672B08"/>
    <w:rsid w:val="00684DBE"/>
    <w:rsid w:val="0069526E"/>
    <w:rsid w:val="006A2FE3"/>
    <w:rsid w:val="006A7FC4"/>
    <w:rsid w:val="006B2BFF"/>
    <w:rsid w:val="006D504E"/>
    <w:rsid w:val="006F151D"/>
    <w:rsid w:val="0070654C"/>
    <w:rsid w:val="0071133E"/>
    <w:rsid w:val="007249AA"/>
    <w:rsid w:val="007741F6"/>
    <w:rsid w:val="007762B4"/>
    <w:rsid w:val="00785F9A"/>
    <w:rsid w:val="007C1AEF"/>
    <w:rsid w:val="007D6761"/>
    <w:rsid w:val="007F57A8"/>
    <w:rsid w:val="00803BAF"/>
    <w:rsid w:val="00822318"/>
    <w:rsid w:val="008452C5"/>
    <w:rsid w:val="00853A76"/>
    <w:rsid w:val="008670D1"/>
    <w:rsid w:val="00874F48"/>
    <w:rsid w:val="00897644"/>
    <w:rsid w:val="008A6158"/>
    <w:rsid w:val="008B05F8"/>
    <w:rsid w:val="008D4474"/>
    <w:rsid w:val="008D465C"/>
    <w:rsid w:val="00926D2D"/>
    <w:rsid w:val="00944E54"/>
    <w:rsid w:val="009569F9"/>
    <w:rsid w:val="00972D90"/>
    <w:rsid w:val="00984857"/>
    <w:rsid w:val="009939AB"/>
    <w:rsid w:val="009A672B"/>
    <w:rsid w:val="009C187A"/>
    <w:rsid w:val="009C3681"/>
    <w:rsid w:val="009D28F2"/>
    <w:rsid w:val="009E0D82"/>
    <w:rsid w:val="009E79AD"/>
    <w:rsid w:val="00A06093"/>
    <w:rsid w:val="00A10EDD"/>
    <w:rsid w:val="00A3406D"/>
    <w:rsid w:val="00A37060"/>
    <w:rsid w:val="00A4540B"/>
    <w:rsid w:val="00A52A18"/>
    <w:rsid w:val="00A64011"/>
    <w:rsid w:val="00A669DF"/>
    <w:rsid w:val="00A80B22"/>
    <w:rsid w:val="00A87FFC"/>
    <w:rsid w:val="00A9301C"/>
    <w:rsid w:val="00AC4854"/>
    <w:rsid w:val="00AF5B1E"/>
    <w:rsid w:val="00AF64DF"/>
    <w:rsid w:val="00B0636B"/>
    <w:rsid w:val="00B11AAE"/>
    <w:rsid w:val="00B215B9"/>
    <w:rsid w:val="00B5421C"/>
    <w:rsid w:val="00B57FE1"/>
    <w:rsid w:val="00B65E38"/>
    <w:rsid w:val="00B67A3C"/>
    <w:rsid w:val="00B7069C"/>
    <w:rsid w:val="00B81134"/>
    <w:rsid w:val="00B94E6F"/>
    <w:rsid w:val="00BB2B88"/>
    <w:rsid w:val="00BC77BC"/>
    <w:rsid w:val="00BD7FC4"/>
    <w:rsid w:val="00BF3837"/>
    <w:rsid w:val="00BF4106"/>
    <w:rsid w:val="00BF59F1"/>
    <w:rsid w:val="00C118D6"/>
    <w:rsid w:val="00C23509"/>
    <w:rsid w:val="00C3534E"/>
    <w:rsid w:val="00C57D58"/>
    <w:rsid w:val="00C65019"/>
    <w:rsid w:val="00C723A7"/>
    <w:rsid w:val="00C8080E"/>
    <w:rsid w:val="00CB5C63"/>
    <w:rsid w:val="00CC2D0A"/>
    <w:rsid w:val="00CD5838"/>
    <w:rsid w:val="00D2240F"/>
    <w:rsid w:val="00D30007"/>
    <w:rsid w:val="00D30134"/>
    <w:rsid w:val="00D52B4F"/>
    <w:rsid w:val="00D60D3C"/>
    <w:rsid w:val="00D72781"/>
    <w:rsid w:val="00E050D4"/>
    <w:rsid w:val="00E1327C"/>
    <w:rsid w:val="00E142FC"/>
    <w:rsid w:val="00E202D1"/>
    <w:rsid w:val="00E30F18"/>
    <w:rsid w:val="00E401AB"/>
    <w:rsid w:val="00E54202"/>
    <w:rsid w:val="00E63980"/>
    <w:rsid w:val="00E8529D"/>
    <w:rsid w:val="00E97AA6"/>
    <w:rsid w:val="00EF2674"/>
    <w:rsid w:val="00EF5F18"/>
    <w:rsid w:val="00F012A6"/>
    <w:rsid w:val="00F21380"/>
    <w:rsid w:val="00F2284D"/>
    <w:rsid w:val="00F508D0"/>
    <w:rsid w:val="00F52C22"/>
    <w:rsid w:val="00F60A2B"/>
    <w:rsid w:val="00F71203"/>
    <w:rsid w:val="00F8247B"/>
    <w:rsid w:val="00F84063"/>
    <w:rsid w:val="00FC434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6E8579"/>
  <w15:docId w15:val="{A9599962-69A3-495F-8C74-9C1628258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F51A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F51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2A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2A2C"/>
  </w:style>
  <w:style w:type="paragraph" w:styleId="Footer">
    <w:name w:val="footer"/>
    <w:basedOn w:val="Normal"/>
    <w:link w:val="FooterChar"/>
    <w:uiPriority w:val="99"/>
    <w:unhideWhenUsed/>
    <w:rsid w:val="00252A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2A2C"/>
  </w:style>
  <w:style w:type="paragraph" w:styleId="ListParagraph">
    <w:name w:val="List Paragraph"/>
    <w:basedOn w:val="Normal"/>
    <w:uiPriority w:val="34"/>
    <w:qFormat/>
    <w:rsid w:val="00252A2C"/>
    <w:pPr>
      <w:ind w:left="720"/>
      <w:contextualSpacing/>
    </w:pPr>
  </w:style>
  <w:style w:type="paragraph" w:styleId="FootnoteText">
    <w:name w:val="footnote text"/>
    <w:basedOn w:val="Normal"/>
    <w:link w:val="FootnoteTextChar"/>
    <w:uiPriority w:val="99"/>
    <w:semiHidden/>
    <w:unhideWhenUsed/>
    <w:rsid w:val="009D28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28F2"/>
    <w:rPr>
      <w:sz w:val="20"/>
      <w:szCs w:val="20"/>
    </w:rPr>
  </w:style>
  <w:style w:type="character" w:styleId="FootnoteReference">
    <w:name w:val="footnote reference"/>
    <w:basedOn w:val="DefaultParagraphFont"/>
    <w:uiPriority w:val="99"/>
    <w:semiHidden/>
    <w:unhideWhenUsed/>
    <w:rsid w:val="009D28F2"/>
    <w:rPr>
      <w:vertAlign w:val="superscript"/>
    </w:rPr>
  </w:style>
  <w:style w:type="character" w:styleId="Hyperlink">
    <w:name w:val="Hyperlink"/>
    <w:basedOn w:val="DefaultParagraphFont"/>
    <w:uiPriority w:val="99"/>
    <w:unhideWhenUsed/>
    <w:rsid w:val="006609A9"/>
    <w:rPr>
      <w:color w:val="0563C1" w:themeColor="hyperlink"/>
      <w:u w:val="single"/>
    </w:rPr>
  </w:style>
  <w:style w:type="character" w:styleId="CommentReference">
    <w:name w:val="annotation reference"/>
    <w:basedOn w:val="DefaultParagraphFont"/>
    <w:uiPriority w:val="99"/>
    <w:semiHidden/>
    <w:unhideWhenUsed/>
    <w:rsid w:val="009E0D82"/>
    <w:rPr>
      <w:sz w:val="16"/>
      <w:szCs w:val="16"/>
    </w:rPr>
  </w:style>
  <w:style w:type="paragraph" w:styleId="CommentText">
    <w:name w:val="annotation text"/>
    <w:basedOn w:val="Normal"/>
    <w:link w:val="CommentTextChar"/>
    <w:uiPriority w:val="99"/>
    <w:semiHidden/>
    <w:unhideWhenUsed/>
    <w:rsid w:val="009E0D82"/>
    <w:pPr>
      <w:spacing w:line="240" w:lineRule="auto"/>
    </w:pPr>
    <w:rPr>
      <w:sz w:val="20"/>
      <w:szCs w:val="20"/>
    </w:rPr>
  </w:style>
  <w:style w:type="character" w:customStyle="1" w:styleId="CommentTextChar">
    <w:name w:val="Comment Text Char"/>
    <w:basedOn w:val="DefaultParagraphFont"/>
    <w:link w:val="CommentText"/>
    <w:uiPriority w:val="99"/>
    <w:semiHidden/>
    <w:rsid w:val="009E0D82"/>
    <w:rPr>
      <w:sz w:val="20"/>
      <w:szCs w:val="20"/>
    </w:rPr>
  </w:style>
  <w:style w:type="paragraph" w:styleId="CommentSubject">
    <w:name w:val="annotation subject"/>
    <w:basedOn w:val="CommentText"/>
    <w:next w:val="CommentText"/>
    <w:link w:val="CommentSubjectChar"/>
    <w:uiPriority w:val="99"/>
    <w:semiHidden/>
    <w:unhideWhenUsed/>
    <w:rsid w:val="009E0D82"/>
    <w:rPr>
      <w:b/>
      <w:bCs/>
    </w:rPr>
  </w:style>
  <w:style w:type="character" w:customStyle="1" w:styleId="CommentSubjectChar">
    <w:name w:val="Comment Subject Char"/>
    <w:basedOn w:val="CommentTextChar"/>
    <w:link w:val="CommentSubject"/>
    <w:uiPriority w:val="99"/>
    <w:semiHidden/>
    <w:rsid w:val="009E0D82"/>
    <w:rPr>
      <w:b/>
      <w:bCs/>
      <w:sz w:val="20"/>
      <w:szCs w:val="20"/>
    </w:rPr>
  </w:style>
  <w:style w:type="paragraph" w:styleId="BalloonText">
    <w:name w:val="Balloon Text"/>
    <w:basedOn w:val="Normal"/>
    <w:link w:val="BalloonTextChar"/>
    <w:uiPriority w:val="99"/>
    <w:semiHidden/>
    <w:unhideWhenUsed/>
    <w:rsid w:val="009E0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D82"/>
    <w:rPr>
      <w:rFonts w:ascii="Tahoma" w:hAnsi="Tahoma" w:cs="Tahoma"/>
      <w:sz w:val="16"/>
      <w:szCs w:val="16"/>
    </w:rPr>
  </w:style>
  <w:style w:type="character" w:customStyle="1" w:styleId="Heading1Char">
    <w:name w:val="Heading 1 Char"/>
    <w:basedOn w:val="DefaultParagraphFont"/>
    <w:link w:val="Heading1"/>
    <w:uiPriority w:val="9"/>
    <w:rsid w:val="003F51A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F51A6"/>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B81134"/>
    <w:rPr>
      <w:color w:val="954F72" w:themeColor="followedHyperlink"/>
      <w:u w:val="single"/>
    </w:rPr>
  </w:style>
  <w:style w:type="paragraph" w:styleId="Caption">
    <w:name w:val="caption"/>
    <w:basedOn w:val="Normal"/>
    <w:next w:val="Normal"/>
    <w:uiPriority w:val="35"/>
    <w:semiHidden/>
    <w:unhideWhenUsed/>
    <w:qFormat/>
    <w:rsid w:val="00655421"/>
    <w:pPr>
      <w:spacing w:after="200" w:line="240" w:lineRule="auto"/>
    </w:pPr>
    <w:rPr>
      <w:i/>
      <w:iCs/>
      <w:color w:val="44546A" w:themeColor="text2"/>
      <w:sz w:val="18"/>
      <w:szCs w:val="18"/>
    </w:rPr>
  </w:style>
  <w:style w:type="paragraph" w:styleId="NormalWeb">
    <w:name w:val="Normal (Web)"/>
    <w:basedOn w:val="Normal"/>
    <w:uiPriority w:val="99"/>
    <w:semiHidden/>
    <w:unhideWhenUsed/>
    <w:rsid w:val="00353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353FB6"/>
  </w:style>
  <w:style w:type="paragraph" w:styleId="Revision">
    <w:name w:val="Revision"/>
    <w:hidden/>
    <w:uiPriority w:val="99"/>
    <w:semiHidden/>
    <w:rsid w:val="00E852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3219699">
      <w:bodyDiv w:val="1"/>
      <w:marLeft w:val="0"/>
      <w:marRight w:val="0"/>
      <w:marTop w:val="0"/>
      <w:marBottom w:val="0"/>
      <w:divBdr>
        <w:top w:val="none" w:sz="0" w:space="0" w:color="auto"/>
        <w:left w:val="none" w:sz="0" w:space="0" w:color="auto"/>
        <w:bottom w:val="none" w:sz="0" w:space="0" w:color="auto"/>
        <w:right w:val="none" w:sz="0" w:space="0" w:color="auto"/>
      </w:divBdr>
    </w:div>
    <w:div w:id="1409763091">
      <w:bodyDiv w:val="1"/>
      <w:marLeft w:val="0"/>
      <w:marRight w:val="0"/>
      <w:marTop w:val="0"/>
      <w:marBottom w:val="0"/>
      <w:divBdr>
        <w:top w:val="none" w:sz="0" w:space="0" w:color="auto"/>
        <w:left w:val="none" w:sz="0" w:space="0" w:color="auto"/>
        <w:bottom w:val="none" w:sz="0" w:space="0" w:color="auto"/>
        <w:right w:val="none" w:sz="0" w:space="0" w:color="auto"/>
      </w:divBdr>
      <w:divsChild>
        <w:div w:id="108548284">
          <w:marLeft w:val="0"/>
          <w:marRight w:val="0"/>
          <w:marTop w:val="0"/>
          <w:marBottom w:val="0"/>
          <w:divBdr>
            <w:top w:val="none" w:sz="0" w:space="0" w:color="auto"/>
            <w:left w:val="none" w:sz="0" w:space="0" w:color="auto"/>
            <w:bottom w:val="none" w:sz="0" w:space="0" w:color="auto"/>
            <w:right w:val="none" w:sz="0" w:space="0" w:color="auto"/>
          </w:divBdr>
        </w:div>
        <w:div w:id="304047340">
          <w:marLeft w:val="0"/>
          <w:marRight w:val="0"/>
          <w:marTop w:val="0"/>
          <w:marBottom w:val="0"/>
          <w:divBdr>
            <w:top w:val="none" w:sz="0" w:space="0" w:color="auto"/>
            <w:left w:val="none" w:sz="0" w:space="0" w:color="auto"/>
            <w:bottom w:val="none" w:sz="0" w:space="0" w:color="auto"/>
            <w:right w:val="none" w:sz="0" w:space="0" w:color="auto"/>
          </w:divBdr>
        </w:div>
        <w:div w:id="393509570">
          <w:marLeft w:val="0"/>
          <w:marRight w:val="0"/>
          <w:marTop w:val="0"/>
          <w:marBottom w:val="0"/>
          <w:divBdr>
            <w:top w:val="none" w:sz="0" w:space="0" w:color="auto"/>
            <w:left w:val="none" w:sz="0" w:space="0" w:color="auto"/>
            <w:bottom w:val="none" w:sz="0" w:space="0" w:color="auto"/>
            <w:right w:val="none" w:sz="0" w:space="0" w:color="auto"/>
          </w:divBdr>
        </w:div>
        <w:div w:id="573465736">
          <w:marLeft w:val="0"/>
          <w:marRight w:val="0"/>
          <w:marTop w:val="0"/>
          <w:marBottom w:val="0"/>
          <w:divBdr>
            <w:top w:val="none" w:sz="0" w:space="0" w:color="auto"/>
            <w:left w:val="none" w:sz="0" w:space="0" w:color="auto"/>
            <w:bottom w:val="none" w:sz="0" w:space="0" w:color="auto"/>
            <w:right w:val="none" w:sz="0" w:space="0" w:color="auto"/>
          </w:divBdr>
        </w:div>
        <w:div w:id="641231302">
          <w:marLeft w:val="0"/>
          <w:marRight w:val="0"/>
          <w:marTop w:val="0"/>
          <w:marBottom w:val="0"/>
          <w:divBdr>
            <w:top w:val="none" w:sz="0" w:space="0" w:color="auto"/>
            <w:left w:val="none" w:sz="0" w:space="0" w:color="auto"/>
            <w:bottom w:val="none" w:sz="0" w:space="0" w:color="auto"/>
            <w:right w:val="none" w:sz="0" w:space="0" w:color="auto"/>
          </w:divBdr>
        </w:div>
        <w:div w:id="842548680">
          <w:marLeft w:val="0"/>
          <w:marRight w:val="0"/>
          <w:marTop w:val="0"/>
          <w:marBottom w:val="0"/>
          <w:divBdr>
            <w:top w:val="none" w:sz="0" w:space="0" w:color="auto"/>
            <w:left w:val="none" w:sz="0" w:space="0" w:color="auto"/>
            <w:bottom w:val="none" w:sz="0" w:space="0" w:color="auto"/>
            <w:right w:val="none" w:sz="0" w:space="0" w:color="auto"/>
          </w:divBdr>
        </w:div>
        <w:div w:id="857697386">
          <w:marLeft w:val="0"/>
          <w:marRight w:val="0"/>
          <w:marTop w:val="0"/>
          <w:marBottom w:val="0"/>
          <w:divBdr>
            <w:top w:val="none" w:sz="0" w:space="0" w:color="auto"/>
            <w:left w:val="none" w:sz="0" w:space="0" w:color="auto"/>
            <w:bottom w:val="none" w:sz="0" w:space="0" w:color="auto"/>
            <w:right w:val="none" w:sz="0" w:space="0" w:color="auto"/>
          </w:divBdr>
        </w:div>
        <w:div w:id="942154585">
          <w:marLeft w:val="0"/>
          <w:marRight w:val="0"/>
          <w:marTop w:val="0"/>
          <w:marBottom w:val="0"/>
          <w:divBdr>
            <w:top w:val="none" w:sz="0" w:space="0" w:color="auto"/>
            <w:left w:val="none" w:sz="0" w:space="0" w:color="auto"/>
            <w:bottom w:val="none" w:sz="0" w:space="0" w:color="auto"/>
            <w:right w:val="none" w:sz="0" w:space="0" w:color="auto"/>
          </w:divBdr>
        </w:div>
        <w:div w:id="993145263">
          <w:marLeft w:val="0"/>
          <w:marRight w:val="0"/>
          <w:marTop w:val="0"/>
          <w:marBottom w:val="0"/>
          <w:divBdr>
            <w:top w:val="none" w:sz="0" w:space="0" w:color="auto"/>
            <w:left w:val="none" w:sz="0" w:space="0" w:color="auto"/>
            <w:bottom w:val="none" w:sz="0" w:space="0" w:color="auto"/>
            <w:right w:val="none" w:sz="0" w:space="0" w:color="auto"/>
          </w:divBdr>
        </w:div>
        <w:div w:id="1445953369">
          <w:marLeft w:val="0"/>
          <w:marRight w:val="0"/>
          <w:marTop w:val="0"/>
          <w:marBottom w:val="0"/>
          <w:divBdr>
            <w:top w:val="none" w:sz="0" w:space="0" w:color="auto"/>
            <w:left w:val="none" w:sz="0" w:space="0" w:color="auto"/>
            <w:bottom w:val="none" w:sz="0" w:space="0" w:color="auto"/>
            <w:right w:val="none" w:sz="0" w:space="0" w:color="auto"/>
          </w:divBdr>
        </w:div>
        <w:div w:id="1535072858">
          <w:marLeft w:val="0"/>
          <w:marRight w:val="0"/>
          <w:marTop w:val="0"/>
          <w:marBottom w:val="0"/>
          <w:divBdr>
            <w:top w:val="none" w:sz="0" w:space="0" w:color="auto"/>
            <w:left w:val="none" w:sz="0" w:space="0" w:color="auto"/>
            <w:bottom w:val="none" w:sz="0" w:space="0" w:color="auto"/>
            <w:right w:val="none" w:sz="0" w:space="0" w:color="auto"/>
          </w:divBdr>
        </w:div>
        <w:div w:id="16440416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je.oxfordjournals.org/content/42/4/1164.ful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72ADF-E1E6-47EF-8FCF-B54E31A67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3857</Words>
  <Characters>21985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25791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Minton</dc:creator>
  <cp:lastModifiedBy>Green, Mark</cp:lastModifiedBy>
  <cp:revision>2</cp:revision>
  <dcterms:created xsi:type="dcterms:W3CDTF">2016-07-12T09:14:00Z</dcterms:created>
  <dcterms:modified xsi:type="dcterms:W3CDTF">2016-07-12T09:14:00Z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nate.minton@gmail.com@www.mendeley.com</vt:lpwstr>
  </property>
  <property fmtid="{D5CDD505-2E9C-101B-9397-08002B2CF9AE}" pid="4" name="Mendeley Citation Style_1">
    <vt:lpwstr>http://www.zotero.org/styles/international-journal-of-epidemiology</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16th edition (author-date)</vt:lpwstr>
  </property>
  <property fmtid="{D5CDD505-2E9C-101B-9397-08002B2CF9AE}" pid="11" name="Mendeley Recent Style Id 3_1">
    <vt:lpwstr>http://www.zotero.org/styles/european-journal-of-epidemiology</vt:lpwstr>
  </property>
  <property fmtid="{D5CDD505-2E9C-101B-9397-08002B2CF9AE}" pid="12" name="Mendeley Recent Style Name 3_1">
    <vt:lpwstr>European Journal of Epidemiology</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http://www.zotero.org/styles/international-journal-of-epidemiology</vt:lpwstr>
  </property>
  <property fmtid="{D5CDD505-2E9C-101B-9397-08002B2CF9AE}" pid="16" name="Mendeley Recent Style Name 5_1">
    <vt:lpwstr>International Journal of Epidemiology</vt:lpwstr>
  </property>
  <property fmtid="{D5CDD505-2E9C-101B-9397-08002B2CF9AE}" pid="17" name="Mendeley Recent Style Id 6_1">
    <vt:lpwstr>http://www.zotero.org/styles/journal-of-epidemiology-and-community-health</vt:lpwstr>
  </property>
  <property fmtid="{D5CDD505-2E9C-101B-9397-08002B2CF9AE}" pid="18" name="Mendeley Recent Style Name 6_1">
    <vt:lpwstr>Journal of Epidemiology and Community Health</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