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D8615" w14:textId="77777777" w:rsidR="00525936" w:rsidRDefault="00525936" w:rsidP="004228C2">
      <w:pPr>
        <w:spacing w:line="480" w:lineRule="auto"/>
        <w:rPr>
          <w:rFonts w:asciiTheme="majorHAnsi" w:hAnsiTheme="majorHAnsi"/>
          <w:b/>
          <w:u w:val="single"/>
        </w:rPr>
      </w:pPr>
      <w:r w:rsidRPr="00525936">
        <w:rPr>
          <w:rFonts w:asciiTheme="majorHAnsi" w:hAnsiTheme="majorHAnsi"/>
          <w:b/>
          <w:u w:val="single"/>
        </w:rPr>
        <w:t xml:space="preserve">First experience of effectiveness and safety of </w:t>
      </w:r>
      <w:proofErr w:type="spellStart"/>
      <w:r w:rsidRPr="00525936">
        <w:rPr>
          <w:rFonts w:asciiTheme="majorHAnsi" w:hAnsiTheme="majorHAnsi"/>
          <w:b/>
          <w:u w:val="single"/>
        </w:rPr>
        <w:t>bedaquiline</w:t>
      </w:r>
      <w:proofErr w:type="spellEnd"/>
      <w:r w:rsidRPr="00525936">
        <w:rPr>
          <w:rFonts w:asciiTheme="majorHAnsi" w:hAnsiTheme="majorHAnsi"/>
          <w:b/>
          <w:u w:val="single"/>
        </w:rPr>
        <w:t xml:space="preserve"> for 18 months within an optimised regimen for extensively drug resistant tuberculosis</w:t>
      </w:r>
    </w:p>
    <w:p w14:paraId="741D9AB1" w14:textId="77777777" w:rsidR="0060625B" w:rsidRPr="00066D5F" w:rsidRDefault="0060625B" w:rsidP="004228C2">
      <w:pPr>
        <w:spacing w:line="480" w:lineRule="auto"/>
        <w:rPr>
          <w:rFonts w:asciiTheme="majorHAnsi" w:hAnsiTheme="majorHAnsi"/>
        </w:rPr>
      </w:pPr>
    </w:p>
    <w:p w14:paraId="3C7DF481" w14:textId="5C2A4326" w:rsidR="0060625B" w:rsidRPr="00066D5F" w:rsidRDefault="0060625B" w:rsidP="004228C2">
      <w:pPr>
        <w:spacing w:line="480" w:lineRule="auto"/>
        <w:rPr>
          <w:rFonts w:asciiTheme="majorHAnsi" w:hAnsiTheme="majorHAnsi"/>
        </w:rPr>
      </w:pPr>
      <w:r w:rsidRPr="00066D5F">
        <w:rPr>
          <w:rFonts w:asciiTheme="majorHAnsi" w:hAnsiTheme="majorHAnsi"/>
        </w:rPr>
        <w:t xml:space="preserve">Joseph M. Lewis </w:t>
      </w:r>
      <w:r w:rsidRPr="00066D5F">
        <w:rPr>
          <w:rFonts w:asciiTheme="majorHAnsi" w:hAnsiTheme="majorHAnsi"/>
          <w:vertAlign w:val="superscript"/>
        </w:rPr>
        <w:t>1,2</w:t>
      </w:r>
      <w:r w:rsidRPr="00066D5F">
        <w:rPr>
          <w:rFonts w:asciiTheme="majorHAnsi" w:hAnsiTheme="majorHAnsi"/>
        </w:rPr>
        <w:t>, Paul Hine</w:t>
      </w:r>
      <w:r w:rsidRPr="00066D5F">
        <w:rPr>
          <w:rFonts w:asciiTheme="majorHAnsi" w:hAnsiTheme="majorHAnsi"/>
          <w:vertAlign w:val="superscript"/>
        </w:rPr>
        <w:t>1</w:t>
      </w:r>
      <w:r w:rsidRPr="00066D5F">
        <w:rPr>
          <w:rFonts w:asciiTheme="majorHAnsi" w:hAnsiTheme="majorHAnsi"/>
        </w:rPr>
        <w:t>, Jenny Walker</w:t>
      </w:r>
      <w:r w:rsidRPr="00066D5F">
        <w:rPr>
          <w:rFonts w:asciiTheme="majorHAnsi" w:hAnsiTheme="majorHAnsi"/>
          <w:vertAlign w:val="superscript"/>
        </w:rPr>
        <w:t>3</w:t>
      </w:r>
      <w:r w:rsidRPr="00066D5F">
        <w:rPr>
          <w:rFonts w:asciiTheme="majorHAnsi" w:hAnsiTheme="majorHAnsi"/>
        </w:rPr>
        <w:t xml:space="preserve">, </w:t>
      </w:r>
      <w:proofErr w:type="spellStart"/>
      <w:r w:rsidRPr="00066D5F">
        <w:rPr>
          <w:rFonts w:asciiTheme="majorHAnsi" w:hAnsiTheme="majorHAnsi"/>
        </w:rPr>
        <w:t>Saye</w:t>
      </w:r>
      <w:proofErr w:type="spellEnd"/>
      <w:r w:rsidRPr="00066D5F">
        <w:rPr>
          <w:rFonts w:asciiTheme="majorHAnsi" w:hAnsiTheme="majorHAnsi"/>
        </w:rPr>
        <w:t xml:space="preserve"> </w:t>
      </w:r>
      <w:r w:rsidR="00EF2DB5">
        <w:rPr>
          <w:rFonts w:asciiTheme="majorHAnsi" w:hAnsiTheme="majorHAnsi"/>
        </w:rPr>
        <w:t xml:space="preserve">H. </w:t>
      </w:r>
      <w:r w:rsidRPr="00066D5F">
        <w:rPr>
          <w:rFonts w:asciiTheme="majorHAnsi" w:hAnsiTheme="majorHAnsi"/>
        </w:rPr>
        <w:t>Khoo</w:t>
      </w:r>
      <w:r w:rsidRPr="00066D5F">
        <w:rPr>
          <w:rFonts w:asciiTheme="majorHAnsi" w:hAnsiTheme="majorHAnsi"/>
          <w:vertAlign w:val="superscript"/>
        </w:rPr>
        <w:t>4</w:t>
      </w:r>
      <w:r w:rsidRPr="00066D5F">
        <w:rPr>
          <w:rFonts w:asciiTheme="majorHAnsi" w:hAnsiTheme="majorHAnsi"/>
        </w:rPr>
        <w:t>, Miriam Taegtmeyer</w:t>
      </w:r>
      <w:r w:rsidR="00CA5347" w:rsidRPr="00066D5F">
        <w:rPr>
          <w:rFonts w:asciiTheme="majorHAnsi" w:hAnsiTheme="majorHAnsi"/>
          <w:vertAlign w:val="superscript"/>
        </w:rPr>
        <w:t>5</w:t>
      </w:r>
      <w:r w:rsidRPr="00066D5F">
        <w:rPr>
          <w:rFonts w:asciiTheme="majorHAnsi" w:hAnsiTheme="majorHAnsi"/>
        </w:rPr>
        <w:t xml:space="preserve">, S </w:t>
      </w:r>
      <w:proofErr w:type="spellStart"/>
      <w:r w:rsidRPr="00066D5F">
        <w:rPr>
          <w:rFonts w:asciiTheme="majorHAnsi" w:hAnsiTheme="majorHAnsi"/>
        </w:rPr>
        <w:t>Bertel</w:t>
      </w:r>
      <w:proofErr w:type="spellEnd"/>
      <w:r w:rsidRPr="00066D5F">
        <w:rPr>
          <w:rFonts w:asciiTheme="majorHAnsi" w:hAnsiTheme="majorHAnsi"/>
        </w:rPr>
        <w:t xml:space="preserve"> Squire</w:t>
      </w:r>
      <w:r w:rsidR="00CA5347" w:rsidRPr="00066D5F">
        <w:rPr>
          <w:rFonts w:asciiTheme="majorHAnsi" w:hAnsiTheme="majorHAnsi"/>
          <w:vertAlign w:val="superscript"/>
        </w:rPr>
        <w:t>5</w:t>
      </w:r>
      <w:r w:rsidRPr="00066D5F">
        <w:rPr>
          <w:rFonts w:asciiTheme="majorHAnsi" w:hAnsiTheme="majorHAnsi"/>
        </w:rPr>
        <w:t xml:space="preserve">, Derek </w:t>
      </w:r>
      <w:r w:rsidR="00EF2DB5">
        <w:rPr>
          <w:rFonts w:asciiTheme="majorHAnsi" w:hAnsiTheme="majorHAnsi"/>
        </w:rPr>
        <w:t xml:space="preserve">J. </w:t>
      </w:r>
      <w:r w:rsidRPr="00066D5F">
        <w:rPr>
          <w:rFonts w:asciiTheme="majorHAnsi" w:hAnsiTheme="majorHAnsi"/>
        </w:rPr>
        <w:t>Sloan</w:t>
      </w:r>
      <w:r w:rsidR="00CA5347" w:rsidRPr="00066D5F">
        <w:rPr>
          <w:rFonts w:asciiTheme="majorHAnsi" w:hAnsiTheme="majorHAnsi"/>
          <w:vertAlign w:val="superscript"/>
        </w:rPr>
        <w:t>5,6</w:t>
      </w:r>
    </w:p>
    <w:p w14:paraId="484765B4" w14:textId="77777777" w:rsidR="00CA5347" w:rsidRPr="00066D5F" w:rsidRDefault="00CA5347" w:rsidP="00CA5347">
      <w:pPr>
        <w:rPr>
          <w:rFonts w:asciiTheme="majorHAnsi" w:hAnsiTheme="majorHAnsi"/>
        </w:rPr>
      </w:pPr>
    </w:p>
    <w:p w14:paraId="4AF93A81" w14:textId="55D204D1" w:rsidR="0060625B" w:rsidRPr="00066D5F" w:rsidRDefault="0060625B" w:rsidP="00317D97">
      <w:pPr>
        <w:spacing w:line="480" w:lineRule="auto"/>
        <w:outlineLvl w:val="0"/>
        <w:rPr>
          <w:rFonts w:asciiTheme="majorHAnsi" w:hAnsiTheme="majorHAnsi"/>
        </w:rPr>
      </w:pPr>
      <w:r w:rsidRPr="00066D5F">
        <w:rPr>
          <w:rFonts w:asciiTheme="majorHAnsi" w:hAnsiTheme="majorHAnsi"/>
          <w:vertAlign w:val="superscript"/>
        </w:rPr>
        <w:t>1</w:t>
      </w:r>
      <w:r w:rsidRPr="00066D5F">
        <w:rPr>
          <w:rFonts w:asciiTheme="majorHAnsi" w:hAnsiTheme="majorHAnsi"/>
        </w:rPr>
        <w:t xml:space="preserve"> Tropical and Infectious Diseases Unit, Royal Liverpool University Hospital, Liverpool</w:t>
      </w:r>
    </w:p>
    <w:p w14:paraId="4C96F216" w14:textId="3B900C10" w:rsidR="0060625B" w:rsidRPr="00066D5F" w:rsidRDefault="0060625B" w:rsidP="00CA5347">
      <w:pPr>
        <w:spacing w:line="480" w:lineRule="auto"/>
        <w:rPr>
          <w:rFonts w:asciiTheme="majorHAnsi" w:hAnsiTheme="majorHAnsi"/>
        </w:rPr>
      </w:pPr>
      <w:r w:rsidRPr="00066D5F">
        <w:rPr>
          <w:rFonts w:asciiTheme="majorHAnsi" w:hAnsiTheme="majorHAnsi"/>
          <w:vertAlign w:val="superscript"/>
        </w:rPr>
        <w:t xml:space="preserve">2 </w:t>
      </w:r>
      <w:proofErr w:type="spellStart"/>
      <w:r w:rsidRPr="00066D5F">
        <w:rPr>
          <w:rFonts w:asciiTheme="majorHAnsi" w:hAnsiTheme="majorHAnsi"/>
        </w:rPr>
        <w:t>Wellcome</w:t>
      </w:r>
      <w:proofErr w:type="spellEnd"/>
      <w:r w:rsidRPr="00066D5F">
        <w:rPr>
          <w:rFonts w:asciiTheme="majorHAnsi" w:hAnsiTheme="majorHAnsi"/>
        </w:rPr>
        <w:t xml:space="preserve"> Trust </w:t>
      </w:r>
      <w:r w:rsidR="002C4068">
        <w:rPr>
          <w:rFonts w:asciiTheme="majorHAnsi" w:hAnsiTheme="majorHAnsi"/>
        </w:rPr>
        <w:t>Liverpool Glasgow Centre for Global Health Research,</w:t>
      </w:r>
      <w:r w:rsidRPr="00066D5F">
        <w:rPr>
          <w:rFonts w:asciiTheme="majorHAnsi" w:hAnsiTheme="majorHAnsi"/>
        </w:rPr>
        <w:t xml:space="preserve"> </w:t>
      </w:r>
      <w:r w:rsidR="002C4068">
        <w:rPr>
          <w:rFonts w:asciiTheme="majorHAnsi" w:hAnsiTheme="majorHAnsi"/>
        </w:rPr>
        <w:t>University of Liverpool, Liverpool, UK</w:t>
      </w:r>
    </w:p>
    <w:p w14:paraId="5A6AF7E5" w14:textId="550378B6" w:rsidR="0060625B" w:rsidRPr="00066D5F" w:rsidRDefault="00066D5F" w:rsidP="00CA5347">
      <w:pPr>
        <w:spacing w:line="480" w:lineRule="auto"/>
        <w:rPr>
          <w:rFonts w:asciiTheme="majorHAnsi" w:hAnsiTheme="majorHAnsi"/>
        </w:rPr>
      </w:pPr>
      <w:r w:rsidRPr="00066D5F">
        <w:rPr>
          <w:rFonts w:asciiTheme="majorHAnsi" w:hAnsiTheme="majorHAnsi"/>
          <w:vertAlign w:val="superscript"/>
        </w:rPr>
        <w:t>3</w:t>
      </w:r>
      <w:r w:rsidR="0060625B" w:rsidRPr="00066D5F">
        <w:rPr>
          <w:rFonts w:asciiTheme="majorHAnsi" w:hAnsiTheme="majorHAnsi"/>
          <w:vertAlign w:val="superscript"/>
        </w:rPr>
        <w:t xml:space="preserve"> </w:t>
      </w:r>
      <w:r w:rsidR="0060625B" w:rsidRPr="00066D5F">
        <w:rPr>
          <w:rFonts w:asciiTheme="majorHAnsi" w:hAnsiTheme="majorHAnsi"/>
        </w:rPr>
        <w:t>Liverpool Community Health TB Services, Liverpool, UK</w:t>
      </w:r>
    </w:p>
    <w:p w14:paraId="231C2DE9" w14:textId="37C8B2B4" w:rsidR="0060625B" w:rsidRPr="00066D5F" w:rsidRDefault="0060625B" w:rsidP="00CA5347">
      <w:pPr>
        <w:spacing w:line="480" w:lineRule="auto"/>
        <w:rPr>
          <w:rFonts w:asciiTheme="majorHAnsi" w:hAnsiTheme="majorHAnsi"/>
        </w:rPr>
      </w:pPr>
      <w:r w:rsidRPr="00066D5F">
        <w:rPr>
          <w:rFonts w:asciiTheme="majorHAnsi" w:hAnsiTheme="majorHAnsi"/>
          <w:vertAlign w:val="superscript"/>
        </w:rPr>
        <w:t>4</w:t>
      </w:r>
      <w:r w:rsidRPr="00066D5F">
        <w:rPr>
          <w:rFonts w:asciiTheme="majorHAnsi" w:hAnsiTheme="majorHAnsi"/>
        </w:rPr>
        <w:t xml:space="preserve"> </w:t>
      </w:r>
      <w:r w:rsidR="00CA5347" w:rsidRPr="00066D5F">
        <w:rPr>
          <w:rFonts w:asciiTheme="majorHAnsi" w:hAnsiTheme="majorHAnsi"/>
        </w:rPr>
        <w:t xml:space="preserve">Department of Pharmacology and Therapeutics, </w:t>
      </w:r>
      <w:r w:rsidRPr="00066D5F">
        <w:rPr>
          <w:rFonts w:asciiTheme="majorHAnsi" w:hAnsiTheme="majorHAnsi"/>
        </w:rPr>
        <w:t>University of Liverpool, Liverpool, UK</w:t>
      </w:r>
    </w:p>
    <w:p w14:paraId="58A2BEEA" w14:textId="6D882A48" w:rsidR="0060625B" w:rsidRPr="00066D5F" w:rsidRDefault="0060625B" w:rsidP="00CA5347">
      <w:pPr>
        <w:spacing w:line="480" w:lineRule="auto"/>
        <w:rPr>
          <w:rFonts w:asciiTheme="majorHAnsi" w:hAnsiTheme="majorHAnsi"/>
        </w:rPr>
      </w:pPr>
      <w:r w:rsidRPr="00066D5F">
        <w:rPr>
          <w:rFonts w:asciiTheme="majorHAnsi" w:hAnsiTheme="majorHAnsi"/>
          <w:vertAlign w:val="superscript"/>
        </w:rPr>
        <w:t>5</w:t>
      </w:r>
      <w:r w:rsidRPr="00066D5F">
        <w:rPr>
          <w:rFonts w:asciiTheme="majorHAnsi" w:hAnsiTheme="majorHAnsi"/>
        </w:rPr>
        <w:t xml:space="preserve"> Liverpool School of Tropical Medicine, Liverpool, UK</w:t>
      </w:r>
    </w:p>
    <w:p w14:paraId="040C0563" w14:textId="5C374E4D" w:rsidR="00CA5347" w:rsidRPr="00066D5F" w:rsidRDefault="00CA5347" w:rsidP="00CA5347">
      <w:pPr>
        <w:spacing w:line="480" w:lineRule="auto"/>
        <w:rPr>
          <w:rFonts w:asciiTheme="majorHAnsi" w:hAnsiTheme="majorHAnsi"/>
        </w:rPr>
      </w:pPr>
      <w:r w:rsidRPr="00066D5F">
        <w:rPr>
          <w:rFonts w:asciiTheme="majorHAnsi" w:hAnsiTheme="majorHAnsi"/>
          <w:vertAlign w:val="superscript"/>
        </w:rPr>
        <w:t xml:space="preserve">6 </w:t>
      </w:r>
      <w:r w:rsidRPr="00066D5F">
        <w:rPr>
          <w:rFonts w:asciiTheme="majorHAnsi" w:hAnsiTheme="majorHAnsi"/>
        </w:rPr>
        <w:t>Liverpool Heart and Chest Hospital, Liverpool, UK</w:t>
      </w:r>
    </w:p>
    <w:p w14:paraId="5646517C" w14:textId="77777777" w:rsidR="0060625B" w:rsidRPr="00066D5F" w:rsidRDefault="0060625B" w:rsidP="004228C2">
      <w:pPr>
        <w:spacing w:line="480" w:lineRule="auto"/>
        <w:rPr>
          <w:rFonts w:asciiTheme="majorHAnsi" w:hAnsiTheme="majorHAnsi"/>
        </w:rPr>
      </w:pPr>
    </w:p>
    <w:p w14:paraId="20378997" w14:textId="3CBE4EA8" w:rsidR="00CA5347" w:rsidRPr="00066D5F" w:rsidRDefault="00CA5347" w:rsidP="004228C2">
      <w:pPr>
        <w:spacing w:line="480" w:lineRule="auto"/>
        <w:rPr>
          <w:rFonts w:asciiTheme="majorHAnsi" w:hAnsiTheme="majorHAnsi"/>
        </w:rPr>
      </w:pPr>
      <w:r w:rsidRPr="00066D5F">
        <w:rPr>
          <w:rFonts w:asciiTheme="majorHAnsi" w:hAnsiTheme="majorHAnsi"/>
        </w:rPr>
        <w:t>Corresponding Author:</w:t>
      </w:r>
    </w:p>
    <w:p w14:paraId="0DA637FB" w14:textId="30B3BED6" w:rsidR="00CA5347" w:rsidRPr="00066D5F" w:rsidRDefault="00CA5347" w:rsidP="004228C2">
      <w:pPr>
        <w:spacing w:line="480" w:lineRule="auto"/>
        <w:rPr>
          <w:rFonts w:asciiTheme="majorHAnsi" w:hAnsiTheme="majorHAnsi"/>
        </w:rPr>
      </w:pPr>
      <w:r w:rsidRPr="00066D5F">
        <w:rPr>
          <w:rFonts w:asciiTheme="majorHAnsi" w:hAnsiTheme="majorHAnsi"/>
        </w:rPr>
        <w:t>Jo</w:t>
      </w:r>
      <w:r w:rsidR="004E19AD">
        <w:rPr>
          <w:rFonts w:asciiTheme="majorHAnsi" w:hAnsiTheme="majorHAnsi"/>
        </w:rPr>
        <w:t>seph M.</w:t>
      </w:r>
      <w:r w:rsidRPr="00066D5F">
        <w:rPr>
          <w:rFonts w:asciiTheme="majorHAnsi" w:hAnsiTheme="majorHAnsi"/>
        </w:rPr>
        <w:t xml:space="preserve"> Lewis</w:t>
      </w:r>
    </w:p>
    <w:p w14:paraId="6BDC5EE4" w14:textId="72E5994D" w:rsidR="00CA5347" w:rsidRPr="00066D5F" w:rsidRDefault="00CA5347" w:rsidP="004228C2">
      <w:pPr>
        <w:spacing w:line="480" w:lineRule="auto"/>
        <w:rPr>
          <w:rFonts w:asciiTheme="majorHAnsi" w:hAnsiTheme="majorHAnsi"/>
        </w:rPr>
      </w:pPr>
      <w:r w:rsidRPr="00066D5F">
        <w:rPr>
          <w:rFonts w:asciiTheme="majorHAnsi" w:hAnsiTheme="majorHAnsi"/>
        </w:rPr>
        <w:t>Tropical and Infectious Diseases Unit</w:t>
      </w:r>
    </w:p>
    <w:p w14:paraId="7D384615" w14:textId="7360F95F" w:rsidR="00CA5347" w:rsidRPr="00066D5F" w:rsidRDefault="00CA5347" w:rsidP="004228C2">
      <w:pPr>
        <w:spacing w:line="480" w:lineRule="auto"/>
        <w:rPr>
          <w:rFonts w:asciiTheme="majorHAnsi" w:hAnsiTheme="majorHAnsi"/>
        </w:rPr>
      </w:pPr>
      <w:r w:rsidRPr="00066D5F">
        <w:rPr>
          <w:rFonts w:asciiTheme="majorHAnsi" w:hAnsiTheme="majorHAnsi"/>
        </w:rPr>
        <w:t>Royal Liverpool University Hospital</w:t>
      </w:r>
    </w:p>
    <w:p w14:paraId="6D3708FE" w14:textId="74BF8D4B" w:rsidR="00CA5347" w:rsidRDefault="00CA5347" w:rsidP="004228C2">
      <w:pPr>
        <w:spacing w:line="480" w:lineRule="auto"/>
        <w:rPr>
          <w:rFonts w:asciiTheme="majorHAnsi" w:hAnsiTheme="majorHAnsi"/>
        </w:rPr>
      </w:pPr>
      <w:r w:rsidRPr="00066D5F">
        <w:rPr>
          <w:rFonts w:asciiTheme="majorHAnsi" w:hAnsiTheme="majorHAnsi"/>
        </w:rPr>
        <w:t>Liverpool</w:t>
      </w:r>
    </w:p>
    <w:p w14:paraId="013AC5D2" w14:textId="46C3CBC0" w:rsidR="00066D5F" w:rsidRPr="00066D5F" w:rsidRDefault="00066D5F" w:rsidP="004228C2">
      <w:pPr>
        <w:spacing w:line="480" w:lineRule="auto"/>
        <w:rPr>
          <w:rFonts w:asciiTheme="majorHAnsi" w:hAnsiTheme="majorHAnsi"/>
        </w:rPr>
      </w:pPr>
      <w:r>
        <w:rPr>
          <w:rFonts w:asciiTheme="majorHAnsi" w:hAnsiTheme="majorHAnsi"/>
        </w:rPr>
        <w:t>L7 8XP</w:t>
      </w:r>
    </w:p>
    <w:p w14:paraId="6A4BB083" w14:textId="53D512F8" w:rsidR="00CA5347" w:rsidRPr="00066D5F" w:rsidRDefault="00CA5347" w:rsidP="004228C2">
      <w:pPr>
        <w:spacing w:line="480" w:lineRule="auto"/>
        <w:rPr>
          <w:rFonts w:asciiTheme="majorHAnsi" w:hAnsiTheme="majorHAnsi"/>
        </w:rPr>
      </w:pPr>
      <w:r w:rsidRPr="00066D5F">
        <w:rPr>
          <w:rFonts w:asciiTheme="majorHAnsi" w:hAnsiTheme="majorHAnsi"/>
        </w:rPr>
        <w:t>UK</w:t>
      </w:r>
    </w:p>
    <w:p w14:paraId="739C722D" w14:textId="3427A8E4" w:rsidR="00CA5347" w:rsidRPr="00066D5F" w:rsidRDefault="00CA5347" w:rsidP="00317D97">
      <w:pPr>
        <w:spacing w:line="480" w:lineRule="auto"/>
        <w:outlineLvl w:val="0"/>
        <w:rPr>
          <w:rFonts w:asciiTheme="majorHAnsi" w:hAnsiTheme="majorHAnsi"/>
        </w:rPr>
      </w:pPr>
      <w:r w:rsidRPr="00066D5F">
        <w:rPr>
          <w:rFonts w:asciiTheme="majorHAnsi" w:hAnsiTheme="majorHAnsi"/>
        </w:rPr>
        <w:t xml:space="preserve">Email: </w:t>
      </w:r>
      <w:r w:rsidR="002C4068" w:rsidRPr="002C4068">
        <w:rPr>
          <w:rFonts w:asciiTheme="majorHAnsi" w:hAnsiTheme="majorHAnsi"/>
        </w:rPr>
        <w:t>joseph.lewis@liverpool.ac.uk</w:t>
      </w:r>
    </w:p>
    <w:p w14:paraId="392C0E54" w14:textId="444B8ADE" w:rsidR="00CA5347" w:rsidRPr="00066D5F" w:rsidRDefault="00CA5347" w:rsidP="00317D97">
      <w:pPr>
        <w:spacing w:line="480" w:lineRule="auto"/>
        <w:outlineLvl w:val="0"/>
        <w:rPr>
          <w:rFonts w:asciiTheme="majorHAnsi" w:hAnsiTheme="majorHAnsi"/>
        </w:rPr>
      </w:pPr>
      <w:r w:rsidRPr="00066D5F">
        <w:rPr>
          <w:rFonts w:asciiTheme="majorHAnsi" w:hAnsiTheme="majorHAnsi"/>
        </w:rPr>
        <w:t>Tel: +44 151 706 3835</w:t>
      </w:r>
    </w:p>
    <w:p w14:paraId="62B0EE17" w14:textId="77777777" w:rsidR="0060625B" w:rsidRPr="00066D5F" w:rsidRDefault="0060625B" w:rsidP="004228C2">
      <w:pPr>
        <w:spacing w:line="480" w:lineRule="auto"/>
        <w:rPr>
          <w:rFonts w:asciiTheme="majorHAnsi" w:hAnsiTheme="majorHAnsi"/>
        </w:rPr>
      </w:pPr>
    </w:p>
    <w:p w14:paraId="211B4C67" w14:textId="38FAA8AA" w:rsidR="00CA5347" w:rsidRDefault="000568AE" w:rsidP="00317D97">
      <w:pPr>
        <w:spacing w:line="480" w:lineRule="auto"/>
        <w:outlineLvl w:val="0"/>
        <w:rPr>
          <w:rFonts w:asciiTheme="majorHAnsi" w:hAnsiTheme="majorHAnsi"/>
        </w:rPr>
      </w:pPr>
      <w:r>
        <w:rPr>
          <w:rFonts w:asciiTheme="majorHAnsi" w:hAnsiTheme="majorHAnsi"/>
        </w:rPr>
        <w:t>Word count: 11</w:t>
      </w:r>
      <w:r w:rsidR="00666080">
        <w:rPr>
          <w:rFonts w:asciiTheme="majorHAnsi" w:hAnsiTheme="majorHAnsi"/>
        </w:rPr>
        <w:t>85</w:t>
      </w:r>
      <w:r w:rsidR="00CA5347" w:rsidRPr="00066D5F">
        <w:rPr>
          <w:rFonts w:asciiTheme="majorHAnsi" w:hAnsiTheme="majorHAnsi"/>
        </w:rPr>
        <w:t xml:space="preserve"> (limit 1200)</w:t>
      </w:r>
    </w:p>
    <w:p w14:paraId="30DE7D32" w14:textId="6275AE45" w:rsidR="00B14D15" w:rsidRPr="00066D5F" w:rsidRDefault="00B14D15" w:rsidP="00317D97">
      <w:pPr>
        <w:spacing w:line="480" w:lineRule="auto"/>
        <w:outlineLvl w:val="0"/>
        <w:rPr>
          <w:rFonts w:asciiTheme="majorHAnsi" w:hAnsiTheme="majorHAnsi"/>
        </w:rPr>
      </w:pPr>
      <w:r>
        <w:rPr>
          <w:rFonts w:asciiTheme="majorHAnsi" w:hAnsiTheme="majorHAnsi"/>
        </w:rPr>
        <w:t>References: 15</w:t>
      </w:r>
    </w:p>
    <w:p w14:paraId="38AAE5B6" w14:textId="77777777" w:rsidR="0060625B" w:rsidRPr="00066D5F" w:rsidRDefault="0060625B" w:rsidP="004228C2">
      <w:pPr>
        <w:spacing w:line="480" w:lineRule="auto"/>
        <w:rPr>
          <w:rFonts w:asciiTheme="majorHAnsi" w:hAnsiTheme="majorHAnsi"/>
        </w:rPr>
      </w:pPr>
    </w:p>
    <w:p w14:paraId="5583F648" w14:textId="428C037E" w:rsidR="00CA5347" w:rsidRPr="00066D5F" w:rsidRDefault="00CA5347" w:rsidP="00317D97">
      <w:pPr>
        <w:spacing w:line="480" w:lineRule="auto"/>
        <w:outlineLvl w:val="0"/>
        <w:rPr>
          <w:rFonts w:asciiTheme="majorHAnsi" w:hAnsiTheme="majorHAnsi"/>
        </w:rPr>
      </w:pPr>
      <w:r w:rsidRPr="00066D5F">
        <w:rPr>
          <w:rFonts w:asciiTheme="majorHAnsi" w:hAnsiTheme="majorHAnsi"/>
        </w:rPr>
        <w:t xml:space="preserve">Key words: tuberculosis, drug resistance, MDR-TB, XDR-TB, </w:t>
      </w:r>
      <w:proofErr w:type="spellStart"/>
      <w:r w:rsidRPr="00066D5F">
        <w:rPr>
          <w:rFonts w:asciiTheme="majorHAnsi" w:hAnsiTheme="majorHAnsi"/>
        </w:rPr>
        <w:t>bedaquiline</w:t>
      </w:r>
      <w:proofErr w:type="spellEnd"/>
    </w:p>
    <w:p w14:paraId="502B8B8D" w14:textId="77777777" w:rsidR="00047AEC" w:rsidRDefault="00047AEC" w:rsidP="004228C2">
      <w:pPr>
        <w:spacing w:line="480" w:lineRule="auto"/>
        <w:rPr>
          <w:rFonts w:asciiTheme="majorHAnsi" w:hAnsiTheme="majorHAnsi"/>
        </w:rPr>
      </w:pPr>
    </w:p>
    <w:p w14:paraId="0F3B4C8A" w14:textId="77589FF0" w:rsidR="0060625B" w:rsidRPr="00066D5F" w:rsidRDefault="00047AEC" w:rsidP="004228C2">
      <w:pPr>
        <w:spacing w:line="480" w:lineRule="auto"/>
        <w:rPr>
          <w:rFonts w:asciiTheme="majorHAnsi" w:hAnsiTheme="majorHAnsi"/>
        </w:rPr>
      </w:pPr>
      <w:r>
        <w:rPr>
          <w:rFonts w:asciiTheme="majorHAnsi" w:hAnsiTheme="majorHAnsi"/>
        </w:rPr>
        <w:t xml:space="preserve">120 Character summary: We describe the first </w:t>
      </w:r>
      <w:r w:rsidR="00FB6186">
        <w:rPr>
          <w:rFonts w:asciiTheme="majorHAnsi" w:hAnsiTheme="majorHAnsi"/>
        </w:rPr>
        <w:t xml:space="preserve">successful </w:t>
      </w:r>
      <w:r>
        <w:rPr>
          <w:rFonts w:asciiTheme="majorHAnsi" w:hAnsiTheme="majorHAnsi"/>
        </w:rPr>
        <w:t xml:space="preserve">use of </w:t>
      </w:r>
      <w:proofErr w:type="spellStart"/>
      <w:r>
        <w:rPr>
          <w:rFonts w:asciiTheme="majorHAnsi" w:hAnsiTheme="majorHAnsi"/>
        </w:rPr>
        <w:t>bedaquiline</w:t>
      </w:r>
      <w:proofErr w:type="spellEnd"/>
      <w:r>
        <w:rPr>
          <w:rFonts w:asciiTheme="majorHAnsi" w:hAnsiTheme="majorHAnsi"/>
        </w:rPr>
        <w:t xml:space="preserve"> for 18 months for XDR-TB</w:t>
      </w:r>
      <w:r w:rsidR="00FB6186">
        <w:rPr>
          <w:rFonts w:asciiTheme="majorHAnsi" w:hAnsiTheme="majorHAnsi"/>
        </w:rPr>
        <w:t xml:space="preserve"> as part of an optimised background regimen.</w:t>
      </w:r>
    </w:p>
    <w:p w14:paraId="70F4004E" w14:textId="77777777" w:rsidR="0060625B" w:rsidRPr="00066D5F" w:rsidRDefault="0060625B" w:rsidP="004228C2">
      <w:pPr>
        <w:spacing w:line="480" w:lineRule="auto"/>
        <w:rPr>
          <w:rFonts w:asciiTheme="majorHAnsi" w:hAnsiTheme="majorHAnsi"/>
        </w:rPr>
      </w:pPr>
    </w:p>
    <w:p w14:paraId="5BBC96B0" w14:textId="77777777" w:rsidR="0060625B" w:rsidRPr="00066D5F" w:rsidRDefault="0060625B" w:rsidP="004228C2">
      <w:pPr>
        <w:spacing w:line="480" w:lineRule="auto"/>
        <w:rPr>
          <w:rFonts w:asciiTheme="majorHAnsi" w:hAnsiTheme="majorHAnsi"/>
        </w:rPr>
      </w:pPr>
    </w:p>
    <w:p w14:paraId="6CEDBC92" w14:textId="77777777" w:rsidR="0060625B" w:rsidRPr="00066D5F" w:rsidRDefault="0060625B" w:rsidP="004228C2">
      <w:pPr>
        <w:spacing w:line="480" w:lineRule="auto"/>
        <w:rPr>
          <w:rFonts w:asciiTheme="majorHAnsi" w:hAnsiTheme="majorHAnsi"/>
        </w:rPr>
      </w:pPr>
    </w:p>
    <w:p w14:paraId="776816AF" w14:textId="77777777" w:rsidR="0060625B" w:rsidRPr="00066D5F" w:rsidRDefault="0060625B" w:rsidP="004228C2">
      <w:pPr>
        <w:spacing w:line="480" w:lineRule="auto"/>
        <w:rPr>
          <w:rFonts w:asciiTheme="majorHAnsi" w:hAnsiTheme="majorHAnsi"/>
        </w:rPr>
      </w:pPr>
    </w:p>
    <w:p w14:paraId="6F3B3C45" w14:textId="77777777" w:rsidR="0060625B" w:rsidRPr="00066D5F" w:rsidRDefault="0060625B" w:rsidP="004228C2">
      <w:pPr>
        <w:spacing w:line="480" w:lineRule="auto"/>
        <w:rPr>
          <w:rFonts w:asciiTheme="majorHAnsi" w:hAnsiTheme="majorHAnsi"/>
        </w:rPr>
      </w:pPr>
    </w:p>
    <w:p w14:paraId="4E841748" w14:textId="77777777" w:rsidR="0060625B" w:rsidRPr="00066D5F" w:rsidRDefault="0060625B" w:rsidP="004228C2">
      <w:pPr>
        <w:spacing w:line="480" w:lineRule="auto"/>
        <w:rPr>
          <w:rFonts w:asciiTheme="majorHAnsi" w:hAnsiTheme="majorHAnsi"/>
        </w:rPr>
      </w:pPr>
    </w:p>
    <w:p w14:paraId="5520CDE7" w14:textId="77777777" w:rsidR="00A7037F" w:rsidRPr="00066D5F" w:rsidRDefault="00A7037F" w:rsidP="004228C2">
      <w:pPr>
        <w:spacing w:line="480" w:lineRule="auto"/>
        <w:rPr>
          <w:rFonts w:asciiTheme="majorHAnsi" w:hAnsiTheme="majorHAnsi"/>
        </w:rPr>
      </w:pPr>
    </w:p>
    <w:p w14:paraId="6687E7FD" w14:textId="77777777" w:rsidR="00A7037F" w:rsidRPr="00066D5F" w:rsidRDefault="00A7037F" w:rsidP="004228C2">
      <w:pPr>
        <w:spacing w:line="480" w:lineRule="auto"/>
        <w:rPr>
          <w:rFonts w:asciiTheme="majorHAnsi" w:hAnsiTheme="majorHAnsi"/>
        </w:rPr>
      </w:pPr>
    </w:p>
    <w:p w14:paraId="106EE2BA" w14:textId="77777777" w:rsidR="00CA5347" w:rsidRPr="00066D5F" w:rsidRDefault="00CA5347" w:rsidP="004228C2">
      <w:pPr>
        <w:spacing w:line="480" w:lineRule="auto"/>
        <w:rPr>
          <w:rFonts w:asciiTheme="majorHAnsi" w:hAnsiTheme="majorHAnsi"/>
          <w:b/>
        </w:rPr>
      </w:pPr>
    </w:p>
    <w:p w14:paraId="08FCA6E8" w14:textId="77777777" w:rsidR="00CA5347" w:rsidRPr="00066D5F" w:rsidRDefault="00CA5347" w:rsidP="004228C2">
      <w:pPr>
        <w:spacing w:line="480" w:lineRule="auto"/>
        <w:rPr>
          <w:rFonts w:asciiTheme="majorHAnsi" w:hAnsiTheme="majorHAnsi"/>
          <w:b/>
        </w:rPr>
      </w:pPr>
    </w:p>
    <w:p w14:paraId="5F9BC1A2" w14:textId="77777777" w:rsidR="00CA5347" w:rsidRPr="00066D5F" w:rsidRDefault="00CA5347" w:rsidP="004228C2">
      <w:pPr>
        <w:spacing w:line="480" w:lineRule="auto"/>
        <w:rPr>
          <w:rFonts w:asciiTheme="majorHAnsi" w:hAnsiTheme="majorHAnsi"/>
          <w:b/>
        </w:rPr>
      </w:pPr>
    </w:p>
    <w:p w14:paraId="75605C42" w14:textId="77777777" w:rsidR="00CA5347" w:rsidRPr="00066D5F" w:rsidRDefault="00CA5347" w:rsidP="004228C2">
      <w:pPr>
        <w:spacing w:line="480" w:lineRule="auto"/>
        <w:rPr>
          <w:rFonts w:asciiTheme="majorHAnsi" w:hAnsiTheme="majorHAnsi"/>
          <w:b/>
        </w:rPr>
      </w:pPr>
    </w:p>
    <w:p w14:paraId="0CC04C36" w14:textId="77777777" w:rsidR="00CA5347" w:rsidRPr="00066D5F" w:rsidRDefault="00CA5347" w:rsidP="004228C2">
      <w:pPr>
        <w:spacing w:line="480" w:lineRule="auto"/>
        <w:rPr>
          <w:rFonts w:asciiTheme="majorHAnsi" w:hAnsiTheme="majorHAnsi"/>
          <w:b/>
        </w:rPr>
      </w:pPr>
    </w:p>
    <w:p w14:paraId="48386D63" w14:textId="77777777" w:rsidR="00CA5347" w:rsidRPr="00066D5F" w:rsidRDefault="00CA5347" w:rsidP="004228C2">
      <w:pPr>
        <w:spacing w:line="480" w:lineRule="auto"/>
        <w:rPr>
          <w:rFonts w:asciiTheme="majorHAnsi" w:hAnsiTheme="majorHAnsi"/>
          <w:b/>
        </w:rPr>
      </w:pPr>
    </w:p>
    <w:p w14:paraId="37C94A87" w14:textId="77777777" w:rsidR="00CA5347" w:rsidRPr="00066D5F" w:rsidRDefault="00CA5347" w:rsidP="004228C2">
      <w:pPr>
        <w:spacing w:line="480" w:lineRule="auto"/>
        <w:rPr>
          <w:rFonts w:asciiTheme="majorHAnsi" w:hAnsiTheme="majorHAnsi"/>
          <w:b/>
        </w:rPr>
      </w:pPr>
    </w:p>
    <w:p w14:paraId="403CF589" w14:textId="77777777" w:rsidR="00CA5347" w:rsidRPr="00066D5F" w:rsidRDefault="00CA5347" w:rsidP="004228C2">
      <w:pPr>
        <w:spacing w:line="480" w:lineRule="auto"/>
        <w:rPr>
          <w:rFonts w:asciiTheme="majorHAnsi" w:hAnsiTheme="majorHAnsi"/>
          <w:b/>
        </w:rPr>
      </w:pPr>
    </w:p>
    <w:p w14:paraId="7DA45019" w14:textId="77777777" w:rsidR="00CA5347" w:rsidRPr="00066D5F" w:rsidRDefault="00CA5347" w:rsidP="004228C2">
      <w:pPr>
        <w:spacing w:line="480" w:lineRule="auto"/>
        <w:rPr>
          <w:rFonts w:asciiTheme="majorHAnsi" w:hAnsiTheme="majorHAnsi"/>
          <w:b/>
        </w:rPr>
      </w:pPr>
    </w:p>
    <w:p w14:paraId="7AACEFEE" w14:textId="77777777" w:rsidR="004E19AD" w:rsidRPr="00066D5F" w:rsidRDefault="004E19AD" w:rsidP="004228C2">
      <w:pPr>
        <w:spacing w:line="480" w:lineRule="auto"/>
        <w:rPr>
          <w:rFonts w:asciiTheme="majorHAnsi" w:hAnsiTheme="majorHAnsi"/>
          <w:b/>
        </w:rPr>
      </w:pPr>
    </w:p>
    <w:p w14:paraId="54A1FE0F" w14:textId="6130A949" w:rsidR="00525936" w:rsidRDefault="00525936" w:rsidP="004228C2">
      <w:pPr>
        <w:spacing w:line="480" w:lineRule="auto"/>
        <w:rPr>
          <w:rFonts w:asciiTheme="majorHAnsi" w:hAnsiTheme="majorHAnsi"/>
          <w:b/>
        </w:rPr>
      </w:pPr>
      <w:r w:rsidRPr="00525936">
        <w:rPr>
          <w:rFonts w:asciiTheme="majorHAnsi" w:hAnsiTheme="majorHAnsi"/>
          <w:b/>
        </w:rPr>
        <w:t xml:space="preserve">First experience of effectiveness and safety of </w:t>
      </w:r>
      <w:proofErr w:type="spellStart"/>
      <w:r w:rsidRPr="00525936">
        <w:rPr>
          <w:rFonts w:asciiTheme="majorHAnsi" w:hAnsiTheme="majorHAnsi"/>
          <w:b/>
        </w:rPr>
        <w:t>bedaquiline</w:t>
      </w:r>
      <w:proofErr w:type="spellEnd"/>
      <w:r w:rsidRPr="00525936">
        <w:rPr>
          <w:rFonts w:asciiTheme="majorHAnsi" w:hAnsiTheme="majorHAnsi"/>
          <w:b/>
        </w:rPr>
        <w:t xml:space="preserve"> for 18 months within an optimised regimen for extensively drug resistant tuberculosis</w:t>
      </w:r>
    </w:p>
    <w:p w14:paraId="1CFCA6C0" w14:textId="77777777" w:rsidR="00525936" w:rsidRDefault="00525936" w:rsidP="004228C2">
      <w:pPr>
        <w:spacing w:line="480" w:lineRule="auto"/>
        <w:rPr>
          <w:rFonts w:asciiTheme="majorHAnsi" w:hAnsiTheme="majorHAnsi"/>
          <w:b/>
        </w:rPr>
      </w:pPr>
    </w:p>
    <w:p w14:paraId="4BFA9A9A" w14:textId="6E6CE133" w:rsidR="00E23F18" w:rsidRDefault="00E23F18" w:rsidP="004228C2">
      <w:pPr>
        <w:spacing w:line="480" w:lineRule="auto"/>
        <w:rPr>
          <w:rFonts w:asciiTheme="majorHAnsi" w:hAnsiTheme="majorHAnsi"/>
        </w:rPr>
      </w:pPr>
      <w:r w:rsidRPr="00E23F18">
        <w:rPr>
          <w:rFonts w:asciiTheme="majorHAnsi" w:hAnsiTheme="majorHAnsi"/>
          <w:lang w:val="en-US"/>
        </w:rPr>
        <w:t xml:space="preserve">Extensively drug-resistant </w:t>
      </w:r>
      <w:r w:rsidR="00E407F1">
        <w:rPr>
          <w:rFonts w:asciiTheme="majorHAnsi" w:hAnsiTheme="majorHAnsi"/>
          <w:bCs/>
          <w:lang w:val="en-US"/>
        </w:rPr>
        <w:t>tuberculosis</w:t>
      </w:r>
      <w:r w:rsidRPr="00E23F18">
        <w:rPr>
          <w:rFonts w:asciiTheme="majorHAnsi" w:hAnsiTheme="majorHAnsi"/>
          <w:lang w:val="en-US"/>
        </w:rPr>
        <w:t xml:space="preserve"> (</w:t>
      </w:r>
      <w:r w:rsidRPr="00E23F18">
        <w:rPr>
          <w:rFonts w:asciiTheme="majorHAnsi" w:hAnsiTheme="majorHAnsi"/>
          <w:bCs/>
          <w:lang w:val="en-US"/>
        </w:rPr>
        <w:t>XDR</w:t>
      </w:r>
      <w:r>
        <w:rPr>
          <w:rFonts w:asciiTheme="majorHAnsi" w:hAnsiTheme="majorHAnsi"/>
          <w:bCs/>
          <w:lang w:val="en-US"/>
        </w:rPr>
        <w:t>-</w:t>
      </w:r>
      <w:r w:rsidRPr="00E23F18">
        <w:rPr>
          <w:rFonts w:asciiTheme="majorHAnsi" w:hAnsiTheme="majorHAnsi"/>
          <w:bCs/>
          <w:lang w:val="en-US"/>
        </w:rPr>
        <w:t>TB</w:t>
      </w:r>
      <w:r w:rsidRPr="00E23F18">
        <w:rPr>
          <w:rFonts w:asciiTheme="majorHAnsi" w:hAnsiTheme="majorHAnsi"/>
          <w:lang w:val="en-US"/>
        </w:rPr>
        <w:t xml:space="preserve">) is a type of multidrug-resistant </w:t>
      </w:r>
      <w:r w:rsidR="00E407F1">
        <w:rPr>
          <w:rFonts w:asciiTheme="majorHAnsi" w:hAnsiTheme="majorHAnsi"/>
          <w:lang w:val="en-US"/>
        </w:rPr>
        <w:t xml:space="preserve">(MDR) </w:t>
      </w:r>
      <w:r w:rsidR="00E407F1">
        <w:rPr>
          <w:rFonts w:asciiTheme="majorHAnsi" w:hAnsiTheme="majorHAnsi"/>
          <w:bCs/>
          <w:lang w:val="en-US"/>
        </w:rPr>
        <w:t>TB</w:t>
      </w:r>
      <w:r w:rsidRPr="00E23F18">
        <w:rPr>
          <w:rFonts w:asciiTheme="majorHAnsi" w:hAnsiTheme="majorHAnsi"/>
          <w:lang w:val="en-US"/>
        </w:rPr>
        <w:t xml:space="preserve"> that is resistant to isoniazid</w:t>
      </w:r>
      <w:r w:rsidR="000B7CEF">
        <w:rPr>
          <w:rFonts w:asciiTheme="majorHAnsi" w:hAnsiTheme="majorHAnsi"/>
          <w:lang w:val="en-US"/>
        </w:rPr>
        <w:t>,</w:t>
      </w:r>
      <w:r w:rsidRPr="00E23F18">
        <w:rPr>
          <w:rFonts w:asciiTheme="majorHAnsi" w:hAnsiTheme="majorHAnsi"/>
          <w:lang w:val="en-US"/>
        </w:rPr>
        <w:t xml:space="preserve"> rifampi</w:t>
      </w:r>
      <w:r w:rsidR="00E13BA0">
        <w:rPr>
          <w:rFonts w:asciiTheme="majorHAnsi" w:hAnsiTheme="majorHAnsi"/>
          <w:lang w:val="en-US"/>
        </w:rPr>
        <w:t>ci</w:t>
      </w:r>
      <w:r w:rsidRPr="00E23F18">
        <w:rPr>
          <w:rFonts w:asciiTheme="majorHAnsi" w:hAnsiTheme="majorHAnsi"/>
          <w:lang w:val="en-US"/>
        </w:rPr>
        <w:t xml:space="preserve">n, </w:t>
      </w:r>
      <w:proofErr w:type="spellStart"/>
      <w:r w:rsidRPr="00E23F18">
        <w:rPr>
          <w:rFonts w:asciiTheme="majorHAnsi" w:hAnsiTheme="majorHAnsi"/>
          <w:lang w:val="en-US"/>
        </w:rPr>
        <w:t>fluoroquinolone</w:t>
      </w:r>
      <w:r w:rsidR="005006B5">
        <w:rPr>
          <w:rFonts w:asciiTheme="majorHAnsi" w:hAnsiTheme="majorHAnsi"/>
          <w:lang w:val="en-US"/>
        </w:rPr>
        <w:t>s</w:t>
      </w:r>
      <w:proofErr w:type="spellEnd"/>
      <w:r w:rsidRPr="00E23F18">
        <w:rPr>
          <w:rFonts w:asciiTheme="majorHAnsi" w:hAnsiTheme="majorHAnsi"/>
          <w:lang w:val="en-US"/>
        </w:rPr>
        <w:t xml:space="preserve"> and at least one inje</w:t>
      </w:r>
      <w:r>
        <w:rPr>
          <w:rFonts w:asciiTheme="majorHAnsi" w:hAnsiTheme="majorHAnsi"/>
          <w:lang w:val="en-US"/>
        </w:rPr>
        <w:t>ctable second-line drug</w:t>
      </w:r>
      <w:r w:rsidRPr="00E23F18">
        <w:rPr>
          <w:rFonts w:asciiTheme="majorHAnsi" w:hAnsiTheme="majorHAnsi"/>
          <w:lang w:val="en-US"/>
        </w:rPr>
        <w:t>.</w:t>
      </w:r>
      <w:r>
        <w:rPr>
          <w:rFonts w:asciiTheme="majorHAnsi" w:hAnsiTheme="majorHAnsi"/>
          <w:lang w:val="en-US"/>
        </w:rPr>
        <w:t xml:space="preserve"> </w:t>
      </w:r>
      <w:r w:rsidR="00B31ADB">
        <w:rPr>
          <w:rFonts w:asciiTheme="majorHAnsi" w:hAnsiTheme="majorHAnsi"/>
          <w:lang w:val="en-US"/>
        </w:rPr>
        <w:t>There are i</w:t>
      </w:r>
      <w:r w:rsidR="000B7CEF">
        <w:rPr>
          <w:rFonts w:asciiTheme="majorHAnsi" w:hAnsiTheme="majorHAnsi"/>
          <w:lang w:val="en-US"/>
        </w:rPr>
        <w:t>nsufficient</w:t>
      </w:r>
      <w:r>
        <w:rPr>
          <w:rFonts w:asciiTheme="majorHAnsi" w:hAnsiTheme="majorHAnsi"/>
          <w:lang w:val="en-US"/>
        </w:rPr>
        <w:t xml:space="preserve"> antibiotics </w:t>
      </w:r>
      <w:r w:rsidR="00E407F1">
        <w:rPr>
          <w:rFonts w:asciiTheme="majorHAnsi" w:hAnsiTheme="majorHAnsi"/>
          <w:lang w:val="en-US"/>
        </w:rPr>
        <w:t>for</w:t>
      </w:r>
      <w:r>
        <w:rPr>
          <w:rFonts w:asciiTheme="majorHAnsi" w:hAnsiTheme="majorHAnsi"/>
          <w:lang w:val="en-US"/>
        </w:rPr>
        <w:t xml:space="preserve"> </w:t>
      </w:r>
      <w:r w:rsidR="00B31ADB">
        <w:rPr>
          <w:rFonts w:asciiTheme="majorHAnsi" w:hAnsiTheme="majorHAnsi"/>
          <w:lang w:val="en-US"/>
        </w:rPr>
        <w:t xml:space="preserve">effective </w:t>
      </w:r>
      <w:r w:rsidR="003669E3">
        <w:rPr>
          <w:rFonts w:asciiTheme="majorHAnsi" w:hAnsiTheme="majorHAnsi"/>
          <w:lang w:val="en-US"/>
        </w:rPr>
        <w:t xml:space="preserve">combination </w:t>
      </w:r>
      <w:r w:rsidR="00E407F1">
        <w:rPr>
          <w:rFonts w:asciiTheme="majorHAnsi" w:hAnsiTheme="majorHAnsi"/>
          <w:lang w:val="en-US"/>
        </w:rPr>
        <w:t>therapy</w:t>
      </w:r>
      <w:r>
        <w:rPr>
          <w:rFonts w:asciiTheme="majorHAnsi" w:hAnsiTheme="majorHAnsi"/>
          <w:lang w:val="en-US"/>
        </w:rPr>
        <w:t xml:space="preserve"> </w:t>
      </w:r>
      <w:r w:rsidR="000B0D03">
        <w:rPr>
          <w:rFonts w:asciiTheme="majorHAnsi" w:hAnsiTheme="majorHAnsi"/>
        </w:rPr>
        <w:t>and</w:t>
      </w:r>
      <w:r w:rsidR="00F519EF">
        <w:rPr>
          <w:rFonts w:asciiTheme="majorHAnsi" w:hAnsiTheme="majorHAnsi"/>
        </w:rPr>
        <w:t xml:space="preserve"> </w:t>
      </w:r>
      <w:r w:rsidR="000B0D03">
        <w:rPr>
          <w:rFonts w:asciiTheme="majorHAnsi" w:hAnsiTheme="majorHAnsi"/>
        </w:rPr>
        <w:t xml:space="preserve">mortality </w:t>
      </w:r>
      <w:r w:rsidR="00CB13DC">
        <w:rPr>
          <w:rFonts w:asciiTheme="majorHAnsi" w:hAnsiTheme="majorHAnsi"/>
        </w:rPr>
        <w:t>exceed</w:t>
      </w:r>
      <w:r w:rsidR="000B7CEF">
        <w:rPr>
          <w:rFonts w:asciiTheme="majorHAnsi" w:hAnsiTheme="majorHAnsi"/>
        </w:rPr>
        <w:t>s</w:t>
      </w:r>
      <w:r w:rsidR="00B04720" w:rsidRPr="00066D5F">
        <w:rPr>
          <w:rFonts w:asciiTheme="majorHAnsi" w:hAnsiTheme="majorHAnsi"/>
        </w:rPr>
        <w:t xml:space="preserve"> 70%</w:t>
      </w:r>
      <w:r w:rsidR="00A070A5" w:rsidRPr="00066D5F">
        <w:rPr>
          <w:rFonts w:asciiTheme="majorHAnsi" w:hAnsiTheme="majorHAnsi"/>
        </w:rPr>
        <w:fldChar w:fldCharType="begin" w:fldLock="1"/>
      </w:r>
      <w:r w:rsidR="00D277A5">
        <w:rPr>
          <w:rFonts w:asciiTheme="majorHAnsi" w:hAnsiTheme="majorHAnsi"/>
        </w:rPr>
        <w:instrText>ADDIN CSL_CITATION { "citationItems" : [ { "id" : "ITEM-1", "itemData" : { "DOI" : "10.1016/S0140-6736(13)62675-6", "ISSN" : "1474-547X", "PMID" : "24439237", "abstract" : "BACKGROUND: Long-term treatment-related outcomes in patients with extensively drug-resistant (XDR) tuberculosis are unknown. We followed up a cohort of patients to address knowledge gaps.\n\nMETHODS: Between March, 2008, and August, 2012, we prospectively followed up a cohort of 107 patients from three provinces in South Africa, who had been diagnosed with XDR tuberculosis between August 2002, and February, 2008. Available isolates from 56 patients were genotyped to establish strain type and used for extended susceptibility testing.\n\nFINDINGS: All patients were treated empirically as inpatients with a median of eight drugs (IQR six to ten). 44 patients (41%) had HIV. 36 (64%) of 56 isolates were resistant to at least eight drugs, and resistance to an increasing number of drugs was associated with the Beijing genotype (p=0\u00b701). After 24 months of follow-up, 17 patients (16%) had a favourable outcome (ie, treatment cure or completion), 49 (46%) had died, seven (7%) had defaulted (interruption of treatment for at least 2 consecutive months), and 25 (23%) had failed treatment. At 60 months, 12 patients (11%) had a favourable outcome, 78 (73%) had died, four (4%) had defaulted, and 11 (10%) had failed treatment. 45 patients were discharged from hospital, of whom 26 (58%) had achieved sputum culture conversion and 19 (42%) had failed treatment. Median survival of patients who had failed treatment from time of discharge was 19\u00b784 months (IQR 4\u00b716-26\u00b704). Clustering of cases and transmission within families containing a patient who had failed treatment and been discharged were shown with genotypic methods. Net sputum culture conversion occurred in 22 patients (21%) and median time to net culture conversion was 8\u00b77 months (IQR 5\u00b76-26\u00b74). Independent predictors of probability of net culture conversion were no history of multidrug-resistant tuberculosis (p=0\u00b70007) and use of clofazamine (p=0\u00b70069). Independent overall predictors of survival were net culture conversion (p&lt;0\u00b70001) and treatment with clofazamine (p=0\u00b7021). Antiretroviral therapy was also a predictor of survival in patients with HIV (p=0\u00b7003).\n\nINTERPRETATION: In South Africa, long-term outcomes in patients with XDR tuberculosis are poor, irrespective of HIV status. Because appropriate long-stay or palliative care facilities are scarce, substantial numbers of patients with XDR tuberculosis who have failed treatment and have positive sputum cultures are being discharged from hospital and are likely to tr\u2026", "author" : [ { "dropping-particle" : "", "family" : "Pietersen", "given" : "Elize", "non-dropping-particle" : "", "parse-names" : false, "suffix" : "" }, { "dropping-particle" : "", "family" : "Ignatius", "given" : "Elisa", "non-dropping-particle" : "", "parse-names" : false, "suffix" : "" }, { "dropping-particle" : "", "family" : "Streicher", "given" : "Elizabeth M", "non-dropping-particle" : "", "parse-names" : false, "suffix" : "" }, { "dropping-particle" : "", "family" : "Mastrapa", "given" : "Barbara", "non-dropping-particle" : "", "parse-names" : false, "suffix" : "" }, { "dropping-particle" : "", "family" : "Padanilam", "given" : "Xavier", "non-dropping-particle" : "", "parse-names" : false, "suffix" : "" }, { "dropping-particle" : "", "family" : "Pooran", "given" : "Anil", "non-dropping-particle" : "", "parse-names" : false, "suffix" : "" }, { "dropping-particle" : "", "family" : "Badri", "given" : "Motasim", "non-dropping-particle" : "", "parse-names" : false, "suffix" : "" }, { "dropping-particle" : "", "family" : "Lesosky", "given" : "Maia", "non-dropping-particle" : "", "parse-names" : false, "suffix" : "" }, { "dropping-particle" : "", "family" : "Helden", "given" : "Paul", "non-dropping-particle" : "van", "parse-names" : false, "suffix" : "" }, { "dropping-particle" : "", "family" : "Sirgel", "given" : "Frederick a", "non-dropping-particle" : "", "parse-names" : false, "suffix" : "" }, { "dropping-particle" : "", "family" : "Warren", "given" : "Robin", "non-dropping-particle" : "", "parse-names" : false, "suffix" : "" }, { "dropping-particle" : "", "family" : "Dheda", "given" : "Keertan", "non-dropping-particle" : "", "parse-names" : false, "suffix" : "" } ], "container-title" : "Lancet", "id" : "ITEM-1", "issue" : "9924", "issued" : { "date-parts" : [ [ "2014", "4", "5" ] ] }, "page" : "1230-9", "publisher" : "Elsevier Ltd", "title" : "Long-term outcomes of patients with extensively drug-resistant tuberculosis in South Africa: a cohort study.", "type" : "article-journal", "volume" : "383" }, "uris" : [ "http://www.mendeley.com/documents/?uuid=9b93572a-69ba-455b-88fc-52746a5ec384" ] } ], "mendeley" : { "formattedCitation" : "&lt;sup&gt;1&lt;/sup&gt;", "plainTextFormattedCitation" : "1", "previouslyFormattedCitation" : "&lt;sup&gt;1&lt;/sup&gt;" }, "properties" : { "noteIndex" : 0 }, "schema" : "https://github.com/citation-style-language/schema/raw/master/csl-citation.json" }</w:instrText>
      </w:r>
      <w:r w:rsidR="00A070A5" w:rsidRPr="00066D5F">
        <w:rPr>
          <w:rFonts w:asciiTheme="majorHAnsi" w:hAnsiTheme="majorHAnsi"/>
        </w:rPr>
        <w:fldChar w:fldCharType="separate"/>
      </w:r>
      <w:r w:rsidR="000568AE" w:rsidRPr="000568AE">
        <w:rPr>
          <w:rFonts w:asciiTheme="majorHAnsi" w:hAnsiTheme="majorHAnsi"/>
          <w:noProof/>
          <w:vertAlign w:val="superscript"/>
        </w:rPr>
        <w:t>1</w:t>
      </w:r>
      <w:r w:rsidR="00A070A5" w:rsidRPr="00066D5F">
        <w:rPr>
          <w:rFonts w:asciiTheme="majorHAnsi" w:hAnsiTheme="majorHAnsi"/>
        </w:rPr>
        <w:fldChar w:fldCharType="end"/>
      </w:r>
      <w:r w:rsidR="00B04720" w:rsidRPr="00066D5F">
        <w:rPr>
          <w:rFonts w:asciiTheme="majorHAnsi" w:hAnsiTheme="majorHAnsi"/>
        </w:rPr>
        <w:t>.</w:t>
      </w:r>
      <w:r w:rsidR="00A070A5" w:rsidRPr="00066D5F">
        <w:rPr>
          <w:rFonts w:asciiTheme="majorHAnsi" w:hAnsiTheme="majorHAnsi"/>
        </w:rPr>
        <w:t xml:space="preserve"> </w:t>
      </w:r>
      <w:r w:rsidR="005E3619" w:rsidRPr="00066D5F">
        <w:rPr>
          <w:rFonts w:asciiTheme="majorHAnsi" w:hAnsiTheme="majorHAnsi"/>
        </w:rPr>
        <w:t xml:space="preserve">Following successful phase </w:t>
      </w:r>
      <w:proofErr w:type="spellStart"/>
      <w:r w:rsidR="005E3619" w:rsidRPr="00066D5F">
        <w:rPr>
          <w:rFonts w:asciiTheme="majorHAnsi" w:hAnsiTheme="majorHAnsi"/>
        </w:rPr>
        <w:t>IIb</w:t>
      </w:r>
      <w:proofErr w:type="spellEnd"/>
      <w:r w:rsidR="005E3619" w:rsidRPr="00066D5F">
        <w:rPr>
          <w:rFonts w:asciiTheme="majorHAnsi" w:hAnsiTheme="majorHAnsi"/>
        </w:rPr>
        <w:t xml:space="preserve"> trials</w:t>
      </w:r>
      <w:r w:rsidR="000D457B">
        <w:rPr>
          <w:rFonts w:asciiTheme="majorHAnsi" w:hAnsiTheme="majorHAnsi"/>
        </w:rPr>
        <w:fldChar w:fldCharType="begin" w:fldLock="1"/>
      </w:r>
      <w:r w:rsidR="00D277A5">
        <w:rPr>
          <w:rFonts w:asciiTheme="majorHAnsi" w:hAnsiTheme="majorHAnsi"/>
        </w:rPr>
        <w:instrText>ADDIN CSL_CITATION { "citationItems" : [ { "id" : "ITEM-1", "itemData" : { "DOI" : "10.1056/NEJMoa1313865", "ISSN" : "1533-4406", "PMID" : "25140958", "abstract" : "BACKGROUND: Bedaquiline (Sirturo, TMC207), a diarylquinoline that inhibits mycobacterial ATP synthase, has been associated with accelerated sputum-culture conversion in patients with multidrug-resistant tuberculosis, when added to a preferred background regimen for 8 weeks.\n\nMETHODS: In this phase 2b trial, we randomly assigned 160 patients with newly diagnosed, smear-positive, multidrug-resistant tuberculosis to receive either 400 mg of bedaquiline once daily for 2 weeks, followed by 200 mg three times a week for 22 weeks, or placebo, both in combination with a preferred background regimen. The primary efficacy end point was the time to sputum-culture conversion in liquid broth. Patients were followed for 120 weeks from baseline.\n\nRESULTS: Bedaquiline reduced the median time to culture conversion, as compared with placebo, from 125 days to 83 days (hazard ratio in the bedaquiline group, 2.44; 95% confidence interval, 1.57 to 3.80; P&lt;0.001 by Cox regression analysis) and increased the rate of culture conversion at 24 weeks (79% vs. 58%, P=0.008) and at 120 weeks (62% vs. 44%, P=0.04). On the basis of World Health Organization outcome definitions for multidrug-resistant tuberculosis, cure rates at 120 weeks were 58% in the bedaquiline group and 32% in the placebo group (P=0.003). The overall incidence of adverse events was similar in the two groups. There were 10 deaths in the bedaquiline group and 2 in the placebo group, with no causal pattern evident.\n\nCONCLUSIONS: The addition of bedaquiline to a preferred background regimen for 24 weeks resulted in faster culture conversion and significantly more culture conversions at 120 weeks, as compared with placebo. There were more deaths in the bedaquiline group than in the placebo group. (Funded by Janssen Pharmaceuticals; TMC207-C208 ClinicalTrials.gov number, NCT00449644.).", "author" : [ { "dropping-particle" : "", "family" : "Diacon", "given" : "Andreas H", "non-dropping-particle" : "", "parse-names" : false, "suffix" : "" }, { "dropping-particle" : "", "family" : "Pym", "given" : "Alexander", "non-dropping-particle" : "", "parse-names" : false, "suffix" : "" }, { "dropping-particle" : "", "family" : "Grobusch", "given" : "Martin P", "non-dropping-particle" : "", "parse-names" : false, "suffix" : "" }, { "dropping-particle" : "", "family" : "los Rios", "given" : "Jorge M", "non-dropping-particle" : "de", "parse-names" : false, "suffix" : "" }, { "dropping-particle" : "", "family" : "Gotuzzo", "given" : "Eduardo", "non-dropping-particle" : "", "parse-names" : false, "suffix" : "" }, { "dropping-particle" : "", "family" : "Vasilyeva", "given" : "Irina", "non-dropping-particle" : "", "parse-names" : false, "suffix" : "" }, { "dropping-particle" : "", "family" : "Leimane", "given" : "Vaira", "non-dropping-particle" : "", "parse-names" : false, "suffix" : "" }, { "dropping-particle" : "", "family" : "Andries", "given" : "Koen", "non-dropping-particle" : "", "parse-names" : false, "suffix" : "" }, { "dropping-particle" : "", "family" : "Bakare", "given" : "Nyasha", "non-dropping-particle" : "", "parse-names" : false, "suffix" : "" }, { "dropping-particle" : "", "family" : "Marez", "given" : "Tine", "non-dropping-particle" : "De", "parse-names" : false, "suffix" : "" }, { "dropping-particle" : "", "family" : "Haxaire-Theeuwes", "given" : "Myriam", "non-dropping-particle" : "", "parse-names" : false, "suffix" : "" }, { "dropping-particle" : "", "family" : "Lounis", "given" : "Nacer", "non-dropping-particle" : "", "parse-names" : false, "suffix" : "" }, { "dropping-particle" : "", "family" : "Meyvisch", "given" : "Paul", "non-dropping-particle" : "", "parse-names" : false, "suffix" : "" }, { "dropping-particle" : "", "family" : "Paepe", "given" : "Els", "non-dropping-particle" : "De", "parse-names" : false, "suffix" : "" }, { "dropping-particle" : "", "family" : "Heeswijk", "given" : "Rolf P G", "non-dropping-particle" : "van", "parse-names" : false, "suffix" : "" }, { "dropping-particle" : "", "family" : "Dannemann", "given" : "Brian", "non-dropping-particle" : "", "parse-names" : false, "suffix" : "" } ], "container-title" : "The New England journal of medicine", "id" : "ITEM-1", "issue" : "8", "issued" : { "date-parts" : [ [ "2014", "8", "21" ] ] }, "page" : "723-32", "title" : "Multidrug-resistant tuberculosis and culture conversion with bedaquiline.", "type" : "article-journal", "volume" : "371" }, "uris" : [ "http://www.mendeley.com/documents/?uuid=6d3bdf6d-29a6-4822-b64e-938f67763e25" ] } ], "mendeley" : { "formattedCitation" : "&lt;sup&gt;2&lt;/sup&gt;", "plainTextFormattedCitation" : "2", "previouslyFormattedCitation" : "&lt;sup&gt;2&lt;/sup&gt;" }, "properties" : { "noteIndex" : 0 }, "schema" : "https://github.com/citation-style-language/schema/raw/master/csl-citation.json" }</w:instrText>
      </w:r>
      <w:r w:rsidR="000D457B">
        <w:rPr>
          <w:rFonts w:asciiTheme="majorHAnsi" w:hAnsiTheme="majorHAnsi"/>
        </w:rPr>
        <w:fldChar w:fldCharType="separate"/>
      </w:r>
      <w:r w:rsidR="000568AE" w:rsidRPr="000568AE">
        <w:rPr>
          <w:rFonts w:asciiTheme="majorHAnsi" w:hAnsiTheme="majorHAnsi"/>
          <w:noProof/>
          <w:vertAlign w:val="superscript"/>
        </w:rPr>
        <w:t>2</w:t>
      </w:r>
      <w:r w:rsidR="000D457B">
        <w:rPr>
          <w:rFonts w:asciiTheme="majorHAnsi" w:hAnsiTheme="majorHAnsi"/>
        </w:rPr>
        <w:fldChar w:fldCharType="end"/>
      </w:r>
      <w:r w:rsidR="005E3619" w:rsidRPr="00066D5F">
        <w:rPr>
          <w:rFonts w:asciiTheme="majorHAnsi" w:hAnsiTheme="majorHAnsi"/>
        </w:rPr>
        <w:t>,</w:t>
      </w:r>
      <w:r w:rsidR="000B7CEF">
        <w:rPr>
          <w:rFonts w:asciiTheme="majorHAnsi" w:hAnsiTheme="majorHAnsi"/>
        </w:rPr>
        <w:t xml:space="preserve"> </w:t>
      </w:r>
      <w:r w:rsidR="00BB590F">
        <w:rPr>
          <w:rFonts w:asciiTheme="majorHAnsi" w:hAnsiTheme="majorHAnsi"/>
        </w:rPr>
        <w:t>in 2013,</w:t>
      </w:r>
      <w:r w:rsidR="005E3619" w:rsidRPr="00066D5F">
        <w:rPr>
          <w:rFonts w:asciiTheme="majorHAnsi" w:hAnsiTheme="majorHAnsi"/>
        </w:rPr>
        <w:t xml:space="preserve"> </w:t>
      </w:r>
      <w:r w:rsidR="00BB590F">
        <w:rPr>
          <w:rFonts w:asciiTheme="majorHAnsi" w:hAnsiTheme="majorHAnsi"/>
        </w:rPr>
        <w:t xml:space="preserve">the novel mycobacterial ATP-synthase inhibitor, </w:t>
      </w:r>
      <w:proofErr w:type="spellStart"/>
      <w:r w:rsidR="005E3619" w:rsidRPr="00066D5F">
        <w:rPr>
          <w:rFonts w:asciiTheme="majorHAnsi" w:hAnsiTheme="majorHAnsi"/>
        </w:rPr>
        <w:t>b</w:t>
      </w:r>
      <w:r w:rsidR="00A070A5" w:rsidRPr="00066D5F">
        <w:rPr>
          <w:rFonts w:asciiTheme="majorHAnsi" w:hAnsiTheme="majorHAnsi"/>
        </w:rPr>
        <w:t>edaquiline</w:t>
      </w:r>
      <w:proofErr w:type="spellEnd"/>
      <w:r w:rsidR="00A070A5" w:rsidRPr="00066D5F">
        <w:rPr>
          <w:rFonts w:asciiTheme="majorHAnsi" w:hAnsiTheme="majorHAnsi"/>
        </w:rPr>
        <w:t xml:space="preserve"> was approv</w:t>
      </w:r>
      <w:r w:rsidR="000B7CEF">
        <w:rPr>
          <w:rFonts w:asciiTheme="majorHAnsi" w:hAnsiTheme="majorHAnsi"/>
        </w:rPr>
        <w:t>ed</w:t>
      </w:r>
      <w:r w:rsidR="00A070A5" w:rsidRPr="00066D5F">
        <w:rPr>
          <w:rFonts w:asciiTheme="majorHAnsi" w:hAnsiTheme="majorHAnsi"/>
        </w:rPr>
        <w:t xml:space="preserve"> in Europe</w:t>
      </w:r>
      <w:r w:rsidR="00010D7D" w:rsidRPr="00066D5F">
        <w:rPr>
          <w:rFonts w:asciiTheme="majorHAnsi" w:hAnsiTheme="majorHAnsi"/>
        </w:rPr>
        <w:t xml:space="preserve"> and the United States</w:t>
      </w:r>
      <w:r w:rsidR="005E3619" w:rsidRPr="00066D5F">
        <w:rPr>
          <w:rFonts w:asciiTheme="majorHAnsi" w:hAnsiTheme="majorHAnsi"/>
        </w:rPr>
        <w:t xml:space="preserve"> </w:t>
      </w:r>
      <w:r w:rsidR="00A070A5" w:rsidRPr="00066D5F">
        <w:rPr>
          <w:rFonts w:asciiTheme="majorHAnsi" w:hAnsiTheme="majorHAnsi"/>
        </w:rPr>
        <w:t xml:space="preserve">for </w:t>
      </w:r>
      <w:r w:rsidR="00B31ADB">
        <w:rPr>
          <w:rFonts w:asciiTheme="majorHAnsi" w:hAnsiTheme="majorHAnsi"/>
        </w:rPr>
        <w:t xml:space="preserve">the first </w:t>
      </w:r>
      <w:r w:rsidR="007F18B0">
        <w:rPr>
          <w:rFonts w:asciiTheme="majorHAnsi" w:hAnsiTheme="majorHAnsi"/>
        </w:rPr>
        <w:t>24 weeks</w:t>
      </w:r>
      <w:r w:rsidR="00E407F1">
        <w:rPr>
          <w:rFonts w:asciiTheme="majorHAnsi" w:hAnsiTheme="majorHAnsi"/>
        </w:rPr>
        <w:t xml:space="preserve"> of </w:t>
      </w:r>
      <w:r w:rsidR="00A05351">
        <w:rPr>
          <w:rFonts w:asciiTheme="majorHAnsi" w:hAnsiTheme="majorHAnsi"/>
        </w:rPr>
        <w:t>M(X)DR-TB</w:t>
      </w:r>
      <w:r w:rsidR="00B31ADB">
        <w:rPr>
          <w:rFonts w:asciiTheme="majorHAnsi" w:hAnsiTheme="majorHAnsi"/>
        </w:rPr>
        <w:t xml:space="preserve"> treatment</w:t>
      </w:r>
      <w:r w:rsidR="005E3619" w:rsidRPr="00066D5F">
        <w:rPr>
          <w:rFonts w:asciiTheme="majorHAnsi" w:hAnsiTheme="majorHAnsi"/>
        </w:rPr>
        <w:t xml:space="preserve"> alongside a W</w:t>
      </w:r>
      <w:r>
        <w:rPr>
          <w:rFonts w:asciiTheme="majorHAnsi" w:hAnsiTheme="majorHAnsi"/>
        </w:rPr>
        <w:t>orld Health Organisation (WHO)</w:t>
      </w:r>
      <w:r w:rsidR="005E3619" w:rsidRPr="00066D5F">
        <w:rPr>
          <w:rFonts w:asciiTheme="majorHAnsi" w:hAnsiTheme="majorHAnsi"/>
        </w:rPr>
        <w:t xml:space="preserve">-approved optimised background regimen (OBR).  Phase III trials are </w:t>
      </w:r>
      <w:r w:rsidR="00314DD6">
        <w:rPr>
          <w:rFonts w:asciiTheme="majorHAnsi" w:hAnsiTheme="majorHAnsi"/>
        </w:rPr>
        <w:t>ongoing</w:t>
      </w:r>
      <w:r w:rsidR="00867D68" w:rsidRPr="00066D5F">
        <w:rPr>
          <w:rFonts w:asciiTheme="majorHAnsi" w:hAnsiTheme="majorHAnsi"/>
        </w:rPr>
        <w:t>,</w:t>
      </w:r>
      <w:r w:rsidR="005E3619" w:rsidRPr="00066D5F">
        <w:rPr>
          <w:rFonts w:asciiTheme="majorHAnsi" w:hAnsiTheme="majorHAnsi"/>
        </w:rPr>
        <w:t xml:space="preserve"> but </w:t>
      </w:r>
      <w:r w:rsidR="00314DD6">
        <w:rPr>
          <w:rFonts w:asciiTheme="majorHAnsi" w:hAnsiTheme="majorHAnsi"/>
        </w:rPr>
        <w:t xml:space="preserve">cohort </w:t>
      </w:r>
      <w:r w:rsidR="005E3619" w:rsidRPr="00066D5F">
        <w:rPr>
          <w:rFonts w:asciiTheme="majorHAnsi" w:hAnsiTheme="majorHAnsi"/>
        </w:rPr>
        <w:t xml:space="preserve">data </w:t>
      </w:r>
      <w:r w:rsidR="00CB13DC">
        <w:rPr>
          <w:rFonts w:asciiTheme="majorHAnsi" w:hAnsiTheme="majorHAnsi"/>
        </w:rPr>
        <w:t>describe</w:t>
      </w:r>
      <w:r w:rsidR="00A05351">
        <w:rPr>
          <w:rFonts w:asciiTheme="majorHAnsi" w:hAnsiTheme="majorHAnsi"/>
        </w:rPr>
        <w:t xml:space="preserve"> </w:t>
      </w:r>
      <w:r w:rsidR="00B31ADB">
        <w:rPr>
          <w:rFonts w:asciiTheme="majorHAnsi" w:hAnsiTheme="majorHAnsi"/>
        </w:rPr>
        <w:t>good early bacteriological outcomes</w:t>
      </w:r>
      <w:r w:rsidR="00A05351">
        <w:rPr>
          <w:rFonts w:asciiTheme="majorHAnsi" w:hAnsiTheme="majorHAnsi"/>
        </w:rPr>
        <w:t xml:space="preserve"> </w:t>
      </w:r>
      <w:r w:rsidR="005E3619" w:rsidRPr="00066D5F">
        <w:rPr>
          <w:rFonts w:asciiTheme="majorHAnsi" w:hAnsiTheme="majorHAnsi"/>
        </w:rPr>
        <w:t>in France</w:t>
      </w:r>
      <w:r w:rsidR="005E3619" w:rsidRPr="00066D5F">
        <w:rPr>
          <w:rFonts w:asciiTheme="majorHAnsi" w:hAnsiTheme="majorHAnsi"/>
        </w:rPr>
        <w:fldChar w:fldCharType="begin" w:fldLock="1"/>
      </w:r>
      <w:r w:rsidR="00D277A5">
        <w:rPr>
          <w:rFonts w:asciiTheme="majorHAnsi" w:hAnsiTheme="majorHAnsi"/>
        </w:rPr>
        <w:instrText>ADDIN CSL_CITATION { "citationItems" : [ { "id" : "ITEM-1", "itemData" : { "DOI" : "10.1093/cid/ciu786", "ISSN" : "1537-6591", "PMID" : "25320286", "abstract" : "BACKGROUND: Bedaquiline is a new antibiotic that was approved for the treatment of multidrug-resistant (MDR) tuberculosis. We aimed to evaluate the short-term microbiological efficacy and the tolerability profile of bedaquiline.\n\nMETHODS: We performed a retrospective cohort study among patients with MDR tuberculosis receiving bedaquiline for compassionate use between January 2010 and July 2013 and evaluated at 6 months of bedaquiline treatment.\n\nRESULTS: A total of 35 patients with MDR tuberculosis were included in the study. Nineteen (54%) had extensively drug-resistant (XDR) tuberculosis, and 14 (40%) had isolates resistant to fluoroquinolones (Fqs) or second-line injectables. Bedaquiline was associated with a median of 4 (range, 2-5) other drugs, including linezolid in 33 (94%) cases. At 6 months of bedaquiline treatment, culture conversion was achieved in 28 of 29 (97%) cases with culture-positive pulmonary tuberculosis at bedaquiline initiation. Median time to culture conversion was 85 days (range, 8-235 days). Variables independently associated with culture conversion were treatment with a Fq (P = .01), absence of lung cavities (P &lt; .001), and absence of hepatitis C virus infection (P = .001). A total of 7 patients (20%) experienced a \u226560-ms increase in QT interval, leading to bedaquiline discontinuation in 2 (6%) cases. Severe liver enzyme elevation occurred in 2 patients (6%). During the study period, 1 death (3%) occurred and was reported as unrelated to tuberculosis or antituberculosis treatment.\n\nCONCLUSIONS: The use of bedaquiline combined with other active drugs has the potential to achieve high culture conversion rates in complicated MDR and XDR tuberculosis cases, with a reassuring safety profile at 6 months of treatment.", "author" : [ { "dropping-particle" : "", "family" : "Guglielmetti", "given" : "Lorenzo", "non-dropping-particle" : "", "parse-names" : false, "suffix" : "" }, { "dropping-particle" : "", "family" : "D\u00fb", "given" : "Damien", "non-dropping-particle" : "Le", "parse-names" : false, "suffix" : "" }, { "dropping-particle" : "", "family" : "Jachym", "given" : "Mathilde", "non-dropping-particle" : "", "parse-names" : false, "suffix" : "" }, { "dropping-particle" : "", "family" : "Henry", "given" : "Beno\u00eet", "non-dropping-particle" : "", "parse-names" : false, "suffix" : "" }, { "dropping-particle" : "", "family" : "Martin", "given" : "Diane", "non-dropping-particle" : "", "parse-names" : false, "suffix" : "" }, { "dropping-particle" : "", "family" : "Caumes", "given" : "Eric", "non-dropping-particle" : "", "parse-names" : false, "suffix" : "" }, { "dropping-particle" : "", "family" : "Veziris", "given" : "Nicolas", "non-dropping-particle" : "", "parse-names" : false, "suffix" : "" }, { "dropping-particle" : "", "family" : "M\u00e9tivier", "given" : "Nathalie", "non-dropping-particle" : "", "parse-names" : false, "suffix" : "" }, { "dropping-particle" : "", "family" : "Robert", "given" : "J\u00e9r\u00f4me", "non-dropping-particle" : "", "parse-names" : false, "suffix" : "" } ], "container-title" : "Clinical infectious diseases : an official publication of the Infectious Diseases Society of America", "id" : "ITEM-1", "issue" : "2", "issued" : { "date-parts" : [ [ "2015", "1", "15" ] ] }, "page" : "188-94", "title" : "Compassionate use of bedaquiline for the treatment of multidrug-resistant and extensively drug-resistant tuberculosis: interim analysis of a French cohort.", "type" : "article-journal", "volume" : "60" }, "uris" : [ "http://www.mendeley.com/documents/?uuid=aafa149c-96d4-44d8-94c2-a30f8480e76d" ] }, { "id" : "ITEM-2", "itemData" : { "DOI" : "10.1016/j.cmi.2014.12.022", "author" : [ { "dropping-particle" : "", "family" : "Catho", "given" : "G", "non-dropping-particle" : "", "parse-names" : false, "suffix" : "" }, { "dropping-particle" : "", "family" : "Couraud", "given" : "S", "non-dropping-particle" : "", "parse-names" : false, "suffix" : "" }, { "dropping-particle" : "", "family" : "Grard", "given" : "S", "non-dropping-particle" : "", "parse-names" : false, "suffix" : "" }, { "dropping-particle" : "", "family" : "Bouaziz", "given" : "A", "non-dropping-particle" : "", "parse-names" : false, "suffix" : "" }, { "dropping-particle" : "", "family" : "S\u00e9n\u00e9chal", "given" : "A", "non-dropping-particle" : "", "parse-names" : false, "suffix" : "" }, { "dropping-particle" : "", "family" : "Valour", "given" : "F", "non-dropping-particle" : "", "parse-names" : false, "suffix" : "" }, { "dropping-particle" : "", "family" : "Perpoint", "given" : "T", "non-dropping-particle" : "", "parse-names" : false, "suffix" : "" }, { "dropping-particle" : "", "family" : "Braun", "given" : "E", "non-dropping-particle" : "", "parse-names" : false, "suffix" : "" }, { "dropping-particle" : "", "family" : "Biron", "given" : "F", "non-dropping-particle" : "", "parse-names" : false, "suffix" : "" }, { "dropping-particle" : "", "family" : "Ferry", "given" : "T", "non-dropping-particle" : "", "parse-names" : false, "suffix" : "" }, { "dropping-particle" : "", "family" : "Chidiac", "given" : "C", "non-dropping-particle" : "", "parse-names" : false, "suffix" : "" }, { "dropping-particle" : "", "family" : "Freymond", "given" : "N", "non-dropping-particle" : "", "parse-names" : false, "suffix" : "" }, { "dropping-particle" : "", "family" : "Perrot", "given" : "E", "non-dropping-particle" : "", "parse-names" : false, "suffix" : "" }, { "dropping-particle" : "", "family" : "Souquet", "given" : "P.-J.", "non-dropping-particle" : "", "parse-names" : false, "suffix" : "" }, { "dropping-particle" : "", "family" : "Maury", "given" : "J.-M.", "non-dropping-particle" : "", "parse-names" : false, "suffix" : "" }, { "dropping-particle" : "", "family" : "Tronc", "given" : "F", "non-dropping-particle" : "", "parse-names" : false, "suffix" : "" }, { "dropping-particle" : "", "family" : "Veziris", "given" : "N", "non-dropping-particle" : "", "parse-names" : false, "suffix" : "" }, { "dropping-particle" : "", "family" : "Lina", "given" : "G", "non-dropping-particle" : "", "parse-names" : false, "suffix" : "" }, { "dropping-particle" : "", "family" : "Dumitrescu", "given" : "O", "non-dropping-particle" : "", "parse-names" : false, "suffix" : "" }, { "dropping-particle" : "", "family" : "Ader", "given" : "F", "non-dropping-particle" : "", "parse-names" : false, "suffix" : "" } ], "container-title" : "Clinical Microbiology and Infection", "id" : "ITEM-2", "issue" : "5", "issued" : { "date-parts" : [ [ "2015", "6", "25" ] ] }, "note" : "doi: 10.1016/j.cmi.2014.12.022", "page" : "472.e7-472.e10", "publisher" : "Elsevier", "title" : "Management of emerging multidrug-resistant tuberculosis in a low-prevalence setting", "type" : "article-journal", "volume" : "21" }, "uris" : [ "http://www.mendeley.com/documents/?uuid=4c0a3361-20b9-423b-b5bb-5bc545062fca" ] } ], "mendeley" : { "formattedCitation" : "&lt;sup&gt;3,4&lt;/sup&gt;", "plainTextFormattedCitation" : "3,4", "previouslyFormattedCitation" : "&lt;sup&gt;3,4&lt;/sup&gt;" }, "properties" : { "noteIndex" : 0 }, "schema" : "https://github.com/citation-style-language/schema/raw/master/csl-citation.json" }</w:instrText>
      </w:r>
      <w:r w:rsidR="005E3619" w:rsidRPr="00066D5F">
        <w:rPr>
          <w:rFonts w:asciiTheme="majorHAnsi" w:hAnsiTheme="majorHAnsi"/>
        </w:rPr>
        <w:fldChar w:fldCharType="separate"/>
      </w:r>
      <w:r w:rsidR="000568AE" w:rsidRPr="000568AE">
        <w:rPr>
          <w:rFonts w:asciiTheme="majorHAnsi" w:hAnsiTheme="majorHAnsi"/>
          <w:noProof/>
          <w:vertAlign w:val="superscript"/>
        </w:rPr>
        <w:t>3,4</w:t>
      </w:r>
      <w:r w:rsidR="005E3619" w:rsidRPr="00066D5F">
        <w:rPr>
          <w:rFonts w:asciiTheme="majorHAnsi" w:hAnsiTheme="majorHAnsi"/>
        </w:rPr>
        <w:fldChar w:fldCharType="end"/>
      </w:r>
      <w:r w:rsidR="005E3619" w:rsidRPr="00066D5F">
        <w:rPr>
          <w:rFonts w:asciiTheme="majorHAnsi" w:hAnsiTheme="majorHAnsi"/>
        </w:rPr>
        <w:t>, Italy</w:t>
      </w:r>
      <w:r w:rsidR="005E3619" w:rsidRPr="00066D5F">
        <w:rPr>
          <w:rFonts w:asciiTheme="majorHAnsi" w:hAnsiTheme="majorHAnsi"/>
        </w:rPr>
        <w:fldChar w:fldCharType="begin" w:fldLock="1"/>
      </w:r>
      <w:r w:rsidR="00D277A5">
        <w:rPr>
          <w:rFonts w:asciiTheme="majorHAnsi" w:hAnsiTheme="majorHAnsi"/>
        </w:rPr>
        <w:instrText>ADDIN CSL_CITATION { "citationItems" : [ { "id" : "ITEM-1", "itemData" : { "DOI" : "10.1183/09031936.00122313", "ISSN" : "1399-3003", "PMID" : "23988772", "author" : [ { "dropping-particle" : "", "family" : "Tiberi", "given" : "Simon", "non-dropping-particle" : "", "parse-names" : false, "suffix" : "" }, { "dropping-particle" : "", "family" : "Lorenzo", "given" : "Saverio", "non-dropping-particle" : "De", "parse-names" : false, "suffix" : "" }, { "dropping-particle" : "", "family" : "Centis", "given" : "Rosella", "non-dropping-particle" : "", "parse-names" : false, "suffix" : "" }, { "dropping-particle" : "", "family" : "Viggiani", "given" : "Pietro", "non-dropping-particle" : "", "parse-names" : false, "suffix" : "" }, { "dropping-particle" : "", "family" : "D'Ambrosio", "given" : "Lia", "non-dropping-particle" : "", "parse-names" : false, "suffix" : "" }, { "dropping-particle" : "", "family" : "Migliori", "given" : "Giovanni Battista", "non-dropping-particle" : "", "parse-names" : false, "suffix" : "" } ], "container-title" : "The European respiratory journal", "id" : "ITEM-1", "issue" : "1", "issued" : { "date-parts" : [ [ "2014", "1" ] ] }, "page" : "289-92", "title" : "Bedaquiline in MDR/XDR-TB cases: first experience on compassionate use.", "type" : "article-journal", "volume" : "43" }, "uris" : [ "http://www.mendeley.com/documents/?uuid=ca90e216-49b7-4f0f-894a-d969e8d43db1" ] } ], "mendeley" : { "formattedCitation" : "&lt;sup&gt;5&lt;/sup&gt;", "plainTextFormattedCitation" : "5", "previouslyFormattedCitation" : "&lt;sup&gt;5&lt;/sup&gt;" }, "properties" : { "noteIndex" : 0 }, "schema" : "https://github.com/citation-style-language/schema/raw/master/csl-citation.json" }</w:instrText>
      </w:r>
      <w:r w:rsidR="005E3619" w:rsidRPr="00066D5F">
        <w:rPr>
          <w:rFonts w:asciiTheme="majorHAnsi" w:hAnsiTheme="majorHAnsi"/>
        </w:rPr>
        <w:fldChar w:fldCharType="separate"/>
      </w:r>
      <w:r w:rsidR="000568AE" w:rsidRPr="000568AE">
        <w:rPr>
          <w:rFonts w:asciiTheme="majorHAnsi" w:hAnsiTheme="majorHAnsi"/>
          <w:noProof/>
          <w:vertAlign w:val="superscript"/>
        </w:rPr>
        <w:t>5</w:t>
      </w:r>
      <w:r w:rsidR="005E3619" w:rsidRPr="00066D5F">
        <w:rPr>
          <w:rFonts w:asciiTheme="majorHAnsi" w:hAnsiTheme="majorHAnsi"/>
        </w:rPr>
        <w:fldChar w:fldCharType="end"/>
      </w:r>
      <w:r w:rsidR="005E3619" w:rsidRPr="00066D5F">
        <w:rPr>
          <w:rFonts w:asciiTheme="majorHAnsi" w:hAnsiTheme="majorHAnsi"/>
        </w:rPr>
        <w:t>, the UK</w:t>
      </w:r>
      <w:r w:rsidR="005E3619" w:rsidRPr="00066D5F">
        <w:rPr>
          <w:rFonts w:asciiTheme="majorHAnsi" w:hAnsiTheme="majorHAnsi"/>
        </w:rPr>
        <w:fldChar w:fldCharType="begin" w:fldLock="1"/>
      </w:r>
      <w:r w:rsidR="00D277A5">
        <w:rPr>
          <w:rFonts w:asciiTheme="majorHAnsi" w:hAnsiTheme="majorHAnsi"/>
        </w:rPr>
        <w:instrText>ADDIN CSL_CITATION { "citationItems" : [ { "id" : "ITEM-1", "itemData" : { "DOI" : "10.1183/09031936.00128613", "ISSN" : "1399-3003", "PMID" : "23988770", "author" : [ { "dropping-particle" : "", "family" : "Halsema", "given" : "Clare", "non-dropping-particle" : "van", "parse-names" : false, "suffix" : "" }, { "dropping-particle" : "", "family" : "Humphreys", "given" : "Susan", "non-dropping-particle" : "", "parse-names" : false, "suffix" : "" }, { "dropping-particle" : "", "family" : "Bonington", "given" : "Alec", "non-dropping-particle" : "", "parse-names" : false, "suffix" : "" } ], "container-title" : "The European respiratory journal", "id" : "ITEM-1", "issue" : "1", "issued" : { "date-parts" : [ [ "2014", "1" ] ] }, "page" : "292-4", "title" : "Extensively drug-resistant tuberculosis: early access to bedaquiline for a UK patient.", "type" : "article-journal", "volume" : "43" }, "uris" : [ "http://www.mendeley.com/documents/?uuid=e5d79ab2-0a63-40fc-9ac7-81513bb094cb" ] } ], "mendeley" : { "formattedCitation" : "&lt;sup&gt;6&lt;/sup&gt;", "plainTextFormattedCitation" : "6", "previouslyFormattedCitation" : "&lt;sup&gt;6&lt;/sup&gt;" }, "properties" : { "noteIndex" : 0 }, "schema" : "https://github.com/citation-style-language/schema/raw/master/csl-citation.json" }</w:instrText>
      </w:r>
      <w:r w:rsidR="005E3619" w:rsidRPr="00066D5F">
        <w:rPr>
          <w:rFonts w:asciiTheme="majorHAnsi" w:hAnsiTheme="majorHAnsi"/>
        </w:rPr>
        <w:fldChar w:fldCharType="separate"/>
      </w:r>
      <w:r w:rsidR="000568AE" w:rsidRPr="000568AE">
        <w:rPr>
          <w:rFonts w:asciiTheme="majorHAnsi" w:hAnsiTheme="majorHAnsi"/>
          <w:noProof/>
          <w:vertAlign w:val="superscript"/>
        </w:rPr>
        <w:t>6</w:t>
      </w:r>
      <w:r w:rsidR="005E3619" w:rsidRPr="00066D5F">
        <w:rPr>
          <w:rFonts w:asciiTheme="majorHAnsi" w:hAnsiTheme="majorHAnsi"/>
        </w:rPr>
        <w:fldChar w:fldCharType="end"/>
      </w:r>
      <w:r w:rsidR="005E3619" w:rsidRPr="00066D5F">
        <w:rPr>
          <w:rFonts w:asciiTheme="majorHAnsi" w:hAnsiTheme="majorHAnsi"/>
        </w:rPr>
        <w:t>, the US</w:t>
      </w:r>
      <w:r w:rsidR="005E3619" w:rsidRPr="00066D5F">
        <w:rPr>
          <w:rFonts w:asciiTheme="majorHAnsi" w:hAnsiTheme="majorHAnsi"/>
        </w:rPr>
        <w:fldChar w:fldCharType="begin" w:fldLock="1"/>
      </w:r>
      <w:r w:rsidR="00D277A5">
        <w:rPr>
          <w:rFonts w:asciiTheme="majorHAnsi" w:hAnsiTheme="majorHAnsi"/>
        </w:rPr>
        <w:instrText>ADDIN CSL_CITATION { "citationItems" : [ { "id" : "ITEM-1", "itemData" : { "DOI" : "10.5588/ijtld.14.0338", "ISSN" : "1815-7920", "PMID" : "25517823", "author" : [ { "dropping-particle" : "", "family" : "Danckers", "given" : "Mauricio", "non-dropping-particle" : "", "parse-names" : false, "suffix" : "" }, { "dropping-particle" : "", "family" : "Lesko", "given" : "Melissa B", "non-dropping-particle" : "", "parse-names" : false, "suffix" : "" }, { "dropping-particle" : "", "family" : "Adamson", "given" : "Rosemary", "non-dropping-particle" : "", "parse-names" : false, "suffix" : "" }, { "dropping-particle" : "", "family" : "Leibert", "given" : "Eric", "non-dropping-particle" : "", "parse-names" : false, "suffix" : "" } ], "container-title" : "The international journal of tuberculosis and lung disease : the official journal of the International Union against Tuberculosis and Lung Disease", "id" : "ITEM-1", "issue" : "12", "issued" : { "date-parts" : [ [ "2014", "12" ] ] }, "page" : "1522-3", "title" : "Compassionate use of bedaquiline in the treatment of pulmonary XDR-TB.", "type" : "article-journal", "volume" : "18" }, "uris" : [ "http://www.mendeley.com/documents/?uuid=3e3a60dd-8594-49c8-99ba-679fbeb028ae" ] } ], "mendeley" : { "formattedCitation" : "&lt;sup&gt;7&lt;/sup&gt;", "plainTextFormattedCitation" : "7", "previouslyFormattedCitation" : "&lt;sup&gt;7&lt;/sup&gt;" }, "properties" : { "noteIndex" : 0 }, "schema" : "https://github.com/citation-style-language/schema/raw/master/csl-citation.json" }</w:instrText>
      </w:r>
      <w:r w:rsidR="005E3619" w:rsidRPr="00066D5F">
        <w:rPr>
          <w:rFonts w:asciiTheme="majorHAnsi" w:hAnsiTheme="majorHAnsi"/>
        </w:rPr>
        <w:fldChar w:fldCharType="separate"/>
      </w:r>
      <w:r w:rsidR="000568AE" w:rsidRPr="000568AE">
        <w:rPr>
          <w:rFonts w:asciiTheme="majorHAnsi" w:hAnsiTheme="majorHAnsi"/>
          <w:noProof/>
          <w:vertAlign w:val="superscript"/>
        </w:rPr>
        <w:t>7</w:t>
      </w:r>
      <w:r w:rsidR="005E3619" w:rsidRPr="00066D5F">
        <w:rPr>
          <w:rFonts w:asciiTheme="majorHAnsi" w:hAnsiTheme="majorHAnsi"/>
        </w:rPr>
        <w:fldChar w:fldCharType="end"/>
      </w:r>
      <w:r w:rsidR="005E3619" w:rsidRPr="00066D5F">
        <w:rPr>
          <w:rFonts w:asciiTheme="majorHAnsi" w:hAnsiTheme="majorHAnsi"/>
        </w:rPr>
        <w:t>, India</w:t>
      </w:r>
      <w:r w:rsidR="005E3619" w:rsidRPr="00066D5F">
        <w:rPr>
          <w:rFonts w:asciiTheme="majorHAnsi" w:hAnsiTheme="majorHAnsi"/>
        </w:rPr>
        <w:fldChar w:fldCharType="begin" w:fldLock="1"/>
      </w:r>
      <w:r w:rsidR="00D277A5">
        <w:rPr>
          <w:rFonts w:asciiTheme="majorHAnsi" w:hAnsiTheme="majorHAnsi"/>
        </w:rPr>
        <w:instrText>ADDIN CSL_CITATION { "citationItems" : [ { "id" : "ITEM-1", "itemData" : { "DOI" : "10.5588/ijtld.14.0284", "ISSN" : "1815-7920", "PMID" : "25299863", "abstract" : "Drug-resistant tuberculosis (DR-TB) is a major problem both in India and worldwide. Newer drugs such as TMC-207 (bedaquiline) may have an important role to play in making up an effective drug regimen in such cases. There have been a few reports of bedaquiline use in a non-trial setting from Europe. Our series of five patients is the first series of DR-TB patients from India to receive bedaquiline. All five patients showed striking improvement, with microbiological conversion and an absence of notable adverse effects (e.g., prolonged QTcF), indicating the potential impact of this drug in such a population.", "author" : [ { "dropping-particle" : "", "family" : "Udwadia", "given" : "Z F", "non-dropping-particle" : "", "parse-names" : false, "suffix" : "" }, { "dropping-particle" : "", "family" : "Amale", "given" : "R A", "non-dropping-particle" : "", "parse-names" : false, "suffix" : "" }, { "dropping-particle" : "", "family" : "Mullerpattan", "given" : "J B", "non-dropping-particle" : "", "parse-names" : false, "suffix" : "" } ], "container-title" : "The international journal of tuberculosis and lung disease : the official journal of the International Union against Tuberculosis and Lung Disease", "id" : "ITEM-1", "issue" : "11", "issued" : { "date-parts" : [ [ "2014", "11" ] ] }, "page" : "1315-8", "title" : "Initial experience of bedaquiline use in a series of drug-resistant tuberculosis patients from India.", "type" : "article-journal", "volume" : "18" }, "uris" : [ "http://www.mendeley.com/documents/?uuid=4db688a7-26a1-47d4-8887-4fbe91d69c93" ] } ], "mendeley" : { "formattedCitation" : "&lt;sup&gt;8&lt;/sup&gt;", "plainTextFormattedCitation" : "8", "previouslyFormattedCitation" : "&lt;sup&gt;8&lt;/sup&gt;" }, "properties" : { "noteIndex" : 0 }, "schema" : "https://github.com/citation-style-language/schema/raw/master/csl-citation.json" }</w:instrText>
      </w:r>
      <w:r w:rsidR="005E3619" w:rsidRPr="00066D5F">
        <w:rPr>
          <w:rFonts w:asciiTheme="majorHAnsi" w:hAnsiTheme="majorHAnsi"/>
        </w:rPr>
        <w:fldChar w:fldCharType="separate"/>
      </w:r>
      <w:r w:rsidR="000568AE" w:rsidRPr="000568AE">
        <w:rPr>
          <w:rFonts w:asciiTheme="majorHAnsi" w:hAnsiTheme="majorHAnsi"/>
          <w:noProof/>
          <w:vertAlign w:val="superscript"/>
        </w:rPr>
        <w:t>8</w:t>
      </w:r>
      <w:r w:rsidR="005E3619" w:rsidRPr="00066D5F">
        <w:rPr>
          <w:rFonts w:asciiTheme="majorHAnsi" w:hAnsiTheme="majorHAnsi"/>
        </w:rPr>
        <w:fldChar w:fldCharType="end"/>
      </w:r>
      <w:r w:rsidR="005E3619" w:rsidRPr="00066D5F">
        <w:rPr>
          <w:rFonts w:asciiTheme="majorHAnsi" w:hAnsiTheme="majorHAnsi"/>
        </w:rPr>
        <w:t xml:space="preserve"> and South Africa</w:t>
      </w:r>
      <w:r w:rsidR="006341D3">
        <w:rPr>
          <w:rFonts w:asciiTheme="majorHAnsi" w:hAnsiTheme="majorHAnsi"/>
        </w:rPr>
        <w:fldChar w:fldCharType="begin" w:fldLock="1"/>
      </w:r>
      <w:r w:rsidR="00D277A5">
        <w:rPr>
          <w:rFonts w:asciiTheme="majorHAnsi" w:hAnsiTheme="majorHAnsi"/>
        </w:rPr>
        <w:instrText>ADDIN CSL_CITATION { "citationItems" : [ { "id" : "ITEM-1", "itemData" : { "DOI" : "10.5588/ijtld.14.0944", "ISSN" : "1815-7920", "PMID" : "26162365", "abstract" : "BACKGROUND: South Africa has a large burden of extensively drug-resistant tuberculosis (XDR-TB); only 15% of XDR-TB patients have successful outcomes.\n\nOBJECTIVE: To describe the safety and effectiveness of bedaquiline (BDQ) in the South African BDQ Clinical Access Programme.\n\nDESIGN: An interim cohort analysis.\n\nRESULTS: Of the first 91 patients enrolled between March 2013 and July 2014 (with follow-up until August 2014), 54 (59%) were human immunodeficiency virus (HIV) infected. The median CD4 count was 239 cells/\u03bcl, and all patients were on antiretroviral therapy (ART) at initiation of BDQ; 33 had XDR-TB, 41 were pre-XDR-TB with fluoroquinolone resistance and 17 were pre-XDR-TB with resistance to an injectable. Of the 91 patients, 58 (64%) had completed 24 weeks of BDQ, 28 were still on BDQ, 3 were lost to follow-up, 1 had died and 1 had BDQ withdrawn following atrial fibrillation. Of the 63 patients with 6 months follow-up, 48 (76%) had either culture-converted or remained culture-negative after initiation of BDQ. QTcF was monitored monthly and exceeded 500 ms in three participants; this resolved in all three.\n\nCONCLUSION: Interim safety and culture conversion outcomes for patients accessing BDQ in South Africa, including HIV-infected patients on ART and patients with pre-XDR- and XDR-TB, suggest that BDQ may be both efficacious and safe.", "author" : [ { "dropping-particle" : "", "family" : "Ndjeka", "given" : "N", "non-dropping-particle" : "", "parse-names" : false, "suffix" : "" }, { "dropping-particle" : "", "family" : "Conradie", "given" : "F", "non-dropping-particle" : "", "parse-names" : false, "suffix" : "" }, { "dropping-particle" : "", "family" : "Schnippel", "given" : "K", "non-dropping-particle" : "", "parse-names" : false, "suffix" : "" }, { "dropping-particle" : "", "family" : "Hughes", "given" : "J", "non-dropping-particle" : "", "parse-names" : false, "suffix" : "" }, { "dropping-particle" : "", "family" : "Bantubani", "given" : "N", "non-dropping-particle" : "", "parse-names" : false, "suffix" : "" }, { "dropping-particle" : "", "family" : "Ferreira", "given" : "H", "non-dropping-particle" : "", "parse-names" : false, "suffix" : "" }, { "dropping-particle" : "", "family" : "Maartens", "given" : "G", "non-dropping-particle" : "", "parse-names" : false, "suffix" : "" }, { "dropping-particle" : "", "family" : "Mametja", "given" : "D", "non-dropping-particle" : "", "parse-names" : false, "suffix" : "" }, { "dropping-particle" : "", "family" : "Meintjes", "given" : "G", "non-dropping-particle" : "", "parse-names" : false, "suffix" : "" }, { "dropping-particle" : "", "family" : "Padanilam", "given" : "X", "non-dropping-particle" : "", "parse-names" : false, "suffix" : "" }, { "dropping-particle" : "", "family" : "Variava", "given" : "E", "non-dropping-particle" : "", "parse-names" : false, "suffix" : "" }, { "dropping-particle" : "", "family" : "Pym", "given" : "A", "non-dropping-particle" : "", "parse-names" : false, "suffix" : "" }, { "dropping-particle" : "", "family" : "Pillay", "given" : "Y", "non-dropping-particle" : "", "parse-names" : false, "suffix" : "" } ], "container-title" : "The international journal of tuberculosis and lung disease : the official journal of the International Union against Tuberculosis and Lung Disease", "id" : "ITEM-1", "issue" : "8", "issued" : { "date-parts" : [ [ "2015", "8" ] ] }, "page" : "979-85", "title" : "Treatment of drug-resistant tuberculosis with bedaquiline in a high HIV prevalence setting: an interim cohort analysis.", "type" : "article-journal", "volume" : "19" }, "uris" : [ "http://www.mendeley.com/documents/?uuid=a69252de-7181-4641-a6a5-1a2e02f0ba14" ] } ], "mendeley" : { "formattedCitation" : "&lt;sup&gt;9&lt;/sup&gt;", "plainTextFormattedCitation" : "9", "previouslyFormattedCitation" : "&lt;sup&gt;9&lt;/sup&gt;" }, "properties" : { "noteIndex" : 0 }, "schema" : "https://github.com/citation-style-language/schema/raw/master/csl-citation.json" }</w:instrText>
      </w:r>
      <w:r w:rsidR="006341D3">
        <w:rPr>
          <w:rFonts w:asciiTheme="majorHAnsi" w:hAnsiTheme="majorHAnsi"/>
        </w:rPr>
        <w:fldChar w:fldCharType="separate"/>
      </w:r>
      <w:r w:rsidR="000568AE" w:rsidRPr="000568AE">
        <w:rPr>
          <w:rFonts w:asciiTheme="majorHAnsi" w:hAnsiTheme="majorHAnsi"/>
          <w:noProof/>
          <w:vertAlign w:val="superscript"/>
        </w:rPr>
        <w:t>9</w:t>
      </w:r>
      <w:r w:rsidR="006341D3">
        <w:rPr>
          <w:rFonts w:asciiTheme="majorHAnsi" w:hAnsiTheme="majorHAnsi"/>
        </w:rPr>
        <w:fldChar w:fldCharType="end"/>
      </w:r>
      <w:r w:rsidR="005E3619" w:rsidRPr="00066D5F">
        <w:rPr>
          <w:rFonts w:asciiTheme="majorHAnsi" w:hAnsiTheme="majorHAnsi"/>
        </w:rPr>
        <w:t xml:space="preserve"> </w:t>
      </w:r>
    </w:p>
    <w:p w14:paraId="298944D7" w14:textId="77777777" w:rsidR="00400754" w:rsidRDefault="00400754" w:rsidP="004228C2">
      <w:pPr>
        <w:spacing w:line="480" w:lineRule="auto"/>
        <w:rPr>
          <w:rFonts w:asciiTheme="majorHAnsi" w:hAnsiTheme="majorHAnsi"/>
        </w:rPr>
      </w:pPr>
    </w:p>
    <w:p w14:paraId="65E17513" w14:textId="0D9BAFF4" w:rsidR="005E3619" w:rsidRPr="00000D2E" w:rsidRDefault="00E23F18" w:rsidP="004228C2">
      <w:pPr>
        <w:spacing w:line="480" w:lineRule="auto"/>
        <w:rPr>
          <w:rFonts w:asciiTheme="majorHAnsi" w:hAnsiTheme="majorHAnsi"/>
        </w:rPr>
      </w:pPr>
      <w:r>
        <w:rPr>
          <w:rFonts w:asciiTheme="majorHAnsi" w:hAnsiTheme="majorHAnsi"/>
        </w:rPr>
        <w:t>However, WHO</w:t>
      </w:r>
      <w:r w:rsidR="003669E3">
        <w:rPr>
          <w:rFonts w:asciiTheme="majorHAnsi" w:hAnsiTheme="majorHAnsi"/>
        </w:rPr>
        <w:t xml:space="preserve"> guidelines </w:t>
      </w:r>
      <w:r w:rsidR="00E407F1">
        <w:rPr>
          <w:rFonts w:asciiTheme="majorHAnsi" w:hAnsiTheme="majorHAnsi"/>
        </w:rPr>
        <w:t>present</w:t>
      </w:r>
      <w:r w:rsidR="003669E3">
        <w:rPr>
          <w:rFonts w:asciiTheme="majorHAnsi" w:hAnsiTheme="majorHAnsi"/>
        </w:rPr>
        <w:t xml:space="preserve">ly </w:t>
      </w:r>
      <w:r w:rsidR="000B7CEF">
        <w:rPr>
          <w:rFonts w:asciiTheme="majorHAnsi" w:hAnsiTheme="majorHAnsi"/>
        </w:rPr>
        <w:t>advocate</w:t>
      </w:r>
      <w:r w:rsidR="003669E3">
        <w:rPr>
          <w:rFonts w:asciiTheme="majorHAnsi" w:hAnsiTheme="majorHAnsi"/>
        </w:rPr>
        <w:t xml:space="preserve"> </w:t>
      </w:r>
      <w:r w:rsidR="00150240">
        <w:rPr>
          <w:rFonts w:asciiTheme="majorHAnsi" w:hAnsiTheme="majorHAnsi"/>
        </w:rPr>
        <w:t>a</w:t>
      </w:r>
      <w:r w:rsidR="00832053">
        <w:rPr>
          <w:rFonts w:asciiTheme="majorHAnsi" w:hAnsiTheme="majorHAnsi"/>
        </w:rPr>
        <w:t>n</w:t>
      </w:r>
      <w:r w:rsidR="00150240">
        <w:rPr>
          <w:rFonts w:asciiTheme="majorHAnsi" w:hAnsiTheme="majorHAnsi"/>
        </w:rPr>
        <w:t xml:space="preserve"> M(X)DR-TB total treatment duration of </w:t>
      </w:r>
      <w:r w:rsidR="000B7CEF">
        <w:rPr>
          <w:rFonts w:asciiTheme="majorHAnsi" w:hAnsiTheme="majorHAnsi"/>
        </w:rPr>
        <w:sym w:font="Symbol" w:char="F0B3"/>
      </w:r>
      <w:r w:rsidR="000B7CEF">
        <w:rPr>
          <w:rFonts w:asciiTheme="majorHAnsi" w:hAnsiTheme="majorHAnsi"/>
        </w:rPr>
        <w:t>18 months</w:t>
      </w:r>
      <w:r w:rsidR="00314DD6">
        <w:rPr>
          <w:rFonts w:asciiTheme="majorHAnsi" w:hAnsiTheme="majorHAnsi"/>
        </w:rPr>
        <w:t>. I</w:t>
      </w:r>
      <w:r w:rsidR="005006B5">
        <w:rPr>
          <w:rFonts w:asciiTheme="majorHAnsi" w:hAnsiTheme="majorHAnsi"/>
        </w:rPr>
        <w:t xml:space="preserve">n the presence of extensive resistance, </w:t>
      </w:r>
      <w:r w:rsidR="00BB590F">
        <w:rPr>
          <w:rFonts w:asciiTheme="majorHAnsi" w:hAnsiTheme="majorHAnsi"/>
        </w:rPr>
        <w:t>antibiotic regimens may be sparse</w:t>
      </w:r>
      <w:r w:rsidR="005006B5">
        <w:rPr>
          <w:rFonts w:asciiTheme="majorHAnsi" w:hAnsiTheme="majorHAnsi"/>
        </w:rPr>
        <w:t xml:space="preserve"> </w:t>
      </w:r>
      <w:r w:rsidR="00A05351">
        <w:rPr>
          <w:rFonts w:asciiTheme="majorHAnsi" w:hAnsiTheme="majorHAnsi"/>
        </w:rPr>
        <w:t>when</w:t>
      </w:r>
      <w:r w:rsidR="005006B5">
        <w:rPr>
          <w:rFonts w:asciiTheme="majorHAnsi" w:hAnsiTheme="majorHAnsi"/>
        </w:rPr>
        <w:t xml:space="preserve"> </w:t>
      </w:r>
      <w:proofErr w:type="spellStart"/>
      <w:r w:rsidR="00BB590F">
        <w:rPr>
          <w:rFonts w:asciiTheme="majorHAnsi" w:hAnsiTheme="majorHAnsi"/>
        </w:rPr>
        <w:t>bedaquiline</w:t>
      </w:r>
      <w:proofErr w:type="spellEnd"/>
      <w:r w:rsidR="00BB590F">
        <w:rPr>
          <w:rFonts w:asciiTheme="majorHAnsi" w:hAnsiTheme="majorHAnsi"/>
        </w:rPr>
        <w:t xml:space="preserve"> </w:t>
      </w:r>
      <w:r w:rsidR="000B7CEF">
        <w:rPr>
          <w:rFonts w:asciiTheme="majorHAnsi" w:hAnsiTheme="majorHAnsi"/>
        </w:rPr>
        <w:t>is stopped</w:t>
      </w:r>
      <w:r w:rsidR="00A10925">
        <w:rPr>
          <w:rFonts w:asciiTheme="majorHAnsi" w:hAnsiTheme="majorHAnsi"/>
        </w:rPr>
        <w:t>.</w:t>
      </w:r>
      <w:r w:rsidR="005006B5">
        <w:rPr>
          <w:rFonts w:asciiTheme="majorHAnsi" w:hAnsiTheme="majorHAnsi"/>
        </w:rPr>
        <w:t xml:space="preserve"> </w:t>
      </w:r>
      <w:r w:rsidR="00150240">
        <w:rPr>
          <w:rFonts w:asciiTheme="majorHAnsi" w:hAnsiTheme="majorHAnsi"/>
        </w:rPr>
        <w:t xml:space="preserve">The </w:t>
      </w:r>
      <w:r w:rsidR="00B04720" w:rsidRPr="00066D5F">
        <w:rPr>
          <w:rFonts w:asciiTheme="majorHAnsi" w:hAnsiTheme="majorHAnsi"/>
        </w:rPr>
        <w:t xml:space="preserve">US Centre for Disease Control and Prevention (CDC) </w:t>
      </w:r>
      <w:r w:rsidR="000B7CEF">
        <w:rPr>
          <w:rFonts w:asciiTheme="majorHAnsi" w:hAnsiTheme="majorHAnsi"/>
        </w:rPr>
        <w:t>recommend</w:t>
      </w:r>
      <w:r w:rsidR="00150240">
        <w:rPr>
          <w:rFonts w:asciiTheme="majorHAnsi" w:hAnsiTheme="majorHAnsi"/>
        </w:rPr>
        <w:t>s</w:t>
      </w:r>
      <w:r w:rsidR="00B04720" w:rsidRPr="00066D5F">
        <w:rPr>
          <w:rFonts w:asciiTheme="majorHAnsi" w:hAnsiTheme="majorHAnsi"/>
        </w:rPr>
        <w:t xml:space="preserve"> continu</w:t>
      </w:r>
      <w:r w:rsidR="00BB590F">
        <w:rPr>
          <w:rFonts w:asciiTheme="majorHAnsi" w:hAnsiTheme="majorHAnsi"/>
        </w:rPr>
        <w:t>ing</w:t>
      </w:r>
      <w:r w:rsidR="005006B5">
        <w:rPr>
          <w:rFonts w:asciiTheme="majorHAnsi" w:hAnsiTheme="majorHAnsi"/>
        </w:rPr>
        <w:t xml:space="preserve"> </w:t>
      </w:r>
      <w:proofErr w:type="spellStart"/>
      <w:r w:rsidR="00B04720" w:rsidRPr="00066D5F">
        <w:rPr>
          <w:rFonts w:asciiTheme="majorHAnsi" w:hAnsiTheme="majorHAnsi"/>
        </w:rPr>
        <w:t>bedaqu</w:t>
      </w:r>
      <w:r w:rsidR="005006B5">
        <w:rPr>
          <w:rFonts w:asciiTheme="majorHAnsi" w:hAnsiTheme="majorHAnsi"/>
        </w:rPr>
        <w:t>i</w:t>
      </w:r>
      <w:r w:rsidR="00B04720" w:rsidRPr="00066D5F">
        <w:rPr>
          <w:rFonts w:asciiTheme="majorHAnsi" w:hAnsiTheme="majorHAnsi"/>
        </w:rPr>
        <w:t>line</w:t>
      </w:r>
      <w:proofErr w:type="spellEnd"/>
      <w:r w:rsidR="00B04720" w:rsidRPr="00066D5F">
        <w:rPr>
          <w:rFonts w:asciiTheme="majorHAnsi" w:hAnsiTheme="majorHAnsi"/>
        </w:rPr>
        <w:t xml:space="preserve"> beyond </w:t>
      </w:r>
      <w:r w:rsidR="007F18B0">
        <w:rPr>
          <w:rFonts w:asciiTheme="majorHAnsi" w:hAnsiTheme="majorHAnsi"/>
        </w:rPr>
        <w:t>24</w:t>
      </w:r>
      <w:r w:rsidR="00150240">
        <w:rPr>
          <w:rFonts w:asciiTheme="majorHAnsi" w:hAnsiTheme="majorHAnsi"/>
        </w:rPr>
        <w:t xml:space="preserve"> </w:t>
      </w:r>
      <w:r w:rsidR="007F18B0">
        <w:rPr>
          <w:rFonts w:asciiTheme="majorHAnsi" w:hAnsiTheme="majorHAnsi"/>
        </w:rPr>
        <w:t>weeks</w:t>
      </w:r>
      <w:r w:rsidR="00B04720" w:rsidRPr="00066D5F">
        <w:rPr>
          <w:rFonts w:asciiTheme="majorHAnsi" w:hAnsiTheme="majorHAnsi"/>
        </w:rPr>
        <w:t xml:space="preserve"> </w:t>
      </w:r>
      <w:r w:rsidR="00A05351">
        <w:rPr>
          <w:rFonts w:asciiTheme="majorHAnsi" w:hAnsiTheme="majorHAnsi"/>
        </w:rPr>
        <w:t>if</w:t>
      </w:r>
      <w:r w:rsidR="00A10925">
        <w:rPr>
          <w:rFonts w:asciiTheme="majorHAnsi" w:hAnsiTheme="majorHAnsi"/>
        </w:rPr>
        <w:t xml:space="preserve"> effective treatment </w:t>
      </w:r>
      <w:r w:rsidR="00E407F1">
        <w:rPr>
          <w:rFonts w:asciiTheme="majorHAnsi" w:hAnsiTheme="majorHAnsi"/>
        </w:rPr>
        <w:t>“</w:t>
      </w:r>
      <w:r w:rsidR="00A10925">
        <w:rPr>
          <w:rFonts w:asciiTheme="majorHAnsi" w:hAnsiTheme="majorHAnsi"/>
        </w:rPr>
        <w:t>cannot otherwise be provided”</w:t>
      </w:r>
      <w:r w:rsidR="005006B5">
        <w:rPr>
          <w:rFonts w:asciiTheme="majorHAnsi" w:hAnsiTheme="majorHAnsi"/>
        </w:rPr>
        <w:t xml:space="preserve">, </w:t>
      </w:r>
      <w:r w:rsidR="00A05351">
        <w:rPr>
          <w:rFonts w:asciiTheme="majorHAnsi" w:hAnsiTheme="majorHAnsi"/>
        </w:rPr>
        <w:t>whilst acknowledging the lack of</w:t>
      </w:r>
      <w:r w:rsidR="005E3619" w:rsidRPr="00066D5F">
        <w:rPr>
          <w:rFonts w:asciiTheme="majorHAnsi" w:hAnsiTheme="majorHAnsi"/>
        </w:rPr>
        <w:t xml:space="preserve"> </w:t>
      </w:r>
      <w:r w:rsidR="000B7CEF">
        <w:rPr>
          <w:rFonts w:asciiTheme="majorHAnsi" w:hAnsiTheme="majorHAnsi"/>
        </w:rPr>
        <w:t xml:space="preserve">supporting </w:t>
      </w:r>
      <w:r w:rsidR="00000D2E">
        <w:rPr>
          <w:rFonts w:asciiTheme="majorHAnsi" w:hAnsiTheme="majorHAnsi"/>
        </w:rPr>
        <w:t>tolerability</w:t>
      </w:r>
      <w:r w:rsidR="00A10925">
        <w:rPr>
          <w:rFonts w:asciiTheme="majorHAnsi" w:hAnsiTheme="majorHAnsi"/>
        </w:rPr>
        <w:t xml:space="preserve"> </w:t>
      </w:r>
      <w:r w:rsidR="005E3619" w:rsidRPr="00066D5F">
        <w:rPr>
          <w:rFonts w:asciiTheme="majorHAnsi" w:hAnsiTheme="majorHAnsi"/>
        </w:rPr>
        <w:t>data</w:t>
      </w:r>
      <w:r w:rsidR="00053A8C" w:rsidRPr="00066D5F">
        <w:rPr>
          <w:rFonts w:asciiTheme="majorHAnsi" w:hAnsiTheme="majorHAnsi"/>
        </w:rPr>
        <w:fldChar w:fldCharType="begin" w:fldLock="1"/>
      </w:r>
      <w:r w:rsidR="00D277A5">
        <w:rPr>
          <w:rFonts w:asciiTheme="majorHAnsi" w:hAnsiTheme="majorHAnsi"/>
        </w:rPr>
        <w:instrText>ADDIN CSL_CITATION { "citationItems" : [ { "id" : "ITEM-1", "itemData" : { "author" : [ { "dropping-particle" : "", "family" : "Mase", "given" : "Sundari", "non-dropping-particle" : "", "parse-names" : false, "suffix" : "" }, { "dropping-particle" : "", "family" : "Chorba", "given" : "Terence", "non-dropping-particle" : "", "parse-names" : false, "suffix" : "" }, { "dropping-particle" : "", "family" : "Lobue", "given" : "Philip", "non-dropping-particle" : "", "parse-names" : false, "suffix" : "" }, { "dropping-particle" : "", "family" : "Castro", "given" : "Kenneth", "non-dropping-particle" : "", "parse-names" : false, "suffix" : "" } ], "container-title" : "MMWR", "id" : "ITEM-1", "issue" : "RR09", "issued" : { "date-parts" : [ [ "2013" ] ] }, "page" : "1-12", "title" : "Provisional CDC Guidelines for the Use and Safety Monitoring of Bedaquiline Fumarate (Sirturo) for the Treatment of Multidrug-Resistant Tuberculosis", "type" : "article-journal", "volume" : "62" }, "uris" : [ "http://www.mendeley.com/documents/?uuid=20b77e04-dabb-4855-a312-dd9ee8c70326" ] } ], "mendeley" : { "formattedCitation" : "&lt;sup&gt;10&lt;/sup&gt;", "plainTextFormattedCitation" : "10", "previouslyFormattedCitation" : "&lt;sup&gt;10&lt;/sup&gt;" }, "properties" : { "noteIndex" : 0 }, "schema" : "https://github.com/citation-style-language/schema/raw/master/csl-citation.json" }</w:instrText>
      </w:r>
      <w:r w:rsidR="00053A8C" w:rsidRPr="00066D5F">
        <w:rPr>
          <w:rFonts w:asciiTheme="majorHAnsi" w:hAnsiTheme="majorHAnsi"/>
        </w:rPr>
        <w:fldChar w:fldCharType="separate"/>
      </w:r>
      <w:r w:rsidR="000568AE" w:rsidRPr="000568AE">
        <w:rPr>
          <w:rFonts w:asciiTheme="majorHAnsi" w:hAnsiTheme="majorHAnsi"/>
          <w:noProof/>
          <w:vertAlign w:val="superscript"/>
        </w:rPr>
        <w:t>10</w:t>
      </w:r>
      <w:r w:rsidR="00053A8C" w:rsidRPr="00066D5F">
        <w:rPr>
          <w:rFonts w:asciiTheme="majorHAnsi" w:hAnsiTheme="majorHAnsi"/>
        </w:rPr>
        <w:fldChar w:fldCharType="end"/>
      </w:r>
      <w:r w:rsidR="00B04720" w:rsidRPr="00066D5F">
        <w:rPr>
          <w:rFonts w:asciiTheme="majorHAnsi" w:hAnsiTheme="majorHAnsi"/>
        </w:rPr>
        <w:t>.</w:t>
      </w:r>
      <w:r w:rsidR="00000D2E">
        <w:rPr>
          <w:rFonts w:asciiTheme="majorHAnsi" w:hAnsiTheme="majorHAnsi"/>
        </w:rPr>
        <w:t xml:space="preserve"> </w:t>
      </w:r>
      <w:r w:rsidR="00E407F1">
        <w:rPr>
          <w:rFonts w:asciiTheme="majorHAnsi" w:hAnsiTheme="majorHAnsi"/>
        </w:rPr>
        <w:t xml:space="preserve">Although no fatalities in </w:t>
      </w:r>
      <w:r w:rsidR="00000D2E">
        <w:rPr>
          <w:rFonts w:asciiTheme="majorHAnsi" w:hAnsiTheme="majorHAnsi"/>
        </w:rPr>
        <w:t>pre-licensing studies</w:t>
      </w:r>
      <w:r w:rsidR="00E407F1">
        <w:rPr>
          <w:rFonts w:asciiTheme="majorHAnsi" w:hAnsiTheme="majorHAnsi"/>
        </w:rPr>
        <w:t xml:space="preserve"> were attribut</w:t>
      </w:r>
      <w:r w:rsidR="00A460E8">
        <w:rPr>
          <w:rFonts w:asciiTheme="majorHAnsi" w:hAnsiTheme="majorHAnsi"/>
        </w:rPr>
        <w:t>ed</w:t>
      </w:r>
      <w:r w:rsidR="00E407F1">
        <w:rPr>
          <w:rFonts w:asciiTheme="majorHAnsi" w:hAnsiTheme="majorHAnsi"/>
        </w:rPr>
        <w:t xml:space="preserve"> to the</w:t>
      </w:r>
      <w:r w:rsidR="00BA04D0">
        <w:rPr>
          <w:rFonts w:asciiTheme="majorHAnsi" w:hAnsiTheme="majorHAnsi"/>
        </w:rPr>
        <w:t xml:space="preserve"> </w:t>
      </w:r>
      <w:r w:rsidR="00E407F1">
        <w:rPr>
          <w:rFonts w:asciiTheme="majorHAnsi" w:hAnsiTheme="majorHAnsi"/>
        </w:rPr>
        <w:t>study drug, there were more</w:t>
      </w:r>
      <w:r w:rsidR="00BA04D0">
        <w:rPr>
          <w:rFonts w:asciiTheme="majorHAnsi" w:hAnsiTheme="majorHAnsi"/>
        </w:rPr>
        <w:t xml:space="preserve"> deaths </w:t>
      </w:r>
      <w:r w:rsidR="00A460E8">
        <w:rPr>
          <w:rFonts w:asciiTheme="majorHAnsi" w:hAnsiTheme="majorHAnsi"/>
        </w:rPr>
        <w:t>on</w:t>
      </w:r>
      <w:r w:rsidR="00BA04D0">
        <w:rPr>
          <w:rFonts w:asciiTheme="majorHAnsi" w:hAnsiTheme="majorHAnsi"/>
        </w:rPr>
        <w:t xml:space="preserve"> </w:t>
      </w:r>
      <w:proofErr w:type="spellStart"/>
      <w:r w:rsidR="00BA04D0">
        <w:rPr>
          <w:rFonts w:asciiTheme="majorHAnsi" w:hAnsiTheme="majorHAnsi"/>
        </w:rPr>
        <w:t>bedaquiline</w:t>
      </w:r>
      <w:proofErr w:type="spellEnd"/>
      <w:r w:rsidR="00BA04D0">
        <w:rPr>
          <w:rFonts w:asciiTheme="majorHAnsi" w:hAnsiTheme="majorHAnsi"/>
        </w:rPr>
        <w:t xml:space="preserve"> </w:t>
      </w:r>
      <w:r w:rsidR="00E407F1">
        <w:rPr>
          <w:rFonts w:asciiTheme="majorHAnsi" w:hAnsiTheme="majorHAnsi"/>
        </w:rPr>
        <w:t>than</w:t>
      </w:r>
      <w:r w:rsidR="000B7CEF">
        <w:rPr>
          <w:rFonts w:asciiTheme="majorHAnsi" w:hAnsiTheme="majorHAnsi"/>
        </w:rPr>
        <w:t xml:space="preserve"> placebo</w:t>
      </w:r>
      <w:r w:rsidR="00BA04D0">
        <w:rPr>
          <w:rFonts w:asciiTheme="majorHAnsi" w:hAnsiTheme="majorHAnsi"/>
        </w:rPr>
        <w:t xml:space="preserve"> [10 vs 2]</w:t>
      </w:r>
      <w:r w:rsidR="00BA04D0" w:rsidRPr="00066D5F">
        <w:rPr>
          <w:rFonts w:asciiTheme="majorHAnsi" w:hAnsiTheme="majorHAnsi"/>
        </w:rPr>
        <w:fldChar w:fldCharType="begin" w:fldLock="1"/>
      </w:r>
      <w:r w:rsidR="00D277A5">
        <w:rPr>
          <w:rFonts w:asciiTheme="majorHAnsi" w:hAnsiTheme="majorHAnsi"/>
        </w:rPr>
        <w:instrText>ADDIN CSL_CITATION { "citationItems" : [ { "id" : "ITEM-1", "itemData" : { "DOI" : "10.1056/NEJMoa1313865", "ISSN" : "1533-4406", "PMID" : "25140958", "abstract" : "BACKGROUND: Bedaquiline (Sirturo, TMC207), a diarylquinoline that inhibits mycobacterial ATP synthase, has been associated with accelerated sputum-culture conversion in patients with multidrug-resistant tuberculosis, when added to a preferred background regimen for 8 weeks.\n\nMETHODS: In this phase 2b trial, we randomly assigned 160 patients with newly diagnosed, smear-positive, multidrug-resistant tuberculosis to receive either 400 mg of bedaquiline once daily for 2 weeks, followed by 200 mg three times a week for 22 weeks, or placebo, both in combination with a preferred background regimen. The primary efficacy end point was the time to sputum-culture conversion in liquid broth. Patients were followed for 120 weeks from baseline.\n\nRESULTS: Bedaquiline reduced the median time to culture conversion, as compared with placebo, from 125 days to 83 days (hazard ratio in the bedaquiline group, 2.44; 95% confidence interval, 1.57 to 3.80; P&lt;0.001 by Cox regression analysis) and increased the rate of culture conversion at 24 weeks (79% vs. 58%, P=0.008) and at 120 weeks (62% vs. 44%, P=0.04). On the basis of World Health Organization outcome definitions for multidrug-resistant tuberculosis, cure rates at 120 weeks were 58% in the bedaquiline group and 32% in the placebo group (P=0.003). The overall incidence of adverse events was similar in the two groups. There were 10 deaths in the bedaquiline group and 2 in the placebo group, with no causal pattern evident.\n\nCONCLUSIONS: The addition of bedaquiline to a preferred background regimen for 24 weeks resulted in faster culture conversion and significantly more culture conversions at 120 weeks, as compared with placebo. There were more deaths in the bedaquiline group than in the placebo group. (Funded by Janssen Pharmaceuticals; TMC207-C208 ClinicalTrials.gov number, NCT00449644.).", "author" : [ { "dropping-particle" : "", "family" : "Diacon", "given" : "Andreas H", "non-dropping-particle" : "", "parse-names" : false, "suffix" : "" }, { "dropping-particle" : "", "family" : "Pym", "given" : "Alexander", "non-dropping-particle" : "", "parse-names" : false, "suffix" : "" }, { "dropping-particle" : "", "family" : "Grobusch", "given" : "Martin P", "non-dropping-particle" : "", "parse-names" : false, "suffix" : "" }, { "dropping-particle" : "", "family" : "los Rios", "given" : "Jorge M", "non-dropping-particle" : "de", "parse-names" : false, "suffix" : "" }, { "dropping-particle" : "", "family" : "Gotuzzo", "given" : "Eduardo", "non-dropping-particle" : "", "parse-names" : false, "suffix" : "" }, { "dropping-particle" : "", "family" : "Vasilyeva", "given" : "Irina", "non-dropping-particle" : "", "parse-names" : false, "suffix" : "" }, { "dropping-particle" : "", "family" : "Leimane", "given" : "Vaira", "non-dropping-particle" : "", "parse-names" : false, "suffix" : "" }, { "dropping-particle" : "", "family" : "Andries", "given" : "Koen", "non-dropping-particle" : "", "parse-names" : false, "suffix" : "" }, { "dropping-particle" : "", "family" : "Bakare", "given" : "Nyasha", "non-dropping-particle" : "", "parse-names" : false, "suffix" : "" }, { "dropping-particle" : "", "family" : "Marez", "given" : "Tine", "non-dropping-particle" : "De", "parse-names" : false, "suffix" : "" }, { "dropping-particle" : "", "family" : "Haxaire-Theeuwes", "given" : "Myriam", "non-dropping-particle" : "", "parse-names" : false, "suffix" : "" }, { "dropping-particle" : "", "family" : "Lounis", "given" : "Nacer", "non-dropping-particle" : "", "parse-names" : false, "suffix" : "" }, { "dropping-particle" : "", "family" : "Meyvisch", "given" : "Paul", "non-dropping-particle" : "", "parse-names" : false, "suffix" : "" }, { "dropping-particle" : "", "family" : "Paepe", "given" : "Els", "non-dropping-particle" : "De", "parse-names" : false, "suffix" : "" }, { "dropping-particle" : "", "family" : "Heeswijk", "given" : "Rolf P G", "non-dropping-particle" : "van", "parse-names" : false, "suffix" : "" }, { "dropping-particle" : "", "family" : "Dannemann", "given" : "Brian", "non-dropping-particle" : "", "parse-names" : false, "suffix" : "" } ], "container-title" : "The New England journal of medicine", "id" : "ITEM-1", "issue" : "8", "issued" : { "date-parts" : [ [ "2014", "8", "21" ] ] }, "page" : "723-32", "title" : "Multidrug-resistant tuberculosis and culture conversion with bedaquiline.", "type" : "article-journal", "volume" : "371" }, "uris" : [ "http://www.mendeley.com/documents/?uuid=6d3bdf6d-29a6-4822-b64e-938f67763e25" ] } ], "mendeley" : { "formattedCitation" : "&lt;sup&gt;2&lt;/sup&gt;", "plainTextFormattedCitation" : "2", "previouslyFormattedCitation" : "&lt;sup&gt;2&lt;/sup&gt;" }, "properties" : { "noteIndex" : 0 }, "schema" : "https://github.com/citation-style-language/schema/raw/master/csl-citation.json" }</w:instrText>
      </w:r>
      <w:r w:rsidR="00BA04D0" w:rsidRPr="00066D5F">
        <w:rPr>
          <w:rFonts w:asciiTheme="majorHAnsi" w:hAnsiTheme="majorHAnsi"/>
        </w:rPr>
        <w:fldChar w:fldCharType="separate"/>
      </w:r>
      <w:r w:rsidR="000568AE" w:rsidRPr="000568AE">
        <w:rPr>
          <w:rFonts w:asciiTheme="majorHAnsi" w:hAnsiTheme="majorHAnsi"/>
          <w:noProof/>
          <w:vertAlign w:val="superscript"/>
        </w:rPr>
        <w:t>2</w:t>
      </w:r>
      <w:r w:rsidR="00BA04D0" w:rsidRPr="00066D5F">
        <w:rPr>
          <w:rFonts w:asciiTheme="majorHAnsi" w:hAnsiTheme="majorHAnsi"/>
        </w:rPr>
        <w:fldChar w:fldCharType="end"/>
      </w:r>
      <w:r w:rsidR="00000D2E">
        <w:rPr>
          <w:rFonts w:asciiTheme="majorHAnsi" w:hAnsiTheme="majorHAnsi"/>
        </w:rPr>
        <w:t>.</w:t>
      </w:r>
      <w:r w:rsidR="00BA04D0">
        <w:rPr>
          <w:rFonts w:asciiTheme="majorHAnsi" w:hAnsiTheme="majorHAnsi"/>
        </w:rPr>
        <w:t xml:space="preserve"> </w:t>
      </w:r>
      <w:proofErr w:type="spellStart"/>
      <w:r w:rsidR="00A460E8">
        <w:rPr>
          <w:rFonts w:asciiTheme="majorHAnsi" w:hAnsiTheme="majorHAnsi"/>
        </w:rPr>
        <w:t>Bedaquiline’s</w:t>
      </w:r>
      <w:proofErr w:type="spellEnd"/>
      <w:r w:rsidR="00A460E8">
        <w:rPr>
          <w:rFonts w:asciiTheme="majorHAnsi" w:hAnsiTheme="majorHAnsi"/>
        </w:rPr>
        <w:t xml:space="preserve"> </w:t>
      </w:r>
      <w:r w:rsidR="00000D2E">
        <w:rPr>
          <w:rFonts w:asciiTheme="majorHAnsi" w:hAnsiTheme="majorHAnsi"/>
        </w:rPr>
        <w:t>plasma half-life is 4-5</w:t>
      </w:r>
      <w:r w:rsidR="00342CA3">
        <w:rPr>
          <w:rFonts w:asciiTheme="majorHAnsi" w:hAnsiTheme="majorHAnsi"/>
        </w:rPr>
        <w:t xml:space="preserve"> months and </w:t>
      </w:r>
      <w:proofErr w:type="spellStart"/>
      <w:r w:rsidR="00342CA3">
        <w:rPr>
          <w:rFonts w:asciiTheme="majorHAnsi" w:hAnsiTheme="majorHAnsi"/>
        </w:rPr>
        <w:t>QTc</w:t>
      </w:r>
      <w:proofErr w:type="spellEnd"/>
      <w:r w:rsidR="00342CA3">
        <w:rPr>
          <w:rFonts w:asciiTheme="majorHAnsi" w:hAnsiTheme="majorHAnsi"/>
        </w:rPr>
        <w:t xml:space="preserve"> prolongation occurs</w:t>
      </w:r>
      <w:r w:rsidR="00000D2E">
        <w:rPr>
          <w:rFonts w:asciiTheme="majorHAnsi" w:hAnsiTheme="majorHAnsi"/>
        </w:rPr>
        <w:t xml:space="preserve">, </w:t>
      </w:r>
      <w:r w:rsidR="00000D2E">
        <w:rPr>
          <w:rFonts w:asciiTheme="majorHAnsi" w:hAnsiTheme="majorHAnsi"/>
        </w:rPr>
        <w:lastRenderedPageBreak/>
        <w:t xml:space="preserve">raising concerns about incremental toxicity and highlighting the need for </w:t>
      </w:r>
      <w:r w:rsidR="000B7CEF">
        <w:rPr>
          <w:rFonts w:asciiTheme="majorHAnsi" w:hAnsiTheme="majorHAnsi"/>
        </w:rPr>
        <w:t xml:space="preserve">expedient reporting of </w:t>
      </w:r>
      <w:r w:rsidR="00E407F1">
        <w:rPr>
          <w:rFonts w:asciiTheme="majorHAnsi" w:hAnsiTheme="majorHAnsi"/>
        </w:rPr>
        <w:t>clinical experience</w:t>
      </w:r>
      <w:r w:rsidR="00000D2E">
        <w:rPr>
          <w:rFonts w:asciiTheme="majorHAnsi" w:hAnsiTheme="majorHAnsi"/>
        </w:rPr>
        <w:t xml:space="preserve">. </w:t>
      </w:r>
      <w:r w:rsidR="00B04720" w:rsidRPr="00066D5F">
        <w:rPr>
          <w:rFonts w:asciiTheme="majorHAnsi" w:hAnsiTheme="majorHAnsi"/>
        </w:rPr>
        <w:t xml:space="preserve">Here we </w:t>
      </w:r>
      <w:r w:rsidR="00A460E8">
        <w:rPr>
          <w:rFonts w:asciiTheme="majorHAnsi" w:hAnsiTheme="majorHAnsi"/>
        </w:rPr>
        <w:t>describe</w:t>
      </w:r>
      <w:r w:rsidR="00B04720" w:rsidRPr="00066D5F">
        <w:rPr>
          <w:rFonts w:asciiTheme="majorHAnsi" w:hAnsiTheme="majorHAnsi"/>
        </w:rPr>
        <w:t xml:space="preserve"> the f</w:t>
      </w:r>
      <w:r w:rsidR="00867D68" w:rsidRPr="00066D5F">
        <w:rPr>
          <w:rFonts w:asciiTheme="majorHAnsi" w:hAnsiTheme="majorHAnsi"/>
        </w:rPr>
        <w:t xml:space="preserve">irst published case of </w:t>
      </w:r>
      <w:r w:rsidR="00BB590F">
        <w:rPr>
          <w:rFonts w:asciiTheme="majorHAnsi" w:hAnsiTheme="majorHAnsi"/>
        </w:rPr>
        <w:t xml:space="preserve">safe </w:t>
      </w:r>
      <w:proofErr w:type="spellStart"/>
      <w:r w:rsidR="00867D68" w:rsidRPr="00066D5F">
        <w:rPr>
          <w:rFonts w:asciiTheme="majorHAnsi" w:hAnsiTheme="majorHAnsi"/>
        </w:rPr>
        <w:t>bedaquiline</w:t>
      </w:r>
      <w:proofErr w:type="spellEnd"/>
      <w:r w:rsidR="00867D68" w:rsidRPr="00066D5F">
        <w:rPr>
          <w:rFonts w:asciiTheme="majorHAnsi" w:hAnsiTheme="majorHAnsi"/>
        </w:rPr>
        <w:t xml:space="preserve"> treatment exten</w:t>
      </w:r>
      <w:r w:rsidR="00BB590F">
        <w:rPr>
          <w:rFonts w:asciiTheme="majorHAnsi" w:hAnsiTheme="majorHAnsi"/>
        </w:rPr>
        <w:t>sion</w:t>
      </w:r>
      <w:r w:rsidR="00342CA3">
        <w:rPr>
          <w:rFonts w:asciiTheme="majorHAnsi" w:hAnsiTheme="majorHAnsi"/>
        </w:rPr>
        <w:t xml:space="preserve"> to 18</w:t>
      </w:r>
      <w:r w:rsidR="00B04720" w:rsidRPr="00066D5F">
        <w:rPr>
          <w:rFonts w:asciiTheme="majorHAnsi" w:hAnsiTheme="majorHAnsi"/>
        </w:rPr>
        <w:t xml:space="preserve"> months in a patient with pulmonary XDR-TB.</w:t>
      </w:r>
    </w:p>
    <w:p w14:paraId="3FDAE109" w14:textId="77777777" w:rsidR="00525936" w:rsidRDefault="00525936" w:rsidP="004228C2">
      <w:pPr>
        <w:spacing w:line="480" w:lineRule="auto"/>
        <w:rPr>
          <w:rFonts w:asciiTheme="majorHAnsi" w:hAnsiTheme="majorHAnsi"/>
        </w:rPr>
      </w:pPr>
    </w:p>
    <w:p w14:paraId="6371BE7F" w14:textId="7E9D72B0" w:rsidR="00A070A5" w:rsidRPr="00066D5F" w:rsidRDefault="0096713E" w:rsidP="004228C2">
      <w:pPr>
        <w:spacing w:line="480" w:lineRule="auto"/>
        <w:rPr>
          <w:rFonts w:asciiTheme="majorHAnsi" w:hAnsiTheme="majorHAnsi"/>
        </w:rPr>
      </w:pPr>
      <w:r>
        <w:rPr>
          <w:rFonts w:asciiTheme="majorHAnsi" w:hAnsiTheme="majorHAnsi"/>
        </w:rPr>
        <w:t xml:space="preserve">In January 2014, a 20 year </w:t>
      </w:r>
      <w:r w:rsidR="00A070A5" w:rsidRPr="00066D5F">
        <w:rPr>
          <w:rFonts w:asciiTheme="majorHAnsi" w:hAnsiTheme="majorHAnsi"/>
        </w:rPr>
        <w:t xml:space="preserve">old HIV-negative Romanian </w:t>
      </w:r>
      <w:r w:rsidR="00065B29">
        <w:rPr>
          <w:rFonts w:asciiTheme="majorHAnsi" w:hAnsiTheme="majorHAnsi"/>
        </w:rPr>
        <w:t>woman</w:t>
      </w:r>
      <w:r w:rsidR="00065B29" w:rsidRPr="00066D5F">
        <w:rPr>
          <w:rFonts w:asciiTheme="majorHAnsi" w:hAnsiTheme="majorHAnsi"/>
        </w:rPr>
        <w:t xml:space="preserve"> </w:t>
      </w:r>
      <w:r w:rsidR="00A070A5" w:rsidRPr="00066D5F">
        <w:rPr>
          <w:rFonts w:asciiTheme="majorHAnsi" w:hAnsiTheme="majorHAnsi"/>
        </w:rPr>
        <w:t xml:space="preserve">was referred to our unit with </w:t>
      </w:r>
      <w:r w:rsidR="00E13BA0">
        <w:rPr>
          <w:rFonts w:asciiTheme="majorHAnsi" w:hAnsiTheme="majorHAnsi"/>
        </w:rPr>
        <w:t xml:space="preserve">a first presentation of </w:t>
      </w:r>
      <w:r w:rsidR="00A070A5" w:rsidRPr="00066D5F">
        <w:rPr>
          <w:rFonts w:asciiTheme="majorHAnsi" w:hAnsiTheme="majorHAnsi"/>
        </w:rPr>
        <w:t>smear-positive pulmonary TB</w:t>
      </w:r>
      <w:r w:rsidR="00CB13DC">
        <w:rPr>
          <w:rFonts w:asciiTheme="majorHAnsi" w:hAnsiTheme="majorHAnsi"/>
        </w:rPr>
        <w:t>.</w:t>
      </w:r>
      <w:r w:rsidR="00A070A5" w:rsidRPr="00066D5F">
        <w:rPr>
          <w:rFonts w:asciiTheme="majorHAnsi" w:hAnsiTheme="majorHAnsi"/>
        </w:rPr>
        <w:t xml:space="preserve"> </w:t>
      </w:r>
      <w:r w:rsidR="00623713">
        <w:rPr>
          <w:rFonts w:asciiTheme="majorHAnsi" w:hAnsiTheme="majorHAnsi"/>
        </w:rPr>
        <w:t xml:space="preserve">Computed tomography (CT) scans showed multi-focal disease of both lungs. </w:t>
      </w:r>
      <w:r w:rsidR="00CB13DC">
        <w:rPr>
          <w:rFonts w:asciiTheme="majorHAnsi" w:hAnsiTheme="majorHAnsi"/>
        </w:rPr>
        <w:t>S</w:t>
      </w:r>
      <w:r w:rsidR="00A070A5" w:rsidRPr="00066D5F">
        <w:rPr>
          <w:rFonts w:asciiTheme="majorHAnsi" w:hAnsiTheme="majorHAnsi"/>
        </w:rPr>
        <w:t>he had no</w:t>
      </w:r>
      <w:r w:rsidR="00EC2C3E">
        <w:rPr>
          <w:rFonts w:asciiTheme="majorHAnsi" w:hAnsiTheme="majorHAnsi"/>
        </w:rPr>
        <w:t xml:space="preserve"> co-morbidities and</w:t>
      </w:r>
      <w:r w:rsidR="00CB13DC">
        <w:rPr>
          <w:rFonts w:asciiTheme="majorHAnsi" w:hAnsiTheme="majorHAnsi"/>
        </w:rPr>
        <w:t xml:space="preserve"> was </w:t>
      </w:r>
      <w:r w:rsidR="00A070A5" w:rsidRPr="00066D5F">
        <w:rPr>
          <w:rFonts w:asciiTheme="majorHAnsi" w:hAnsiTheme="majorHAnsi"/>
        </w:rPr>
        <w:t>initia</w:t>
      </w:r>
      <w:r w:rsidR="00CB13DC">
        <w:rPr>
          <w:rFonts w:asciiTheme="majorHAnsi" w:hAnsiTheme="majorHAnsi"/>
        </w:rPr>
        <w:t>ted</w:t>
      </w:r>
      <w:r w:rsidR="00A070A5" w:rsidRPr="00066D5F">
        <w:rPr>
          <w:rFonts w:asciiTheme="majorHAnsi" w:hAnsiTheme="majorHAnsi"/>
        </w:rPr>
        <w:t xml:space="preserve"> on </w:t>
      </w:r>
      <w:r w:rsidR="00DF4845">
        <w:rPr>
          <w:rFonts w:asciiTheme="majorHAnsi" w:hAnsiTheme="majorHAnsi"/>
        </w:rPr>
        <w:t>first-line</w:t>
      </w:r>
      <w:r w:rsidR="00A070A5" w:rsidRPr="00066D5F">
        <w:rPr>
          <w:rFonts w:asciiTheme="majorHAnsi" w:hAnsiTheme="majorHAnsi"/>
        </w:rPr>
        <w:t xml:space="preserve"> </w:t>
      </w:r>
      <w:proofErr w:type="spellStart"/>
      <w:r w:rsidR="00A070A5" w:rsidRPr="00066D5F">
        <w:rPr>
          <w:rFonts w:asciiTheme="majorHAnsi" w:hAnsiTheme="majorHAnsi"/>
        </w:rPr>
        <w:t>antituberculous</w:t>
      </w:r>
      <w:proofErr w:type="spellEnd"/>
      <w:r w:rsidR="00A070A5" w:rsidRPr="00066D5F">
        <w:rPr>
          <w:rFonts w:asciiTheme="majorHAnsi" w:hAnsiTheme="majorHAnsi"/>
        </w:rPr>
        <w:t xml:space="preserve"> chemotherapy (rifampicin-isoniazid-pyrazinamide-</w:t>
      </w:r>
      <w:proofErr w:type="spellStart"/>
      <w:r w:rsidR="00A070A5" w:rsidRPr="00066D5F">
        <w:rPr>
          <w:rFonts w:asciiTheme="majorHAnsi" w:hAnsiTheme="majorHAnsi"/>
        </w:rPr>
        <w:t>ethambutol</w:t>
      </w:r>
      <w:proofErr w:type="spellEnd"/>
      <w:r w:rsidR="00A070A5" w:rsidRPr="00066D5F">
        <w:rPr>
          <w:rFonts w:asciiTheme="majorHAnsi" w:hAnsiTheme="majorHAnsi"/>
        </w:rPr>
        <w:t>)</w:t>
      </w:r>
      <w:r w:rsidR="00CB13DC">
        <w:rPr>
          <w:rFonts w:asciiTheme="majorHAnsi" w:hAnsiTheme="majorHAnsi"/>
        </w:rPr>
        <w:t xml:space="preserve"> but</w:t>
      </w:r>
      <w:r w:rsidR="00A070A5" w:rsidRPr="00066D5F">
        <w:rPr>
          <w:rFonts w:asciiTheme="majorHAnsi" w:hAnsiTheme="majorHAnsi"/>
        </w:rPr>
        <w:t xml:space="preserve"> </w:t>
      </w:r>
      <w:r w:rsidR="00DF4845">
        <w:rPr>
          <w:rFonts w:asciiTheme="majorHAnsi" w:hAnsiTheme="majorHAnsi"/>
        </w:rPr>
        <w:t>after 2</w:t>
      </w:r>
      <w:r w:rsidR="00E13BA0">
        <w:rPr>
          <w:rFonts w:asciiTheme="majorHAnsi" w:hAnsiTheme="majorHAnsi"/>
        </w:rPr>
        <w:t xml:space="preserve"> days </w:t>
      </w:r>
      <w:r w:rsidR="00DF4845">
        <w:rPr>
          <w:rFonts w:asciiTheme="majorHAnsi" w:hAnsiTheme="majorHAnsi"/>
        </w:rPr>
        <w:t xml:space="preserve">the Genotype </w:t>
      </w:r>
      <w:proofErr w:type="spellStart"/>
      <w:r w:rsidR="00DF4845">
        <w:rPr>
          <w:rFonts w:asciiTheme="majorHAnsi" w:hAnsiTheme="majorHAnsi"/>
        </w:rPr>
        <w:t>MDRTB</w:t>
      </w:r>
      <w:r w:rsidR="00DF4845" w:rsidRPr="00623713">
        <w:rPr>
          <w:rFonts w:asciiTheme="majorHAnsi" w:hAnsiTheme="majorHAnsi"/>
          <w:i/>
        </w:rPr>
        <w:t>plus</w:t>
      </w:r>
      <w:proofErr w:type="spellEnd"/>
      <w:r w:rsidR="00DF4845">
        <w:rPr>
          <w:rFonts w:asciiTheme="majorHAnsi" w:hAnsiTheme="majorHAnsi"/>
        </w:rPr>
        <w:t xml:space="preserve"> 2.0 assay (</w:t>
      </w:r>
      <w:proofErr w:type="spellStart"/>
      <w:r w:rsidR="00DF4845">
        <w:rPr>
          <w:rFonts w:asciiTheme="majorHAnsi" w:hAnsiTheme="majorHAnsi"/>
        </w:rPr>
        <w:t>Hain</w:t>
      </w:r>
      <w:proofErr w:type="spellEnd"/>
      <w:r w:rsidR="00DF4845">
        <w:rPr>
          <w:rFonts w:asciiTheme="majorHAnsi" w:hAnsiTheme="majorHAnsi"/>
        </w:rPr>
        <w:t xml:space="preserve"> Diagnostics)</w:t>
      </w:r>
      <w:r w:rsidR="00D277A5">
        <w:rPr>
          <w:rFonts w:asciiTheme="majorHAnsi" w:hAnsiTheme="majorHAnsi"/>
        </w:rPr>
        <w:t>, performed on the patient’s sputum sample,</w:t>
      </w:r>
      <w:r w:rsidR="00DF4845">
        <w:rPr>
          <w:rFonts w:asciiTheme="majorHAnsi" w:hAnsiTheme="majorHAnsi"/>
        </w:rPr>
        <w:t xml:space="preserve"> revealed </w:t>
      </w:r>
      <w:proofErr w:type="spellStart"/>
      <w:r w:rsidR="00DF4845" w:rsidRPr="00623713">
        <w:rPr>
          <w:rFonts w:asciiTheme="majorHAnsi" w:hAnsiTheme="majorHAnsi"/>
          <w:i/>
        </w:rPr>
        <w:t>RpoB</w:t>
      </w:r>
      <w:proofErr w:type="spellEnd"/>
      <w:r w:rsidR="00DF4845">
        <w:rPr>
          <w:rFonts w:asciiTheme="majorHAnsi" w:hAnsiTheme="majorHAnsi"/>
        </w:rPr>
        <w:t xml:space="preserve"> and </w:t>
      </w:r>
      <w:proofErr w:type="spellStart"/>
      <w:r w:rsidR="00DF4845" w:rsidRPr="00623713">
        <w:rPr>
          <w:rFonts w:asciiTheme="majorHAnsi" w:hAnsiTheme="majorHAnsi"/>
          <w:i/>
        </w:rPr>
        <w:t>KatG</w:t>
      </w:r>
      <w:proofErr w:type="spellEnd"/>
      <w:r w:rsidR="00DF4845">
        <w:rPr>
          <w:rFonts w:asciiTheme="majorHAnsi" w:hAnsiTheme="majorHAnsi"/>
        </w:rPr>
        <w:t xml:space="preserve"> mutations </w:t>
      </w:r>
      <w:r w:rsidR="006E2306">
        <w:rPr>
          <w:rFonts w:asciiTheme="majorHAnsi" w:hAnsiTheme="majorHAnsi"/>
        </w:rPr>
        <w:t>consistent with rifampicin and isoniazid resistance</w:t>
      </w:r>
      <w:r w:rsidR="00065B29">
        <w:rPr>
          <w:rFonts w:asciiTheme="majorHAnsi" w:hAnsiTheme="majorHAnsi"/>
        </w:rPr>
        <w:t>. Therefore</w:t>
      </w:r>
      <w:r w:rsidR="00EC2C3E">
        <w:rPr>
          <w:rFonts w:asciiTheme="majorHAnsi" w:hAnsiTheme="majorHAnsi"/>
        </w:rPr>
        <w:t xml:space="preserve"> she was switched to a WHO-approved</w:t>
      </w:r>
      <w:r w:rsidR="00DF4845">
        <w:rPr>
          <w:rFonts w:asciiTheme="majorHAnsi" w:hAnsiTheme="majorHAnsi"/>
        </w:rPr>
        <w:t xml:space="preserve"> MDR-TB regimen</w:t>
      </w:r>
      <w:r w:rsidR="00832053">
        <w:rPr>
          <w:rFonts w:asciiTheme="majorHAnsi" w:hAnsiTheme="majorHAnsi"/>
        </w:rPr>
        <w:t xml:space="preserve"> (see figure 1)</w:t>
      </w:r>
      <w:r w:rsidR="00DF4845">
        <w:rPr>
          <w:rFonts w:asciiTheme="majorHAnsi" w:hAnsiTheme="majorHAnsi"/>
        </w:rPr>
        <w:t xml:space="preserve">. </w:t>
      </w:r>
      <w:r w:rsidR="00EC2C3E">
        <w:rPr>
          <w:rFonts w:asciiTheme="majorHAnsi" w:hAnsiTheme="majorHAnsi"/>
        </w:rPr>
        <w:t>During</w:t>
      </w:r>
      <w:r w:rsidR="00623713">
        <w:rPr>
          <w:rFonts w:asciiTheme="majorHAnsi" w:hAnsiTheme="majorHAnsi"/>
        </w:rPr>
        <w:t xml:space="preserve"> February</w:t>
      </w:r>
      <w:r w:rsidR="00DF4845">
        <w:rPr>
          <w:rFonts w:asciiTheme="majorHAnsi" w:hAnsiTheme="majorHAnsi"/>
        </w:rPr>
        <w:t xml:space="preserve">, full </w:t>
      </w:r>
      <w:r w:rsidR="00CB13DC">
        <w:rPr>
          <w:rFonts w:asciiTheme="majorHAnsi" w:hAnsiTheme="majorHAnsi"/>
        </w:rPr>
        <w:t>phenotypic drug susceptibility testing</w:t>
      </w:r>
      <w:r w:rsidR="00A070A5" w:rsidRPr="00066D5F">
        <w:rPr>
          <w:rFonts w:asciiTheme="majorHAnsi" w:hAnsiTheme="majorHAnsi"/>
        </w:rPr>
        <w:t xml:space="preserve"> </w:t>
      </w:r>
      <w:r w:rsidR="00867D68" w:rsidRPr="00066D5F">
        <w:rPr>
          <w:rFonts w:asciiTheme="majorHAnsi" w:hAnsiTheme="majorHAnsi"/>
        </w:rPr>
        <w:t xml:space="preserve">and whole genome sequencing </w:t>
      </w:r>
      <w:r w:rsidR="00FF5F5F">
        <w:rPr>
          <w:rFonts w:asciiTheme="majorHAnsi" w:hAnsiTheme="majorHAnsi"/>
        </w:rPr>
        <w:t>revealed</w:t>
      </w:r>
      <w:r w:rsidR="00A070A5" w:rsidRPr="00066D5F">
        <w:rPr>
          <w:rFonts w:asciiTheme="majorHAnsi" w:hAnsiTheme="majorHAnsi"/>
        </w:rPr>
        <w:t xml:space="preserve"> </w:t>
      </w:r>
      <w:r w:rsidR="00DF4845">
        <w:rPr>
          <w:rFonts w:asciiTheme="majorHAnsi" w:hAnsiTheme="majorHAnsi"/>
        </w:rPr>
        <w:t xml:space="preserve">extensive </w:t>
      </w:r>
      <w:r w:rsidR="00A070A5" w:rsidRPr="00066D5F">
        <w:rPr>
          <w:rFonts w:asciiTheme="majorHAnsi" w:hAnsiTheme="majorHAnsi"/>
        </w:rPr>
        <w:t xml:space="preserve">resistance to all first line drugs, </w:t>
      </w:r>
      <w:r w:rsidR="00E51E9F" w:rsidRPr="00066D5F">
        <w:rPr>
          <w:rFonts w:asciiTheme="majorHAnsi" w:hAnsiTheme="majorHAnsi"/>
        </w:rPr>
        <w:t xml:space="preserve">all </w:t>
      </w:r>
      <w:r w:rsidR="00A070A5" w:rsidRPr="00066D5F">
        <w:rPr>
          <w:rFonts w:asciiTheme="majorHAnsi" w:hAnsiTheme="majorHAnsi"/>
        </w:rPr>
        <w:t xml:space="preserve">quinolones, all </w:t>
      </w:r>
      <w:proofErr w:type="spellStart"/>
      <w:r w:rsidR="00A070A5" w:rsidRPr="00066D5F">
        <w:rPr>
          <w:rFonts w:asciiTheme="majorHAnsi" w:hAnsiTheme="majorHAnsi"/>
        </w:rPr>
        <w:t>injectables</w:t>
      </w:r>
      <w:proofErr w:type="spellEnd"/>
      <w:r w:rsidR="00A070A5" w:rsidRPr="00066D5F">
        <w:rPr>
          <w:rFonts w:asciiTheme="majorHAnsi" w:hAnsiTheme="majorHAnsi"/>
        </w:rPr>
        <w:t xml:space="preserve">, and </w:t>
      </w:r>
      <w:proofErr w:type="spellStart"/>
      <w:r w:rsidR="00A070A5" w:rsidRPr="00066D5F">
        <w:rPr>
          <w:rFonts w:asciiTheme="majorHAnsi" w:hAnsiTheme="majorHAnsi"/>
        </w:rPr>
        <w:t>prothionamide</w:t>
      </w:r>
      <w:proofErr w:type="spellEnd"/>
      <w:r w:rsidR="00A070A5" w:rsidRPr="00066D5F">
        <w:rPr>
          <w:rFonts w:asciiTheme="majorHAnsi" w:hAnsiTheme="majorHAnsi"/>
        </w:rPr>
        <w:t xml:space="preserve">. </w:t>
      </w:r>
      <w:r w:rsidR="00D277A5">
        <w:rPr>
          <w:rFonts w:asciiTheme="majorHAnsi" w:hAnsiTheme="majorHAnsi"/>
        </w:rPr>
        <w:t>S</w:t>
      </w:r>
      <w:r w:rsidR="00EC2C3E">
        <w:rPr>
          <w:rFonts w:asciiTheme="majorHAnsi" w:hAnsiTheme="majorHAnsi"/>
        </w:rPr>
        <w:t>usceptibilities</w:t>
      </w:r>
      <w:r w:rsidR="00D277A5">
        <w:rPr>
          <w:rFonts w:asciiTheme="majorHAnsi" w:hAnsiTheme="majorHAnsi"/>
        </w:rPr>
        <w:t xml:space="preserve"> to</w:t>
      </w:r>
      <w:r w:rsidR="00A070A5" w:rsidRPr="00066D5F">
        <w:rPr>
          <w:rFonts w:asciiTheme="majorHAnsi" w:hAnsiTheme="majorHAnsi"/>
        </w:rPr>
        <w:t xml:space="preserve"> linezolid, </w:t>
      </w:r>
      <w:r w:rsidR="000C33D3" w:rsidRPr="00066D5F">
        <w:rPr>
          <w:rFonts w:asciiTheme="majorHAnsi" w:hAnsiTheme="majorHAnsi"/>
        </w:rPr>
        <w:t>para-</w:t>
      </w:r>
      <w:proofErr w:type="spellStart"/>
      <w:r w:rsidR="000B0D03">
        <w:rPr>
          <w:rFonts w:asciiTheme="majorHAnsi" w:hAnsiTheme="majorHAnsi"/>
        </w:rPr>
        <w:t>a</w:t>
      </w:r>
      <w:r w:rsidR="000B0D03" w:rsidRPr="00066D5F">
        <w:rPr>
          <w:rFonts w:asciiTheme="majorHAnsi" w:hAnsiTheme="majorHAnsi"/>
        </w:rPr>
        <w:t>minosalicylic</w:t>
      </w:r>
      <w:proofErr w:type="spellEnd"/>
      <w:r w:rsidR="000B0D03" w:rsidRPr="00066D5F">
        <w:rPr>
          <w:rFonts w:asciiTheme="majorHAnsi" w:hAnsiTheme="majorHAnsi"/>
        </w:rPr>
        <w:t xml:space="preserve"> </w:t>
      </w:r>
      <w:r w:rsidR="000C33D3" w:rsidRPr="00066D5F">
        <w:rPr>
          <w:rFonts w:asciiTheme="majorHAnsi" w:hAnsiTheme="majorHAnsi"/>
        </w:rPr>
        <w:t>acid (</w:t>
      </w:r>
      <w:r w:rsidR="00A070A5" w:rsidRPr="00066D5F">
        <w:rPr>
          <w:rFonts w:asciiTheme="majorHAnsi" w:hAnsiTheme="majorHAnsi"/>
        </w:rPr>
        <w:t>PAS</w:t>
      </w:r>
      <w:r w:rsidR="000C33D3" w:rsidRPr="00066D5F">
        <w:rPr>
          <w:rFonts w:asciiTheme="majorHAnsi" w:hAnsiTheme="majorHAnsi"/>
        </w:rPr>
        <w:t>)</w:t>
      </w:r>
      <w:r w:rsidR="00A070A5" w:rsidRPr="00066D5F">
        <w:rPr>
          <w:rFonts w:asciiTheme="majorHAnsi" w:hAnsiTheme="majorHAnsi"/>
        </w:rPr>
        <w:t xml:space="preserve"> and azithromycin</w:t>
      </w:r>
      <w:r w:rsidR="00D277A5">
        <w:rPr>
          <w:rFonts w:asciiTheme="majorHAnsi" w:hAnsiTheme="majorHAnsi"/>
        </w:rPr>
        <w:t xml:space="preserve"> were confirmed</w:t>
      </w:r>
      <w:r w:rsidR="00A070A5" w:rsidRPr="00066D5F">
        <w:rPr>
          <w:rFonts w:asciiTheme="majorHAnsi" w:hAnsiTheme="majorHAnsi"/>
        </w:rPr>
        <w:t>.</w:t>
      </w:r>
      <w:r w:rsidR="00D277A5">
        <w:rPr>
          <w:rFonts w:asciiTheme="majorHAnsi" w:hAnsiTheme="majorHAnsi"/>
        </w:rPr>
        <w:t xml:space="preserve"> </w:t>
      </w:r>
      <w:r w:rsidR="00450510">
        <w:rPr>
          <w:rFonts w:asciiTheme="majorHAnsi" w:hAnsiTheme="majorHAnsi"/>
        </w:rPr>
        <w:t>Phenotypic sensitivity</w:t>
      </w:r>
      <w:r w:rsidR="00C42FA0">
        <w:rPr>
          <w:rFonts w:asciiTheme="majorHAnsi" w:hAnsiTheme="majorHAnsi"/>
        </w:rPr>
        <w:t xml:space="preserve"> testing to </w:t>
      </w:r>
      <w:proofErr w:type="spellStart"/>
      <w:r w:rsidR="00C42FA0">
        <w:rPr>
          <w:rFonts w:asciiTheme="majorHAnsi" w:hAnsiTheme="majorHAnsi"/>
        </w:rPr>
        <w:t>meropenam</w:t>
      </w:r>
      <w:proofErr w:type="spellEnd"/>
      <w:r w:rsidR="00C42FA0">
        <w:rPr>
          <w:rFonts w:asciiTheme="majorHAnsi" w:hAnsiTheme="majorHAnsi"/>
        </w:rPr>
        <w:t>/</w:t>
      </w:r>
      <w:proofErr w:type="spellStart"/>
      <w:r w:rsidR="00C42FA0">
        <w:rPr>
          <w:rFonts w:asciiTheme="majorHAnsi" w:hAnsiTheme="majorHAnsi"/>
        </w:rPr>
        <w:t>imipenem</w:t>
      </w:r>
      <w:proofErr w:type="spellEnd"/>
      <w:r w:rsidR="00C42FA0">
        <w:rPr>
          <w:rFonts w:asciiTheme="majorHAnsi" w:hAnsiTheme="majorHAnsi"/>
        </w:rPr>
        <w:t xml:space="preserve"> and </w:t>
      </w:r>
      <w:proofErr w:type="spellStart"/>
      <w:r w:rsidR="00450510">
        <w:rPr>
          <w:rFonts w:asciiTheme="majorHAnsi" w:hAnsiTheme="majorHAnsi"/>
        </w:rPr>
        <w:t>clofazamine</w:t>
      </w:r>
      <w:proofErr w:type="spellEnd"/>
      <w:r w:rsidR="00450510">
        <w:rPr>
          <w:rFonts w:asciiTheme="majorHAnsi" w:hAnsiTheme="majorHAnsi"/>
        </w:rPr>
        <w:t xml:space="preserve"> </w:t>
      </w:r>
      <w:r w:rsidR="00C42FA0">
        <w:rPr>
          <w:rFonts w:asciiTheme="majorHAnsi" w:hAnsiTheme="majorHAnsi"/>
        </w:rPr>
        <w:t>were unavailable</w:t>
      </w:r>
      <w:r w:rsidR="00450510">
        <w:rPr>
          <w:rFonts w:asciiTheme="majorHAnsi" w:hAnsiTheme="majorHAnsi"/>
        </w:rPr>
        <w:t>, but whole-genome sequencing was perfor</w:t>
      </w:r>
      <w:r w:rsidR="00C42FA0">
        <w:rPr>
          <w:rFonts w:asciiTheme="majorHAnsi" w:hAnsiTheme="majorHAnsi"/>
        </w:rPr>
        <w:t xml:space="preserve">med and identified </w:t>
      </w:r>
      <w:proofErr w:type="spellStart"/>
      <w:r w:rsidR="00C42FA0">
        <w:rPr>
          <w:rFonts w:asciiTheme="majorHAnsi" w:hAnsiTheme="majorHAnsi"/>
        </w:rPr>
        <w:t>katG</w:t>
      </w:r>
      <w:proofErr w:type="spellEnd"/>
      <w:r w:rsidR="00C42FA0">
        <w:rPr>
          <w:rFonts w:asciiTheme="majorHAnsi" w:hAnsiTheme="majorHAnsi"/>
        </w:rPr>
        <w:t xml:space="preserve"> mutations conferring</w:t>
      </w:r>
      <w:r w:rsidR="00450510">
        <w:rPr>
          <w:rFonts w:asciiTheme="majorHAnsi" w:hAnsiTheme="majorHAnsi"/>
        </w:rPr>
        <w:t xml:space="preserve"> high-level isoniazid resistance, precluding the use of high-dose isoniazid.</w:t>
      </w:r>
      <w:r w:rsidR="00A070A5" w:rsidRPr="00066D5F">
        <w:rPr>
          <w:rFonts w:asciiTheme="majorHAnsi" w:hAnsiTheme="majorHAnsi"/>
        </w:rPr>
        <w:t xml:space="preserve"> </w:t>
      </w:r>
      <w:r w:rsidR="00400754">
        <w:rPr>
          <w:rFonts w:asciiTheme="majorHAnsi" w:hAnsiTheme="majorHAnsi"/>
        </w:rPr>
        <w:t>At</w:t>
      </w:r>
      <w:r w:rsidR="00CA145D">
        <w:rPr>
          <w:rFonts w:asciiTheme="majorHAnsi" w:hAnsiTheme="majorHAnsi"/>
        </w:rPr>
        <w:t xml:space="preserve"> week 8 of treatment</w:t>
      </w:r>
      <w:r w:rsidR="00623713">
        <w:rPr>
          <w:rFonts w:asciiTheme="majorHAnsi" w:hAnsiTheme="majorHAnsi"/>
        </w:rPr>
        <w:t xml:space="preserve"> </w:t>
      </w:r>
      <w:r w:rsidR="00257693">
        <w:rPr>
          <w:rFonts w:asciiTheme="majorHAnsi" w:hAnsiTheme="majorHAnsi"/>
        </w:rPr>
        <w:t>she was established on</w:t>
      </w:r>
      <w:r w:rsidR="004F728A" w:rsidRPr="00066D5F">
        <w:rPr>
          <w:rFonts w:asciiTheme="majorHAnsi" w:hAnsiTheme="majorHAnsi"/>
        </w:rPr>
        <w:t xml:space="preserve"> a six-</w:t>
      </w:r>
      <w:r w:rsidR="00A070A5" w:rsidRPr="00066D5F">
        <w:rPr>
          <w:rFonts w:asciiTheme="majorHAnsi" w:hAnsiTheme="majorHAnsi"/>
        </w:rPr>
        <w:t xml:space="preserve">drug regimen of </w:t>
      </w:r>
      <w:proofErr w:type="spellStart"/>
      <w:r w:rsidR="00A070A5" w:rsidRPr="00066D5F">
        <w:rPr>
          <w:rFonts w:asciiTheme="majorHAnsi" w:hAnsiTheme="majorHAnsi"/>
        </w:rPr>
        <w:t>bedaquiline</w:t>
      </w:r>
      <w:proofErr w:type="spellEnd"/>
      <w:r w:rsidR="00A070A5" w:rsidRPr="00066D5F">
        <w:rPr>
          <w:rFonts w:asciiTheme="majorHAnsi" w:hAnsiTheme="majorHAnsi"/>
        </w:rPr>
        <w:t xml:space="preserve">, linezolid, pyrazinamide, </w:t>
      </w:r>
      <w:proofErr w:type="spellStart"/>
      <w:r w:rsidR="00A070A5" w:rsidRPr="00066D5F">
        <w:rPr>
          <w:rFonts w:asciiTheme="majorHAnsi" w:hAnsiTheme="majorHAnsi"/>
        </w:rPr>
        <w:t>cyclos</w:t>
      </w:r>
      <w:r w:rsidR="00574094" w:rsidRPr="00066D5F">
        <w:rPr>
          <w:rFonts w:asciiTheme="majorHAnsi" w:hAnsiTheme="majorHAnsi"/>
        </w:rPr>
        <w:t>erine</w:t>
      </w:r>
      <w:proofErr w:type="spellEnd"/>
      <w:r w:rsidR="00574094" w:rsidRPr="00066D5F">
        <w:rPr>
          <w:rFonts w:asciiTheme="majorHAnsi" w:hAnsiTheme="majorHAnsi"/>
        </w:rPr>
        <w:t>, azithromycin and PAS</w:t>
      </w:r>
      <w:r w:rsidR="00623713">
        <w:rPr>
          <w:rFonts w:asciiTheme="majorHAnsi" w:hAnsiTheme="majorHAnsi"/>
        </w:rPr>
        <w:t xml:space="preserve">. </w:t>
      </w:r>
      <w:proofErr w:type="spellStart"/>
      <w:r w:rsidR="00400754" w:rsidRPr="00066D5F">
        <w:rPr>
          <w:rFonts w:asciiTheme="majorHAnsi" w:hAnsiTheme="majorHAnsi"/>
        </w:rPr>
        <w:t>Bedaquiline</w:t>
      </w:r>
      <w:proofErr w:type="spellEnd"/>
      <w:r w:rsidR="00400754" w:rsidRPr="00066D5F">
        <w:rPr>
          <w:rFonts w:asciiTheme="majorHAnsi" w:hAnsiTheme="majorHAnsi"/>
        </w:rPr>
        <w:t xml:space="preserve"> was</w:t>
      </w:r>
      <w:r w:rsidR="00400754">
        <w:rPr>
          <w:rFonts w:asciiTheme="majorHAnsi" w:hAnsiTheme="majorHAnsi"/>
        </w:rPr>
        <w:t xml:space="preserve"> obtained</w:t>
      </w:r>
      <w:r w:rsidR="00400754" w:rsidRPr="00066D5F">
        <w:rPr>
          <w:rFonts w:asciiTheme="majorHAnsi" w:hAnsiTheme="majorHAnsi"/>
        </w:rPr>
        <w:t xml:space="preserve"> through a compassionate use programme</w:t>
      </w:r>
      <w:r w:rsidR="00400754">
        <w:rPr>
          <w:rFonts w:asciiTheme="majorHAnsi" w:hAnsiTheme="majorHAnsi"/>
        </w:rPr>
        <w:t xml:space="preserve"> and introduced at 400mg once daily for 2 weeks, followed by 200mg three times weekly. </w:t>
      </w:r>
      <w:r w:rsidR="00623713">
        <w:rPr>
          <w:rFonts w:asciiTheme="majorHAnsi" w:hAnsiTheme="majorHAnsi"/>
        </w:rPr>
        <w:t>Figure 1 illustrates progression of her regimen as resistance information became available</w:t>
      </w:r>
      <w:r w:rsidR="00CA145D">
        <w:rPr>
          <w:rFonts w:asciiTheme="majorHAnsi" w:hAnsiTheme="majorHAnsi"/>
        </w:rPr>
        <w:t xml:space="preserve"> and throughout the </w:t>
      </w:r>
      <w:r w:rsidR="00EC2C3E">
        <w:rPr>
          <w:rFonts w:asciiTheme="majorHAnsi" w:hAnsiTheme="majorHAnsi"/>
        </w:rPr>
        <w:t xml:space="preserve">remainder </w:t>
      </w:r>
      <w:r w:rsidR="00CA145D">
        <w:rPr>
          <w:rFonts w:asciiTheme="majorHAnsi" w:hAnsiTheme="majorHAnsi"/>
        </w:rPr>
        <w:lastRenderedPageBreak/>
        <w:t>of therapy</w:t>
      </w:r>
      <w:r w:rsidR="00623713">
        <w:rPr>
          <w:rFonts w:asciiTheme="majorHAnsi" w:hAnsiTheme="majorHAnsi"/>
        </w:rPr>
        <w:t xml:space="preserve">. </w:t>
      </w:r>
      <w:r w:rsidR="00A070A5" w:rsidRPr="00066D5F">
        <w:rPr>
          <w:rFonts w:asciiTheme="majorHAnsi" w:hAnsiTheme="majorHAnsi"/>
        </w:rPr>
        <w:t xml:space="preserve"> </w:t>
      </w:r>
      <w:r w:rsidR="00623713">
        <w:rPr>
          <w:rFonts w:asciiTheme="majorHAnsi" w:hAnsiTheme="majorHAnsi"/>
        </w:rPr>
        <w:t>Her</w:t>
      </w:r>
      <w:r w:rsidR="00A070A5" w:rsidRPr="00066D5F">
        <w:rPr>
          <w:rFonts w:asciiTheme="majorHAnsi" w:hAnsiTheme="majorHAnsi"/>
        </w:rPr>
        <w:t xml:space="preserve"> sputum </w:t>
      </w:r>
      <w:r w:rsidR="00623713">
        <w:rPr>
          <w:rFonts w:asciiTheme="majorHAnsi" w:hAnsiTheme="majorHAnsi"/>
        </w:rPr>
        <w:t xml:space="preserve">converted to </w:t>
      </w:r>
      <w:r w:rsidR="0099641B">
        <w:rPr>
          <w:rFonts w:asciiTheme="majorHAnsi" w:hAnsiTheme="majorHAnsi"/>
        </w:rPr>
        <w:t xml:space="preserve">smear and </w:t>
      </w:r>
      <w:r w:rsidR="00A070A5" w:rsidRPr="00066D5F">
        <w:rPr>
          <w:rFonts w:asciiTheme="majorHAnsi" w:hAnsiTheme="majorHAnsi"/>
        </w:rPr>
        <w:t xml:space="preserve">culture </w:t>
      </w:r>
      <w:r w:rsidR="00623713">
        <w:rPr>
          <w:rFonts w:asciiTheme="majorHAnsi" w:hAnsiTheme="majorHAnsi"/>
        </w:rPr>
        <w:t>negative</w:t>
      </w:r>
      <w:r w:rsidR="00A070A5" w:rsidRPr="00066D5F">
        <w:rPr>
          <w:rFonts w:asciiTheme="majorHAnsi" w:hAnsiTheme="majorHAnsi"/>
        </w:rPr>
        <w:t xml:space="preserve"> 24</w:t>
      </w:r>
      <w:r w:rsidR="000C33D3" w:rsidRPr="00066D5F">
        <w:rPr>
          <w:rFonts w:asciiTheme="majorHAnsi" w:hAnsiTheme="majorHAnsi"/>
        </w:rPr>
        <w:t xml:space="preserve"> days </w:t>
      </w:r>
      <w:r w:rsidR="00623713">
        <w:rPr>
          <w:rFonts w:asciiTheme="majorHAnsi" w:hAnsiTheme="majorHAnsi"/>
        </w:rPr>
        <w:t>after init</w:t>
      </w:r>
      <w:r w:rsidR="00400754">
        <w:rPr>
          <w:rFonts w:asciiTheme="majorHAnsi" w:hAnsiTheme="majorHAnsi"/>
        </w:rPr>
        <w:t>i</w:t>
      </w:r>
      <w:r w:rsidR="00623713">
        <w:rPr>
          <w:rFonts w:asciiTheme="majorHAnsi" w:hAnsiTheme="majorHAnsi"/>
        </w:rPr>
        <w:t xml:space="preserve">ation of the </w:t>
      </w:r>
      <w:proofErr w:type="spellStart"/>
      <w:r w:rsidR="00623713">
        <w:rPr>
          <w:rFonts w:asciiTheme="majorHAnsi" w:hAnsiTheme="majorHAnsi"/>
        </w:rPr>
        <w:t>bedaquiline</w:t>
      </w:r>
      <w:proofErr w:type="spellEnd"/>
      <w:r w:rsidR="00623713">
        <w:rPr>
          <w:rFonts w:asciiTheme="majorHAnsi" w:hAnsiTheme="majorHAnsi"/>
        </w:rPr>
        <w:t xml:space="preserve"> based regimen, and</w:t>
      </w:r>
      <w:r w:rsidR="000C33D3" w:rsidRPr="00066D5F">
        <w:rPr>
          <w:rFonts w:asciiTheme="majorHAnsi" w:hAnsiTheme="majorHAnsi"/>
        </w:rPr>
        <w:t xml:space="preserve"> 81 days after</w:t>
      </w:r>
      <w:r w:rsidR="00A070A5" w:rsidRPr="00066D5F">
        <w:rPr>
          <w:rFonts w:asciiTheme="majorHAnsi" w:hAnsiTheme="majorHAnsi"/>
        </w:rPr>
        <w:t xml:space="preserve"> starting first-line treatment.</w:t>
      </w:r>
      <w:r w:rsidR="0019522E">
        <w:rPr>
          <w:rFonts w:asciiTheme="majorHAnsi" w:hAnsiTheme="majorHAnsi"/>
        </w:rPr>
        <w:t xml:space="preserve"> </w:t>
      </w:r>
    </w:p>
    <w:p w14:paraId="00A087E0" w14:textId="77777777" w:rsidR="00400754" w:rsidRDefault="00400754" w:rsidP="004228C2">
      <w:pPr>
        <w:spacing w:line="480" w:lineRule="auto"/>
        <w:rPr>
          <w:rFonts w:asciiTheme="majorHAnsi" w:hAnsiTheme="majorHAnsi"/>
        </w:rPr>
      </w:pPr>
    </w:p>
    <w:p w14:paraId="0678B21A" w14:textId="7945B6E1" w:rsidR="00B14D15" w:rsidRDefault="006341D3" w:rsidP="004228C2">
      <w:pPr>
        <w:spacing w:line="480" w:lineRule="auto"/>
        <w:rPr>
          <w:rFonts w:asciiTheme="majorHAnsi" w:hAnsiTheme="majorHAnsi"/>
        </w:rPr>
      </w:pPr>
      <w:r>
        <w:rPr>
          <w:rFonts w:asciiTheme="majorHAnsi" w:hAnsiTheme="majorHAnsi"/>
        </w:rPr>
        <w:t>S</w:t>
      </w:r>
      <w:r w:rsidR="00623713">
        <w:rPr>
          <w:rFonts w:asciiTheme="majorHAnsi" w:hAnsiTheme="majorHAnsi"/>
        </w:rPr>
        <w:t>he successfully completed</w:t>
      </w:r>
      <w:r w:rsidR="00400754">
        <w:rPr>
          <w:rFonts w:asciiTheme="majorHAnsi" w:hAnsiTheme="majorHAnsi"/>
        </w:rPr>
        <w:t xml:space="preserve"> her</w:t>
      </w:r>
      <w:r w:rsidR="00623713">
        <w:rPr>
          <w:rFonts w:asciiTheme="majorHAnsi" w:hAnsiTheme="majorHAnsi"/>
        </w:rPr>
        <w:t xml:space="preserve"> initial sup</w:t>
      </w:r>
      <w:r w:rsidR="00400754">
        <w:rPr>
          <w:rFonts w:asciiTheme="majorHAnsi" w:hAnsiTheme="majorHAnsi"/>
        </w:rPr>
        <w:t xml:space="preserve">ply of </w:t>
      </w:r>
      <w:proofErr w:type="spellStart"/>
      <w:r w:rsidR="00400754">
        <w:rPr>
          <w:rFonts w:asciiTheme="majorHAnsi" w:hAnsiTheme="majorHAnsi"/>
        </w:rPr>
        <w:t>bedaquiline</w:t>
      </w:r>
      <w:proofErr w:type="spellEnd"/>
      <w:r w:rsidR="00623713">
        <w:rPr>
          <w:rFonts w:asciiTheme="majorHAnsi" w:hAnsiTheme="majorHAnsi"/>
        </w:rPr>
        <w:t xml:space="preserve">. </w:t>
      </w:r>
      <w:r w:rsidR="00A438E5">
        <w:rPr>
          <w:rFonts w:asciiTheme="majorHAnsi" w:hAnsiTheme="majorHAnsi"/>
        </w:rPr>
        <w:t>Between</w:t>
      </w:r>
      <w:r w:rsidR="00CB13DC" w:rsidRPr="00066D5F">
        <w:rPr>
          <w:rFonts w:asciiTheme="majorHAnsi" w:hAnsiTheme="majorHAnsi"/>
        </w:rPr>
        <w:t xml:space="preserve"> </w:t>
      </w:r>
      <w:r w:rsidR="00A070A5" w:rsidRPr="00066D5F">
        <w:rPr>
          <w:rFonts w:asciiTheme="majorHAnsi" w:hAnsiTheme="majorHAnsi"/>
        </w:rPr>
        <w:t>week 32</w:t>
      </w:r>
      <w:r w:rsidR="00A438E5">
        <w:rPr>
          <w:rFonts w:asciiTheme="majorHAnsi" w:hAnsiTheme="majorHAnsi"/>
        </w:rPr>
        <w:t xml:space="preserve"> and 34</w:t>
      </w:r>
      <w:r w:rsidR="00A070A5" w:rsidRPr="00066D5F">
        <w:rPr>
          <w:rFonts w:asciiTheme="majorHAnsi" w:hAnsiTheme="majorHAnsi"/>
        </w:rPr>
        <w:t xml:space="preserve">, </w:t>
      </w:r>
      <w:r w:rsidR="00623713">
        <w:rPr>
          <w:rFonts w:asciiTheme="majorHAnsi" w:hAnsiTheme="majorHAnsi"/>
        </w:rPr>
        <w:t>she developed painful</w:t>
      </w:r>
      <w:r w:rsidR="00CA145D">
        <w:rPr>
          <w:rFonts w:asciiTheme="majorHAnsi" w:hAnsiTheme="majorHAnsi"/>
        </w:rPr>
        <w:t xml:space="preserve"> peripheral neuropathy,</w:t>
      </w:r>
      <w:r w:rsidR="00623713">
        <w:rPr>
          <w:rFonts w:asciiTheme="majorHAnsi" w:hAnsiTheme="majorHAnsi"/>
        </w:rPr>
        <w:t xml:space="preserve"> confirmed </w:t>
      </w:r>
      <w:r w:rsidR="00400754">
        <w:rPr>
          <w:rFonts w:asciiTheme="majorHAnsi" w:hAnsiTheme="majorHAnsi"/>
        </w:rPr>
        <w:t xml:space="preserve">on </w:t>
      </w:r>
      <w:r w:rsidR="006E2306">
        <w:rPr>
          <w:rFonts w:asciiTheme="majorHAnsi" w:hAnsiTheme="majorHAnsi"/>
        </w:rPr>
        <w:t>n</w:t>
      </w:r>
      <w:r w:rsidR="00400754">
        <w:rPr>
          <w:rFonts w:asciiTheme="majorHAnsi" w:hAnsiTheme="majorHAnsi"/>
        </w:rPr>
        <w:t xml:space="preserve">erve </w:t>
      </w:r>
      <w:r w:rsidR="006E2306">
        <w:rPr>
          <w:rFonts w:asciiTheme="majorHAnsi" w:hAnsiTheme="majorHAnsi"/>
        </w:rPr>
        <w:t>c</w:t>
      </w:r>
      <w:r w:rsidR="00400754">
        <w:rPr>
          <w:rFonts w:asciiTheme="majorHAnsi" w:hAnsiTheme="majorHAnsi"/>
        </w:rPr>
        <w:t xml:space="preserve">onduction </w:t>
      </w:r>
      <w:r w:rsidR="006E2306">
        <w:rPr>
          <w:rFonts w:asciiTheme="majorHAnsi" w:hAnsiTheme="majorHAnsi"/>
        </w:rPr>
        <w:t>s</w:t>
      </w:r>
      <w:r w:rsidR="00400754">
        <w:rPr>
          <w:rFonts w:asciiTheme="majorHAnsi" w:hAnsiTheme="majorHAnsi"/>
        </w:rPr>
        <w:t>tudies, which prompted</w:t>
      </w:r>
      <w:r w:rsidR="00A438E5">
        <w:rPr>
          <w:rFonts w:asciiTheme="majorHAnsi" w:hAnsiTheme="majorHAnsi"/>
        </w:rPr>
        <w:t xml:space="preserve"> discontinuation of </w:t>
      </w:r>
      <w:r w:rsidR="00A070A5" w:rsidRPr="00066D5F">
        <w:rPr>
          <w:rFonts w:asciiTheme="majorHAnsi" w:hAnsiTheme="majorHAnsi"/>
        </w:rPr>
        <w:t xml:space="preserve">linezolid </w:t>
      </w:r>
      <w:r w:rsidR="00A438E5">
        <w:rPr>
          <w:rFonts w:asciiTheme="majorHAnsi" w:hAnsiTheme="majorHAnsi"/>
        </w:rPr>
        <w:t xml:space="preserve">and </w:t>
      </w:r>
      <w:proofErr w:type="spellStart"/>
      <w:r w:rsidR="00A438E5">
        <w:rPr>
          <w:rFonts w:asciiTheme="majorHAnsi" w:hAnsiTheme="majorHAnsi"/>
        </w:rPr>
        <w:t>cycloserine</w:t>
      </w:r>
      <w:proofErr w:type="spellEnd"/>
      <w:r w:rsidR="00A070A5" w:rsidRPr="00066D5F">
        <w:rPr>
          <w:rFonts w:asciiTheme="majorHAnsi" w:hAnsiTheme="majorHAnsi"/>
        </w:rPr>
        <w:t xml:space="preserve">. </w:t>
      </w:r>
      <w:r w:rsidR="00A438E5">
        <w:rPr>
          <w:rFonts w:asciiTheme="majorHAnsi" w:hAnsiTheme="majorHAnsi"/>
        </w:rPr>
        <w:t xml:space="preserve">After discussion with </w:t>
      </w:r>
      <w:r w:rsidR="00317D97">
        <w:rPr>
          <w:rFonts w:asciiTheme="majorHAnsi" w:hAnsiTheme="majorHAnsi"/>
        </w:rPr>
        <w:t>the British Thoracic Society MDR-TB advisory pa</w:t>
      </w:r>
      <w:r w:rsidR="00CA145D">
        <w:rPr>
          <w:rFonts w:asciiTheme="majorHAnsi" w:hAnsiTheme="majorHAnsi"/>
        </w:rPr>
        <w:t>nel and international experts, her</w:t>
      </w:r>
      <w:r w:rsidR="00400754">
        <w:rPr>
          <w:rFonts w:asciiTheme="majorHAnsi" w:hAnsiTheme="majorHAnsi"/>
        </w:rPr>
        <w:t xml:space="preserve"> remaining regimen was deemed</w:t>
      </w:r>
      <w:r w:rsidR="00317D97">
        <w:rPr>
          <w:rFonts w:asciiTheme="majorHAnsi" w:hAnsiTheme="majorHAnsi"/>
        </w:rPr>
        <w:t xml:space="preserve"> </w:t>
      </w:r>
      <w:r w:rsidR="00400754">
        <w:rPr>
          <w:rFonts w:asciiTheme="majorHAnsi" w:hAnsiTheme="majorHAnsi"/>
        </w:rPr>
        <w:t xml:space="preserve">inadequate and her </w:t>
      </w:r>
      <w:r w:rsidR="00257693">
        <w:rPr>
          <w:rFonts w:asciiTheme="majorHAnsi" w:hAnsiTheme="majorHAnsi"/>
        </w:rPr>
        <w:t xml:space="preserve">bilateral </w:t>
      </w:r>
      <w:r w:rsidR="00400754">
        <w:rPr>
          <w:rFonts w:asciiTheme="majorHAnsi" w:hAnsiTheme="majorHAnsi"/>
        </w:rPr>
        <w:t xml:space="preserve">pulmonary </w:t>
      </w:r>
      <w:r w:rsidR="00257693">
        <w:rPr>
          <w:rFonts w:asciiTheme="majorHAnsi" w:hAnsiTheme="majorHAnsi"/>
        </w:rPr>
        <w:t>disease excluded surgical management</w:t>
      </w:r>
      <w:r w:rsidR="00317D97">
        <w:rPr>
          <w:rFonts w:asciiTheme="majorHAnsi" w:hAnsiTheme="majorHAnsi"/>
        </w:rPr>
        <w:t xml:space="preserve">. </w:t>
      </w:r>
      <w:r w:rsidR="00A438E5">
        <w:rPr>
          <w:rFonts w:asciiTheme="majorHAnsi" w:hAnsiTheme="majorHAnsi"/>
        </w:rPr>
        <w:t xml:space="preserve"> </w:t>
      </w:r>
      <w:r w:rsidR="00065B29">
        <w:rPr>
          <w:rFonts w:asciiTheme="majorHAnsi" w:hAnsiTheme="majorHAnsi"/>
        </w:rPr>
        <w:t xml:space="preserve">Therefore </w:t>
      </w:r>
      <w:proofErr w:type="spellStart"/>
      <w:r w:rsidR="00383B0F">
        <w:rPr>
          <w:rFonts w:asciiTheme="majorHAnsi" w:hAnsiTheme="majorHAnsi"/>
        </w:rPr>
        <w:t>c</w:t>
      </w:r>
      <w:r w:rsidR="00A070A5" w:rsidRPr="00066D5F">
        <w:rPr>
          <w:rFonts w:asciiTheme="majorHAnsi" w:hAnsiTheme="majorHAnsi"/>
        </w:rPr>
        <w:t>lofazamine</w:t>
      </w:r>
      <w:proofErr w:type="spellEnd"/>
      <w:r w:rsidR="00A070A5" w:rsidRPr="00066D5F">
        <w:rPr>
          <w:rFonts w:asciiTheme="majorHAnsi" w:hAnsiTheme="majorHAnsi"/>
        </w:rPr>
        <w:t xml:space="preserve"> was </w:t>
      </w:r>
      <w:r w:rsidR="00F37681">
        <w:rPr>
          <w:rFonts w:asciiTheme="majorHAnsi" w:hAnsiTheme="majorHAnsi"/>
        </w:rPr>
        <w:t>introduced</w:t>
      </w:r>
      <w:r w:rsidR="00257693">
        <w:rPr>
          <w:rFonts w:asciiTheme="majorHAnsi" w:hAnsiTheme="majorHAnsi"/>
        </w:rPr>
        <w:t xml:space="preserve"> </w:t>
      </w:r>
      <w:r w:rsidR="00CA145D">
        <w:rPr>
          <w:rFonts w:asciiTheme="majorHAnsi" w:hAnsiTheme="majorHAnsi"/>
        </w:rPr>
        <w:t xml:space="preserve">at week </w:t>
      </w:r>
      <w:r w:rsidR="00FF5F5F">
        <w:rPr>
          <w:rFonts w:asciiTheme="majorHAnsi" w:hAnsiTheme="majorHAnsi"/>
        </w:rPr>
        <w:t xml:space="preserve">32 </w:t>
      </w:r>
      <w:r w:rsidR="00257693">
        <w:rPr>
          <w:rFonts w:asciiTheme="majorHAnsi" w:hAnsiTheme="majorHAnsi"/>
        </w:rPr>
        <w:t xml:space="preserve">and </w:t>
      </w:r>
      <w:proofErr w:type="spellStart"/>
      <w:r w:rsidR="00257693">
        <w:rPr>
          <w:rFonts w:asciiTheme="majorHAnsi" w:hAnsiTheme="majorHAnsi"/>
        </w:rPr>
        <w:t>bedaquiline</w:t>
      </w:r>
      <w:proofErr w:type="spellEnd"/>
      <w:r w:rsidR="00257693">
        <w:rPr>
          <w:rFonts w:asciiTheme="majorHAnsi" w:hAnsiTheme="majorHAnsi"/>
        </w:rPr>
        <w:t xml:space="preserve"> was restarted</w:t>
      </w:r>
      <w:r w:rsidR="00CA145D">
        <w:rPr>
          <w:rFonts w:asciiTheme="majorHAnsi" w:hAnsiTheme="majorHAnsi"/>
        </w:rPr>
        <w:t>, at a dose of 200mg thrice weekly,</w:t>
      </w:r>
      <w:r w:rsidR="00257693">
        <w:rPr>
          <w:rFonts w:asciiTheme="majorHAnsi" w:hAnsiTheme="majorHAnsi"/>
        </w:rPr>
        <w:t xml:space="preserve"> </w:t>
      </w:r>
      <w:r w:rsidR="00CA145D">
        <w:rPr>
          <w:rFonts w:asciiTheme="majorHAnsi" w:hAnsiTheme="majorHAnsi"/>
        </w:rPr>
        <w:t xml:space="preserve">at week </w:t>
      </w:r>
      <w:r w:rsidR="00FF5F5F">
        <w:rPr>
          <w:rFonts w:asciiTheme="majorHAnsi" w:hAnsiTheme="majorHAnsi"/>
        </w:rPr>
        <w:t>38</w:t>
      </w:r>
      <w:r w:rsidR="00CA145D">
        <w:rPr>
          <w:rFonts w:asciiTheme="majorHAnsi" w:hAnsiTheme="majorHAnsi"/>
        </w:rPr>
        <w:t>.</w:t>
      </w:r>
    </w:p>
    <w:p w14:paraId="7BFE49C2" w14:textId="77777777" w:rsidR="0096713E" w:rsidRDefault="0096713E" w:rsidP="004228C2">
      <w:pPr>
        <w:spacing w:line="480" w:lineRule="auto"/>
        <w:rPr>
          <w:rFonts w:asciiTheme="majorHAnsi" w:hAnsiTheme="majorHAnsi"/>
        </w:rPr>
      </w:pPr>
    </w:p>
    <w:p w14:paraId="42CAC0DC" w14:textId="3A89BD8E" w:rsidR="0096713E" w:rsidRDefault="0096713E" w:rsidP="00065B29">
      <w:pPr>
        <w:spacing w:line="480" w:lineRule="auto"/>
        <w:rPr>
          <w:rFonts w:asciiTheme="majorHAnsi" w:hAnsiTheme="majorHAnsi"/>
        </w:rPr>
      </w:pPr>
      <w:r>
        <w:rPr>
          <w:rFonts w:asciiTheme="majorHAnsi" w:hAnsiTheme="majorHAnsi"/>
        </w:rPr>
        <w:t xml:space="preserve">Electrocardiograms </w:t>
      </w:r>
      <w:r w:rsidR="00CA145D">
        <w:rPr>
          <w:rFonts w:asciiTheme="majorHAnsi" w:hAnsiTheme="majorHAnsi"/>
        </w:rPr>
        <w:t xml:space="preserve">(ECGs) </w:t>
      </w:r>
      <w:r w:rsidR="00400754">
        <w:rPr>
          <w:rFonts w:asciiTheme="majorHAnsi" w:hAnsiTheme="majorHAnsi"/>
        </w:rPr>
        <w:t xml:space="preserve">were reviewed </w:t>
      </w:r>
      <w:r w:rsidR="005A0760">
        <w:rPr>
          <w:rFonts w:asciiTheme="majorHAnsi" w:hAnsiTheme="majorHAnsi"/>
        </w:rPr>
        <w:t xml:space="preserve">by a consultant cardiologist </w:t>
      </w:r>
      <w:r w:rsidR="00400754">
        <w:rPr>
          <w:rFonts w:asciiTheme="majorHAnsi" w:hAnsiTheme="majorHAnsi"/>
        </w:rPr>
        <w:t>regularly during</w:t>
      </w:r>
      <w:r>
        <w:rPr>
          <w:rFonts w:asciiTheme="majorHAnsi" w:hAnsiTheme="majorHAnsi"/>
        </w:rPr>
        <w:t xml:space="preserve"> </w:t>
      </w:r>
      <w:proofErr w:type="spellStart"/>
      <w:r>
        <w:rPr>
          <w:rFonts w:asciiTheme="majorHAnsi" w:hAnsiTheme="majorHAnsi"/>
        </w:rPr>
        <w:t>bedaquiline</w:t>
      </w:r>
      <w:proofErr w:type="spellEnd"/>
      <w:r>
        <w:rPr>
          <w:rFonts w:asciiTheme="majorHAnsi" w:hAnsiTheme="majorHAnsi"/>
        </w:rPr>
        <w:t xml:space="preserve"> administrat</w:t>
      </w:r>
      <w:r w:rsidR="00400754">
        <w:rPr>
          <w:rFonts w:asciiTheme="majorHAnsi" w:hAnsiTheme="majorHAnsi"/>
        </w:rPr>
        <w:t>ion</w:t>
      </w:r>
      <w:r w:rsidR="00450510">
        <w:rPr>
          <w:rFonts w:asciiTheme="majorHAnsi" w:hAnsiTheme="majorHAnsi"/>
        </w:rPr>
        <w:t xml:space="preserve">. </w:t>
      </w:r>
      <w:r w:rsidR="00065B29">
        <w:rPr>
          <w:rFonts w:asciiTheme="majorHAnsi" w:hAnsiTheme="majorHAnsi"/>
        </w:rPr>
        <w:t xml:space="preserve">Figure 1 shows </w:t>
      </w:r>
      <w:r w:rsidR="00364831">
        <w:rPr>
          <w:rFonts w:asciiTheme="majorHAnsi" w:hAnsiTheme="majorHAnsi"/>
        </w:rPr>
        <w:t>c</w:t>
      </w:r>
      <w:r>
        <w:rPr>
          <w:rFonts w:asciiTheme="majorHAnsi" w:hAnsiTheme="majorHAnsi"/>
        </w:rPr>
        <w:t xml:space="preserve">hanges to the </w:t>
      </w:r>
      <w:proofErr w:type="spellStart"/>
      <w:r>
        <w:rPr>
          <w:rFonts w:asciiTheme="majorHAnsi" w:hAnsiTheme="majorHAnsi"/>
        </w:rPr>
        <w:t>QTc</w:t>
      </w:r>
      <w:proofErr w:type="spellEnd"/>
      <w:r>
        <w:rPr>
          <w:rFonts w:asciiTheme="majorHAnsi" w:hAnsiTheme="majorHAnsi"/>
        </w:rPr>
        <w:t xml:space="preserve"> interval</w:t>
      </w:r>
      <w:r w:rsidR="00400754">
        <w:rPr>
          <w:rFonts w:asciiTheme="majorHAnsi" w:hAnsiTheme="majorHAnsi"/>
        </w:rPr>
        <w:t xml:space="preserve"> over time</w:t>
      </w:r>
      <w:r>
        <w:rPr>
          <w:rFonts w:asciiTheme="majorHAnsi" w:hAnsiTheme="majorHAnsi"/>
        </w:rPr>
        <w:t xml:space="preserve">. </w:t>
      </w:r>
      <w:r w:rsidR="0099641B">
        <w:rPr>
          <w:rFonts w:asciiTheme="majorHAnsi" w:hAnsiTheme="majorHAnsi"/>
        </w:rPr>
        <w:t>Initially, whilst the patient was admitted to hospital, ECGs were performed weekly, then less frequently (weekly, bi-weekly or monthly as directed by the cardiologist) once she was discharged; however, there were occasional periods where, due to financial or transportation problems, the patient failed to attend for ECG appointment, which is reflected in occasional periods of several weeks between ECGs in figure 1</w:t>
      </w:r>
      <w:r w:rsidR="009C04C5">
        <w:rPr>
          <w:rFonts w:asciiTheme="majorHAnsi" w:hAnsiTheme="majorHAnsi"/>
        </w:rPr>
        <w:t>.</w:t>
      </w:r>
      <w:r w:rsidR="0099641B">
        <w:rPr>
          <w:rFonts w:asciiTheme="majorHAnsi" w:hAnsiTheme="majorHAnsi"/>
        </w:rPr>
        <w:t xml:space="preserve">  </w:t>
      </w:r>
      <w:r>
        <w:rPr>
          <w:rFonts w:asciiTheme="majorHAnsi" w:hAnsiTheme="majorHAnsi"/>
        </w:rPr>
        <w:t xml:space="preserve">From a </w:t>
      </w:r>
      <w:r w:rsidR="00CA145D">
        <w:rPr>
          <w:rFonts w:asciiTheme="majorHAnsi" w:hAnsiTheme="majorHAnsi"/>
        </w:rPr>
        <w:t xml:space="preserve">pre-treatment baseline of 411ms, the </w:t>
      </w:r>
      <w:proofErr w:type="spellStart"/>
      <w:r w:rsidR="00CA145D">
        <w:rPr>
          <w:rFonts w:asciiTheme="majorHAnsi" w:hAnsiTheme="majorHAnsi"/>
        </w:rPr>
        <w:t>QTc</w:t>
      </w:r>
      <w:proofErr w:type="spellEnd"/>
      <w:r w:rsidR="00CA145D">
        <w:rPr>
          <w:rFonts w:asciiTheme="majorHAnsi" w:hAnsiTheme="majorHAnsi"/>
        </w:rPr>
        <w:t xml:space="preserve"> increased to 465ms at week 10, be</w:t>
      </w:r>
      <w:r w:rsidR="00400754">
        <w:rPr>
          <w:rFonts w:asciiTheme="majorHAnsi" w:hAnsiTheme="majorHAnsi"/>
        </w:rPr>
        <w:t xml:space="preserve">fore settling to a median </w:t>
      </w:r>
      <w:r w:rsidR="00CA145D">
        <w:rPr>
          <w:rFonts w:asciiTheme="majorHAnsi" w:hAnsiTheme="majorHAnsi"/>
        </w:rPr>
        <w:t xml:space="preserve">of </w:t>
      </w:r>
      <w:r w:rsidR="006341D3">
        <w:rPr>
          <w:rFonts w:asciiTheme="majorHAnsi" w:hAnsiTheme="majorHAnsi"/>
        </w:rPr>
        <w:t>4</w:t>
      </w:r>
      <w:r w:rsidR="00B14D15">
        <w:rPr>
          <w:rFonts w:asciiTheme="majorHAnsi" w:hAnsiTheme="majorHAnsi"/>
        </w:rPr>
        <w:t>25</w:t>
      </w:r>
      <w:r w:rsidR="00CA145D">
        <w:rPr>
          <w:rFonts w:asciiTheme="majorHAnsi" w:hAnsiTheme="majorHAnsi"/>
        </w:rPr>
        <w:t>ms</w:t>
      </w:r>
      <w:r w:rsidR="00400754">
        <w:rPr>
          <w:rFonts w:asciiTheme="majorHAnsi" w:hAnsiTheme="majorHAnsi"/>
        </w:rPr>
        <w:t xml:space="preserve"> between week 12 and </w:t>
      </w:r>
      <w:r w:rsidR="00CA145D">
        <w:rPr>
          <w:rFonts w:asciiTheme="majorHAnsi" w:hAnsiTheme="majorHAnsi"/>
        </w:rPr>
        <w:t xml:space="preserve">40. There was a steep rise in </w:t>
      </w:r>
      <w:proofErr w:type="spellStart"/>
      <w:r w:rsidR="00CA145D">
        <w:rPr>
          <w:rFonts w:asciiTheme="majorHAnsi" w:hAnsiTheme="majorHAnsi"/>
        </w:rPr>
        <w:t>QTc</w:t>
      </w:r>
      <w:proofErr w:type="spellEnd"/>
      <w:r w:rsidR="00CA145D">
        <w:rPr>
          <w:rFonts w:asciiTheme="majorHAnsi" w:hAnsiTheme="majorHAnsi"/>
        </w:rPr>
        <w:t xml:space="preserve"> after week 40 </w:t>
      </w:r>
      <w:r w:rsidR="00400754">
        <w:rPr>
          <w:rFonts w:asciiTheme="majorHAnsi" w:hAnsiTheme="majorHAnsi"/>
        </w:rPr>
        <w:t>(during</w:t>
      </w:r>
      <w:r w:rsidR="00CA145D">
        <w:rPr>
          <w:rFonts w:asciiTheme="majorHAnsi" w:hAnsiTheme="majorHAnsi"/>
        </w:rPr>
        <w:t xml:space="preserve"> </w:t>
      </w:r>
      <w:proofErr w:type="spellStart"/>
      <w:r w:rsidR="00CA145D">
        <w:rPr>
          <w:rFonts w:asciiTheme="majorHAnsi" w:hAnsiTheme="majorHAnsi"/>
        </w:rPr>
        <w:t>bedaquiline</w:t>
      </w:r>
      <w:proofErr w:type="spellEnd"/>
      <w:r w:rsidR="00CA145D">
        <w:rPr>
          <w:rFonts w:asciiTheme="majorHAnsi" w:hAnsiTheme="majorHAnsi"/>
        </w:rPr>
        <w:t xml:space="preserve">, </w:t>
      </w:r>
      <w:proofErr w:type="spellStart"/>
      <w:r w:rsidR="00CA145D">
        <w:rPr>
          <w:rFonts w:asciiTheme="majorHAnsi" w:hAnsiTheme="majorHAnsi"/>
        </w:rPr>
        <w:t>clofazimine</w:t>
      </w:r>
      <w:proofErr w:type="spellEnd"/>
      <w:r w:rsidR="00CA145D">
        <w:rPr>
          <w:rFonts w:asciiTheme="majorHAnsi" w:hAnsiTheme="majorHAnsi"/>
        </w:rPr>
        <w:t xml:space="preserve"> and azithromycin </w:t>
      </w:r>
      <w:r w:rsidR="00400754">
        <w:rPr>
          <w:rFonts w:asciiTheme="majorHAnsi" w:hAnsiTheme="majorHAnsi"/>
        </w:rPr>
        <w:t>co-administration</w:t>
      </w:r>
      <w:r w:rsidR="00FF5F5F">
        <w:rPr>
          <w:rFonts w:asciiTheme="majorHAnsi" w:hAnsiTheme="majorHAnsi"/>
        </w:rPr>
        <w:t xml:space="preserve">). Azithromycin was stopped at week 62, </w:t>
      </w:r>
      <w:proofErr w:type="spellStart"/>
      <w:r w:rsidR="00FF5F5F">
        <w:rPr>
          <w:rFonts w:asciiTheme="majorHAnsi" w:hAnsiTheme="majorHAnsi"/>
        </w:rPr>
        <w:t>QTc</w:t>
      </w:r>
      <w:proofErr w:type="spellEnd"/>
      <w:r w:rsidR="00FF5F5F">
        <w:rPr>
          <w:rFonts w:asciiTheme="majorHAnsi" w:hAnsiTheme="majorHAnsi"/>
        </w:rPr>
        <w:t xml:space="preserve"> peaked </w:t>
      </w:r>
      <w:r w:rsidR="00FF5F5F">
        <w:rPr>
          <w:rFonts w:asciiTheme="majorHAnsi" w:hAnsiTheme="majorHAnsi"/>
        </w:rPr>
        <w:lastRenderedPageBreak/>
        <w:t xml:space="preserve">at 495ms in week 68 and the median </w:t>
      </w:r>
      <w:proofErr w:type="spellStart"/>
      <w:r w:rsidR="00FF5F5F">
        <w:rPr>
          <w:rFonts w:asciiTheme="majorHAnsi" w:hAnsiTheme="majorHAnsi"/>
        </w:rPr>
        <w:t>QTc</w:t>
      </w:r>
      <w:proofErr w:type="spellEnd"/>
      <w:r w:rsidR="00FF5F5F">
        <w:rPr>
          <w:rFonts w:asciiTheme="majorHAnsi" w:hAnsiTheme="majorHAnsi"/>
        </w:rPr>
        <w:t xml:space="preserve"> from week 40 until end of therapy was </w:t>
      </w:r>
      <w:r w:rsidR="002C4068">
        <w:rPr>
          <w:rFonts w:asciiTheme="majorHAnsi" w:hAnsiTheme="majorHAnsi"/>
        </w:rPr>
        <w:t>472</w:t>
      </w:r>
      <w:r w:rsidR="00FF5F5F">
        <w:rPr>
          <w:rFonts w:asciiTheme="majorHAnsi" w:hAnsiTheme="majorHAnsi"/>
        </w:rPr>
        <w:t>ms. Serum potassium, magnesium and corrected calcium concentrations</w:t>
      </w:r>
      <w:r w:rsidR="00EC2C3E">
        <w:rPr>
          <w:rFonts w:asciiTheme="majorHAnsi" w:hAnsiTheme="majorHAnsi"/>
        </w:rPr>
        <w:t xml:space="preserve"> were always within normal limits and care was taken to avoid </w:t>
      </w:r>
      <w:proofErr w:type="spellStart"/>
      <w:r w:rsidR="00EC2C3E">
        <w:rPr>
          <w:rFonts w:asciiTheme="majorHAnsi" w:hAnsiTheme="majorHAnsi"/>
        </w:rPr>
        <w:t>QTc</w:t>
      </w:r>
      <w:proofErr w:type="spellEnd"/>
      <w:r w:rsidR="00EC2C3E">
        <w:rPr>
          <w:rFonts w:asciiTheme="majorHAnsi" w:hAnsiTheme="majorHAnsi"/>
        </w:rPr>
        <w:t xml:space="preserve"> prolonging agents other than those required for TB therapy. </w:t>
      </w:r>
      <w:r w:rsidR="00B14D15">
        <w:rPr>
          <w:rFonts w:asciiTheme="majorHAnsi" w:hAnsiTheme="majorHAnsi"/>
        </w:rPr>
        <w:t xml:space="preserve">T-wave inversion in the ECG anterior leads was also noted, though cardiac troponins were normal and the patient reported no </w:t>
      </w:r>
      <w:r w:rsidR="00EE6ACF">
        <w:rPr>
          <w:rFonts w:asciiTheme="majorHAnsi" w:hAnsiTheme="majorHAnsi"/>
        </w:rPr>
        <w:t>cardiac symptoms</w:t>
      </w:r>
      <w:r w:rsidR="00B14D15">
        <w:rPr>
          <w:rFonts w:asciiTheme="majorHAnsi" w:hAnsiTheme="majorHAnsi"/>
        </w:rPr>
        <w:t xml:space="preserve">. </w:t>
      </w:r>
      <w:r w:rsidR="00EC2C3E">
        <w:rPr>
          <w:rFonts w:asciiTheme="majorHAnsi" w:hAnsiTheme="majorHAnsi"/>
        </w:rPr>
        <w:t>No cardiac arrhythmias or other adverse clinical events were reported.</w:t>
      </w:r>
    </w:p>
    <w:p w14:paraId="08E45A07" w14:textId="77777777" w:rsidR="00B14D15" w:rsidRDefault="00B14D15" w:rsidP="004228C2">
      <w:pPr>
        <w:spacing w:line="480" w:lineRule="auto"/>
        <w:rPr>
          <w:rFonts w:asciiTheme="majorHAnsi" w:hAnsiTheme="majorHAnsi"/>
        </w:rPr>
      </w:pPr>
    </w:p>
    <w:p w14:paraId="4422EAE8" w14:textId="0FEECF05" w:rsidR="00342CA3" w:rsidRDefault="000568AE" w:rsidP="004E19AD">
      <w:pPr>
        <w:spacing w:line="480" w:lineRule="auto"/>
        <w:rPr>
          <w:rFonts w:asciiTheme="majorHAnsi" w:hAnsiTheme="majorHAnsi"/>
          <w:b/>
        </w:rPr>
      </w:pPr>
      <w:proofErr w:type="spellStart"/>
      <w:r>
        <w:rPr>
          <w:rFonts w:asciiTheme="majorHAnsi" w:hAnsiTheme="majorHAnsi"/>
        </w:rPr>
        <w:t>Bedaquiline</w:t>
      </w:r>
      <w:proofErr w:type="spellEnd"/>
      <w:r>
        <w:rPr>
          <w:rFonts w:asciiTheme="majorHAnsi" w:hAnsiTheme="majorHAnsi"/>
        </w:rPr>
        <w:t xml:space="preserve"> t</w:t>
      </w:r>
      <w:r w:rsidR="00EC2C3E">
        <w:rPr>
          <w:rFonts w:asciiTheme="majorHAnsi" w:hAnsiTheme="majorHAnsi"/>
        </w:rPr>
        <w:t xml:space="preserve">reatment was continued for a total of 72 weeks (18 months). With no recurrence of </w:t>
      </w:r>
      <w:r w:rsidR="00400754">
        <w:rPr>
          <w:rFonts w:asciiTheme="majorHAnsi" w:hAnsiTheme="majorHAnsi"/>
        </w:rPr>
        <w:t xml:space="preserve">sputum </w:t>
      </w:r>
      <w:r w:rsidR="00EC2C3E">
        <w:rPr>
          <w:rFonts w:asciiTheme="majorHAnsi" w:hAnsiTheme="majorHAnsi"/>
        </w:rPr>
        <w:t>smear or culture positivity, gradual weight gain and resolution of active inflammatory change</w:t>
      </w:r>
      <w:r w:rsidR="00400754">
        <w:rPr>
          <w:rFonts w:asciiTheme="majorHAnsi" w:hAnsiTheme="majorHAnsi"/>
        </w:rPr>
        <w:t>s</w:t>
      </w:r>
      <w:r w:rsidR="00EC2C3E">
        <w:rPr>
          <w:rFonts w:asciiTheme="majorHAnsi" w:hAnsiTheme="majorHAnsi"/>
        </w:rPr>
        <w:t xml:space="preserve"> on serial CT scans the patient is now regarded as cured.</w:t>
      </w:r>
      <w:r w:rsidR="00D57F15">
        <w:rPr>
          <w:rFonts w:asciiTheme="majorHAnsi" w:hAnsiTheme="majorHAnsi"/>
        </w:rPr>
        <w:t xml:space="preserve"> Post-treatment follow-up will continue to ensure there is no relapse.</w:t>
      </w:r>
    </w:p>
    <w:p w14:paraId="0A9A96D5" w14:textId="77777777" w:rsidR="00342CA3" w:rsidRDefault="00342CA3" w:rsidP="00317D97">
      <w:pPr>
        <w:spacing w:line="480" w:lineRule="auto"/>
        <w:outlineLvl w:val="0"/>
        <w:rPr>
          <w:rFonts w:asciiTheme="majorHAnsi" w:hAnsiTheme="majorHAnsi"/>
          <w:b/>
        </w:rPr>
      </w:pPr>
    </w:p>
    <w:p w14:paraId="4B584A48" w14:textId="7897720B" w:rsidR="00DA667E" w:rsidRDefault="005B69C2" w:rsidP="00DA667E">
      <w:pPr>
        <w:spacing w:line="480" w:lineRule="auto"/>
        <w:rPr>
          <w:rFonts w:asciiTheme="majorHAnsi" w:hAnsiTheme="majorHAnsi"/>
        </w:rPr>
      </w:pPr>
      <w:r>
        <w:rPr>
          <w:rFonts w:asciiTheme="majorHAnsi" w:hAnsiTheme="majorHAnsi"/>
        </w:rPr>
        <w:t xml:space="preserve">This case describes that </w:t>
      </w:r>
      <w:proofErr w:type="spellStart"/>
      <w:r>
        <w:rPr>
          <w:rFonts w:asciiTheme="majorHAnsi" w:hAnsiTheme="majorHAnsi"/>
        </w:rPr>
        <w:t>bedaquiline</w:t>
      </w:r>
      <w:proofErr w:type="spellEnd"/>
      <w:r>
        <w:rPr>
          <w:rFonts w:asciiTheme="majorHAnsi" w:hAnsiTheme="majorHAnsi"/>
        </w:rPr>
        <w:t xml:space="preserve"> administration may be safely extended beyond </w:t>
      </w:r>
      <w:r w:rsidR="006341D3">
        <w:rPr>
          <w:rFonts w:asciiTheme="majorHAnsi" w:hAnsiTheme="majorHAnsi"/>
        </w:rPr>
        <w:t>6</w:t>
      </w:r>
      <w:r>
        <w:rPr>
          <w:rFonts w:asciiTheme="majorHAnsi" w:hAnsiTheme="majorHAnsi"/>
        </w:rPr>
        <w:t xml:space="preserve"> months, which is </w:t>
      </w:r>
      <w:r w:rsidR="00D57F15">
        <w:rPr>
          <w:rFonts w:asciiTheme="majorHAnsi" w:hAnsiTheme="majorHAnsi"/>
        </w:rPr>
        <w:t xml:space="preserve">an </w:t>
      </w:r>
      <w:r>
        <w:rPr>
          <w:rFonts w:asciiTheme="majorHAnsi" w:hAnsiTheme="majorHAnsi"/>
        </w:rPr>
        <w:t xml:space="preserve">important </w:t>
      </w:r>
      <w:r w:rsidR="00D57F15">
        <w:rPr>
          <w:rFonts w:asciiTheme="majorHAnsi" w:hAnsiTheme="majorHAnsi"/>
        </w:rPr>
        <w:t>consideratio</w:t>
      </w:r>
      <w:r>
        <w:rPr>
          <w:rFonts w:asciiTheme="majorHAnsi" w:hAnsiTheme="majorHAnsi"/>
        </w:rPr>
        <w:t xml:space="preserve">n when balancing the terrible prognosis of XDR-TB against the uncertain efficacy and safety of new antibiotics. </w:t>
      </w:r>
      <w:r w:rsidR="00DA667E">
        <w:rPr>
          <w:rFonts w:asciiTheme="majorHAnsi" w:hAnsiTheme="majorHAnsi"/>
        </w:rPr>
        <w:t xml:space="preserve">The recognised global </w:t>
      </w:r>
      <w:r>
        <w:rPr>
          <w:rFonts w:asciiTheme="majorHAnsi" w:hAnsiTheme="majorHAnsi"/>
        </w:rPr>
        <w:t xml:space="preserve">burden of drug resistant TB </w:t>
      </w:r>
      <w:r w:rsidR="00DA667E">
        <w:rPr>
          <w:rFonts w:asciiTheme="majorHAnsi" w:hAnsiTheme="majorHAnsi"/>
        </w:rPr>
        <w:t>in</w:t>
      </w:r>
      <w:r>
        <w:rPr>
          <w:rFonts w:asciiTheme="majorHAnsi" w:hAnsiTheme="majorHAnsi"/>
        </w:rPr>
        <w:t xml:space="preserve">creased </w:t>
      </w:r>
      <w:r w:rsidR="008E4A12">
        <w:rPr>
          <w:rFonts w:asciiTheme="majorHAnsi" w:hAnsiTheme="majorHAnsi"/>
        </w:rPr>
        <w:t>from 250,000 incident cases in 2009</w:t>
      </w:r>
      <w:r w:rsidR="00DA667E">
        <w:rPr>
          <w:rFonts w:asciiTheme="majorHAnsi" w:hAnsiTheme="majorHAnsi"/>
        </w:rPr>
        <w:t xml:space="preserve"> to 480,000 cases in 201</w:t>
      </w:r>
      <w:r w:rsidR="0071793D">
        <w:rPr>
          <w:rFonts w:asciiTheme="majorHAnsi" w:hAnsiTheme="majorHAnsi"/>
        </w:rPr>
        <w:t>4</w:t>
      </w:r>
      <w:r w:rsidR="00D277A5" w:rsidRPr="009E0462">
        <w:rPr>
          <w:rFonts w:asciiTheme="majorHAnsi" w:hAnsiTheme="majorHAnsi"/>
          <w:color w:val="000000" w:themeColor="text1"/>
        </w:rPr>
        <w:fldChar w:fldCharType="begin" w:fldLock="1"/>
      </w:r>
      <w:r w:rsidR="00D277A5" w:rsidRPr="009E0462">
        <w:rPr>
          <w:rFonts w:asciiTheme="majorHAnsi" w:hAnsiTheme="majorHAnsi"/>
          <w:color w:val="000000" w:themeColor="text1"/>
        </w:rPr>
        <w:instrText>ADDIN CSL_CITATION { "citationItems" : [ { "id" : "ITEM-1", "itemData" : { "ISBN" : "9789241548441", "author" : [ { "dropping-particle" : "", "family" : "World Health Organisation", "given" : "", "non-dropping-particle" : "", "parse-names" : false, "suffix" : "" } ], "id" : "ITEM-1", "issued" : { "date-parts" : [ [ "2014" ] ] }, "publisher-place" : "Geneva", "title" : "Companion handbook to the WHO guidelines for the programmatic management of drug-resistant tuberculosis", "type" : "book" }, "uris" : [ "http://www.mendeley.com/documents/?uuid=7abf8961-c261-4a4f-838e-8cdad76be926" ] } ], "mendeley" : { "formattedCitation" : "&lt;sup&gt;11&lt;/sup&gt;", "plainTextFormattedCitation" : "11", "previouslyFormattedCitation" : "&lt;sup&gt;11&lt;/sup&gt;" }, "properties" : { "noteIndex" : 0 }, "schema" : "https://github.com/citation-style-language/schema/raw/master/csl-citation.json" }</w:instrText>
      </w:r>
      <w:r w:rsidR="00D277A5" w:rsidRPr="009E0462">
        <w:rPr>
          <w:rFonts w:asciiTheme="majorHAnsi" w:hAnsiTheme="majorHAnsi"/>
          <w:color w:val="000000" w:themeColor="text1"/>
        </w:rPr>
        <w:fldChar w:fldCharType="separate"/>
      </w:r>
      <w:r w:rsidR="00D277A5" w:rsidRPr="009E0462">
        <w:rPr>
          <w:rFonts w:asciiTheme="majorHAnsi" w:hAnsiTheme="majorHAnsi"/>
          <w:noProof/>
          <w:color w:val="000000" w:themeColor="text1"/>
          <w:vertAlign w:val="superscript"/>
        </w:rPr>
        <w:t>11</w:t>
      </w:r>
      <w:r w:rsidR="00D277A5" w:rsidRPr="009E0462">
        <w:rPr>
          <w:rFonts w:asciiTheme="majorHAnsi" w:hAnsiTheme="majorHAnsi"/>
          <w:color w:val="000000" w:themeColor="text1"/>
        </w:rPr>
        <w:fldChar w:fldCharType="end"/>
      </w:r>
      <w:r w:rsidR="00F86372">
        <w:rPr>
          <w:rFonts w:asciiTheme="majorHAnsi" w:hAnsiTheme="majorHAnsi"/>
        </w:rPr>
        <w:t>.</w:t>
      </w:r>
      <w:r w:rsidR="008E4A12">
        <w:rPr>
          <w:rFonts w:asciiTheme="majorHAnsi" w:hAnsiTheme="majorHAnsi"/>
        </w:rPr>
        <w:t xml:space="preserve"> In Eastern Europe, over 20</w:t>
      </w:r>
      <w:r w:rsidR="00DA667E">
        <w:rPr>
          <w:rFonts w:asciiTheme="majorHAnsi" w:hAnsiTheme="majorHAnsi"/>
        </w:rPr>
        <w:t xml:space="preserve">% of </w:t>
      </w:r>
      <w:r w:rsidR="0099641B">
        <w:rPr>
          <w:rFonts w:asciiTheme="majorHAnsi" w:hAnsiTheme="majorHAnsi"/>
        </w:rPr>
        <w:t xml:space="preserve">new TB </w:t>
      </w:r>
      <w:r w:rsidR="00342CA3">
        <w:rPr>
          <w:rFonts w:asciiTheme="majorHAnsi" w:hAnsiTheme="majorHAnsi"/>
        </w:rPr>
        <w:t>patients present with MDR or XDR</w:t>
      </w:r>
      <w:r w:rsidR="00DA667E">
        <w:rPr>
          <w:rFonts w:asciiTheme="majorHAnsi" w:hAnsiTheme="majorHAnsi"/>
        </w:rPr>
        <w:t xml:space="preserve"> disease</w:t>
      </w:r>
      <w:r w:rsidR="00D277A5" w:rsidRPr="009E0462">
        <w:rPr>
          <w:rFonts w:asciiTheme="majorHAnsi" w:hAnsiTheme="majorHAnsi"/>
          <w:color w:val="000000" w:themeColor="text1"/>
        </w:rPr>
        <w:fldChar w:fldCharType="begin" w:fldLock="1"/>
      </w:r>
      <w:r w:rsidR="00D277A5" w:rsidRPr="009E0462">
        <w:rPr>
          <w:rFonts w:asciiTheme="majorHAnsi" w:hAnsiTheme="majorHAnsi"/>
          <w:color w:val="000000" w:themeColor="text1"/>
        </w:rPr>
        <w:instrText>ADDIN CSL_CITATION { "citationItems" : [ { "id" : "ITEM-1", "itemData" : { "ISBN" : "9789241548441", "author" : [ { "dropping-particle" : "", "family" : "World Health Organisation", "given" : "", "non-dropping-particle" : "", "parse-names" : false, "suffix" : "" } ], "id" : "ITEM-1", "issued" : { "date-parts" : [ [ "2014" ] ] }, "publisher-place" : "Geneva", "title" : "Companion handbook to the WHO guidelines for the programmatic management of drug-resistant tuberculosis", "type" : "book" }, "uris" : [ "http://www.mendeley.com/documents/?uuid=7abf8961-c261-4a4f-838e-8cdad76be926" ] } ], "mendeley" : { "formattedCitation" : "&lt;sup&gt;11&lt;/sup&gt;", "plainTextFormattedCitation" : "11", "previouslyFormattedCitation" : "&lt;sup&gt;11&lt;/sup&gt;" }, "properties" : { "noteIndex" : 0 }, "schema" : "https://github.com/citation-style-language/schema/raw/master/csl-citation.json" }</w:instrText>
      </w:r>
      <w:r w:rsidR="00D277A5" w:rsidRPr="009E0462">
        <w:rPr>
          <w:rFonts w:asciiTheme="majorHAnsi" w:hAnsiTheme="majorHAnsi"/>
          <w:color w:val="000000" w:themeColor="text1"/>
        </w:rPr>
        <w:fldChar w:fldCharType="separate"/>
      </w:r>
      <w:r w:rsidR="00D277A5" w:rsidRPr="009E0462">
        <w:rPr>
          <w:rFonts w:asciiTheme="majorHAnsi" w:hAnsiTheme="majorHAnsi"/>
          <w:noProof/>
          <w:color w:val="000000" w:themeColor="text1"/>
          <w:vertAlign w:val="superscript"/>
        </w:rPr>
        <w:t>11</w:t>
      </w:r>
      <w:r w:rsidR="00D277A5" w:rsidRPr="009E0462">
        <w:rPr>
          <w:rFonts w:asciiTheme="majorHAnsi" w:hAnsiTheme="majorHAnsi"/>
          <w:color w:val="000000" w:themeColor="text1"/>
        </w:rPr>
        <w:fldChar w:fldCharType="end"/>
      </w:r>
      <w:r w:rsidR="008E4A12">
        <w:rPr>
          <w:rFonts w:asciiTheme="majorHAnsi" w:hAnsiTheme="majorHAnsi"/>
        </w:rPr>
        <w:t xml:space="preserve"> </w:t>
      </w:r>
      <w:r>
        <w:rPr>
          <w:rFonts w:asciiTheme="majorHAnsi" w:hAnsiTheme="majorHAnsi"/>
        </w:rPr>
        <w:t>and o</w:t>
      </w:r>
      <w:r w:rsidR="00DA667E">
        <w:rPr>
          <w:rFonts w:asciiTheme="majorHAnsi" w:hAnsiTheme="majorHAnsi"/>
        </w:rPr>
        <w:t>ur patient demonstrates the increasingly frequent ther</w:t>
      </w:r>
      <w:r w:rsidR="008E4A12">
        <w:rPr>
          <w:rFonts w:asciiTheme="majorHAnsi" w:hAnsiTheme="majorHAnsi"/>
        </w:rPr>
        <w:t>apeutic challenges posed by this</w:t>
      </w:r>
      <w:r w:rsidR="00DA667E">
        <w:rPr>
          <w:rFonts w:asciiTheme="majorHAnsi" w:hAnsiTheme="majorHAnsi"/>
        </w:rPr>
        <w:t xml:space="preserve"> problem.</w:t>
      </w:r>
    </w:p>
    <w:p w14:paraId="30923784" w14:textId="77777777" w:rsidR="0019522E" w:rsidRDefault="0019522E" w:rsidP="00DA667E">
      <w:pPr>
        <w:spacing w:line="480" w:lineRule="auto"/>
        <w:rPr>
          <w:rFonts w:asciiTheme="majorHAnsi" w:hAnsiTheme="majorHAnsi"/>
        </w:rPr>
      </w:pPr>
    </w:p>
    <w:p w14:paraId="744E81E7" w14:textId="64FF08A1" w:rsidR="0019522E" w:rsidRDefault="00DA667E" w:rsidP="00DA667E">
      <w:pPr>
        <w:spacing w:line="480" w:lineRule="auto"/>
        <w:rPr>
          <w:rFonts w:asciiTheme="majorHAnsi" w:hAnsiTheme="majorHAnsi"/>
        </w:rPr>
      </w:pPr>
      <w:r>
        <w:rPr>
          <w:rFonts w:asciiTheme="majorHAnsi" w:hAnsiTheme="majorHAnsi"/>
        </w:rPr>
        <w:t>Antibiotic optio</w:t>
      </w:r>
      <w:r w:rsidR="006215A6">
        <w:rPr>
          <w:rFonts w:asciiTheme="majorHAnsi" w:hAnsiTheme="majorHAnsi"/>
        </w:rPr>
        <w:t>ns in XDR-TB are</w:t>
      </w:r>
      <w:r>
        <w:rPr>
          <w:rFonts w:asciiTheme="majorHAnsi" w:hAnsiTheme="majorHAnsi"/>
        </w:rPr>
        <w:t xml:space="preserve"> </w:t>
      </w:r>
      <w:r w:rsidR="005B69C2">
        <w:rPr>
          <w:rFonts w:asciiTheme="majorHAnsi" w:hAnsiTheme="majorHAnsi"/>
        </w:rPr>
        <w:t xml:space="preserve">always </w:t>
      </w:r>
      <w:r>
        <w:rPr>
          <w:rFonts w:asciiTheme="majorHAnsi" w:hAnsiTheme="majorHAnsi"/>
        </w:rPr>
        <w:t>limited to drugs of uncer</w:t>
      </w:r>
      <w:r w:rsidR="0019522E">
        <w:rPr>
          <w:rFonts w:asciiTheme="majorHAnsi" w:hAnsiTheme="majorHAnsi"/>
        </w:rPr>
        <w:t xml:space="preserve">tain efficacy. Of the </w:t>
      </w:r>
      <w:r>
        <w:rPr>
          <w:rFonts w:asciiTheme="majorHAnsi" w:hAnsiTheme="majorHAnsi"/>
        </w:rPr>
        <w:t>available agent</w:t>
      </w:r>
      <w:r w:rsidR="0019522E">
        <w:rPr>
          <w:rFonts w:asciiTheme="majorHAnsi" w:hAnsiTheme="majorHAnsi"/>
        </w:rPr>
        <w:t>s</w:t>
      </w:r>
      <w:r>
        <w:rPr>
          <w:rFonts w:asciiTheme="majorHAnsi" w:hAnsiTheme="majorHAnsi"/>
        </w:rPr>
        <w:t xml:space="preserve">, </w:t>
      </w:r>
      <w:proofErr w:type="spellStart"/>
      <w:r>
        <w:rPr>
          <w:rFonts w:asciiTheme="majorHAnsi" w:hAnsiTheme="majorHAnsi"/>
        </w:rPr>
        <w:t>bedaquiline</w:t>
      </w:r>
      <w:r w:rsidR="0019522E">
        <w:rPr>
          <w:rFonts w:asciiTheme="majorHAnsi" w:hAnsiTheme="majorHAnsi"/>
        </w:rPr>
        <w:t>’s</w:t>
      </w:r>
      <w:proofErr w:type="spellEnd"/>
      <w:r>
        <w:rPr>
          <w:rFonts w:asciiTheme="majorHAnsi" w:hAnsiTheme="majorHAnsi"/>
        </w:rPr>
        <w:t xml:space="preserve"> impressive bactericidal activity in Phase II clinical studies</w:t>
      </w:r>
      <w:r w:rsidRPr="00066D5F">
        <w:rPr>
          <w:rFonts w:asciiTheme="majorHAnsi" w:hAnsiTheme="majorHAnsi"/>
        </w:rPr>
        <w:fldChar w:fldCharType="begin" w:fldLock="1"/>
      </w:r>
      <w:r w:rsidR="00D277A5">
        <w:rPr>
          <w:rFonts w:asciiTheme="majorHAnsi" w:hAnsiTheme="majorHAnsi"/>
        </w:rPr>
        <w:instrText>ADDIN CSL_CITATION { "citationItems" : [ { "id" : "ITEM-1", "itemData" : { "DOI" : "10.1056/NEJMoa1313865", "ISSN" : "1533-4406", "PMID" : "25140958", "abstract" : "BACKGROUND: Bedaquiline (Sirturo, TMC207), a diarylquinoline that inhibits mycobacterial ATP synthase, has been associated with accelerated sputum-culture conversion in patients with multidrug-resistant tuberculosis, when added to a preferred background regimen for 8 weeks.\n\nMETHODS: In this phase 2b trial, we randomly assigned 160 patients with newly diagnosed, smear-positive, multidrug-resistant tuberculosis to receive either 400 mg of bedaquiline once daily for 2 weeks, followed by 200 mg three times a week for 22 weeks, or placebo, both in combination with a preferred background regimen. The primary efficacy end point was the time to sputum-culture conversion in liquid broth. Patients were followed for 120 weeks from baseline.\n\nRESULTS: Bedaquiline reduced the median time to culture conversion, as compared with placebo, from 125 days to 83 days (hazard ratio in the bedaquiline group, 2.44; 95% confidence interval, 1.57 to 3.80; P&lt;0.001 by Cox regression analysis) and increased the rate of culture conversion at 24 weeks (79% vs. 58%, P=0.008) and at 120 weeks (62% vs. 44%, P=0.04). On the basis of World Health Organization outcome definitions for multidrug-resistant tuberculosis, cure rates at 120 weeks were 58% in the bedaquiline group and 32% in the placebo group (P=0.003). The overall incidence of adverse events was similar in the two groups. There were 10 deaths in the bedaquiline group and 2 in the placebo group, with no causal pattern evident.\n\nCONCLUSIONS: The addition of bedaquiline to a preferred background regimen for 24 weeks resulted in faster culture conversion and significantly more culture conversions at 120 weeks, as compared with placebo. There were more deaths in the bedaquiline group than in the placebo group. (Funded by Janssen Pharmaceuticals; TMC207-C208 ClinicalTrials.gov number, NCT00449644.).", "author" : [ { "dropping-particle" : "", "family" : "Diacon", "given" : "Andreas H", "non-dropping-particle" : "", "parse-names" : false, "suffix" : "" }, { "dropping-particle" : "", "family" : "Pym", "given" : "Alexander", "non-dropping-particle" : "", "parse-names" : false, "suffix" : "" }, { "dropping-particle" : "", "family" : "Grobusch", "given" : "Martin P", "non-dropping-particle" : "", "parse-names" : false, "suffix" : "" }, { "dropping-particle" : "", "family" : "los Rios", "given" : "Jorge M", "non-dropping-particle" : "de", "parse-names" : false, "suffix" : "" }, { "dropping-particle" : "", "family" : "Gotuzzo", "given" : "Eduardo", "non-dropping-particle" : "", "parse-names" : false, "suffix" : "" }, { "dropping-particle" : "", "family" : "Vasilyeva", "given" : "Irina", "non-dropping-particle" : "", "parse-names" : false, "suffix" : "" }, { "dropping-particle" : "", "family" : "Leimane", "given" : "Vaira", "non-dropping-particle" : "", "parse-names" : false, "suffix" : "" }, { "dropping-particle" : "", "family" : "Andries", "given" : "Koen", "non-dropping-particle" : "", "parse-names" : false, "suffix" : "" }, { "dropping-particle" : "", "family" : "Bakare", "given" : "Nyasha", "non-dropping-particle" : "", "parse-names" : false, "suffix" : "" }, { "dropping-particle" : "", "family" : "Marez", "given" : "Tine", "non-dropping-particle" : "De", "parse-names" : false, "suffix" : "" }, { "dropping-particle" : "", "family" : "Haxaire-Theeuwes", "given" : "Myriam", "non-dropping-particle" : "", "parse-names" : false, "suffix" : "" }, { "dropping-particle" : "", "family" : "Lounis", "given" : "Nacer", "non-dropping-particle" : "", "parse-names" : false, "suffix" : "" }, { "dropping-particle" : "", "family" : "Meyvisch", "given" : "Paul", "non-dropping-particle" : "", "parse-names" : false, "suffix" : "" }, { "dropping-particle" : "", "family" : "Paepe", "given" : "Els", "non-dropping-particle" : "De", "parse-names" : false, "suffix" : "" }, { "dropping-particle" : "", "family" : "Heeswijk", "given" : "Rolf P G", "non-dropping-particle" : "van", "parse-names" : false, "suffix" : "" }, { "dropping-particle" : "", "family" : "Dannemann", "given" : "Brian", "non-dropping-particle" : "", "parse-names" : false, "suffix" : "" } ], "container-title" : "The New England journal of medicine", "id" : "ITEM-1", "issue" : "8", "issued" : { "date-parts" : [ [ "2014", "8", "21" ] ] }, "page" : "723-32", "title" : "Multidrug-resistant tuberculosis and culture conversion with bedaquiline.", "type" : "article-journal", "volume" : "371" }, "uris" : [ "http://www.mendeley.com/documents/?uuid=6d3bdf6d-29a6-4822-b64e-938f67763e25" ] } ], "mendeley" : { "formattedCitation" : "&lt;sup&gt;2&lt;/sup&gt;", "plainTextFormattedCitation" : "2", "previouslyFormattedCitation" : "&lt;sup&gt;2&lt;/sup&gt;" }, "properties" : { "noteIndex" : 0 }, "schema" : "https://github.com/citation-style-language/schema/raw/master/csl-citation.json" }</w:instrText>
      </w:r>
      <w:r w:rsidRPr="00066D5F">
        <w:rPr>
          <w:rFonts w:asciiTheme="majorHAnsi" w:hAnsiTheme="majorHAnsi"/>
        </w:rPr>
        <w:fldChar w:fldCharType="separate"/>
      </w:r>
      <w:r w:rsidR="000568AE" w:rsidRPr="000568AE">
        <w:rPr>
          <w:rFonts w:asciiTheme="majorHAnsi" w:hAnsiTheme="majorHAnsi"/>
          <w:noProof/>
          <w:vertAlign w:val="superscript"/>
        </w:rPr>
        <w:t>2</w:t>
      </w:r>
      <w:r w:rsidRPr="00066D5F">
        <w:rPr>
          <w:rFonts w:asciiTheme="majorHAnsi" w:hAnsiTheme="majorHAnsi"/>
        </w:rPr>
        <w:fldChar w:fldCharType="end"/>
      </w:r>
      <w:r w:rsidR="0019522E">
        <w:rPr>
          <w:rFonts w:asciiTheme="majorHAnsi" w:hAnsiTheme="majorHAnsi"/>
        </w:rPr>
        <w:t xml:space="preserve"> offers considerable promise</w:t>
      </w:r>
      <w:r>
        <w:rPr>
          <w:rFonts w:asciiTheme="majorHAnsi" w:hAnsiTheme="majorHAnsi"/>
        </w:rPr>
        <w:t xml:space="preserve">. However, current experience and licencing of </w:t>
      </w:r>
      <w:proofErr w:type="spellStart"/>
      <w:r>
        <w:rPr>
          <w:rFonts w:asciiTheme="majorHAnsi" w:hAnsiTheme="majorHAnsi"/>
        </w:rPr>
        <w:lastRenderedPageBreak/>
        <w:t>bedaquiline</w:t>
      </w:r>
      <w:proofErr w:type="spellEnd"/>
      <w:r>
        <w:rPr>
          <w:rFonts w:asciiTheme="majorHAnsi" w:hAnsiTheme="majorHAnsi"/>
        </w:rPr>
        <w:t xml:space="preserve"> is limited t</w:t>
      </w:r>
      <w:r w:rsidR="005B69C2">
        <w:rPr>
          <w:rFonts w:asciiTheme="majorHAnsi" w:hAnsiTheme="majorHAnsi"/>
        </w:rPr>
        <w:t xml:space="preserve">o administration for 24 weeks </w:t>
      </w:r>
      <w:r w:rsidR="006A5DAD">
        <w:rPr>
          <w:rFonts w:asciiTheme="majorHAnsi" w:hAnsiTheme="majorHAnsi"/>
        </w:rPr>
        <w:t>of a total</w:t>
      </w:r>
      <w:r>
        <w:rPr>
          <w:rFonts w:asciiTheme="majorHAnsi" w:hAnsiTheme="majorHAnsi"/>
        </w:rPr>
        <w:t xml:space="preserve"> 18-24 months</w:t>
      </w:r>
      <w:r w:rsidR="0019522E">
        <w:rPr>
          <w:rFonts w:asciiTheme="majorHAnsi" w:hAnsiTheme="majorHAnsi"/>
        </w:rPr>
        <w:t xml:space="preserve"> </w:t>
      </w:r>
      <w:r w:rsidR="006A5DAD">
        <w:rPr>
          <w:rFonts w:asciiTheme="majorHAnsi" w:hAnsiTheme="majorHAnsi"/>
        </w:rPr>
        <w:t>treatment duration</w:t>
      </w:r>
      <w:r w:rsidR="00D277A5" w:rsidRPr="009E0462">
        <w:rPr>
          <w:rFonts w:asciiTheme="majorHAnsi" w:hAnsiTheme="majorHAnsi"/>
          <w:color w:val="000000" w:themeColor="text1"/>
        </w:rPr>
        <w:fldChar w:fldCharType="begin" w:fldLock="1"/>
      </w:r>
      <w:r w:rsidR="00D277A5" w:rsidRPr="009E0462">
        <w:rPr>
          <w:rFonts w:asciiTheme="majorHAnsi" w:hAnsiTheme="majorHAnsi"/>
          <w:color w:val="000000" w:themeColor="text1"/>
        </w:rPr>
        <w:instrText>ADDIN CSL_CITATION { "citationItems" : [ { "id" : "ITEM-1", "itemData" : { "DOI" : "10.1183/09031936.00073611", "ISSN" : "1399-3003", "PMID" : "21828024", "abstract" : "The production of guidelines for the management of drug-resistant tuberculosis (TB) fits the mandate of the World Health Organization (WHO) to support countries in the reinforcement of patient care. WHO commissioned external reviews to summarise evidence on priority questions regarding case-finding, treatment regimens for multidrug-resistant TB (MDR-TB), monitoring the response to MDR-TB treatment, and models of care. A multidisciplinary expert panel used the Grading of Recommendations Assessment, Development and Evaluation (GRADE) approach to develop recommendations. The recommendations support the wider use of rapid drug susceptibility testing for isoniazid and rifampicin or rifampicin alone using molecular techniques. Monitoring by sputum culture is important for early detection of failure during treatment. Regimens lasting \u2265 20 months and containing pyrazinamide, a fluoroquinolone, a second-line injectable drug, ethionamide (or prothionamide), and either cycloserine or p-aminosalicylic acid are recommended. The guidelines promote the early use of antiretroviral agents for TB patients with HIV on second-line drug regimens. Systems that primarily employ ambulatory models of care are recommended over others based mainly on hospitalisation. Scientific and medical associations should promote the recommendations among practitioners and public health decision makers involved in MDR-TB care. Controlled trials are needed to improve the quality of existing evidence, particularly on the optimal composition and duration of MDR-TB treatment regimens.", "author" : [ { "dropping-particle" : "", "family" : "Falzon", "given" : "D", "non-dropping-particle" : "", "parse-names" : false, "suffix" : "" }, { "dropping-particle" : "", "family" : "Jaramillo", "given" : "E", "non-dropping-particle" : "", "parse-names" : false, "suffix" : "" }, { "dropping-particle" : "", "family" : "Sch\u00fcnemann", "given" : "H J", "non-dropping-particle" : "", "parse-names" : false, "suffix" : "" }, { "dropping-particle" : "", "family" : "Arentz", "given" : "M", "non-dropping-particle" : "", "parse-names" : false, "suffix" : "" }, { "dropping-particle" : "", "family" : "Bauer", "given" : "M", "non-dropping-particle" : "", "parse-names" : false, "suffix" : "" }, { "dropping-particle" : "", "family" : "Bayona", "given" : "J", "non-dropping-particle" : "", "parse-names" : false, "suffix" : "" }, { "dropping-particle" : "", "family" : "Blanc", "given" : "L", "non-dropping-particle" : "", "parse-names" : false, "suffix" : "" }, { "dropping-particle" : "", "family" : "Caminero", "given" : "J A", "non-dropping-particle" : "", "parse-names" : false, "suffix" : "" }, { "dropping-particle" : "", "family" : "Daley", "given" : "C L", "non-dropping-particle" : "", "parse-names" : false, "suffix" : "" }, { "dropping-particle" : "", "family" : "Duncombe", "given" : "C", "non-dropping-particle" : "", "parse-names" : false, "suffix" : "" }, { "dropping-particle" : "", "family" : "Fitzpatrick", "given" : "C", "non-dropping-particle" : "", "parse-names" : false, "suffix" : "" }, { "dropping-particle" : "", "family" : "Gebhard", "given" : "A", "non-dropping-particle" : "", "parse-names" : false, "suffix" : "" }, { "dropping-particle" : "", "family" : "Getahun", "given" : "H", "non-dropping-particle" : "", "parse-names" : false, "suffix" : "" }, { "dropping-particle" : "", "family" : "Henkens", "given" : "M", "non-dropping-particle" : "", "parse-names" : false, "suffix" : "" }, { "dropping-particle" : "", "family" : "Holtz", "given" : "T H", "non-dropping-particle" : "", "parse-names" : false, "suffix" : "" }, { "dropping-particle" : "", "family" : "Keravec", "given" : "J", "non-dropping-particle" : "", "parse-names" : false, "suffix" : "" }, { "dropping-particle" : "", "family" : "Keshavjee", "given" : "S", "non-dropping-particle" : "", "parse-names" : false, "suffix" : "" }, { "dropping-particle" : "", "family" : "Khan", "given" : "A J", "non-dropping-particle" : "", "parse-names" : false, "suffix" : "" }, { "dropping-particle" : "", "family" : "Kulier", "given" : "R", "non-dropping-particle" : "", "parse-names" : false, "suffix" : "" }, { "dropping-particle" : "", "family" : "Leimane", "given" : "V", "non-dropping-particle" : "", "parse-names" : false, "suffix" : "" }, { "dropping-particle" : "", "family" : "Lienhardt", "given" : "C", "non-dropping-particle" : "", "parse-names" : false, "suffix" : "" }, { "dropping-particle" : "", "family" : "Lu", "given" : "C", "non-dropping-particle" : "", "parse-names" : false, "suffix" : "" }, { "dropping-particle" : "", "family" : "Mariandyshev", "given" : "A", "non-dropping-particle" : "", "parse-names" : false, "suffix" : "" }, { "dropping-particle" : "", "family" : "Migliori", "given" : "G B", "non-dropping-particle" : "", "parse-names" : false, "suffix" : "" }, { "dropping-particle" : "", "family" : "Mirzayev", "given" : "F", "non-dropping-particle" : "", "parse-names" : false, "suffix" : "" }, { "dropping-particle" : "", "family" : "Mitnick", "given" : "C D", "non-dropping-particle" : "", "parse-names" : false, "suffix" : "" }, { "dropping-particle" : "", "family" : "Nunn", "given" : "P", "non-dropping-particle" : "", "parse-names" : false, "suffix" : "" }, { "dropping-particle" : "", "family" : "Nwagboniwe", "given" : "G", "non-dropping-particle" : "", "parse-names" : false, "suffix" : "" }, { "dropping-particle" : "", "family" : "Oxlade", "given" : "O", "non-dropping-particle" : "", "parse-names" : false, "suffix" : "" }, { "dropping-particle" : "", "family" : "Palmero", "given" : "D", "non-dropping-particle" : "", "parse-names" : false, "suffix" : "" }, { "dropping-particle" : "", "family" : "Pavlinac", "given" : "P", "non-dropping-particle" : "", "parse-names" : false, "suffix" : "" }, { "dropping-particle" : "", "family" : "Quelapio", "given" : "M I", "non-dropping-particle" : "", "parse-names" : false, "suffix" : "" }, { "dropping-particle" : "", "family" : "Raviglione", "given" : "M C", "non-dropping-particle" : "", "parse-names" : false, "suffix" : "" }, { "dropping-particle" : "", "family" : "Rich", "given" : "M L", "non-dropping-particle" : "", "parse-names" : false, "suffix" : "" }, { "dropping-particle" : "", "family" : "Royce", "given" : "S", "non-dropping-particle" : "", "parse-names" : false, "suffix" : "" }, { "dropping-particle" : "", "family" : "R\u00fcsch-Gerdes", "given" : "S", "non-dropping-particle" : "", "parse-names" : false, "suffix" : "" }, { "dropping-particle" : "", "family" : "Salakaia", "given" : "A", "non-dropping-particle" : "", "parse-names" : false, "suffix" : "" }, { "dropping-particle" : "", "family" : "Sarin", "given" : "R", "non-dropping-particle" : "", "parse-names" : false, "suffix" : "" }, { "dropping-particle" : "", "family" : "Sculier", "given" : "D", "non-dropping-particle" : "", "parse-names" : false, "suffix" : "" }, { "dropping-particle" : "", "family" : "Varaine", "given" : "F", "non-dropping-particle" : "", "parse-names" : false, "suffix" : "" }, { "dropping-particle" : "", "family" : "Vitoria", "given" : "M", "non-dropping-particle" : "", "parse-names" : false, "suffix" : "" }, { "dropping-particle" : "", "family" : "Walson", "given" : "J L", "non-dropping-particle" : "", "parse-names" : false, "suffix" : "" }, { "dropping-particle" : "", "family" : "Wares", "given" : "F", "non-dropping-particle" : "", "parse-names" : false, "suffix" : "" }, { "dropping-particle" : "", "family" : "Weyer", "given" : "K", "non-dropping-particle" : "", "parse-names" : false, "suffix" : "" }, { "dropping-particle" : "", "family" : "White", "given" : "R A", "non-dropping-particle" : "", "parse-names" : false, "suffix" : "" }, { "dropping-particle" : "", "family" : "Zignol", "given" : "M", "non-dropping-particle" : "", "parse-names" : false, "suffix" : "" } ], "container-title" : "The European respiratory journal", "id" : "ITEM-1", "issue" : "3", "issued" : { "date-parts" : [ [ "2011", "9" ] ] }, "page" : "516-28", "title" : "WHO guidelines for the programmatic management of drug-resistant tuberculosis: 2011 update.", "type" : "article-journal", "volume" : "38" }, "uris" : [ "http://www.mendeley.com/documents/?uuid=7f329af0-f8d3-4444-864d-0d4a672f7a5d" ] }, { "id" : "ITEM-2", "itemData" : { "DOI" : "10.1183/13993003.01891-2015", "author" : [ { "dropping-particle" : "", "family" : "Pontali", "given" : "Emanuele", "non-dropping-particle" : "", "parse-names" : false, "suffix" : "" }, { "dropping-particle" : "", "family" : "Sotgiu", "given" : "Giovanni", "non-dropping-particle" : "", "parse-names" : false, "suffix" : "" }, { "dropping-particle" : "", "family" : "Ambrosio", "given" : "Lia D", "non-dropping-particle" : "", "parse-names" : false, "suffix" : "" }, { "dropping-particle" : "", "family" : "Centis", "given" : "Rosella", "non-dropping-particle" : "", "parse-names" : false, "suffix" : "" }, { "dropping-particle" : "", "family" : "Migliori", "given" : "Giovanni Battista", "non-dropping-particle" : "", "parse-names" : false, "suffix" : "" } ], "container-title" : "European Respiratory Journal", "id" : "ITEM-2", "issue" : "In press", "issued" : { "date-parts" : [ [ "2016" ] ] }, "title" : "Bedaquiline and multidrug-resistant tuberculosis: a systematic and critical analysis of the evidence", "type" : "article-journal" }, "uris" : [ "http://www.mendeley.com/documents/?uuid=9dd3b04d-6bb6-4b2f-9e68-0f60579fa1a4" ] } ], "mendeley" : { "formattedCitation" : "&lt;sup&gt;12,13&lt;/sup&gt;", "plainTextFormattedCitation" : "12,13", "previouslyFormattedCitation" : "&lt;sup&gt;12,13&lt;/sup&gt;" }, "properties" : { "noteIndex" : 0 }, "schema" : "https://github.com/citation-style-language/schema/raw/master/csl-citation.json" }</w:instrText>
      </w:r>
      <w:r w:rsidR="00D277A5" w:rsidRPr="009E0462">
        <w:rPr>
          <w:rFonts w:asciiTheme="majorHAnsi" w:hAnsiTheme="majorHAnsi"/>
          <w:color w:val="000000" w:themeColor="text1"/>
        </w:rPr>
        <w:fldChar w:fldCharType="separate"/>
      </w:r>
      <w:r w:rsidR="00D277A5" w:rsidRPr="009E0462">
        <w:rPr>
          <w:rFonts w:asciiTheme="majorHAnsi" w:hAnsiTheme="majorHAnsi"/>
          <w:noProof/>
          <w:color w:val="000000" w:themeColor="text1"/>
          <w:vertAlign w:val="superscript"/>
        </w:rPr>
        <w:t>12,13</w:t>
      </w:r>
      <w:r w:rsidR="00D277A5" w:rsidRPr="009E0462">
        <w:rPr>
          <w:rFonts w:asciiTheme="majorHAnsi" w:hAnsiTheme="majorHAnsi"/>
          <w:color w:val="000000" w:themeColor="text1"/>
        </w:rPr>
        <w:fldChar w:fldCharType="end"/>
      </w:r>
      <w:r w:rsidR="009A2697">
        <w:rPr>
          <w:rFonts w:asciiTheme="majorHAnsi" w:hAnsiTheme="majorHAnsi"/>
        </w:rPr>
        <w:t xml:space="preserve">. </w:t>
      </w:r>
      <w:r>
        <w:rPr>
          <w:rFonts w:asciiTheme="majorHAnsi" w:hAnsiTheme="majorHAnsi"/>
        </w:rPr>
        <w:t xml:space="preserve">This will inevitably </w:t>
      </w:r>
      <w:r w:rsidR="0019522E">
        <w:rPr>
          <w:rFonts w:asciiTheme="majorHAnsi" w:hAnsiTheme="majorHAnsi"/>
        </w:rPr>
        <w:t>generate</w:t>
      </w:r>
      <w:r w:rsidR="006A5DAD">
        <w:rPr>
          <w:rFonts w:asciiTheme="majorHAnsi" w:hAnsiTheme="majorHAnsi"/>
        </w:rPr>
        <w:t xml:space="preserve"> case management</w:t>
      </w:r>
      <w:r>
        <w:rPr>
          <w:rFonts w:asciiTheme="majorHAnsi" w:hAnsiTheme="majorHAnsi"/>
        </w:rPr>
        <w:t xml:space="preserve"> dilemmas when XDR-TB patients are left with sparse</w:t>
      </w:r>
      <w:r w:rsidR="005B69C2">
        <w:rPr>
          <w:rFonts w:asciiTheme="majorHAnsi" w:hAnsiTheme="majorHAnsi"/>
        </w:rPr>
        <w:t xml:space="preserve"> regimens for most</w:t>
      </w:r>
      <w:r>
        <w:rPr>
          <w:rFonts w:asciiTheme="majorHAnsi" w:hAnsiTheme="majorHAnsi"/>
        </w:rPr>
        <w:t xml:space="preserve"> of </w:t>
      </w:r>
      <w:r w:rsidR="0019522E">
        <w:rPr>
          <w:rFonts w:asciiTheme="majorHAnsi" w:hAnsiTheme="majorHAnsi"/>
        </w:rPr>
        <w:t xml:space="preserve">their </w:t>
      </w:r>
      <w:r>
        <w:rPr>
          <w:rFonts w:asciiTheme="majorHAnsi" w:hAnsiTheme="majorHAnsi"/>
        </w:rPr>
        <w:t>therapy.  To minimise the risk of eventu</w:t>
      </w:r>
      <w:r w:rsidR="0019522E">
        <w:rPr>
          <w:rFonts w:asciiTheme="majorHAnsi" w:hAnsiTheme="majorHAnsi"/>
        </w:rPr>
        <w:t xml:space="preserve">al failure or relapse, it </w:t>
      </w:r>
      <w:r>
        <w:rPr>
          <w:rFonts w:asciiTheme="majorHAnsi" w:hAnsiTheme="majorHAnsi"/>
        </w:rPr>
        <w:t>seem</w:t>
      </w:r>
      <w:r w:rsidR="0019522E">
        <w:rPr>
          <w:rFonts w:asciiTheme="majorHAnsi" w:hAnsiTheme="majorHAnsi"/>
        </w:rPr>
        <w:t>s</w:t>
      </w:r>
      <w:r>
        <w:rPr>
          <w:rFonts w:asciiTheme="majorHAnsi" w:hAnsiTheme="majorHAnsi"/>
        </w:rPr>
        <w:t xml:space="preserve"> desirable to continue the most potent agents for longe</w:t>
      </w:r>
      <w:r w:rsidR="006A5DAD">
        <w:rPr>
          <w:rFonts w:asciiTheme="majorHAnsi" w:hAnsiTheme="majorHAnsi"/>
        </w:rPr>
        <w:t>r, and CDC guidelines allow extension of</w:t>
      </w:r>
      <w:r>
        <w:rPr>
          <w:rFonts w:asciiTheme="majorHAnsi" w:hAnsiTheme="majorHAnsi"/>
        </w:rPr>
        <w:t xml:space="preserve"> </w:t>
      </w:r>
      <w:proofErr w:type="spellStart"/>
      <w:r w:rsidR="005B69C2">
        <w:rPr>
          <w:rFonts w:asciiTheme="majorHAnsi" w:hAnsiTheme="majorHAnsi"/>
        </w:rPr>
        <w:t>bedaquiline</w:t>
      </w:r>
      <w:proofErr w:type="spellEnd"/>
      <w:r w:rsidR="005B69C2">
        <w:rPr>
          <w:rFonts w:asciiTheme="majorHAnsi" w:hAnsiTheme="majorHAnsi"/>
        </w:rPr>
        <w:t xml:space="preserve"> </w:t>
      </w:r>
      <w:r>
        <w:rPr>
          <w:rFonts w:asciiTheme="majorHAnsi" w:hAnsiTheme="majorHAnsi"/>
        </w:rPr>
        <w:t>treatment on a case-by-case basis</w:t>
      </w:r>
      <w:r w:rsidRPr="00066D5F">
        <w:rPr>
          <w:rFonts w:asciiTheme="majorHAnsi" w:hAnsiTheme="majorHAnsi"/>
        </w:rPr>
        <w:fldChar w:fldCharType="begin" w:fldLock="1"/>
      </w:r>
      <w:r w:rsidR="00D277A5">
        <w:rPr>
          <w:rFonts w:asciiTheme="majorHAnsi" w:hAnsiTheme="majorHAnsi"/>
        </w:rPr>
        <w:instrText>ADDIN CSL_CITATION { "citationItems" : [ { "id" : "ITEM-1", "itemData" : { "author" : [ { "dropping-particle" : "", "family" : "Mase", "given" : "Sundari", "non-dropping-particle" : "", "parse-names" : false, "suffix" : "" }, { "dropping-particle" : "", "family" : "Chorba", "given" : "Terence", "non-dropping-particle" : "", "parse-names" : false, "suffix" : "" }, { "dropping-particle" : "", "family" : "Lobue", "given" : "Philip", "non-dropping-particle" : "", "parse-names" : false, "suffix" : "" }, { "dropping-particle" : "", "family" : "Castro", "given" : "Kenneth", "non-dropping-particle" : "", "parse-names" : false, "suffix" : "" } ], "container-title" : "MMWR", "id" : "ITEM-1", "issue" : "RR09", "issued" : { "date-parts" : [ [ "2013" ] ] }, "page" : "1-12", "title" : "Provisional CDC Guidelines for the Use and Safety Monitoring of Bedaquiline Fumarate (Sirturo) for the Treatment of Multidrug-Resistant Tuberculosis", "type" : "article-journal", "volume" : "62" }, "uris" : [ "http://www.mendeley.com/documents/?uuid=20b77e04-dabb-4855-a312-dd9ee8c70326" ] } ], "mendeley" : { "formattedCitation" : "&lt;sup&gt;10&lt;/sup&gt;", "plainTextFormattedCitation" : "10", "previouslyFormattedCitation" : "&lt;sup&gt;10&lt;/sup&gt;" }, "properties" : { "noteIndex" : 0 }, "schema" : "https://github.com/citation-style-language/schema/raw/master/csl-citation.json" }</w:instrText>
      </w:r>
      <w:r w:rsidRPr="00066D5F">
        <w:rPr>
          <w:rFonts w:asciiTheme="majorHAnsi" w:hAnsiTheme="majorHAnsi"/>
        </w:rPr>
        <w:fldChar w:fldCharType="separate"/>
      </w:r>
      <w:r w:rsidR="000568AE" w:rsidRPr="000568AE">
        <w:rPr>
          <w:rFonts w:asciiTheme="majorHAnsi" w:hAnsiTheme="majorHAnsi"/>
          <w:noProof/>
          <w:vertAlign w:val="superscript"/>
        </w:rPr>
        <w:t>10</w:t>
      </w:r>
      <w:r w:rsidRPr="00066D5F">
        <w:rPr>
          <w:rFonts w:asciiTheme="majorHAnsi" w:hAnsiTheme="majorHAnsi"/>
        </w:rPr>
        <w:fldChar w:fldCharType="end"/>
      </w:r>
      <w:r>
        <w:rPr>
          <w:rFonts w:asciiTheme="majorHAnsi" w:hAnsiTheme="majorHAnsi"/>
        </w:rPr>
        <w:t>. To our knowledge, our case is the fir</w:t>
      </w:r>
      <w:r w:rsidR="0019522E">
        <w:rPr>
          <w:rFonts w:asciiTheme="majorHAnsi" w:hAnsiTheme="majorHAnsi"/>
        </w:rPr>
        <w:t>st published description of that</w:t>
      </w:r>
      <w:r>
        <w:rPr>
          <w:rFonts w:asciiTheme="majorHAnsi" w:hAnsiTheme="majorHAnsi"/>
        </w:rPr>
        <w:t xml:space="preserve"> approach.</w:t>
      </w:r>
    </w:p>
    <w:p w14:paraId="15269BF4" w14:textId="02DA7C06" w:rsidR="00DA667E" w:rsidRDefault="00DA667E" w:rsidP="00DA667E">
      <w:pPr>
        <w:spacing w:line="480" w:lineRule="auto"/>
        <w:rPr>
          <w:rFonts w:asciiTheme="majorHAnsi" w:hAnsiTheme="majorHAnsi"/>
        </w:rPr>
      </w:pPr>
      <w:r>
        <w:rPr>
          <w:rFonts w:asciiTheme="majorHAnsi" w:hAnsiTheme="majorHAnsi"/>
        </w:rPr>
        <w:t xml:space="preserve">        </w:t>
      </w:r>
    </w:p>
    <w:p w14:paraId="0539936C" w14:textId="0495AAF6" w:rsidR="00DA667E" w:rsidRDefault="006A5DAD" w:rsidP="00DA667E">
      <w:pPr>
        <w:spacing w:line="480" w:lineRule="auto"/>
        <w:rPr>
          <w:rFonts w:asciiTheme="majorHAnsi" w:hAnsiTheme="majorHAnsi"/>
        </w:rPr>
      </w:pPr>
      <w:r>
        <w:rPr>
          <w:rFonts w:asciiTheme="majorHAnsi" w:hAnsiTheme="majorHAnsi"/>
        </w:rPr>
        <w:t>A major concern with prolonged</w:t>
      </w:r>
      <w:r w:rsidR="00DA667E">
        <w:rPr>
          <w:rFonts w:asciiTheme="majorHAnsi" w:hAnsiTheme="majorHAnsi"/>
        </w:rPr>
        <w:t xml:space="preserve"> </w:t>
      </w:r>
      <w:proofErr w:type="spellStart"/>
      <w:r w:rsidR="00DA667E">
        <w:rPr>
          <w:rFonts w:asciiTheme="majorHAnsi" w:hAnsiTheme="majorHAnsi"/>
        </w:rPr>
        <w:t>bedaquiline</w:t>
      </w:r>
      <w:proofErr w:type="spellEnd"/>
      <w:r w:rsidR="00DA667E">
        <w:rPr>
          <w:rFonts w:asciiTheme="majorHAnsi" w:hAnsiTheme="majorHAnsi"/>
        </w:rPr>
        <w:t xml:space="preserve"> use is the risk of toxicity</w:t>
      </w:r>
      <w:r w:rsidR="0019522E">
        <w:rPr>
          <w:rFonts w:asciiTheme="majorHAnsi" w:hAnsiTheme="majorHAnsi"/>
        </w:rPr>
        <w:t xml:space="preserve">. </w:t>
      </w:r>
      <w:proofErr w:type="spellStart"/>
      <w:r w:rsidR="00DA667E">
        <w:rPr>
          <w:rFonts w:asciiTheme="majorHAnsi" w:hAnsiTheme="majorHAnsi"/>
        </w:rPr>
        <w:t>QTc</w:t>
      </w:r>
      <w:proofErr w:type="spellEnd"/>
      <w:r w:rsidR="00DA667E">
        <w:rPr>
          <w:rFonts w:asciiTheme="majorHAnsi" w:hAnsiTheme="majorHAnsi"/>
        </w:rPr>
        <w:t xml:space="preserve"> interval </w:t>
      </w:r>
      <w:r w:rsidR="0019522E">
        <w:rPr>
          <w:rFonts w:asciiTheme="majorHAnsi" w:hAnsiTheme="majorHAnsi"/>
        </w:rPr>
        <w:t xml:space="preserve">prolongation </w:t>
      </w:r>
      <w:r w:rsidR="00DA667E">
        <w:rPr>
          <w:rFonts w:asciiTheme="majorHAnsi" w:hAnsiTheme="majorHAnsi"/>
        </w:rPr>
        <w:t>is regarded as the most significant adverse effect</w:t>
      </w:r>
      <w:r w:rsidR="00D277A5" w:rsidRPr="009E0462">
        <w:rPr>
          <w:rFonts w:asciiTheme="majorHAnsi" w:hAnsiTheme="majorHAnsi"/>
          <w:color w:val="000000" w:themeColor="text1"/>
        </w:rPr>
        <w:fldChar w:fldCharType="begin" w:fldLock="1"/>
      </w:r>
      <w:r w:rsidR="00D277A5" w:rsidRPr="009E0462">
        <w:rPr>
          <w:rFonts w:asciiTheme="majorHAnsi" w:hAnsiTheme="majorHAnsi"/>
          <w:color w:val="000000" w:themeColor="text1"/>
        </w:rPr>
        <w:instrText>ADDIN CSL_CITATION { "citationItems" : [ { "id" : "ITEM-1", "itemData" : { "DOI" : "10.1183/13993003.01891-2015", "author" : [ { "dropping-particle" : "", "family" : "Pontali", "given" : "Emanuele", "non-dropping-particle" : "", "parse-names" : false, "suffix" : "" }, { "dropping-particle" : "", "family" : "Sotgiu", "given" : "Giovanni", "non-dropping-particle" : "", "parse-names" : false, "suffix" : "" }, { "dropping-particle" : "", "family" : "Ambrosio", "given" : "Lia D", "non-dropping-particle" : "", "parse-names" : false, "suffix" : "" }, { "dropping-particle" : "", "family" : "Centis", "given" : "Rosella", "non-dropping-particle" : "", "parse-names" : false, "suffix" : "" }, { "dropping-particle" : "", "family" : "Migliori", "given" : "Giovanni Battista", "non-dropping-particle" : "", "parse-names" : false, "suffix" : "" } ], "container-title" : "European Respiratory Journal", "id" : "ITEM-1", "issue" : "In press", "issued" : { "date-parts" : [ [ "2016" ] ] }, "title" : "Bedaquiline and multidrug-resistant tuberculosis: a systematic and critical analysis of the evidence", "type" : "article-journal" }, "uris" : [ "http://www.mendeley.com/documents/?uuid=9dd3b04d-6bb6-4b2f-9e68-0f60579fa1a4" ] } ], "mendeley" : { "formattedCitation" : "&lt;sup&gt;13&lt;/sup&gt;", "plainTextFormattedCitation" : "13", "previouslyFormattedCitation" : "&lt;sup&gt;13&lt;/sup&gt;" }, "properties" : { "noteIndex" : 0 }, "schema" : "https://github.com/citation-style-language/schema/raw/master/csl-citation.json" }</w:instrText>
      </w:r>
      <w:r w:rsidR="00D277A5" w:rsidRPr="009E0462">
        <w:rPr>
          <w:rFonts w:asciiTheme="majorHAnsi" w:hAnsiTheme="majorHAnsi"/>
          <w:color w:val="000000" w:themeColor="text1"/>
        </w:rPr>
        <w:fldChar w:fldCharType="separate"/>
      </w:r>
      <w:r w:rsidR="00D277A5" w:rsidRPr="009E0462">
        <w:rPr>
          <w:rFonts w:asciiTheme="majorHAnsi" w:hAnsiTheme="majorHAnsi"/>
          <w:noProof/>
          <w:color w:val="000000" w:themeColor="text1"/>
          <w:vertAlign w:val="superscript"/>
        </w:rPr>
        <w:t>13</w:t>
      </w:r>
      <w:r w:rsidR="00D277A5" w:rsidRPr="009E0462">
        <w:rPr>
          <w:rFonts w:asciiTheme="majorHAnsi" w:hAnsiTheme="majorHAnsi"/>
          <w:color w:val="000000" w:themeColor="text1"/>
        </w:rPr>
        <w:fldChar w:fldCharType="end"/>
      </w:r>
      <w:r w:rsidR="00DA667E">
        <w:rPr>
          <w:rFonts w:asciiTheme="majorHAnsi" w:hAnsiTheme="majorHAnsi"/>
        </w:rPr>
        <w:t xml:space="preserve"> and we observed this, particularly when </w:t>
      </w:r>
      <w:proofErr w:type="spellStart"/>
      <w:r w:rsidR="00DA667E">
        <w:rPr>
          <w:rFonts w:asciiTheme="majorHAnsi" w:hAnsiTheme="majorHAnsi"/>
        </w:rPr>
        <w:t>bedaquiline</w:t>
      </w:r>
      <w:proofErr w:type="spellEnd"/>
      <w:r w:rsidR="00DA667E">
        <w:rPr>
          <w:rFonts w:asciiTheme="majorHAnsi" w:hAnsiTheme="majorHAnsi"/>
        </w:rPr>
        <w:t xml:space="preserve"> was administered with other known </w:t>
      </w:r>
      <w:proofErr w:type="spellStart"/>
      <w:r w:rsidR="00DA667E">
        <w:rPr>
          <w:rFonts w:asciiTheme="majorHAnsi" w:hAnsiTheme="majorHAnsi"/>
        </w:rPr>
        <w:t>QTc</w:t>
      </w:r>
      <w:proofErr w:type="spellEnd"/>
      <w:r w:rsidR="00DA667E">
        <w:rPr>
          <w:rFonts w:asciiTheme="majorHAnsi" w:hAnsiTheme="majorHAnsi"/>
        </w:rPr>
        <w:t xml:space="preserve"> prolonging agents</w:t>
      </w:r>
      <w:r w:rsidR="00342CA3">
        <w:rPr>
          <w:rFonts w:asciiTheme="majorHAnsi" w:hAnsiTheme="majorHAnsi"/>
        </w:rPr>
        <w:t xml:space="preserve"> (</w:t>
      </w:r>
      <w:proofErr w:type="spellStart"/>
      <w:r w:rsidR="00342CA3">
        <w:rPr>
          <w:rFonts w:asciiTheme="majorHAnsi" w:hAnsiTheme="majorHAnsi"/>
        </w:rPr>
        <w:t>clofazimine</w:t>
      </w:r>
      <w:proofErr w:type="spellEnd"/>
      <w:r w:rsidR="00342CA3">
        <w:rPr>
          <w:rFonts w:asciiTheme="majorHAnsi" w:hAnsiTheme="majorHAnsi"/>
        </w:rPr>
        <w:t xml:space="preserve"> and azithromycin)</w:t>
      </w:r>
      <w:r w:rsidR="00DA667E">
        <w:rPr>
          <w:rFonts w:asciiTheme="majorHAnsi" w:hAnsiTheme="majorHAnsi"/>
        </w:rPr>
        <w:t xml:space="preserve">. Nevertheless, </w:t>
      </w:r>
      <w:r w:rsidR="0019522E">
        <w:rPr>
          <w:rFonts w:asciiTheme="majorHAnsi" w:hAnsiTheme="majorHAnsi"/>
        </w:rPr>
        <w:t>given</w:t>
      </w:r>
      <w:r w:rsidR="00DA667E">
        <w:rPr>
          <w:rFonts w:asciiTheme="majorHAnsi" w:hAnsiTheme="majorHAnsi"/>
        </w:rPr>
        <w:t xml:space="preserve"> the high</w:t>
      </w:r>
      <w:r w:rsidR="0019522E">
        <w:rPr>
          <w:rFonts w:asciiTheme="majorHAnsi" w:hAnsiTheme="majorHAnsi"/>
        </w:rPr>
        <w:t xml:space="preserve"> likelihood</w:t>
      </w:r>
      <w:r w:rsidR="00DA667E">
        <w:rPr>
          <w:rFonts w:asciiTheme="majorHAnsi" w:hAnsiTheme="majorHAnsi"/>
        </w:rPr>
        <w:t xml:space="preserve"> </w:t>
      </w:r>
      <w:r>
        <w:rPr>
          <w:rFonts w:asciiTheme="majorHAnsi" w:hAnsiTheme="majorHAnsi"/>
        </w:rPr>
        <w:t xml:space="preserve">of </w:t>
      </w:r>
      <w:r w:rsidR="00DA667E">
        <w:rPr>
          <w:rFonts w:asciiTheme="majorHAnsi" w:hAnsiTheme="majorHAnsi"/>
        </w:rPr>
        <w:t>mortality fr</w:t>
      </w:r>
      <w:r w:rsidR="008E4A12">
        <w:rPr>
          <w:rFonts w:asciiTheme="majorHAnsi" w:hAnsiTheme="majorHAnsi"/>
        </w:rPr>
        <w:t>om XDR-TB treatment failure we sought</w:t>
      </w:r>
      <w:r w:rsidR="006215A6">
        <w:rPr>
          <w:rFonts w:asciiTheme="majorHAnsi" w:hAnsiTheme="majorHAnsi"/>
        </w:rPr>
        <w:t xml:space="preserve"> </w:t>
      </w:r>
      <w:r w:rsidR="00DA667E">
        <w:rPr>
          <w:rFonts w:asciiTheme="majorHAnsi" w:hAnsiTheme="majorHAnsi"/>
        </w:rPr>
        <w:t>specialist cardiology</w:t>
      </w:r>
      <w:r w:rsidR="008E4A12">
        <w:rPr>
          <w:rFonts w:asciiTheme="majorHAnsi" w:hAnsiTheme="majorHAnsi"/>
        </w:rPr>
        <w:t xml:space="preserve"> input for treatment monitoring and</w:t>
      </w:r>
      <w:r w:rsidR="00DA667E">
        <w:rPr>
          <w:rFonts w:asciiTheme="majorHAnsi" w:hAnsiTheme="majorHAnsi"/>
        </w:rPr>
        <w:t xml:space="preserve"> persisted with </w:t>
      </w:r>
      <w:proofErr w:type="spellStart"/>
      <w:r w:rsidR="00DA667E">
        <w:rPr>
          <w:rFonts w:asciiTheme="majorHAnsi" w:hAnsiTheme="majorHAnsi"/>
        </w:rPr>
        <w:t>bedaquiline</w:t>
      </w:r>
      <w:proofErr w:type="spellEnd"/>
      <w:r>
        <w:rPr>
          <w:rFonts w:asciiTheme="majorHAnsi" w:hAnsiTheme="majorHAnsi"/>
        </w:rPr>
        <w:t>. T</w:t>
      </w:r>
      <w:r w:rsidR="00342CA3">
        <w:rPr>
          <w:rFonts w:asciiTheme="majorHAnsi" w:hAnsiTheme="majorHAnsi"/>
        </w:rPr>
        <w:t>he therapeutic response was</w:t>
      </w:r>
      <w:r w:rsidR="008E4A12">
        <w:rPr>
          <w:rFonts w:asciiTheme="majorHAnsi" w:hAnsiTheme="majorHAnsi"/>
        </w:rPr>
        <w:t xml:space="preserve"> favourable</w:t>
      </w:r>
      <w:r w:rsidR="00342CA3">
        <w:rPr>
          <w:rFonts w:asciiTheme="majorHAnsi" w:hAnsiTheme="majorHAnsi"/>
        </w:rPr>
        <w:t xml:space="preserve"> and there were</w:t>
      </w:r>
      <w:r w:rsidR="0019522E">
        <w:rPr>
          <w:rFonts w:asciiTheme="majorHAnsi" w:hAnsiTheme="majorHAnsi"/>
        </w:rPr>
        <w:t xml:space="preserve"> no</w:t>
      </w:r>
      <w:r>
        <w:rPr>
          <w:rFonts w:asciiTheme="majorHAnsi" w:hAnsiTheme="majorHAnsi"/>
        </w:rPr>
        <w:t xml:space="preserve"> clinical side-effects</w:t>
      </w:r>
      <w:r w:rsidR="0019522E">
        <w:rPr>
          <w:rFonts w:asciiTheme="majorHAnsi" w:hAnsiTheme="majorHAnsi"/>
        </w:rPr>
        <w:t xml:space="preserve">. </w:t>
      </w:r>
      <w:r>
        <w:rPr>
          <w:rFonts w:asciiTheme="majorHAnsi" w:hAnsiTheme="majorHAnsi"/>
        </w:rPr>
        <w:t xml:space="preserve">It is noteworthy that our patient was young and previously well; greater caution may be required in older patients with cardiac co-morbidities. </w:t>
      </w:r>
    </w:p>
    <w:p w14:paraId="02B5F1C7" w14:textId="77777777" w:rsidR="0019522E" w:rsidRPr="00066D5F" w:rsidRDefault="0019522E" w:rsidP="00DA667E">
      <w:pPr>
        <w:spacing w:line="480" w:lineRule="auto"/>
        <w:rPr>
          <w:rFonts w:asciiTheme="majorHAnsi" w:hAnsiTheme="majorHAnsi"/>
        </w:rPr>
      </w:pPr>
    </w:p>
    <w:p w14:paraId="0CD9370E" w14:textId="1BAF888D" w:rsidR="00DA667E" w:rsidRPr="00066D5F" w:rsidRDefault="006A5DAD" w:rsidP="00DA667E">
      <w:pPr>
        <w:spacing w:line="480" w:lineRule="auto"/>
        <w:rPr>
          <w:rFonts w:asciiTheme="majorHAnsi" w:hAnsiTheme="majorHAnsi"/>
        </w:rPr>
      </w:pPr>
      <w:r>
        <w:rPr>
          <w:rFonts w:asciiTheme="majorHAnsi" w:hAnsiTheme="majorHAnsi"/>
        </w:rPr>
        <w:t>Trials are ongoing</w:t>
      </w:r>
      <w:r w:rsidR="00DA667E">
        <w:rPr>
          <w:rFonts w:asciiTheme="majorHAnsi" w:hAnsiTheme="majorHAnsi"/>
        </w:rPr>
        <w:t xml:space="preserve"> to establish whether MDR-TB therapy can be shortened to 9 months</w:t>
      </w:r>
      <w:r w:rsidR="009A2697">
        <w:rPr>
          <w:rFonts w:asciiTheme="majorHAnsi" w:hAnsiTheme="majorHAnsi"/>
        </w:rPr>
        <w:fldChar w:fldCharType="begin" w:fldLock="1"/>
      </w:r>
      <w:r w:rsidR="00D277A5">
        <w:rPr>
          <w:rFonts w:asciiTheme="majorHAnsi" w:hAnsiTheme="majorHAnsi"/>
        </w:rPr>
        <w:instrText>ADDIN CSL_CITATION { "citationItems" : [ { "id" : "ITEM-1", "itemData" : { "DOI" : "10.5588/ijtld.14.0100", "ISSN" : "1815-7920", "PMID" : "25216831", "abstract" : "SETTING: Tuberculosis (TB) program, Damien Foundation Projects, Bangladesh.\n\nOBJECTIVE: To summarize the outcome and its determinants of the first treatment for multidrug-resistant TB using a standardized regimen consisting of a minimum 9 months.\n\nDESIGN: This was a prospective, observational study of a gatifloxacin (GFX) based directly observed regimen, mainly with initial hospitalization. The 4-month intensive phase was extended until sputum smear conversion. Patients were monitored using culture for up to 2 years after treatment completion.\n\nRESULTS: Of the 515 patients who met the study inclusion criteria and were successively enrolled from 2005 to 2011, 84.4% had a bacteriologically favorable outcome. Due to extensive disease with delayed sputum conversion, only half of the patients completed treatment within 9 months; however, 95% were able to complete treatment within 12 months. Eleven patients failed or relapsed, and 93.1% of the 435 patients who were successfully treated completed at least 12 months post-treatment follow-up. The strongest risk factor for a bacteriologically unfavorable outcome was high-level fluoroquinolone (FQ) resistance, particularly when compounded by initial pyrazinamide (PZA) resistance. Low-level FQ resistance had no unfavorable effect on treatment outcome. Amplification of drug resistance occurred only once, in a patient strain that was initially only susceptible to kanamycin and clofazimine.\n\nCONCLUSION: The excellent outcome of the Bangladesh regimen was largely maintained. Bacteriological treatment failures and relapses were rare, except among patients with high-level GFX resistance, notably in the presence of PZA resistance.", "author" : [ { "dropping-particle" : "", "family" : "Aung", "given" : "K J M", "non-dropping-particle" : "", "parse-names" : false, "suffix" : "" }, { "dropping-particle" : "", "family" : "Deun", "given" : "A", "non-dropping-particle" : "Van", "parse-names" : false, "suffix" : "" }, { "dropping-particle" : "", "family" : "Declercq", "given" : "E", "non-dropping-particle" : "", "parse-names" : false, "suffix" : "" }, { "dropping-particle" : "", "family" : "Sarker", "given" : "M R", "non-dropping-particle" : "", "parse-names" : false, "suffix" : "" }, { "dropping-particle" : "", "family" : "Das", "given" : "P K", "non-dropping-particle" : "", "parse-names" : false, "suffix" : "" }, { "dropping-particle" : "", "family" : "Hossain", "given" : "M A", "non-dropping-particle" : "", "parse-names" : false, "suffix" : "" }, { "dropping-particle" : "", "family" : "Rieder", "given" : "H L", "non-dropping-particle" : "", "parse-names" : false, "suffix" : "" } ], "container-title" : "The international journal of tuberculosis and lung disease : the official journal of the International Union against Tuberculosis and Lung Disease", "id" : "ITEM-1", "issue" : "10", "issued" : { "date-parts" : [ [ "2014", "10" ] ] }, "page" : "1180-7", "title" : "Successful '9-month Bangladesh regimen' for multidrug-resistant tuberculosis among over 500 consecutive patients.", "type" : "article-journal", "volume" : "18" }, "uris" : [ "http://www.mendeley.com/documents/?uuid=4fd817eb-54ad-4f00-98e4-e526103b12a8" ] } ], "mendeley" : { "formattedCitation" : "&lt;sup&gt;14&lt;/sup&gt;", "plainTextFormattedCitation" : "14", "previouslyFormattedCitation" : "&lt;sup&gt;14&lt;/sup&gt;" }, "properties" : { "noteIndex" : 0 }, "schema" : "https://github.com/citation-style-language/schema/raw/master/csl-citation.json" }</w:instrText>
      </w:r>
      <w:r w:rsidR="009A2697">
        <w:rPr>
          <w:rFonts w:asciiTheme="majorHAnsi" w:hAnsiTheme="majorHAnsi"/>
        </w:rPr>
        <w:fldChar w:fldCharType="separate"/>
      </w:r>
      <w:r w:rsidR="00D277A5" w:rsidRPr="00D277A5">
        <w:rPr>
          <w:rFonts w:asciiTheme="majorHAnsi" w:hAnsiTheme="majorHAnsi"/>
          <w:noProof/>
          <w:vertAlign w:val="superscript"/>
        </w:rPr>
        <w:t>14</w:t>
      </w:r>
      <w:r w:rsidR="009A2697">
        <w:rPr>
          <w:rFonts w:asciiTheme="majorHAnsi" w:hAnsiTheme="majorHAnsi"/>
        </w:rPr>
        <w:fldChar w:fldCharType="end"/>
      </w:r>
      <w:r w:rsidR="00DA667E">
        <w:rPr>
          <w:rFonts w:asciiTheme="majorHAnsi" w:hAnsiTheme="majorHAnsi"/>
        </w:rPr>
        <w:t xml:space="preserve"> </w:t>
      </w:r>
      <w:r w:rsidR="00342CA3">
        <w:rPr>
          <w:rFonts w:asciiTheme="majorHAnsi" w:hAnsiTheme="majorHAnsi"/>
        </w:rPr>
        <w:t>and</w:t>
      </w:r>
      <w:r w:rsidR="00DA667E">
        <w:rPr>
          <w:rFonts w:asciiTheme="majorHAnsi" w:hAnsiTheme="majorHAnsi"/>
        </w:rPr>
        <w:t xml:space="preserve"> some of these </w:t>
      </w:r>
      <w:r w:rsidR="008E4A12">
        <w:rPr>
          <w:rFonts w:asciiTheme="majorHAnsi" w:hAnsiTheme="majorHAnsi"/>
        </w:rPr>
        <w:t xml:space="preserve">studies </w:t>
      </w:r>
      <w:r w:rsidR="00DA667E">
        <w:rPr>
          <w:rFonts w:asciiTheme="majorHAnsi" w:hAnsiTheme="majorHAnsi"/>
        </w:rPr>
        <w:t xml:space="preserve">include </w:t>
      </w:r>
      <w:proofErr w:type="spellStart"/>
      <w:r w:rsidR="00DA667E">
        <w:rPr>
          <w:rFonts w:asciiTheme="majorHAnsi" w:hAnsiTheme="majorHAnsi"/>
        </w:rPr>
        <w:t>bedaquiline</w:t>
      </w:r>
      <w:proofErr w:type="spellEnd"/>
      <w:r w:rsidR="00DA667E">
        <w:rPr>
          <w:rFonts w:asciiTheme="majorHAnsi" w:hAnsiTheme="majorHAnsi"/>
        </w:rPr>
        <w:t>-based regimens</w:t>
      </w:r>
      <w:r w:rsidR="00DA667E" w:rsidRPr="00066D5F">
        <w:rPr>
          <w:rFonts w:asciiTheme="majorHAnsi" w:hAnsiTheme="majorHAnsi"/>
        </w:rPr>
        <w:fldChar w:fldCharType="begin" w:fldLock="1"/>
      </w:r>
      <w:r w:rsidR="00D277A5">
        <w:rPr>
          <w:rFonts w:asciiTheme="majorHAnsi" w:hAnsiTheme="majorHAnsi"/>
        </w:rPr>
        <w:instrText>ADDIN CSL_CITATION { "citationItems" : [ { "id" : "ITEM-1", "itemData" : { "URL" : "https://clinicaltrials.gov/ct2/show/record/NCT02409290", "accessed" : { "date-parts" : [ [ "2015", "7", "16" ] ] }, "id" : "ITEM-1", "issued" : { "date-parts" : [ [ "0" ] ] }, "title" : "The Evaluation of a Standard Treatment Regimen of Anti-tuberculosis Drugs for Patients With MDR-TB (STREAM)", "type" : "webpage" }, "uris" : [ "http://www.mendeley.com/documents/?uuid=24a022cd-c419-4e7a-b3f6-ef83c185084d" ] } ], "mendeley" : { "formattedCitation" : "&lt;sup&gt;15&lt;/sup&gt;", "plainTextFormattedCitation" : "15", "previouslyFormattedCitation" : "&lt;sup&gt;15&lt;/sup&gt;" }, "properties" : { "noteIndex" : 0 }, "schema" : "https://github.com/citation-style-language/schema/raw/master/csl-citation.json" }</w:instrText>
      </w:r>
      <w:r w:rsidR="00DA667E" w:rsidRPr="00066D5F">
        <w:rPr>
          <w:rFonts w:asciiTheme="majorHAnsi" w:hAnsiTheme="majorHAnsi"/>
        </w:rPr>
        <w:fldChar w:fldCharType="separate"/>
      </w:r>
      <w:r w:rsidR="00D277A5" w:rsidRPr="00D277A5">
        <w:rPr>
          <w:rFonts w:asciiTheme="majorHAnsi" w:hAnsiTheme="majorHAnsi"/>
          <w:noProof/>
          <w:vertAlign w:val="superscript"/>
        </w:rPr>
        <w:t>15</w:t>
      </w:r>
      <w:r w:rsidR="00DA667E" w:rsidRPr="00066D5F">
        <w:rPr>
          <w:rFonts w:asciiTheme="majorHAnsi" w:hAnsiTheme="majorHAnsi"/>
        </w:rPr>
        <w:fldChar w:fldCharType="end"/>
      </w:r>
      <w:r w:rsidR="00DA667E">
        <w:rPr>
          <w:rFonts w:asciiTheme="majorHAnsi" w:hAnsiTheme="majorHAnsi"/>
        </w:rPr>
        <w:t xml:space="preserve">. However, it will be several years until results are available. In the meantime, </w:t>
      </w:r>
      <w:r w:rsidR="0019522E">
        <w:rPr>
          <w:rFonts w:asciiTheme="majorHAnsi" w:hAnsiTheme="majorHAnsi"/>
        </w:rPr>
        <w:t>clinical use of</w:t>
      </w:r>
      <w:r w:rsidR="00DA667E" w:rsidRPr="00066D5F">
        <w:rPr>
          <w:rFonts w:asciiTheme="majorHAnsi" w:hAnsiTheme="majorHAnsi"/>
        </w:rPr>
        <w:t xml:space="preserve"> novel </w:t>
      </w:r>
      <w:r w:rsidR="00DA667E">
        <w:rPr>
          <w:rFonts w:asciiTheme="majorHAnsi" w:hAnsiTheme="majorHAnsi"/>
        </w:rPr>
        <w:t>anti-</w:t>
      </w:r>
      <w:proofErr w:type="spellStart"/>
      <w:r w:rsidR="00DA667E">
        <w:rPr>
          <w:rFonts w:asciiTheme="majorHAnsi" w:hAnsiTheme="majorHAnsi"/>
        </w:rPr>
        <w:t>tuberculous</w:t>
      </w:r>
      <w:proofErr w:type="spellEnd"/>
      <w:r w:rsidR="00DA667E">
        <w:rPr>
          <w:rFonts w:asciiTheme="majorHAnsi" w:hAnsiTheme="majorHAnsi"/>
        </w:rPr>
        <w:t xml:space="preserve"> </w:t>
      </w:r>
      <w:r w:rsidR="0019522E">
        <w:rPr>
          <w:rFonts w:asciiTheme="majorHAnsi" w:hAnsiTheme="majorHAnsi"/>
        </w:rPr>
        <w:t xml:space="preserve">drugs and combination regimens </w:t>
      </w:r>
      <w:r w:rsidR="00DA667E">
        <w:rPr>
          <w:rFonts w:asciiTheme="majorHAnsi" w:hAnsiTheme="majorHAnsi"/>
        </w:rPr>
        <w:t>will</w:t>
      </w:r>
      <w:r w:rsidR="00DA667E" w:rsidRPr="00066D5F">
        <w:rPr>
          <w:rFonts w:asciiTheme="majorHAnsi" w:hAnsiTheme="majorHAnsi"/>
        </w:rPr>
        <w:t xml:space="preserve"> be informed by incremental experience from case reports and case series. </w:t>
      </w:r>
      <w:r w:rsidR="008E4A12">
        <w:rPr>
          <w:rFonts w:asciiTheme="majorHAnsi" w:hAnsiTheme="majorHAnsi"/>
        </w:rPr>
        <w:t>In this scenario</w:t>
      </w:r>
      <w:r w:rsidR="00DA667E" w:rsidRPr="00066D5F">
        <w:rPr>
          <w:rFonts w:asciiTheme="majorHAnsi" w:hAnsiTheme="majorHAnsi"/>
        </w:rPr>
        <w:t>, o</w:t>
      </w:r>
      <w:r w:rsidR="00DA667E">
        <w:rPr>
          <w:rFonts w:asciiTheme="majorHAnsi" w:hAnsiTheme="majorHAnsi"/>
        </w:rPr>
        <w:t>ur experience</w:t>
      </w:r>
      <w:r w:rsidR="00DA667E" w:rsidRPr="00066D5F">
        <w:rPr>
          <w:rFonts w:asciiTheme="majorHAnsi" w:hAnsiTheme="majorHAnsi"/>
        </w:rPr>
        <w:t xml:space="preserve"> that </w:t>
      </w:r>
      <w:proofErr w:type="spellStart"/>
      <w:r w:rsidR="00DA667E" w:rsidRPr="00066D5F">
        <w:rPr>
          <w:rFonts w:asciiTheme="majorHAnsi" w:hAnsiTheme="majorHAnsi"/>
        </w:rPr>
        <w:t>bedaquiline</w:t>
      </w:r>
      <w:proofErr w:type="spellEnd"/>
      <w:r w:rsidR="0019522E">
        <w:rPr>
          <w:rFonts w:asciiTheme="majorHAnsi" w:hAnsiTheme="majorHAnsi"/>
        </w:rPr>
        <w:t xml:space="preserve"> can be safe and effective</w:t>
      </w:r>
      <w:r w:rsidR="00DA667E">
        <w:rPr>
          <w:rFonts w:asciiTheme="majorHAnsi" w:hAnsiTheme="majorHAnsi"/>
        </w:rPr>
        <w:t xml:space="preserve"> w</w:t>
      </w:r>
      <w:r w:rsidR="006215A6">
        <w:rPr>
          <w:rFonts w:asciiTheme="majorHAnsi" w:hAnsiTheme="majorHAnsi"/>
        </w:rPr>
        <w:t>hen continued for up to 18</w:t>
      </w:r>
      <w:r w:rsidR="00DA667E">
        <w:rPr>
          <w:rFonts w:asciiTheme="majorHAnsi" w:hAnsiTheme="majorHAnsi"/>
        </w:rPr>
        <w:t xml:space="preserve"> </w:t>
      </w:r>
      <w:r w:rsidR="00DA667E">
        <w:rPr>
          <w:rFonts w:asciiTheme="majorHAnsi" w:hAnsiTheme="majorHAnsi"/>
        </w:rPr>
        <w:lastRenderedPageBreak/>
        <w:t>months in</w:t>
      </w:r>
      <w:r w:rsidR="00DA667E" w:rsidRPr="00066D5F">
        <w:rPr>
          <w:rFonts w:asciiTheme="majorHAnsi" w:hAnsiTheme="majorHAnsi"/>
        </w:rPr>
        <w:t xml:space="preserve"> the treatment of pulmonary XDR-TB</w:t>
      </w:r>
      <w:r w:rsidR="008E4A12">
        <w:rPr>
          <w:rFonts w:asciiTheme="majorHAnsi" w:hAnsiTheme="majorHAnsi"/>
        </w:rPr>
        <w:t xml:space="preserve"> is important and relevant for other clinicians managing drug-resistant TB</w:t>
      </w:r>
      <w:r w:rsidR="00DA667E" w:rsidRPr="00066D5F">
        <w:rPr>
          <w:rFonts w:asciiTheme="majorHAnsi" w:hAnsiTheme="majorHAnsi"/>
        </w:rPr>
        <w:t>.</w:t>
      </w:r>
    </w:p>
    <w:p w14:paraId="54383E7A" w14:textId="77777777" w:rsidR="008C3512" w:rsidRPr="00066D5F" w:rsidRDefault="008C3512" w:rsidP="004228C2">
      <w:pPr>
        <w:spacing w:line="480" w:lineRule="auto"/>
        <w:rPr>
          <w:rFonts w:asciiTheme="majorHAnsi" w:hAnsiTheme="majorHAnsi"/>
        </w:rPr>
      </w:pPr>
    </w:p>
    <w:p w14:paraId="2D2D256C" w14:textId="77777777" w:rsidR="00364831" w:rsidRDefault="00364831" w:rsidP="00317D97">
      <w:pPr>
        <w:outlineLvl w:val="0"/>
        <w:rPr>
          <w:rFonts w:asciiTheme="majorHAnsi" w:hAnsiTheme="majorHAnsi"/>
        </w:rPr>
      </w:pPr>
    </w:p>
    <w:p w14:paraId="409A93E2" w14:textId="77777777" w:rsidR="00A070A5" w:rsidRPr="00066D5F" w:rsidRDefault="00A070A5" w:rsidP="00317D97">
      <w:pPr>
        <w:outlineLvl w:val="0"/>
        <w:rPr>
          <w:rFonts w:asciiTheme="majorHAnsi" w:hAnsiTheme="majorHAnsi"/>
        </w:rPr>
      </w:pPr>
      <w:r w:rsidRPr="00066D5F">
        <w:rPr>
          <w:rFonts w:asciiTheme="majorHAnsi" w:hAnsiTheme="majorHAnsi"/>
        </w:rPr>
        <w:t>References</w:t>
      </w:r>
    </w:p>
    <w:p w14:paraId="05280AB7" w14:textId="77777777" w:rsidR="00A070A5" w:rsidRPr="00066D5F" w:rsidRDefault="00A070A5" w:rsidP="00A070A5">
      <w:pPr>
        <w:rPr>
          <w:rFonts w:asciiTheme="majorHAnsi" w:hAnsiTheme="majorHAnsi"/>
        </w:rPr>
      </w:pPr>
    </w:p>
    <w:p w14:paraId="20FB95A0" w14:textId="3A183F75" w:rsidR="00D277A5" w:rsidRPr="00D277A5" w:rsidRDefault="00A070A5" w:rsidP="00D277A5">
      <w:pPr>
        <w:widowControl w:val="0"/>
        <w:autoSpaceDE w:val="0"/>
        <w:autoSpaceDN w:val="0"/>
        <w:adjustRightInd w:val="0"/>
        <w:spacing w:after="140"/>
        <w:ind w:left="640" w:hanging="640"/>
        <w:rPr>
          <w:rFonts w:ascii="Calibri" w:eastAsia="Times New Roman" w:hAnsi="Calibri" w:cs="Times New Roman"/>
          <w:noProof/>
        </w:rPr>
      </w:pPr>
      <w:r w:rsidRPr="00066D5F">
        <w:rPr>
          <w:rFonts w:asciiTheme="majorHAnsi" w:hAnsiTheme="majorHAnsi" w:cs="Times New Roman"/>
          <w:sz w:val="20"/>
          <w:szCs w:val="20"/>
        </w:rPr>
        <w:fldChar w:fldCharType="begin" w:fldLock="1"/>
      </w:r>
      <w:r w:rsidRPr="00066D5F">
        <w:rPr>
          <w:rFonts w:asciiTheme="majorHAnsi" w:hAnsiTheme="majorHAnsi"/>
        </w:rPr>
        <w:instrText xml:space="preserve">ADDIN Mendeley Bibliography CSL_BIBLIOGRAPHY </w:instrText>
      </w:r>
      <w:r w:rsidRPr="00066D5F">
        <w:rPr>
          <w:rFonts w:asciiTheme="majorHAnsi" w:hAnsiTheme="majorHAnsi" w:cs="Times New Roman"/>
          <w:sz w:val="20"/>
          <w:szCs w:val="20"/>
        </w:rPr>
        <w:fldChar w:fldCharType="separate"/>
      </w:r>
      <w:r w:rsidR="00D277A5" w:rsidRPr="00D277A5">
        <w:rPr>
          <w:rFonts w:ascii="Calibri" w:eastAsia="Times New Roman" w:hAnsi="Calibri" w:cs="Times New Roman"/>
          <w:noProof/>
        </w:rPr>
        <w:t xml:space="preserve">1. </w:t>
      </w:r>
      <w:r w:rsidR="00D277A5" w:rsidRPr="00D277A5">
        <w:rPr>
          <w:rFonts w:ascii="Calibri" w:eastAsia="Times New Roman" w:hAnsi="Calibri" w:cs="Times New Roman"/>
          <w:noProof/>
        </w:rPr>
        <w:tab/>
        <w:t xml:space="preserve">Pietersen E, Ignatius E, Streicher EM, et al. Long-term outcomes of patients with extensively drug-resistant tuberculosis in South Africa: a cohort study. </w:t>
      </w:r>
      <w:r w:rsidR="00D277A5" w:rsidRPr="00D277A5">
        <w:rPr>
          <w:rFonts w:ascii="Calibri" w:eastAsia="Times New Roman" w:hAnsi="Calibri" w:cs="Times New Roman"/>
          <w:i/>
          <w:iCs/>
          <w:noProof/>
        </w:rPr>
        <w:t>Lancet</w:t>
      </w:r>
      <w:r w:rsidR="00D277A5" w:rsidRPr="00D277A5">
        <w:rPr>
          <w:rFonts w:ascii="Calibri" w:eastAsia="Times New Roman" w:hAnsi="Calibri" w:cs="Times New Roman"/>
          <w:noProof/>
        </w:rPr>
        <w:t>. 2014;383(9924):1230-1239.</w:t>
      </w:r>
    </w:p>
    <w:p w14:paraId="6EA7EE11"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2. </w:t>
      </w:r>
      <w:r w:rsidRPr="00D277A5">
        <w:rPr>
          <w:rFonts w:ascii="Calibri" w:eastAsia="Times New Roman" w:hAnsi="Calibri" w:cs="Times New Roman"/>
          <w:noProof/>
        </w:rPr>
        <w:tab/>
        <w:t xml:space="preserve">Diacon AH, Pym A, Grobusch MP, et al. Multidrug-resistant tuberculosis and culture conversion with bedaquiline. </w:t>
      </w:r>
      <w:r w:rsidRPr="00D277A5">
        <w:rPr>
          <w:rFonts w:ascii="Calibri" w:eastAsia="Times New Roman" w:hAnsi="Calibri" w:cs="Times New Roman"/>
          <w:i/>
          <w:iCs/>
          <w:noProof/>
        </w:rPr>
        <w:t>N Engl J Med</w:t>
      </w:r>
      <w:r w:rsidRPr="00D277A5">
        <w:rPr>
          <w:rFonts w:ascii="Calibri" w:eastAsia="Times New Roman" w:hAnsi="Calibri" w:cs="Times New Roman"/>
          <w:noProof/>
        </w:rPr>
        <w:t>. 2014;371(8):723-732.</w:t>
      </w:r>
    </w:p>
    <w:p w14:paraId="3B65054D"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3. </w:t>
      </w:r>
      <w:r w:rsidRPr="00D277A5">
        <w:rPr>
          <w:rFonts w:ascii="Calibri" w:eastAsia="Times New Roman" w:hAnsi="Calibri" w:cs="Times New Roman"/>
          <w:noProof/>
        </w:rPr>
        <w:tab/>
        <w:t xml:space="preserve">Guglielmetti L, Le Dû D, Jachym M, et al. Compassionate use of bedaquiline for the treatment of multidrug-resistant and extensively drug-resistant tuberculosis: interim analysis of a French cohort. </w:t>
      </w:r>
      <w:r w:rsidRPr="00D277A5">
        <w:rPr>
          <w:rFonts w:ascii="Calibri" w:eastAsia="Times New Roman" w:hAnsi="Calibri" w:cs="Times New Roman"/>
          <w:i/>
          <w:iCs/>
          <w:noProof/>
        </w:rPr>
        <w:t>Clin Infect Dis</w:t>
      </w:r>
      <w:r w:rsidRPr="00D277A5">
        <w:rPr>
          <w:rFonts w:ascii="Calibri" w:eastAsia="Times New Roman" w:hAnsi="Calibri" w:cs="Times New Roman"/>
          <w:noProof/>
        </w:rPr>
        <w:t>. 2015;60(2):188-194.</w:t>
      </w:r>
    </w:p>
    <w:p w14:paraId="2D893005"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4. </w:t>
      </w:r>
      <w:r w:rsidRPr="00D277A5">
        <w:rPr>
          <w:rFonts w:ascii="Calibri" w:eastAsia="Times New Roman" w:hAnsi="Calibri" w:cs="Times New Roman"/>
          <w:noProof/>
        </w:rPr>
        <w:tab/>
        <w:t xml:space="preserve">Catho G, Couraud S, Grard S, et al. Management of emerging multidrug-resistant tuberculosis in a low-prevalence setting. </w:t>
      </w:r>
      <w:r w:rsidRPr="00D277A5">
        <w:rPr>
          <w:rFonts w:ascii="Calibri" w:eastAsia="Times New Roman" w:hAnsi="Calibri" w:cs="Times New Roman"/>
          <w:i/>
          <w:iCs/>
          <w:noProof/>
        </w:rPr>
        <w:t>Clin Microbiol Infect</w:t>
      </w:r>
      <w:r w:rsidRPr="00D277A5">
        <w:rPr>
          <w:rFonts w:ascii="Calibri" w:eastAsia="Times New Roman" w:hAnsi="Calibri" w:cs="Times New Roman"/>
          <w:noProof/>
        </w:rPr>
        <w:t>. 2015;21(5):472.e7-e472.e10.</w:t>
      </w:r>
    </w:p>
    <w:p w14:paraId="0303E984"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5. </w:t>
      </w:r>
      <w:r w:rsidRPr="00D277A5">
        <w:rPr>
          <w:rFonts w:ascii="Calibri" w:eastAsia="Times New Roman" w:hAnsi="Calibri" w:cs="Times New Roman"/>
          <w:noProof/>
        </w:rPr>
        <w:tab/>
        <w:t xml:space="preserve">Tiberi S, De Lorenzo S, Centis R, Viggiani P, D’Ambrosio L, Migliori GB. Bedaquiline in MDR/XDR-TB cases: first experience on compassionate use. </w:t>
      </w:r>
      <w:r w:rsidRPr="00D277A5">
        <w:rPr>
          <w:rFonts w:ascii="Calibri" w:eastAsia="Times New Roman" w:hAnsi="Calibri" w:cs="Times New Roman"/>
          <w:i/>
          <w:iCs/>
          <w:noProof/>
        </w:rPr>
        <w:t>Eur Respir J</w:t>
      </w:r>
      <w:r w:rsidRPr="00D277A5">
        <w:rPr>
          <w:rFonts w:ascii="Calibri" w:eastAsia="Times New Roman" w:hAnsi="Calibri" w:cs="Times New Roman"/>
          <w:noProof/>
        </w:rPr>
        <w:t>. 2014;43(1):289-292.</w:t>
      </w:r>
    </w:p>
    <w:p w14:paraId="48221B2F"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6. </w:t>
      </w:r>
      <w:r w:rsidRPr="00D277A5">
        <w:rPr>
          <w:rFonts w:ascii="Calibri" w:eastAsia="Times New Roman" w:hAnsi="Calibri" w:cs="Times New Roman"/>
          <w:noProof/>
        </w:rPr>
        <w:tab/>
        <w:t xml:space="preserve">van Halsema C, Humphreys S, Bonington A. Extensively drug-resistant tuberculosis: early access to bedaquiline for a UK patient. </w:t>
      </w:r>
      <w:r w:rsidRPr="00D277A5">
        <w:rPr>
          <w:rFonts w:ascii="Calibri" w:eastAsia="Times New Roman" w:hAnsi="Calibri" w:cs="Times New Roman"/>
          <w:i/>
          <w:iCs/>
          <w:noProof/>
        </w:rPr>
        <w:t>Eur Respir J</w:t>
      </w:r>
      <w:r w:rsidRPr="00D277A5">
        <w:rPr>
          <w:rFonts w:ascii="Calibri" w:eastAsia="Times New Roman" w:hAnsi="Calibri" w:cs="Times New Roman"/>
          <w:noProof/>
        </w:rPr>
        <w:t>. 2014;43(1):292-294.</w:t>
      </w:r>
    </w:p>
    <w:p w14:paraId="5F79B6B0"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7. </w:t>
      </w:r>
      <w:r w:rsidRPr="00D277A5">
        <w:rPr>
          <w:rFonts w:ascii="Calibri" w:eastAsia="Times New Roman" w:hAnsi="Calibri" w:cs="Times New Roman"/>
          <w:noProof/>
        </w:rPr>
        <w:tab/>
        <w:t xml:space="preserve">Danckers M, Lesko MB, Adamson R, Leibert E. Compassionate use of bedaquiline in the treatment of pulmonary XDR-TB. </w:t>
      </w:r>
      <w:r w:rsidRPr="00D277A5">
        <w:rPr>
          <w:rFonts w:ascii="Calibri" w:eastAsia="Times New Roman" w:hAnsi="Calibri" w:cs="Times New Roman"/>
          <w:i/>
          <w:iCs/>
          <w:noProof/>
        </w:rPr>
        <w:t>Int J Tuberc Lung Dis</w:t>
      </w:r>
      <w:r w:rsidRPr="00D277A5">
        <w:rPr>
          <w:rFonts w:ascii="Calibri" w:eastAsia="Times New Roman" w:hAnsi="Calibri" w:cs="Times New Roman"/>
          <w:noProof/>
        </w:rPr>
        <w:t>. 2014;18(12):1522-1523.</w:t>
      </w:r>
    </w:p>
    <w:p w14:paraId="5B625BE5"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8. </w:t>
      </w:r>
      <w:r w:rsidRPr="00D277A5">
        <w:rPr>
          <w:rFonts w:ascii="Calibri" w:eastAsia="Times New Roman" w:hAnsi="Calibri" w:cs="Times New Roman"/>
          <w:noProof/>
        </w:rPr>
        <w:tab/>
        <w:t xml:space="preserve">Udwadia ZF, Amale RA, Mullerpattan JB. Initial experience of bedaquiline use in a series of drug-resistant tuberculosis patients from India. </w:t>
      </w:r>
      <w:r w:rsidRPr="00D277A5">
        <w:rPr>
          <w:rFonts w:ascii="Calibri" w:eastAsia="Times New Roman" w:hAnsi="Calibri" w:cs="Times New Roman"/>
          <w:i/>
          <w:iCs/>
          <w:noProof/>
        </w:rPr>
        <w:t>Int J Tuberc Lung Dis</w:t>
      </w:r>
      <w:r w:rsidRPr="00D277A5">
        <w:rPr>
          <w:rFonts w:ascii="Calibri" w:eastAsia="Times New Roman" w:hAnsi="Calibri" w:cs="Times New Roman"/>
          <w:noProof/>
        </w:rPr>
        <w:t>. 2014;18(11):1315-1318.</w:t>
      </w:r>
    </w:p>
    <w:p w14:paraId="676C57DA"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9. </w:t>
      </w:r>
      <w:r w:rsidRPr="00D277A5">
        <w:rPr>
          <w:rFonts w:ascii="Calibri" w:eastAsia="Times New Roman" w:hAnsi="Calibri" w:cs="Times New Roman"/>
          <w:noProof/>
        </w:rPr>
        <w:tab/>
        <w:t xml:space="preserve">Ndjeka N, Conradie F, Schnippel K, et al. Treatment of drug-resistant tuberculosis with bedaquiline in a high HIV prevalence setting: an interim cohort analysis. </w:t>
      </w:r>
      <w:r w:rsidRPr="00D277A5">
        <w:rPr>
          <w:rFonts w:ascii="Calibri" w:eastAsia="Times New Roman" w:hAnsi="Calibri" w:cs="Times New Roman"/>
          <w:i/>
          <w:iCs/>
          <w:noProof/>
        </w:rPr>
        <w:t>Int J Tuberc Lung Dis</w:t>
      </w:r>
      <w:r w:rsidRPr="00D277A5">
        <w:rPr>
          <w:rFonts w:ascii="Calibri" w:eastAsia="Times New Roman" w:hAnsi="Calibri" w:cs="Times New Roman"/>
          <w:noProof/>
        </w:rPr>
        <w:t>. 2015;19(8):979-985.</w:t>
      </w:r>
    </w:p>
    <w:p w14:paraId="4273231B"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10. </w:t>
      </w:r>
      <w:r w:rsidRPr="00D277A5">
        <w:rPr>
          <w:rFonts w:ascii="Calibri" w:eastAsia="Times New Roman" w:hAnsi="Calibri" w:cs="Times New Roman"/>
          <w:noProof/>
        </w:rPr>
        <w:tab/>
        <w:t xml:space="preserve">Mase S, Chorba T, Lobue P, Castro K. Provisional CDC Guidelines for the Use and Safety Monitoring of Bedaquiline Fumarate (Sirturo) for the Treatment of Multidrug-Resistant Tuberculosis. </w:t>
      </w:r>
      <w:r w:rsidRPr="00D277A5">
        <w:rPr>
          <w:rFonts w:ascii="Calibri" w:eastAsia="Times New Roman" w:hAnsi="Calibri" w:cs="Times New Roman"/>
          <w:i/>
          <w:iCs/>
          <w:noProof/>
        </w:rPr>
        <w:t>MMWR</w:t>
      </w:r>
      <w:r w:rsidRPr="00D277A5">
        <w:rPr>
          <w:rFonts w:ascii="Calibri" w:eastAsia="Times New Roman" w:hAnsi="Calibri" w:cs="Times New Roman"/>
          <w:noProof/>
        </w:rPr>
        <w:t>. 2013;62(RR09):1-12.</w:t>
      </w:r>
    </w:p>
    <w:p w14:paraId="5616A5A3" w14:textId="77777777" w:rsidR="00D277A5" w:rsidRPr="009E0462" w:rsidRDefault="00D277A5" w:rsidP="00D277A5">
      <w:pPr>
        <w:widowControl w:val="0"/>
        <w:autoSpaceDE w:val="0"/>
        <w:autoSpaceDN w:val="0"/>
        <w:adjustRightInd w:val="0"/>
        <w:spacing w:after="140"/>
        <w:ind w:left="640" w:hanging="640"/>
        <w:rPr>
          <w:rFonts w:ascii="Calibri" w:eastAsia="Times New Roman" w:hAnsi="Calibri" w:cs="Times New Roman"/>
          <w:noProof/>
          <w:color w:val="000000" w:themeColor="text1"/>
        </w:rPr>
      </w:pPr>
      <w:r w:rsidRPr="00D277A5">
        <w:rPr>
          <w:rFonts w:ascii="Calibri" w:eastAsia="Times New Roman" w:hAnsi="Calibri" w:cs="Times New Roman"/>
          <w:noProof/>
        </w:rPr>
        <w:t xml:space="preserve">11. </w:t>
      </w:r>
      <w:r w:rsidRPr="009E0462">
        <w:rPr>
          <w:rFonts w:ascii="Calibri" w:eastAsia="Times New Roman" w:hAnsi="Calibri" w:cs="Times New Roman"/>
          <w:noProof/>
          <w:color w:val="000000" w:themeColor="text1"/>
        </w:rPr>
        <w:tab/>
        <w:t xml:space="preserve">World Health Organisation. </w:t>
      </w:r>
      <w:r w:rsidRPr="009E0462">
        <w:rPr>
          <w:rFonts w:ascii="Calibri" w:eastAsia="Times New Roman" w:hAnsi="Calibri" w:cs="Times New Roman"/>
          <w:i/>
          <w:iCs/>
          <w:noProof/>
          <w:color w:val="000000" w:themeColor="text1"/>
        </w:rPr>
        <w:t>Companion Handbook to the WHO Guidelines for the Programmatic Management of Drug-Resistant Tuberculosis</w:t>
      </w:r>
      <w:r w:rsidRPr="009E0462">
        <w:rPr>
          <w:rFonts w:ascii="Calibri" w:eastAsia="Times New Roman" w:hAnsi="Calibri" w:cs="Times New Roman"/>
          <w:noProof/>
          <w:color w:val="000000" w:themeColor="text1"/>
        </w:rPr>
        <w:t>. Geneva; 2014.</w:t>
      </w:r>
    </w:p>
    <w:p w14:paraId="3DDD4E75" w14:textId="77777777" w:rsidR="00D277A5" w:rsidRPr="009E0462" w:rsidRDefault="00D277A5" w:rsidP="00D277A5">
      <w:pPr>
        <w:widowControl w:val="0"/>
        <w:autoSpaceDE w:val="0"/>
        <w:autoSpaceDN w:val="0"/>
        <w:adjustRightInd w:val="0"/>
        <w:spacing w:after="140"/>
        <w:ind w:left="640" w:hanging="640"/>
        <w:rPr>
          <w:rFonts w:ascii="Calibri" w:eastAsia="Times New Roman" w:hAnsi="Calibri" w:cs="Times New Roman"/>
          <w:noProof/>
          <w:color w:val="000000" w:themeColor="text1"/>
        </w:rPr>
      </w:pPr>
      <w:r w:rsidRPr="009E0462">
        <w:rPr>
          <w:rFonts w:ascii="Calibri" w:eastAsia="Times New Roman" w:hAnsi="Calibri" w:cs="Times New Roman"/>
          <w:noProof/>
          <w:color w:val="000000" w:themeColor="text1"/>
        </w:rPr>
        <w:lastRenderedPageBreak/>
        <w:t xml:space="preserve">12. </w:t>
      </w:r>
      <w:r w:rsidRPr="009E0462">
        <w:rPr>
          <w:rFonts w:ascii="Calibri" w:eastAsia="Times New Roman" w:hAnsi="Calibri" w:cs="Times New Roman"/>
          <w:noProof/>
          <w:color w:val="000000" w:themeColor="text1"/>
        </w:rPr>
        <w:tab/>
        <w:t xml:space="preserve">Falzon D, Jaramillo E, Schünemann HJ, et al. WHO guidelines for the programmatic management of drug-resistant tuberculosis: 2011 update. </w:t>
      </w:r>
      <w:r w:rsidRPr="009E0462">
        <w:rPr>
          <w:rFonts w:ascii="Calibri" w:eastAsia="Times New Roman" w:hAnsi="Calibri" w:cs="Times New Roman"/>
          <w:i/>
          <w:iCs/>
          <w:noProof/>
          <w:color w:val="000000" w:themeColor="text1"/>
        </w:rPr>
        <w:t>Eur Respir J</w:t>
      </w:r>
      <w:r w:rsidRPr="009E0462">
        <w:rPr>
          <w:rFonts w:ascii="Calibri" w:eastAsia="Times New Roman" w:hAnsi="Calibri" w:cs="Times New Roman"/>
          <w:noProof/>
          <w:color w:val="000000" w:themeColor="text1"/>
        </w:rPr>
        <w:t>. 2011;38(3):516-528.</w:t>
      </w:r>
    </w:p>
    <w:p w14:paraId="6E17BC16" w14:textId="77777777" w:rsidR="00D277A5" w:rsidRPr="009E0462" w:rsidRDefault="00D277A5" w:rsidP="00D277A5">
      <w:pPr>
        <w:widowControl w:val="0"/>
        <w:autoSpaceDE w:val="0"/>
        <w:autoSpaceDN w:val="0"/>
        <w:adjustRightInd w:val="0"/>
        <w:spacing w:after="140"/>
        <w:ind w:left="640" w:hanging="640"/>
        <w:rPr>
          <w:rFonts w:ascii="Calibri" w:eastAsia="Times New Roman" w:hAnsi="Calibri" w:cs="Times New Roman"/>
          <w:noProof/>
          <w:color w:val="000000" w:themeColor="text1"/>
        </w:rPr>
      </w:pPr>
      <w:r w:rsidRPr="009E0462">
        <w:rPr>
          <w:rFonts w:ascii="Calibri" w:eastAsia="Times New Roman" w:hAnsi="Calibri" w:cs="Times New Roman"/>
          <w:noProof/>
          <w:color w:val="000000" w:themeColor="text1"/>
        </w:rPr>
        <w:t xml:space="preserve">13. </w:t>
      </w:r>
      <w:r w:rsidRPr="009E0462">
        <w:rPr>
          <w:rFonts w:ascii="Calibri" w:eastAsia="Times New Roman" w:hAnsi="Calibri" w:cs="Times New Roman"/>
          <w:noProof/>
          <w:color w:val="000000" w:themeColor="text1"/>
        </w:rPr>
        <w:tab/>
        <w:t xml:space="preserve">Pontali E, Sotgiu G, Ambrosio LD, Centis R, Migliori GB. Bedaquiline and multidrug-resistant tuberculosis: a systematic and critical analysis of the </w:t>
      </w:r>
      <w:bookmarkStart w:id="0" w:name="_GoBack"/>
      <w:bookmarkEnd w:id="0"/>
      <w:r w:rsidRPr="009E0462">
        <w:rPr>
          <w:rFonts w:ascii="Calibri" w:eastAsia="Times New Roman" w:hAnsi="Calibri" w:cs="Times New Roman"/>
          <w:noProof/>
          <w:color w:val="000000" w:themeColor="text1"/>
        </w:rPr>
        <w:t xml:space="preserve">evidence. </w:t>
      </w:r>
      <w:r w:rsidRPr="009E0462">
        <w:rPr>
          <w:rFonts w:ascii="Calibri" w:eastAsia="Times New Roman" w:hAnsi="Calibri" w:cs="Times New Roman"/>
          <w:i/>
          <w:iCs/>
          <w:noProof/>
          <w:color w:val="000000" w:themeColor="text1"/>
        </w:rPr>
        <w:t>Eur Respir J</w:t>
      </w:r>
      <w:r w:rsidRPr="009E0462">
        <w:rPr>
          <w:rFonts w:ascii="Calibri" w:eastAsia="Times New Roman" w:hAnsi="Calibri" w:cs="Times New Roman"/>
          <w:noProof/>
          <w:color w:val="000000" w:themeColor="text1"/>
        </w:rPr>
        <w:t>. 2016;(In press).</w:t>
      </w:r>
    </w:p>
    <w:p w14:paraId="1F97932D" w14:textId="77777777" w:rsidR="00D277A5" w:rsidRPr="00D277A5" w:rsidRDefault="00D277A5" w:rsidP="00D277A5">
      <w:pPr>
        <w:widowControl w:val="0"/>
        <w:autoSpaceDE w:val="0"/>
        <w:autoSpaceDN w:val="0"/>
        <w:adjustRightInd w:val="0"/>
        <w:spacing w:after="140"/>
        <w:ind w:left="640" w:hanging="640"/>
        <w:rPr>
          <w:rFonts w:ascii="Calibri" w:eastAsia="Times New Roman" w:hAnsi="Calibri" w:cs="Times New Roman"/>
          <w:noProof/>
        </w:rPr>
      </w:pPr>
      <w:r w:rsidRPr="00D277A5">
        <w:rPr>
          <w:rFonts w:ascii="Calibri" w:eastAsia="Times New Roman" w:hAnsi="Calibri" w:cs="Times New Roman"/>
          <w:noProof/>
        </w:rPr>
        <w:t xml:space="preserve">14. </w:t>
      </w:r>
      <w:r w:rsidRPr="00D277A5">
        <w:rPr>
          <w:rFonts w:ascii="Calibri" w:eastAsia="Times New Roman" w:hAnsi="Calibri" w:cs="Times New Roman"/>
          <w:noProof/>
        </w:rPr>
        <w:tab/>
        <w:t xml:space="preserve">Aung KJM, Van Deun A, Declercq E, et al. Successful “9-month Bangladesh regimen” for multidrug-resistant tuberculosis among over 500 consecutive patients. </w:t>
      </w:r>
      <w:r w:rsidRPr="00D277A5">
        <w:rPr>
          <w:rFonts w:ascii="Calibri" w:eastAsia="Times New Roman" w:hAnsi="Calibri" w:cs="Times New Roman"/>
          <w:i/>
          <w:iCs/>
          <w:noProof/>
        </w:rPr>
        <w:t>Int J Tuberc Lung Dis</w:t>
      </w:r>
      <w:r w:rsidRPr="00D277A5">
        <w:rPr>
          <w:rFonts w:ascii="Calibri" w:eastAsia="Times New Roman" w:hAnsi="Calibri" w:cs="Times New Roman"/>
          <w:noProof/>
        </w:rPr>
        <w:t>. 2014;18(10):1180-1187.</w:t>
      </w:r>
    </w:p>
    <w:p w14:paraId="14F5F081" w14:textId="77777777" w:rsidR="00D277A5" w:rsidRPr="00D277A5" w:rsidRDefault="00D277A5" w:rsidP="00D277A5">
      <w:pPr>
        <w:widowControl w:val="0"/>
        <w:autoSpaceDE w:val="0"/>
        <w:autoSpaceDN w:val="0"/>
        <w:adjustRightInd w:val="0"/>
        <w:spacing w:after="140"/>
        <w:ind w:left="640" w:hanging="640"/>
        <w:rPr>
          <w:rFonts w:ascii="Calibri" w:hAnsi="Calibri"/>
          <w:noProof/>
        </w:rPr>
      </w:pPr>
      <w:r w:rsidRPr="00D277A5">
        <w:rPr>
          <w:rFonts w:ascii="Calibri" w:eastAsia="Times New Roman" w:hAnsi="Calibri" w:cs="Times New Roman"/>
          <w:noProof/>
        </w:rPr>
        <w:t xml:space="preserve">15. </w:t>
      </w:r>
      <w:r w:rsidRPr="00D277A5">
        <w:rPr>
          <w:rFonts w:ascii="Calibri" w:eastAsia="Times New Roman" w:hAnsi="Calibri" w:cs="Times New Roman"/>
          <w:noProof/>
        </w:rPr>
        <w:tab/>
        <w:t>The Evaluation of a Standard Treatment Regimen of Anti-tuberculosis Drugs for Patients With MDR-TB (STREAM). https://clinicaltrials.gov/ct2/show/record/NCT02409290. Accessed July 16, 2015.</w:t>
      </w:r>
    </w:p>
    <w:p w14:paraId="10290081" w14:textId="7CCC59BC" w:rsidR="00CA5347" w:rsidRDefault="00A070A5" w:rsidP="00D277A5">
      <w:pPr>
        <w:widowControl w:val="0"/>
        <w:autoSpaceDE w:val="0"/>
        <w:autoSpaceDN w:val="0"/>
        <w:adjustRightInd w:val="0"/>
        <w:spacing w:after="140"/>
        <w:ind w:left="640" w:hanging="640"/>
        <w:rPr>
          <w:rFonts w:asciiTheme="majorHAnsi" w:hAnsiTheme="majorHAnsi"/>
        </w:rPr>
      </w:pPr>
      <w:r w:rsidRPr="00066D5F">
        <w:rPr>
          <w:rFonts w:asciiTheme="majorHAnsi" w:hAnsiTheme="majorHAnsi"/>
        </w:rPr>
        <w:fldChar w:fldCharType="end"/>
      </w:r>
    </w:p>
    <w:p w14:paraId="33076EC9" w14:textId="77777777" w:rsidR="0043632E" w:rsidRDefault="0043632E" w:rsidP="000568AE">
      <w:pPr>
        <w:widowControl w:val="0"/>
        <w:autoSpaceDE w:val="0"/>
        <w:autoSpaceDN w:val="0"/>
        <w:adjustRightInd w:val="0"/>
        <w:rPr>
          <w:rFonts w:asciiTheme="majorHAnsi" w:hAnsiTheme="majorHAnsi"/>
        </w:rPr>
      </w:pPr>
    </w:p>
    <w:p w14:paraId="703A5EA6" w14:textId="77777777" w:rsidR="0043632E" w:rsidRDefault="0043632E" w:rsidP="0043632E">
      <w:pPr>
        <w:spacing w:line="480" w:lineRule="auto"/>
        <w:rPr>
          <w:rFonts w:asciiTheme="majorHAnsi" w:hAnsiTheme="majorHAnsi"/>
        </w:rPr>
      </w:pPr>
    </w:p>
    <w:p w14:paraId="1272F479" w14:textId="77777777" w:rsidR="0043632E" w:rsidRDefault="0043632E" w:rsidP="0043632E">
      <w:pPr>
        <w:spacing w:line="480" w:lineRule="auto"/>
        <w:rPr>
          <w:rFonts w:asciiTheme="majorHAnsi" w:hAnsiTheme="majorHAnsi"/>
        </w:rPr>
      </w:pPr>
      <w:r>
        <w:rPr>
          <w:rFonts w:asciiTheme="majorHAnsi" w:hAnsiTheme="majorHAnsi"/>
        </w:rPr>
        <w:t>Acknowledgements</w:t>
      </w:r>
    </w:p>
    <w:p w14:paraId="5F197F6D" w14:textId="77777777" w:rsidR="0043632E" w:rsidRPr="00066D5F" w:rsidRDefault="0043632E" w:rsidP="0043632E">
      <w:pPr>
        <w:spacing w:line="480" w:lineRule="auto"/>
        <w:rPr>
          <w:rFonts w:asciiTheme="majorHAnsi" w:hAnsiTheme="majorHAnsi"/>
        </w:rPr>
      </w:pPr>
      <w:r>
        <w:rPr>
          <w:rFonts w:asciiTheme="majorHAnsi" w:hAnsiTheme="majorHAnsi"/>
        </w:rPr>
        <w:t xml:space="preserve">This work received no specific funding but Joseph M. Lewis is supported by the </w:t>
      </w:r>
      <w:proofErr w:type="spellStart"/>
      <w:r>
        <w:rPr>
          <w:rFonts w:asciiTheme="majorHAnsi" w:hAnsiTheme="majorHAnsi"/>
        </w:rPr>
        <w:t>Wellcome</w:t>
      </w:r>
      <w:proofErr w:type="spellEnd"/>
      <w:r>
        <w:rPr>
          <w:rFonts w:asciiTheme="majorHAnsi" w:hAnsiTheme="majorHAnsi"/>
        </w:rPr>
        <w:t xml:space="preserve"> Trust as a </w:t>
      </w:r>
      <w:proofErr w:type="spellStart"/>
      <w:r>
        <w:rPr>
          <w:rFonts w:asciiTheme="majorHAnsi" w:hAnsiTheme="majorHAnsi"/>
        </w:rPr>
        <w:t>Wellcome</w:t>
      </w:r>
      <w:proofErr w:type="spellEnd"/>
      <w:r>
        <w:rPr>
          <w:rFonts w:asciiTheme="majorHAnsi" w:hAnsiTheme="majorHAnsi"/>
        </w:rPr>
        <w:t xml:space="preserve"> Trust clinical PhD fellow (</w:t>
      </w:r>
      <w:r w:rsidRPr="0043632E">
        <w:rPr>
          <w:rFonts w:asciiTheme="majorHAnsi" w:hAnsiTheme="majorHAnsi"/>
        </w:rPr>
        <w:t>grant number 109105/Z/15/Z</w:t>
      </w:r>
      <w:r>
        <w:rPr>
          <w:rFonts w:asciiTheme="majorHAnsi" w:hAnsiTheme="majorHAnsi"/>
        </w:rPr>
        <w:t>)</w:t>
      </w:r>
    </w:p>
    <w:p w14:paraId="7A2C5983" w14:textId="77777777" w:rsidR="0043632E" w:rsidRPr="00066D5F" w:rsidRDefault="0043632E" w:rsidP="000568AE">
      <w:pPr>
        <w:widowControl w:val="0"/>
        <w:autoSpaceDE w:val="0"/>
        <w:autoSpaceDN w:val="0"/>
        <w:adjustRightInd w:val="0"/>
        <w:rPr>
          <w:rFonts w:asciiTheme="majorHAnsi" w:hAnsiTheme="majorHAnsi"/>
        </w:rPr>
        <w:sectPr w:rsidR="0043632E" w:rsidRPr="00066D5F" w:rsidSect="00CA5347">
          <w:pgSz w:w="11900" w:h="16840"/>
          <w:pgMar w:top="1440" w:right="1800" w:bottom="1440" w:left="1800" w:header="708" w:footer="708" w:gutter="0"/>
          <w:cols w:space="708"/>
          <w:docGrid w:linePitch="360"/>
        </w:sectPr>
      </w:pPr>
    </w:p>
    <w:p w14:paraId="2325B417" w14:textId="765685A9" w:rsidR="003D28DB" w:rsidRPr="00066D5F" w:rsidRDefault="00F17087" w:rsidP="003D28DB">
      <w:pPr>
        <w:rPr>
          <w:rFonts w:asciiTheme="majorHAnsi" w:hAnsiTheme="majorHAnsi"/>
        </w:rPr>
      </w:pPr>
      <w:r w:rsidRPr="009E0462">
        <w:rPr>
          <w:rFonts w:asciiTheme="majorHAnsi" w:hAnsiTheme="majorHAnsi"/>
          <w:noProof/>
          <w:lang w:val="en-US"/>
        </w:rPr>
        <w:lastRenderedPageBreak/>
        <w:drawing>
          <wp:anchor distT="0" distB="0" distL="114300" distR="114300" simplePos="0" relativeHeight="251665408" behindDoc="0" locked="0" layoutInCell="1" allowOverlap="1" wp14:anchorId="721CB9E3" wp14:editId="61FDD722">
            <wp:simplePos x="0" y="0"/>
            <wp:positionH relativeFrom="column">
              <wp:posOffset>-62865</wp:posOffset>
            </wp:positionH>
            <wp:positionV relativeFrom="paragraph">
              <wp:posOffset>-798195</wp:posOffset>
            </wp:positionV>
            <wp:extent cx="8860155" cy="5019675"/>
            <wp:effectExtent l="0" t="0" r="4445" b="9525"/>
            <wp:wrapTight wrapText="bothSides">
              <wp:wrapPolygon edited="0">
                <wp:start x="0" y="0"/>
                <wp:lineTo x="0" y="21532"/>
                <wp:lineTo x="21549" y="21532"/>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Tc vs week 2016 01 04 with legend.jpg"/>
                    <pic:cNvPicPr/>
                  </pic:nvPicPr>
                  <pic:blipFill>
                    <a:blip r:embed="rId8">
                      <a:extLst>
                        <a:ext uri="{28A0092B-C50C-407E-A947-70E740481C1C}">
                          <a14:useLocalDpi xmlns:a14="http://schemas.microsoft.com/office/drawing/2010/main" val="0"/>
                        </a:ext>
                      </a:extLst>
                    </a:blip>
                    <a:stretch>
                      <a:fillRect/>
                    </a:stretch>
                  </pic:blipFill>
                  <pic:spPr>
                    <a:xfrm>
                      <a:off x="0" y="0"/>
                      <a:ext cx="8860155" cy="5019675"/>
                    </a:xfrm>
                    <a:prstGeom prst="rect">
                      <a:avLst/>
                    </a:prstGeom>
                  </pic:spPr>
                </pic:pic>
              </a:graphicData>
            </a:graphic>
            <wp14:sizeRelH relativeFrom="margin">
              <wp14:pctWidth>0</wp14:pctWidth>
            </wp14:sizeRelH>
            <wp14:sizeRelV relativeFrom="margin">
              <wp14:pctHeight>0</wp14:pctHeight>
            </wp14:sizeRelV>
          </wp:anchor>
        </w:drawing>
      </w:r>
    </w:p>
    <w:p w14:paraId="09D302E2" w14:textId="67B8F8C3" w:rsidR="00074F98" w:rsidRPr="00066D5F" w:rsidRDefault="002C4068" w:rsidP="003D28DB">
      <w:pPr>
        <w:rPr>
          <w:rFonts w:asciiTheme="majorHAnsi" w:hAnsiTheme="majorHAnsi"/>
        </w:rPr>
      </w:pPr>
      <w:r w:rsidRPr="002C4068">
        <w:rPr>
          <w:rFonts w:asciiTheme="majorHAnsi" w:hAnsiTheme="majorHAnsi"/>
          <w:b/>
          <w:u w:val="single"/>
        </w:rPr>
        <w:t>Figure 1:</w:t>
      </w:r>
      <w:r w:rsidRPr="00066D5F">
        <w:rPr>
          <w:rFonts w:asciiTheme="majorHAnsi" w:hAnsiTheme="majorHAnsi"/>
        </w:rPr>
        <w:t xml:space="preserve"> Drug regimen, sputum smear and culture status</w:t>
      </w:r>
      <w:r w:rsidR="00625FFD">
        <w:rPr>
          <w:rFonts w:asciiTheme="majorHAnsi" w:hAnsiTheme="majorHAnsi"/>
        </w:rPr>
        <w:t xml:space="preserve"> </w:t>
      </w:r>
      <w:r w:rsidRPr="00066D5F">
        <w:rPr>
          <w:rFonts w:asciiTheme="majorHAnsi" w:hAnsiTheme="majorHAnsi"/>
        </w:rPr>
        <w:t>and corrected QT interval (</w:t>
      </w:r>
      <w:proofErr w:type="spellStart"/>
      <w:r w:rsidRPr="00066D5F">
        <w:rPr>
          <w:rFonts w:asciiTheme="majorHAnsi" w:hAnsiTheme="majorHAnsi"/>
        </w:rPr>
        <w:t>QTc</w:t>
      </w:r>
      <w:proofErr w:type="spellEnd"/>
      <w:r w:rsidRPr="00066D5F">
        <w:rPr>
          <w:rFonts w:asciiTheme="majorHAnsi" w:hAnsiTheme="majorHAnsi"/>
        </w:rPr>
        <w:t>)/</w:t>
      </w:r>
      <w:proofErr w:type="spellStart"/>
      <w:r w:rsidRPr="00066D5F">
        <w:rPr>
          <w:rFonts w:asciiTheme="majorHAnsi" w:hAnsiTheme="majorHAnsi"/>
        </w:rPr>
        <w:t>ms</w:t>
      </w:r>
      <w:proofErr w:type="spellEnd"/>
      <w:r w:rsidRPr="00066D5F">
        <w:rPr>
          <w:rFonts w:asciiTheme="majorHAnsi" w:hAnsiTheme="majorHAnsi"/>
        </w:rPr>
        <w:t xml:space="preserve"> </w:t>
      </w:r>
      <w:r w:rsidR="004E19AD">
        <w:rPr>
          <w:rFonts w:asciiTheme="majorHAnsi" w:hAnsiTheme="majorHAnsi"/>
        </w:rPr>
        <w:t xml:space="preserve">of patient </w:t>
      </w:r>
      <w:r w:rsidRPr="00066D5F">
        <w:rPr>
          <w:rFonts w:asciiTheme="majorHAnsi" w:hAnsiTheme="majorHAnsi"/>
        </w:rPr>
        <w:t>by week.</w:t>
      </w:r>
      <w:r>
        <w:rPr>
          <w:rFonts w:asciiTheme="majorHAnsi" w:hAnsiTheme="majorHAnsi"/>
        </w:rPr>
        <w:t xml:space="preserve"> D</w:t>
      </w:r>
      <w:r w:rsidR="002655AE">
        <w:rPr>
          <w:rFonts w:asciiTheme="majorHAnsi" w:hAnsiTheme="majorHAnsi"/>
        </w:rPr>
        <w:t>ashed horizontal</w:t>
      </w:r>
      <w:r>
        <w:rPr>
          <w:rFonts w:asciiTheme="majorHAnsi" w:hAnsiTheme="majorHAnsi"/>
        </w:rPr>
        <w:t xml:space="preserve"> lines represent median </w:t>
      </w:r>
      <w:proofErr w:type="spellStart"/>
      <w:r>
        <w:rPr>
          <w:rFonts w:asciiTheme="majorHAnsi" w:hAnsiTheme="majorHAnsi"/>
        </w:rPr>
        <w:t>QTc</w:t>
      </w:r>
      <w:proofErr w:type="spellEnd"/>
      <w:r>
        <w:rPr>
          <w:rFonts w:asciiTheme="majorHAnsi" w:hAnsiTheme="majorHAnsi"/>
        </w:rPr>
        <w:t>/</w:t>
      </w:r>
      <w:proofErr w:type="spellStart"/>
      <w:r>
        <w:rPr>
          <w:rFonts w:asciiTheme="majorHAnsi" w:hAnsiTheme="majorHAnsi"/>
        </w:rPr>
        <w:t>ms</w:t>
      </w:r>
      <w:proofErr w:type="spellEnd"/>
      <w:r>
        <w:rPr>
          <w:rFonts w:asciiTheme="majorHAnsi" w:hAnsiTheme="majorHAnsi"/>
        </w:rPr>
        <w:t xml:space="preserve"> between 12-39 weeks </w:t>
      </w:r>
      <w:r w:rsidR="004E19AD">
        <w:rPr>
          <w:rFonts w:asciiTheme="majorHAnsi" w:hAnsiTheme="majorHAnsi"/>
        </w:rPr>
        <w:t xml:space="preserve">(425ms) </w:t>
      </w:r>
      <w:r>
        <w:rPr>
          <w:rFonts w:asciiTheme="majorHAnsi" w:hAnsiTheme="majorHAnsi"/>
        </w:rPr>
        <w:t>and 40-93 weeks</w:t>
      </w:r>
      <w:r w:rsidR="004E19AD">
        <w:rPr>
          <w:rFonts w:asciiTheme="majorHAnsi" w:hAnsiTheme="majorHAnsi"/>
        </w:rPr>
        <w:t xml:space="preserve"> (472ms)</w:t>
      </w:r>
      <w:r>
        <w:rPr>
          <w:rFonts w:asciiTheme="majorHAnsi" w:hAnsiTheme="majorHAnsi"/>
        </w:rPr>
        <w:t>.</w:t>
      </w:r>
      <w:r w:rsidR="004648F9">
        <w:rPr>
          <w:rFonts w:asciiTheme="majorHAnsi" w:hAnsiTheme="majorHAnsi"/>
        </w:rPr>
        <w:t xml:space="preserve"> </w:t>
      </w:r>
      <w:r>
        <w:rPr>
          <w:rFonts w:asciiTheme="majorHAnsi" w:hAnsiTheme="majorHAnsi"/>
        </w:rPr>
        <w:t>P= positive sputum smear/culture, N = nega</w:t>
      </w:r>
      <w:r w:rsidR="002655AE">
        <w:rPr>
          <w:rFonts w:asciiTheme="majorHAnsi" w:hAnsiTheme="majorHAnsi"/>
        </w:rPr>
        <w:t>t</w:t>
      </w:r>
      <w:r>
        <w:rPr>
          <w:rFonts w:asciiTheme="majorHAnsi" w:hAnsiTheme="majorHAnsi"/>
        </w:rPr>
        <w:t>ive smear/culture.</w:t>
      </w:r>
      <w:r w:rsidRPr="00066D5F">
        <w:rPr>
          <w:rFonts w:asciiTheme="majorHAnsi" w:hAnsiTheme="majorHAnsi"/>
        </w:rPr>
        <w:t xml:space="preserve"> R = rifampicin, H= isoniazid, Z = pyrazinamide, E = </w:t>
      </w:r>
      <w:proofErr w:type="spellStart"/>
      <w:r w:rsidRPr="00066D5F">
        <w:rPr>
          <w:rFonts w:asciiTheme="majorHAnsi" w:hAnsiTheme="majorHAnsi"/>
        </w:rPr>
        <w:t>ethambutol</w:t>
      </w:r>
      <w:proofErr w:type="spellEnd"/>
      <w:r w:rsidRPr="00066D5F">
        <w:rPr>
          <w:rFonts w:asciiTheme="majorHAnsi" w:hAnsiTheme="majorHAnsi"/>
        </w:rPr>
        <w:t xml:space="preserve">, Am = </w:t>
      </w:r>
      <w:proofErr w:type="spellStart"/>
      <w:r w:rsidRPr="00066D5F">
        <w:rPr>
          <w:rFonts w:asciiTheme="majorHAnsi" w:hAnsiTheme="majorHAnsi"/>
        </w:rPr>
        <w:t>amikacin</w:t>
      </w:r>
      <w:proofErr w:type="spellEnd"/>
      <w:r w:rsidRPr="00066D5F">
        <w:rPr>
          <w:rFonts w:asciiTheme="majorHAnsi" w:hAnsiTheme="majorHAnsi"/>
        </w:rPr>
        <w:t xml:space="preserve">, </w:t>
      </w:r>
      <w:proofErr w:type="spellStart"/>
      <w:r w:rsidRPr="00066D5F">
        <w:rPr>
          <w:rFonts w:asciiTheme="majorHAnsi" w:hAnsiTheme="majorHAnsi"/>
        </w:rPr>
        <w:t>Mfx</w:t>
      </w:r>
      <w:proofErr w:type="spellEnd"/>
      <w:r w:rsidRPr="00066D5F">
        <w:rPr>
          <w:rFonts w:asciiTheme="majorHAnsi" w:hAnsiTheme="majorHAnsi"/>
        </w:rPr>
        <w:t xml:space="preserve"> = </w:t>
      </w:r>
      <w:proofErr w:type="spellStart"/>
      <w:r w:rsidRPr="00066D5F">
        <w:rPr>
          <w:rFonts w:asciiTheme="majorHAnsi" w:hAnsiTheme="majorHAnsi"/>
        </w:rPr>
        <w:t>moxifloxacin</w:t>
      </w:r>
      <w:proofErr w:type="spellEnd"/>
      <w:r w:rsidRPr="00066D5F">
        <w:rPr>
          <w:rFonts w:asciiTheme="majorHAnsi" w:hAnsiTheme="majorHAnsi"/>
        </w:rPr>
        <w:t xml:space="preserve">, Cs = </w:t>
      </w:r>
      <w:proofErr w:type="spellStart"/>
      <w:r w:rsidRPr="00066D5F">
        <w:rPr>
          <w:rFonts w:asciiTheme="majorHAnsi" w:hAnsiTheme="majorHAnsi"/>
        </w:rPr>
        <w:t>cycloserine</w:t>
      </w:r>
      <w:proofErr w:type="spellEnd"/>
      <w:r w:rsidRPr="00066D5F">
        <w:rPr>
          <w:rFonts w:asciiTheme="majorHAnsi" w:hAnsiTheme="majorHAnsi"/>
        </w:rPr>
        <w:t xml:space="preserve">, Pro = </w:t>
      </w:r>
      <w:proofErr w:type="spellStart"/>
      <w:r w:rsidRPr="00066D5F">
        <w:rPr>
          <w:rFonts w:asciiTheme="majorHAnsi" w:hAnsiTheme="majorHAnsi"/>
        </w:rPr>
        <w:t>prothionamide</w:t>
      </w:r>
      <w:proofErr w:type="spellEnd"/>
      <w:r w:rsidRPr="00066D5F">
        <w:rPr>
          <w:rFonts w:asciiTheme="majorHAnsi" w:hAnsiTheme="majorHAnsi"/>
        </w:rPr>
        <w:t xml:space="preserve">, </w:t>
      </w:r>
      <w:proofErr w:type="spellStart"/>
      <w:r w:rsidRPr="00066D5F">
        <w:rPr>
          <w:rFonts w:asciiTheme="majorHAnsi" w:hAnsiTheme="majorHAnsi"/>
        </w:rPr>
        <w:t>Lz</w:t>
      </w:r>
      <w:proofErr w:type="spellEnd"/>
      <w:r w:rsidRPr="00066D5F">
        <w:rPr>
          <w:rFonts w:asciiTheme="majorHAnsi" w:hAnsiTheme="majorHAnsi"/>
        </w:rPr>
        <w:t xml:space="preserve"> = linezolid, Cm = </w:t>
      </w:r>
      <w:proofErr w:type="spellStart"/>
      <w:r w:rsidRPr="00066D5F">
        <w:rPr>
          <w:rFonts w:asciiTheme="majorHAnsi" w:hAnsiTheme="majorHAnsi"/>
        </w:rPr>
        <w:t>capreomycin</w:t>
      </w:r>
      <w:proofErr w:type="spellEnd"/>
      <w:r w:rsidRPr="00066D5F">
        <w:rPr>
          <w:rFonts w:asciiTheme="majorHAnsi" w:hAnsiTheme="majorHAnsi"/>
        </w:rPr>
        <w:t xml:space="preserve">, BDQ = </w:t>
      </w:r>
      <w:proofErr w:type="spellStart"/>
      <w:r w:rsidRPr="00066D5F">
        <w:rPr>
          <w:rFonts w:asciiTheme="majorHAnsi" w:hAnsiTheme="majorHAnsi"/>
        </w:rPr>
        <w:t>bedaquiline</w:t>
      </w:r>
      <w:proofErr w:type="spellEnd"/>
      <w:r w:rsidRPr="00066D5F">
        <w:rPr>
          <w:rFonts w:asciiTheme="majorHAnsi" w:hAnsiTheme="majorHAnsi"/>
        </w:rPr>
        <w:t xml:space="preserve">, PAS = para-amino-salicylic acid, </w:t>
      </w:r>
      <w:proofErr w:type="spellStart"/>
      <w:r w:rsidRPr="00066D5F">
        <w:rPr>
          <w:rFonts w:asciiTheme="majorHAnsi" w:hAnsiTheme="majorHAnsi"/>
        </w:rPr>
        <w:t>Azith</w:t>
      </w:r>
      <w:proofErr w:type="spellEnd"/>
      <w:r w:rsidRPr="00066D5F">
        <w:rPr>
          <w:rFonts w:asciiTheme="majorHAnsi" w:hAnsiTheme="majorHAnsi"/>
        </w:rPr>
        <w:t xml:space="preserve"> = azithromycin, </w:t>
      </w:r>
      <w:proofErr w:type="spellStart"/>
      <w:r w:rsidRPr="00066D5F">
        <w:rPr>
          <w:rFonts w:asciiTheme="majorHAnsi" w:hAnsiTheme="majorHAnsi"/>
        </w:rPr>
        <w:t>Cfz</w:t>
      </w:r>
      <w:proofErr w:type="spellEnd"/>
      <w:r w:rsidRPr="00066D5F">
        <w:rPr>
          <w:rFonts w:asciiTheme="majorHAnsi" w:hAnsiTheme="majorHAnsi"/>
        </w:rPr>
        <w:t xml:space="preserve"> = </w:t>
      </w:r>
      <w:proofErr w:type="spellStart"/>
      <w:r w:rsidRPr="00066D5F">
        <w:rPr>
          <w:rFonts w:asciiTheme="majorHAnsi" w:hAnsiTheme="majorHAnsi"/>
        </w:rPr>
        <w:t>clofazamine</w:t>
      </w:r>
      <w:proofErr w:type="spellEnd"/>
      <w:r w:rsidRPr="00066D5F">
        <w:rPr>
          <w:rFonts w:asciiTheme="majorHAnsi" w:hAnsiTheme="majorHAnsi"/>
        </w:rPr>
        <w:t>.</w:t>
      </w:r>
    </w:p>
    <w:sectPr w:rsidR="00074F98" w:rsidRPr="00066D5F" w:rsidSect="00CA5347">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7999E" w14:textId="77777777" w:rsidR="003930D7" w:rsidRDefault="003930D7" w:rsidP="00317D97">
      <w:r>
        <w:separator/>
      </w:r>
    </w:p>
  </w:endnote>
  <w:endnote w:type="continuationSeparator" w:id="0">
    <w:p w14:paraId="07FBDE79" w14:textId="77777777" w:rsidR="003930D7" w:rsidRDefault="003930D7" w:rsidP="0031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0000000000000000000"/>
    <w:charset w:val="4D"/>
    <w:family w:val="roman"/>
    <w:notTrueType/>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18FF0" w14:textId="77777777" w:rsidR="003930D7" w:rsidRDefault="003930D7" w:rsidP="00317D97">
      <w:r>
        <w:separator/>
      </w:r>
    </w:p>
  </w:footnote>
  <w:footnote w:type="continuationSeparator" w:id="0">
    <w:p w14:paraId="1AEF3267" w14:textId="77777777" w:rsidR="003930D7" w:rsidRDefault="003930D7" w:rsidP="00317D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01E1F"/>
    <w:multiLevelType w:val="hybridMultilevel"/>
    <w:tmpl w:val="11E4B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0A5"/>
    <w:rsid w:val="00000D2E"/>
    <w:rsid w:val="00010D7D"/>
    <w:rsid w:val="00047AEC"/>
    <w:rsid w:val="00053A8C"/>
    <w:rsid w:val="000568AE"/>
    <w:rsid w:val="00065B29"/>
    <w:rsid w:val="00066D5F"/>
    <w:rsid w:val="00074F98"/>
    <w:rsid w:val="000A55E3"/>
    <w:rsid w:val="000B0D03"/>
    <w:rsid w:val="000B7CEF"/>
    <w:rsid w:val="000C2ED5"/>
    <w:rsid w:val="000C33D3"/>
    <w:rsid w:val="000D0F48"/>
    <w:rsid w:val="000D457B"/>
    <w:rsid w:val="00150240"/>
    <w:rsid w:val="00154A05"/>
    <w:rsid w:val="00174C63"/>
    <w:rsid w:val="001860F1"/>
    <w:rsid w:val="0019522E"/>
    <w:rsid w:val="00223AF7"/>
    <w:rsid w:val="0024508F"/>
    <w:rsid w:val="002450B8"/>
    <w:rsid w:val="00257693"/>
    <w:rsid w:val="002655AE"/>
    <w:rsid w:val="002B0A01"/>
    <w:rsid w:val="002B5FC1"/>
    <w:rsid w:val="002C4068"/>
    <w:rsid w:val="002D2F6C"/>
    <w:rsid w:val="002F35B9"/>
    <w:rsid w:val="00314DD6"/>
    <w:rsid w:val="00315839"/>
    <w:rsid w:val="00317D97"/>
    <w:rsid w:val="0032303F"/>
    <w:rsid w:val="00342CA3"/>
    <w:rsid w:val="00364831"/>
    <w:rsid w:val="003669E3"/>
    <w:rsid w:val="00383B0F"/>
    <w:rsid w:val="003930D7"/>
    <w:rsid w:val="003956A7"/>
    <w:rsid w:val="003A160B"/>
    <w:rsid w:val="003D28DB"/>
    <w:rsid w:val="003F19E1"/>
    <w:rsid w:val="00400754"/>
    <w:rsid w:val="004228C2"/>
    <w:rsid w:val="0043632E"/>
    <w:rsid w:val="00447BAF"/>
    <w:rsid w:val="00450510"/>
    <w:rsid w:val="004639C4"/>
    <w:rsid w:val="004648F9"/>
    <w:rsid w:val="0047199D"/>
    <w:rsid w:val="004751DB"/>
    <w:rsid w:val="004A2F25"/>
    <w:rsid w:val="004E19AD"/>
    <w:rsid w:val="004F728A"/>
    <w:rsid w:val="005006B5"/>
    <w:rsid w:val="00525936"/>
    <w:rsid w:val="005404B5"/>
    <w:rsid w:val="00574094"/>
    <w:rsid w:val="00593AF3"/>
    <w:rsid w:val="005A0760"/>
    <w:rsid w:val="005B69C2"/>
    <w:rsid w:val="005E3619"/>
    <w:rsid w:val="0060542A"/>
    <w:rsid w:val="0060625B"/>
    <w:rsid w:val="006215A6"/>
    <w:rsid w:val="00623713"/>
    <w:rsid w:val="00625FFD"/>
    <w:rsid w:val="006341D3"/>
    <w:rsid w:val="00653609"/>
    <w:rsid w:val="0065767C"/>
    <w:rsid w:val="00666080"/>
    <w:rsid w:val="00691CE4"/>
    <w:rsid w:val="006A5DAD"/>
    <w:rsid w:val="006E2306"/>
    <w:rsid w:val="006E293C"/>
    <w:rsid w:val="0070129C"/>
    <w:rsid w:val="007173E6"/>
    <w:rsid w:val="0071793D"/>
    <w:rsid w:val="00722E15"/>
    <w:rsid w:val="007353C1"/>
    <w:rsid w:val="00790974"/>
    <w:rsid w:val="007A2E07"/>
    <w:rsid w:val="007F18B0"/>
    <w:rsid w:val="00817E86"/>
    <w:rsid w:val="00832053"/>
    <w:rsid w:val="008358BD"/>
    <w:rsid w:val="008517F5"/>
    <w:rsid w:val="00867D68"/>
    <w:rsid w:val="008C3512"/>
    <w:rsid w:val="008E4A12"/>
    <w:rsid w:val="00911E73"/>
    <w:rsid w:val="0093283C"/>
    <w:rsid w:val="0096713E"/>
    <w:rsid w:val="0099641B"/>
    <w:rsid w:val="009A2697"/>
    <w:rsid w:val="009C04C5"/>
    <w:rsid w:val="009D54FC"/>
    <w:rsid w:val="009E0462"/>
    <w:rsid w:val="00A0405E"/>
    <w:rsid w:val="00A05351"/>
    <w:rsid w:val="00A070A5"/>
    <w:rsid w:val="00A10925"/>
    <w:rsid w:val="00A438E5"/>
    <w:rsid w:val="00A460E8"/>
    <w:rsid w:val="00A60598"/>
    <w:rsid w:val="00A6356C"/>
    <w:rsid w:val="00A7037F"/>
    <w:rsid w:val="00AA4F7E"/>
    <w:rsid w:val="00AB1C96"/>
    <w:rsid w:val="00AD0C64"/>
    <w:rsid w:val="00B04720"/>
    <w:rsid w:val="00B14D15"/>
    <w:rsid w:val="00B31ADB"/>
    <w:rsid w:val="00B470AF"/>
    <w:rsid w:val="00B51FEC"/>
    <w:rsid w:val="00B52D95"/>
    <w:rsid w:val="00BA04D0"/>
    <w:rsid w:val="00BA0A1B"/>
    <w:rsid w:val="00BB590F"/>
    <w:rsid w:val="00C13662"/>
    <w:rsid w:val="00C32698"/>
    <w:rsid w:val="00C42FA0"/>
    <w:rsid w:val="00CA145D"/>
    <w:rsid w:val="00CA5347"/>
    <w:rsid w:val="00CB13DC"/>
    <w:rsid w:val="00CC5B67"/>
    <w:rsid w:val="00CC74A4"/>
    <w:rsid w:val="00D023E7"/>
    <w:rsid w:val="00D22E45"/>
    <w:rsid w:val="00D277A5"/>
    <w:rsid w:val="00D57F15"/>
    <w:rsid w:val="00DA667E"/>
    <w:rsid w:val="00DB7D65"/>
    <w:rsid w:val="00DD7EE5"/>
    <w:rsid w:val="00DE5125"/>
    <w:rsid w:val="00DE7900"/>
    <w:rsid w:val="00DF4845"/>
    <w:rsid w:val="00E13BA0"/>
    <w:rsid w:val="00E23F18"/>
    <w:rsid w:val="00E407F1"/>
    <w:rsid w:val="00E51E9F"/>
    <w:rsid w:val="00EC2C3E"/>
    <w:rsid w:val="00EE1407"/>
    <w:rsid w:val="00EE6ACF"/>
    <w:rsid w:val="00EF2DB5"/>
    <w:rsid w:val="00F136D7"/>
    <w:rsid w:val="00F14503"/>
    <w:rsid w:val="00F17087"/>
    <w:rsid w:val="00F37681"/>
    <w:rsid w:val="00F519EF"/>
    <w:rsid w:val="00F74A0B"/>
    <w:rsid w:val="00F86372"/>
    <w:rsid w:val="00FB6186"/>
    <w:rsid w:val="00FD05D4"/>
    <w:rsid w:val="00FD0F55"/>
    <w:rsid w:val="00FE5B7E"/>
    <w:rsid w:val="00FF5F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8BDA3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0A5"/>
    <w:rPr>
      <w:lang w:val="en-GB"/>
    </w:rPr>
  </w:style>
  <w:style w:type="paragraph" w:styleId="Heading1">
    <w:name w:val="heading 1"/>
    <w:basedOn w:val="Normal"/>
    <w:link w:val="Heading1Char"/>
    <w:uiPriority w:val="9"/>
    <w:qFormat/>
    <w:rsid w:val="000B0D0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70A5"/>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A070A5"/>
    <w:rPr>
      <w:sz w:val="18"/>
      <w:szCs w:val="18"/>
    </w:rPr>
  </w:style>
  <w:style w:type="paragraph" w:styleId="CommentText">
    <w:name w:val="annotation text"/>
    <w:basedOn w:val="Normal"/>
    <w:link w:val="CommentTextChar"/>
    <w:uiPriority w:val="99"/>
    <w:semiHidden/>
    <w:unhideWhenUsed/>
    <w:rsid w:val="00A070A5"/>
  </w:style>
  <w:style w:type="character" w:customStyle="1" w:styleId="CommentTextChar">
    <w:name w:val="Comment Text Char"/>
    <w:basedOn w:val="DefaultParagraphFont"/>
    <w:link w:val="CommentText"/>
    <w:uiPriority w:val="99"/>
    <w:semiHidden/>
    <w:rsid w:val="00A070A5"/>
    <w:rPr>
      <w:lang w:val="en-GB"/>
    </w:rPr>
  </w:style>
  <w:style w:type="paragraph" w:styleId="BalloonText">
    <w:name w:val="Balloon Text"/>
    <w:basedOn w:val="Normal"/>
    <w:link w:val="BalloonTextChar"/>
    <w:uiPriority w:val="99"/>
    <w:semiHidden/>
    <w:unhideWhenUsed/>
    <w:rsid w:val="00A070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0A5"/>
    <w:rPr>
      <w:rFonts w:ascii="Lucida Grande" w:hAnsi="Lucida Grande" w:cs="Lucida Grande"/>
      <w:sz w:val="18"/>
      <w:szCs w:val="18"/>
      <w:lang w:val="en-GB"/>
    </w:rPr>
  </w:style>
  <w:style w:type="paragraph" w:styleId="CommentSubject">
    <w:name w:val="annotation subject"/>
    <w:basedOn w:val="CommentText"/>
    <w:next w:val="CommentText"/>
    <w:link w:val="CommentSubjectChar"/>
    <w:uiPriority w:val="99"/>
    <w:semiHidden/>
    <w:unhideWhenUsed/>
    <w:rsid w:val="00F136D7"/>
    <w:rPr>
      <w:b/>
      <w:bCs/>
      <w:sz w:val="20"/>
      <w:szCs w:val="20"/>
    </w:rPr>
  </w:style>
  <w:style w:type="character" w:customStyle="1" w:styleId="CommentSubjectChar">
    <w:name w:val="Comment Subject Char"/>
    <w:basedOn w:val="CommentTextChar"/>
    <w:link w:val="CommentSubject"/>
    <w:uiPriority w:val="99"/>
    <w:semiHidden/>
    <w:rsid w:val="00F136D7"/>
    <w:rPr>
      <w:b/>
      <w:bCs/>
      <w:sz w:val="20"/>
      <w:szCs w:val="20"/>
      <w:lang w:val="en-GB"/>
    </w:rPr>
  </w:style>
  <w:style w:type="paragraph" w:styleId="ListParagraph">
    <w:name w:val="List Paragraph"/>
    <w:basedOn w:val="Normal"/>
    <w:uiPriority w:val="34"/>
    <w:qFormat/>
    <w:rsid w:val="004751DB"/>
    <w:pPr>
      <w:ind w:left="720"/>
      <w:contextualSpacing/>
    </w:pPr>
  </w:style>
  <w:style w:type="character" w:styleId="Hyperlink">
    <w:name w:val="Hyperlink"/>
    <w:basedOn w:val="DefaultParagraphFont"/>
    <w:uiPriority w:val="99"/>
    <w:unhideWhenUsed/>
    <w:rsid w:val="00CA5347"/>
    <w:rPr>
      <w:color w:val="0000FF" w:themeColor="hyperlink"/>
      <w:u w:val="single"/>
    </w:rPr>
  </w:style>
  <w:style w:type="character" w:customStyle="1" w:styleId="Heading1Char">
    <w:name w:val="Heading 1 Char"/>
    <w:basedOn w:val="DefaultParagraphFont"/>
    <w:link w:val="Heading1"/>
    <w:uiPriority w:val="9"/>
    <w:rsid w:val="000B0D03"/>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0B0D03"/>
  </w:style>
  <w:style w:type="character" w:customStyle="1" w:styleId="highlight">
    <w:name w:val="highlight"/>
    <w:basedOn w:val="DefaultParagraphFont"/>
    <w:rsid w:val="000B0D03"/>
  </w:style>
  <w:style w:type="paragraph" w:styleId="Revision">
    <w:name w:val="Revision"/>
    <w:hidden/>
    <w:uiPriority w:val="99"/>
    <w:semiHidden/>
    <w:rsid w:val="00317D97"/>
    <w:rPr>
      <w:lang w:val="en-GB"/>
    </w:rPr>
  </w:style>
  <w:style w:type="paragraph" w:styleId="Header">
    <w:name w:val="header"/>
    <w:basedOn w:val="Normal"/>
    <w:link w:val="HeaderChar"/>
    <w:uiPriority w:val="99"/>
    <w:unhideWhenUsed/>
    <w:rsid w:val="00317D97"/>
    <w:pPr>
      <w:tabs>
        <w:tab w:val="center" w:pos="4513"/>
        <w:tab w:val="right" w:pos="9026"/>
      </w:tabs>
    </w:pPr>
  </w:style>
  <w:style w:type="character" w:customStyle="1" w:styleId="HeaderChar">
    <w:name w:val="Header Char"/>
    <w:basedOn w:val="DefaultParagraphFont"/>
    <w:link w:val="Header"/>
    <w:uiPriority w:val="99"/>
    <w:rsid w:val="00317D97"/>
    <w:rPr>
      <w:lang w:val="en-GB"/>
    </w:rPr>
  </w:style>
  <w:style w:type="paragraph" w:styleId="Footer">
    <w:name w:val="footer"/>
    <w:basedOn w:val="Normal"/>
    <w:link w:val="FooterChar"/>
    <w:uiPriority w:val="99"/>
    <w:unhideWhenUsed/>
    <w:rsid w:val="00317D97"/>
    <w:pPr>
      <w:tabs>
        <w:tab w:val="center" w:pos="4513"/>
        <w:tab w:val="right" w:pos="9026"/>
      </w:tabs>
    </w:pPr>
  </w:style>
  <w:style w:type="character" w:customStyle="1" w:styleId="FooterChar">
    <w:name w:val="Footer Char"/>
    <w:basedOn w:val="DefaultParagraphFont"/>
    <w:link w:val="Footer"/>
    <w:uiPriority w:val="99"/>
    <w:rsid w:val="00317D97"/>
    <w:rPr>
      <w:lang w:val="en-GB"/>
    </w:rPr>
  </w:style>
  <w:style w:type="paragraph" w:styleId="DocumentMap">
    <w:name w:val="Document Map"/>
    <w:basedOn w:val="Normal"/>
    <w:link w:val="DocumentMapChar"/>
    <w:uiPriority w:val="99"/>
    <w:semiHidden/>
    <w:unhideWhenUsed/>
    <w:rsid w:val="00525936"/>
    <w:rPr>
      <w:rFonts w:ascii="Times New Roman" w:hAnsi="Times New Roman" w:cs="Times New Roman"/>
    </w:rPr>
  </w:style>
  <w:style w:type="character" w:customStyle="1" w:styleId="DocumentMapChar">
    <w:name w:val="Document Map Char"/>
    <w:basedOn w:val="DefaultParagraphFont"/>
    <w:link w:val="DocumentMap"/>
    <w:uiPriority w:val="99"/>
    <w:semiHidden/>
    <w:rsid w:val="00525936"/>
    <w:rPr>
      <w:rFonts w:ascii="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50263">
      <w:bodyDiv w:val="1"/>
      <w:marLeft w:val="0"/>
      <w:marRight w:val="0"/>
      <w:marTop w:val="0"/>
      <w:marBottom w:val="0"/>
      <w:divBdr>
        <w:top w:val="none" w:sz="0" w:space="0" w:color="auto"/>
        <w:left w:val="none" w:sz="0" w:space="0" w:color="auto"/>
        <w:bottom w:val="none" w:sz="0" w:space="0" w:color="auto"/>
        <w:right w:val="none" w:sz="0" w:space="0" w:color="auto"/>
      </w:divBdr>
    </w:div>
    <w:div w:id="517886955">
      <w:bodyDiv w:val="1"/>
      <w:marLeft w:val="0"/>
      <w:marRight w:val="0"/>
      <w:marTop w:val="0"/>
      <w:marBottom w:val="0"/>
      <w:divBdr>
        <w:top w:val="none" w:sz="0" w:space="0" w:color="auto"/>
        <w:left w:val="none" w:sz="0" w:space="0" w:color="auto"/>
        <w:bottom w:val="none" w:sz="0" w:space="0" w:color="auto"/>
        <w:right w:val="none" w:sz="0" w:space="0" w:color="auto"/>
      </w:divBdr>
    </w:div>
    <w:div w:id="864755975">
      <w:bodyDiv w:val="1"/>
      <w:marLeft w:val="0"/>
      <w:marRight w:val="0"/>
      <w:marTop w:val="0"/>
      <w:marBottom w:val="0"/>
      <w:divBdr>
        <w:top w:val="none" w:sz="0" w:space="0" w:color="auto"/>
        <w:left w:val="none" w:sz="0" w:space="0" w:color="auto"/>
        <w:bottom w:val="none" w:sz="0" w:space="0" w:color="auto"/>
        <w:right w:val="none" w:sz="0" w:space="0" w:color="auto"/>
      </w:divBdr>
      <w:divsChild>
        <w:div w:id="1320042547">
          <w:marLeft w:val="0"/>
          <w:marRight w:val="0"/>
          <w:marTop w:val="0"/>
          <w:marBottom w:val="0"/>
          <w:divBdr>
            <w:top w:val="none" w:sz="0" w:space="0" w:color="auto"/>
            <w:left w:val="none" w:sz="0" w:space="0" w:color="auto"/>
            <w:bottom w:val="none" w:sz="0" w:space="0" w:color="auto"/>
            <w:right w:val="none" w:sz="0" w:space="0" w:color="auto"/>
          </w:divBdr>
          <w:divsChild>
            <w:div w:id="160513210">
              <w:marLeft w:val="0"/>
              <w:marRight w:val="0"/>
              <w:marTop w:val="0"/>
              <w:marBottom w:val="0"/>
              <w:divBdr>
                <w:top w:val="none" w:sz="0" w:space="0" w:color="auto"/>
                <w:left w:val="none" w:sz="0" w:space="0" w:color="auto"/>
                <w:bottom w:val="none" w:sz="0" w:space="0" w:color="auto"/>
                <w:right w:val="none" w:sz="0" w:space="0" w:color="auto"/>
              </w:divBdr>
              <w:divsChild>
                <w:div w:id="66003652">
                  <w:marLeft w:val="0"/>
                  <w:marRight w:val="0"/>
                  <w:marTop w:val="0"/>
                  <w:marBottom w:val="0"/>
                  <w:divBdr>
                    <w:top w:val="none" w:sz="0" w:space="0" w:color="auto"/>
                    <w:left w:val="none" w:sz="0" w:space="0" w:color="auto"/>
                    <w:bottom w:val="none" w:sz="0" w:space="0" w:color="auto"/>
                    <w:right w:val="none" w:sz="0" w:space="0" w:color="auto"/>
                  </w:divBdr>
                  <w:divsChild>
                    <w:div w:id="966818003">
                      <w:marLeft w:val="0"/>
                      <w:marRight w:val="0"/>
                      <w:marTop w:val="0"/>
                      <w:marBottom w:val="0"/>
                      <w:divBdr>
                        <w:top w:val="none" w:sz="0" w:space="0" w:color="auto"/>
                        <w:left w:val="none" w:sz="0" w:space="0" w:color="auto"/>
                        <w:bottom w:val="none" w:sz="0" w:space="0" w:color="auto"/>
                        <w:right w:val="none" w:sz="0" w:space="0" w:color="auto"/>
                      </w:divBdr>
                      <w:divsChild>
                        <w:div w:id="481429336">
                          <w:marLeft w:val="0"/>
                          <w:marRight w:val="0"/>
                          <w:marTop w:val="0"/>
                          <w:marBottom w:val="0"/>
                          <w:divBdr>
                            <w:top w:val="none" w:sz="0" w:space="0" w:color="auto"/>
                            <w:left w:val="none" w:sz="0" w:space="0" w:color="auto"/>
                            <w:bottom w:val="none" w:sz="0" w:space="0" w:color="auto"/>
                            <w:right w:val="none" w:sz="0" w:space="0" w:color="auto"/>
                          </w:divBdr>
                          <w:divsChild>
                            <w:div w:id="179970230">
                              <w:marLeft w:val="0"/>
                              <w:marRight w:val="0"/>
                              <w:marTop w:val="0"/>
                              <w:marBottom w:val="0"/>
                              <w:divBdr>
                                <w:top w:val="none" w:sz="0" w:space="0" w:color="auto"/>
                                <w:left w:val="none" w:sz="0" w:space="0" w:color="auto"/>
                                <w:bottom w:val="none" w:sz="0" w:space="0" w:color="auto"/>
                                <w:right w:val="none" w:sz="0" w:space="0" w:color="auto"/>
                              </w:divBdr>
                              <w:divsChild>
                                <w:div w:id="1048916294">
                                  <w:marLeft w:val="0"/>
                                  <w:marRight w:val="0"/>
                                  <w:marTop w:val="0"/>
                                  <w:marBottom w:val="0"/>
                                  <w:divBdr>
                                    <w:top w:val="none" w:sz="0" w:space="0" w:color="auto"/>
                                    <w:left w:val="none" w:sz="0" w:space="0" w:color="auto"/>
                                    <w:bottom w:val="none" w:sz="0" w:space="0" w:color="auto"/>
                                    <w:right w:val="none" w:sz="0" w:space="0" w:color="auto"/>
                                  </w:divBdr>
                                  <w:divsChild>
                                    <w:div w:id="2063670307">
                                      <w:marLeft w:val="0"/>
                                      <w:marRight w:val="0"/>
                                      <w:marTop w:val="0"/>
                                      <w:marBottom w:val="0"/>
                                      <w:divBdr>
                                        <w:top w:val="none" w:sz="0" w:space="0" w:color="auto"/>
                                        <w:left w:val="none" w:sz="0" w:space="0" w:color="auto"/>
                                        <w:bottom w:val="none" w:sz="0" w:space="0" w:color="auto"/>
                                        <w:right w:val="none" w:sz="0" w:space="0" w:color="auto"/>
                                      </w:divBdr>
                                      <w:divsChild>
                                        <w:div w:id="1968197152">
                                          <w:marLeft w:val="0"/>
                                          <w:marRight w:val="0"/>
                                          <w:marTop w:val="0"/>
                                          <w:marBottom w:val="0"/>
                                          <w:divBdr>
                                            <w:top w:val="none" w:sz="0" w:space="0" w:color="auto"/>
                                            <w:left w:val="none" w:sz="0" w:space="0" w:color="auto"/>
                                            <w:bottom w:val="none" w:sz="0" w:space="0" w:color="auto"/>
                                            <w:right w:val="none" w:sz="0" w:space="0" w:color="auto"/>
                                          </w:divBdr>
                                          <w:divsChild>
                                            <w:div w:id="971668062">
                                              <w:marLeft w:val="0"/>
                                              <w:marRight w:val="0"/>
                                              <w:marTop w:val="0"/>
                                              <w:marBottom w:val="0"/>
                                              <w:divBdr>
                                                <w:top w:val="none" w:sz="0" w:space="0" w:color="auto"/>
                                                <w:left w:val="none" w:sz="0" w:space="0" w:color="auto"/>
                                                <w:bottom w:val="none" w:sz="0" w:space="0" w:color="auto"/>
                                                <w:right w:val="none" w:sz="0" w:space="0" w:color="auto"/>
                                              </w:divBdr>
                                              <w:divsChild>
                                                <w:div w:id="1273855826">
                                                  <w:marLeft w:val="0"/>
                                                  <w:marRight w:val="0"/>
                                                  <w:marTop w:val="0"/>
                                                  <w:marBottom w:val="0"/>
                                                  <w:divBdr>
                                                    <w:top w:val="none" w:sz="0" w:space="0" w:color="auto"/>
                                                    <w:left w:val="none" w:sz="0" w:space="0" w:color="auto"/>
                                                    <w:bottom w:val="none" w:sz="0" w:space="0" w:color="auto"/>
                                                    <w:right w:val="none" w:sz="0" w:space="0" w:color="auto"/>
                                                  </w:divBdr>
                                                  <w:divsChild>
                                                    <w:div w:id="1246106651">
                                                      <w:marLeft w:val="0"/>
                                                      <w:marRight w:val="0"/>
                                                      <w:marTop w:val="0"/>
                                                      <w:marBottom w:val="0"/>
                                                      <w:divBdr>
                                                        <w:top w:val="none" w:sz="0" w:space="0" w:color="auto"/>
                                                        <w:left w:val="none" w:sz="0" w:space="0" w:color="auto"/>
                                                        <w:bottom w:val="none" w:sz="0" w:space="0" w:color="auto"/>
                                                        <w:right w:val="none" w:sz="0" w:space="0" w:color="auto"/>
                                                      </w:divBdr>
                                                      <w:divsChild>
                                                        <w:div w:id="1247956682">
                                                          <w:marLeft w:val="0"/>
                                                          <w:marRight w:val="0"/>
                                                          <w:marTop w:val="0"/>
                                                          <w:marBottom w:val="0"/>
                                                          <w:divBdr>
                                                            <w:top w:val="none" w:sz="0" w:space="0" w:color="auto"/>
                                                            <w:left w:val="none" w:sz="0" w:space="0" w:color="auto"/>
                                                            <w:bottom w:val="none" w:sz="0" w:space="0" w:color="auto"/>
                                                            <w:right w:val="none" w:sz="0" w:space="0" w:color="auto"/>
                                                          </w:divBdr>
                                                          <w:divsChild>
                                                            <w:div w:id="5988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8290665">
      <w:bodyDiv w:val="1"/>
      <w:marLeft w:val="0"/>
      <w:marRight w:val="0"/>
      <w:marTop w:val="0"/>
      <w:marBottom w:val="0"/>
      <w:divBdr>
        <w:top w:val="none" w:sz="0" w:space="0" w:color="auto"/>
        <w:left w:val="none" w:sz="0" w:space="0" w:color="auto"/>
        <w:bottom w:val="none" w:sz="0" w:space="0" w:color="auto"/>
        <w:right w:val="none" w:sz="0" w:space="0" w:color="auto"/>
      </w:divBdr>
    </w:div>
    <w:div w:id="1505050364">
      <w:bodyDiv w:val="1"/>
      <w:marLeft w:val="0"/>
      <w:marRight w:val="0"/>
      <w:marTop w:val="0"/>
      <w:marBottom w:val="0"/>
      <w:divBdr>
        <w:top w:val="none" w:sz="0" w:space="0" w:color="auto"/>
        <w:left w:val="none" w:sz="0" w:space="0" w:color="auto"/>
        <w:bottom w:val="none" w:sz="0" w:space="0" w:color="auto"/>
        <w:right w:val="none" w:sz="0" w:space="0" w:color="auto"/>
      </w:divBdr>
    </w:div>
    <w:div w:id="1555654773">
      <w:bodyDiv w:val="1"/>
      <w:marLeft w:val="0"/>
      <w:marRight w:val="0"/>
      <w:marTop w:val="0"/>
      <w:marBottom w:val="0"/>
      <w:divBdr>
        <w:top w:val="none" w:sz="0" w:space="0" w:color="auto"/>
        <w:left w:val="none" w:sz="0" w:space="0" w:color="auto"/>
        <w:bottom w:val="none" w:sz="0" w:space="0" w:color="auto"/>
        <w:right w:val="none" w:sz="0" w:space="0" w:color="auto"/>
      </w:divBdr>
    </w:div>
    <w:div w:id="1567909353">
      <w:bodyDiv w:val="1"/>
      <w:marLeft w:val="0"/>
      <w:marRight w:val="0"/>
      <w:marTop w:val="0"/>
      <w:marBottom w:val="0"/>
      <w:divBdr>
        <w:top w:val="none" w:sz="0" w:space="0" w:color="auto"/>
        <w:left w:val="none" w:sz="0" w:space="0" w:color="auto"/>
        <w:bottom w:val="none" w:sz="0" w:space="0" w:color="auto"/>
        <w:right w:val="none" w:sz="0" w:space="0" w:color="auto"/>
      </w:divBdr>
    </w:div>
    <w:div w:id="2032880232">
      <w:bodyDiv w:val="1"/>
      <w:marLeft w:val="0"/>
      <w:marRight w:val="0"/>
      <w:marTop w:val="0"/>
      <w:marBottom w:val="0"/>
      <w:divBdr>
        <w:top w:val="none" w:sz="0" w:space="0" w:color="auto"/>
        <w:left w:val="none" w:sz="0" w:space="0" w:color="auto"/>
        <w:bottom w:val="none" w:sz="0" w:space="0" w:color="auto"/>
        <w:right w:val="none" w:sz="0" w:space="0" w:color="auto"/>
      </w:divBdr>
    </w:div>
    <w:div w:id="2040623230">
      <w:bodyDiv w:val="1"/>
      <w:marLeft w:val="0"/>
      <w:marRight w:val="0"/>
      <w:marTop w:val="0"/>
      <w:marBottom w:val="0"/>
      <w:divBdr>
        <w:top w:val="none" w:sz="0" w:space="0" w:color="auto"/>
        <w:left w:val="none" w:sz="0" w:space="0" w:color="auto"/>
        <w:bottom w:val="none" w:sz="0" w:space="0" w:color="auto"/>
        <w:right w:val="none" w:sz="0" w:space="0" w:color="auto"/>
      </w:divBdr>
    </w:div>
    <w:div w:id="2100246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FE467-6F60-4C46-87C0-630F62EBF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10660</Words>
  <Characters>60763</Characters>
  <Application>Microsoft Macintosh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Liverpool Heart and Chest Hospital</Company>
  <LinksUpToDate>false</LinksUpToDate>
  <CharactersWithSpaces>71281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Lewis</dc:creator>
  <cp:lastModifiedBy>Lewis, Joseph [jmlewis]</cp:lastModifiedBy>
  <cp:revision>3</cp:revision>
  <dcterms:created xsi:type="dcterms:W3CDTF">2016-01-05T11:52:00Z</dcterms:created>
  <dcterms:modified xsi:type="dcterms:W3CDTF">2016-01-05T11:56:00Z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joelewis101@doctors.org.uk@www.mendeley.com</vt:lpwstr>
  </property>
  <property fmtid="{D5CDD505-2E9C-101B-9397-08002B2CF9AE}" pid="4" name="Mendeley Citation Style_1">
    <vt:lpwstr>http://csl.mendeley.com/styles/97998581/american-medical-association-no-DOI</vt:lpwstr>
  </property>
  <property fmtid="{D5CDD505-2E9C-101B-9397-08002B2CF9AE}" pid="5" name="Mendeley Recent Style Id 0_1">
    <vt:lpwstr>http://csl.mendeley.com/styles/97998581/american-medical-association-no-DOI</vt:lpwstr>
  </property>
  <property fmtid="{D5CDD505-2E9C-101B-9397-08002B2CF9AE}" pid="6" name="Mendeley Recent Style Name 0_1">
    <vt:lpwstr>American Medical Association - joe lewis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http://www.zotero.org/styles/emerging-infectious-diseases</vt:lpwstr>
  </property>
  <property fmtid="{D5CDD505-2E9C-101B-9397-08002B2CF9AE}" pid="16" name="Mendeley Recent Style Name 5_1">
    <vt:lpwstr>Emerging Infectious Diseases</vt:lpwstr>
  </property>
  <property fmtid="{D5CDD505-2E9C-101B-9397-08002B2CF9AE}" pid="17" name="Mendeley Recent Style Id 6_1">
    <vt:lpwstr>http://www.zotero.org/styles/european-respiratory-journal</vt:lpwstr>
  </property>
  <property fmtid="{D5CDD505-2E9C-101B-9397-08002B2CF9AE}" pid="18" name="Mendeley Recent Style Name 6_1">
    <vt:lpwstr>European Respiratory Journal</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http://www.zotero.org/styles/jama</vt:lpwstr>
  </property>
  <property fmtid="{D5CDD505-2E9C-101B-9397-08002B2CF9AE}" pid="22" name="Mendeley Recent Style Name 8_1">
    <vt:lpwstr>JAMA (The Journal of the American Medical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