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463A6" w14:textId="283EDC04" w:rsidR="008327C7" w:rsidRPr="000D152F" w:rsidRDefault="000E44D9" w:rsidP="00D25306">
      <w:pPr>
        <w:jc w:val="center"/>
        <w:rPr>
          <w:rFonts w:ascii="Times New Roman" w:hAnsi="Times New Roman" w:cs="Times New Roman"/>
          <w:b/>
          <w:bCs/>
          <w:i/>
          <w:iCs/>
          <w:smallCaps/>
        </w:rPr>
      </w:pPr>
      <w:r>
        <w:rPr>
          <w:rFonts w:ascii="Times New Roman" w:hAnsi="Times New Roman" w:cs="Times New Roman"/>
          <w:b/>
          <w:bCs/>
          <w:i/>
          <w:iCs/>
          <w:smallCaps/>
        </w:rPr>
        <w:t xml:space="preserve">The Public-Private </w:t>
      </w:r>
      <w:r w:rsidR="00BA4386">
        <w:rPr>
          <w:rFonts w:ascii="Times New Roman" w:hAnsi="Times New Roman" w:cs="Times New Roman"/>
          <w:b/>
          <w:bCs/>
          <w:i/>
          <w:iCs/>
          <w:smallCaps/>
        </w:rPr>
        <w:t>Distinction</w:t>
      </w:r>
      <w:r>
        <w:rPr>
          <w:rFonts w:ascii="Times New Roman" w:hAnsi="Times New Roman" w:cs="Times New Roman"/>
          <w:b/>
          <w:bCs/>
          <w:i/>
          <w:iCs/>
          <w:smallCaps/>
        </w:rPr>
        <w:t xml:space="preserve"> at the World Trade Organization: Fundamental Challenges to </w:t>
      </w:r>
      <w:r w:rsidR="008700FF" w:rsidRPr="000D152F">
        <w:rPr>
          <w:rFonts w:ascii="Times New Roman" w:hAnsi="Times New Roman" w:cs="Times New Roman"/>
          <w:b/>
          <w:bCs/>
          <w:i/>
          <w:iCs/>
          <w:smallCaps/>
        </w:rPr>
        <w:t>Determini</w:t>
      </w:r>
      <w:r>
        <w:rPr>
          <w:rFonts w:ascii="Times New Roman" w:hAnsi="Times New Roman" w:cs="Times New Roman"/>
          <w:b/>
          <w:bCs/>
          <w:i/>
          <w:iCs/>
          <w:smallCaps/>
        </w:rPr>
        <w:t>ng the Meaning of ‘Public Body’</w:t>
      </w:r>
    </w:p>
    <w:p w14:paraId="0A5A8285" w14:textId="77777777" w:rsidR="006201D6" w:rsidRPr="000D152F" w:rsidRDefault="006201D6" w:rsidP="00D25306">
      <w:pPr>
        <w:spacing w:line="480" w:lineRule="auto"/>
        <w:jc w:val="both"/>
        <w:rPr>
          <w:rFonts w:ascii="Times New Roman" w:hAnsi="Times New Roman" w:cs="Times New Roman"/>
        </w:rPr>
      </w:pPr>
    </w:p>
    <w:p w14:paraId="2969CCBD" w14:textId="5FD085DF" w:rsidR="00640FD3" w:rsidRPr="00D25306" w:rsidRDefault="00327495" w:rsidP="00D25306">
      <w:pPr>
        <w:jc w:val="both"/>
        <w:rPr>
          <w:rFonts w:ascii="Times New Roman" w:hAnsi="Times New Roman" w:cs="Times New Roman"/>
          <w:i/>
        </w:rPr>
      </w:pPr>
      <w:r>
        <w:rPr>
          <w:rFonts w:ascii="Times New Roman" w:hAnsi="Times New Roman" w:cs="Times New Roman"/>
          <w:i/>
        </w:rPr>
        <w:t>The distinction between the public and the private is a conceptual fault line in WTO law. The WTO regulates a range of public activities that impact the ability of private actors to engage freely in the market. Difficulties arise where t</w:t>
      </w:r>
      <w:bookmarkStart w:id="0" w:name="_GoBack"/>
      <w:bookmarkEnd w:id="0"/>
      <w:r>
        <w:rPr>
          <w:rFonts w:ascii="Times New Roman" w:hAnsi="Times New Roman" w:cs="Times New Roman"/>
          <w:i/>
        </w:rPr>
        <w:t xml:space="preserve">he nature of the bodies that WTO law seeks to regulate is unclear. The Agreement on Subsidies and Countervailing Measures (‘SCM Agreement’) is a notable case in point. The </w:t>
      </w:r>
      <w:r w:rsidR="005E3B31" w:rsidRPr="00D25306">
        <w:rPr>
          <w:rFonts w:ascii="Times New Roman" w:hAnsi="Times New Roman" w:cs="Times New Roman"/>
          <w:i/>
        </w:rPr>
        <w:t xml:space="preserve">regulation of subsidies at the WTO is of particular importance, </w:t>
      </w:r>
      <w:r w:rsidR="00B870EF" w:rsidRPr="00D25306">
        <w:rPr>
          <w:rFonts w:ascii="Times New Roman" w:hAnsi="Times New Roman" w:cs="Times New Roman"/>
          <w:i/>
        </w:rPr>
        <w:t>structuring</w:t>
      </w:r>
      <w:r w:rsidR="005E3B31" w:rsidRPr="00D25306">
        <w:rPr>
          <w:rFonts w:ascii="Times New Roman" w:hAnsi="Times New Roman" w:cs="Times New Roman"/>
          <w:i/>
        </w:rPr>
        <w:t xml:space="preserve"> the relationship between government</w:t>
      </w:r>
      <w:r w:rsidR="00B870EF" w:rsidRPr="00D25306">
        <w:rPr>
          <w:rFonts w:ascii="Times New Roman" w:hAnsi="Times New Roman" w:cs="Times New Roman"/>
          <w:i/>
        </w:rPr>
        <w:t>s</w:t>
      </w:r>
      <w:r w:rsidR="005E3B31" w:rsidRPr="00D25306">
        <w:rPr>
          <w:rFonts w:ascii="Times New Roman" w:hAnsi="Times New Roman" w:cs="Times New Roman"/>
          <w:i/>
        </w:rPr>
        <w:t xml:space="preserve"> and market</w:t>
      </w:r>
      <w:r w:rsidR="00B870EF" w:rsidRPr="00D25306">
        <w:rPr>
          <w:rFonts w:ascii="Times New Roman" w:hAnsi="Times New Roman" w:cs="Times New Roman"/>
          <w:i/>
        </w:rPr>
        <w:t>s of WTO members</w:t>
      </w:r>
      <w:r w:rsidR="00923CCA">
        <w:rPr>
          <w:rFonts w:ascii="Times New Roman" w:hAnsi="Times New Roman" w:cs="Times New Roman"/>
          <w:i/>
        </w:rPr>
        <w:t>,</w:t>
      </w:r>
      <w:r>
        <w:rPr>
          <w:rFonts w:ascii="Times New Roman" w:hAnsi="Times New Roman" w:cs="Times New Roman"/>
          <w:i/>
        </w:rPr>
        <w:t xml:space="preserve"> yet</w:t>
      </w:r>
      <w:r w:rsidR="005E3B31" w:rsidRPr="00D25306">
        <w:rPr>
          <w:rFonts w:ascii="Times New Roman" w:hAnsi="Times New Roman" w:cs="Times New Roman"/>
          <w:i/>
        </w:rPr>
        <w:t xml:space="preserve"> </w:t>
      </w:r>
      <w:r>
        <w:rPr>
          <w:rFonts w:ascii="Times New Roman" w:hAnsi="Times New Roman" w:cs="Times New Roman"/>
          <w:i/>
        </w:rPr>
        <w:t>d</w:t>
      </w:r>
      <w:r w:rsidR="00B870EF" w:rsidRPr="00D25306">
        <w:rPr>
          <w:rFonts w:ascii="Times New Roman" w:hAnsi="Times New Roman" w:cs="Times New Roman"/>
          <w:i/>
        </w:rPr>
        <w:t>espite the wide scope and importance of the SCM</w:t>
      </w:r>
      <w:r w:rsidR="0012788D" w:rsidRPr="00D25306">
        <w:rPr>
          <w:rFonts w:ascii="Times New Roman" w:hAnsi="Times New Roman" w:cs="Times New Roman"/>
          <w:i/>
        </w:rPr>
        <w:t xml:space="preserve"> Agreement</w:t>
      </w:r>
      <w:r w:rsidR="00B870EF" w:rsidRPr="00D25306">
        <w:rPr>
          <w:rFonts w:ascii="Times New Roman" w:hAnsi="Times New Roman" w:cs="Times New Roman"/>
          <w:i/>
        </w:rPr>
        <w:t xml:space="preserve">, there exist </w:t>
      </w:r>
      <w:r w:rsidR="00640FD3" w:rsidRPr="00D25306">
        <w:rPr>
          <w:rFonts w:ascii="Times New Roman" w:hAnsi="Times New Roman" w:cs="Times New Roman"/>
          <w:i/>
        </w:rPr>
        <w:t xml:space="preserve">theoretical deficiencies underpinning </w:t>
      </w:r>
      <w:r w:rsidR="00B870EF" w:rsidRPr="00D25306">
        <w:rPr>
          <w:rFonts w:ascii="Times New Roman" w:hAnsi="Times New Roman" w:cs="Times New Roman"/>
          <w:i/>
        </w:rPr>
        <w:t xml:space="preserve">key terms. This paper examines </w:t>
      </w:r>
      <w:r w:rsidR="00640FD3" w:rsidRPr="00D25306">
        <w:rPr>
          <w:rFonts w:ascii="Times New Roman" w:hAnsi="Times New Roman" w:cs="Times New Roman"/>
          <w:i/>
        </w:rPr>
        <w:t xml:space="preserve">the definition of ‘public body’ under the </w:t>
      </w:r>
      <w:r w:rsidR="00B870EF" w:rsidRPr="00D25306">
        <w:rPr>
          <w:rFonts w:ascii="Times New Roman" w:hAnsi="Times New Roman" w:cs="Times New Roman"/>
          <w:i/>
        </w:rPr>
        <w:t xml:space="preserve">SCM </w:t>
      </w:r>
      <w:r w:rsidR="00640FD3" w:rsidRPr="00D25306">
        <w:rPr>
          <w:rFonts w:ascii="Times New Roman" w:hAnsi="Times New Roman" w:cs="Times New Roman"/>
          <w:i/>
        </w:rPr>
        <w:t xml:space="preserve">Agreement </w:t>
      </w:r>
      <w:r w:rsidR="00B870EF" w:rsidRPr="00D25306">
        <w:rPr>
          <w:rFonts w:ascii="Times New Roman" w:hAnsi="Times New Roman" w:cs="Times New Roman"/>
          <w:i/>
        </w:rPr>
        <w:t>as one such example</w:t>
      </w:r>
      <w:r w:rsidR="00640FD3" w:rsidRPr="00D25306">
        <w:rPr>
          <w:rFonts w:ascii="Times New Roman" w:hAnsi="Times New Roman" w:cs="Times New Roman"/>
          <w:i/>
        </w:rPr>
        <w:t>. Moving beyond the comp</w:t>
      </w:r>
      <w:r w:rsidR="00D734D9" w:rsidRPr="00D25306">
        <w:rPr>
          <w:rFonts w:ascii="Times New Roman" w:hAnsi="Times New Roman" w:cs="Times New Roman"/>
          <w:i/>
        </w:rPr>
        <w:t>eting interpretations offered by</w:t>
      </w:r>
      <w:r w:rsidR="00640FD3" w:rsidRPr="00D25306">
        <w:rPr>
          <w:rFonts w:ascii="Times New Roman" w:hAnsi="Times New Roman" w:cs="Times New Roman"/>
          <w:i/>
        </w:rPr>
        <w:t xml:space="preserve"> panel</w:t>
      </w:r>
      <w:r w:rsidR="008327C7" w:rsidRPr="00D25306">
        <w:rPr>
          <w:rStyle w:val="FootnoteReference"/>
          <w:rFonts w:ascii="Times New Roman" w:hAnsi="Times New Roman" w:cs="Times New Roman"/>
          <w:i/>
        </w:rPr>
        <w:footnoteReference w:id="1"/>
      </w:r>
      <w:r w:rsidR="00640FD3" w:rsidRPr="00D25306">
        <w:rPr>
          <w:rFonts w:ascii="Times New Roman" w:hAnsi="Times New Roman" w:cs="Times New Roman"/>
          <w:i/>
        </w:rPr>
        <w:t xml:space="preserve"> and Appellate Body reports</w:t>
      </w:r>
      <w:r w:rsidR="008327C7" w:rsidRPr="00D25306">
        <w:rPr>
          <w:rFonts w:ascii="Times New Roman" w:hAnsi="Times New Roman" w:cs="Times New Roman"/>
          <w:i/>
          <w:vertAlign w:val="superscript"/>
        </w:rPr>
        <w:footnoteReference w:id="2"/>
      </w:r>
      <w:r w:rsidR="00640FD3" w:rsidRPr="00D25306">
        <w:rPr>
          <w:rFonts w:ascii="Times New Roman" w:hAnsi="Times New Roman" w:cs="Times New Roman"/>
          <w:i/>
        </w:rPr>
        <w:t>, this paper suggests that the underlying conceptual foundations of the term are inadequate and offers tentative suggestions to remedy this failing.</w:t>
      </w:r>
      <w:r w:rsidR="005B39C2" w:rsidRPr="00D25306">
        <w:rPr>
          <w:rFonts w:ascii="Times New Roman" w:hAnsi="Times New Roman" w:cs="Times New Roman"/>
          <w:i/>
        </w:rPr>
        <w:t xml:space="preserve"> Specifically, a</w:t>
      </w:r>
      <w:r>
        <w:rPr>
          <w:rFonts w:ascii="Times New Roman" w:hAnsi="Times New Roman" w:cs="Times New Roman"/>
          <w:i/>
        </w:rPr>
        <w:t>n</w:t>
      </w:r>
      <w:r w:rsidR="005B39C2" w:rsidRPr="00D25306">
        <w:rPr>
          <w:rFonts w:ascii="Times New Roman" w:hAnsi="Times New Roman" w:cs="Times New Roman"/>
          <w:i/>
        </w:rPr>
        <w:t xml:space="preserve"> </w:t>
      </w:r>
      <w:r w:rsidR="00F8398D" w:rsidRPr="00D25306">
        <w:rPr>
          <w:rFonts w:ascii="Times New Roman" w:hAnsi="Times New Roman" w:cs="Times New Roman"/>
          <w:i/>
        </w:rPr>
        <w:t xml:space="preserve">approach </w:t>
      </w:r>
      <w:r w:rsidR="00C92C4A">
        <w:rPr>
          <w:rFonts w:ascii="Times New Roman" w:hAnsi="Times New Roman" w:cs="Times New Roman"/>
          <w:i/>
        </w:rPr>
        <w:t xml:space="preserve">based on the distinction between private and public aims </w:t>
      </w:r>
      <w:r w:rsidR="005B39C2" w:rsidRPr="00D25306">
        <w:rPr>
          <w:rFonts w:ascii="Times New Roman" w:hAnsi="Times New Roman" w:cs="Times New Roman"/>
          <w:i/>
        </w:rPr>
        <w:t>is posited</w:t>
      </w:r>
      <w:r w:rsidR="00142A75" w:rsidRPr="00D25306">
        <w:rPr>
          <w:rFonts w:ascii="Times New Roman" w:hAnsi="Times New Roman" w:cs="Times New Roman"/>
          <w:i/>
        </w:rPr>
        <w:t xml:space="preserve"> as an alternative</w:t>
      </w:r>
      <w:r w:rsidR="005F7B07">
        <w:rPr>
          <w:rFonts w:ascii="Times New Roman" w:hAnsi="Times New Roman" w:cs="Times New Roman"/>
          <w:i/>
        </w:rPr>
        <w:t>.</w:t>
      </w:r>
      <w:r w:rsidR="0012788D" w:rsidRPr="00D25306">
        <w:rPr>
          <w:rFonts w:ascii="Times New Roman" w:hAnsi="Times New Roman" w:cs="Times New Roman"/>
          <w:i/>
        </w:rPr>
        <w:t xml:space="preserve"> Identifying the </w:t>
      </w:r>
      <w:r w:rsidR="00631276" w:rsidRPr="00D25306">
        <w:rPr>
          <w:rFonts w:ascii="Times New Roman" w:hAnsi="Times New Roman" w:cs="Times New Roman"/>
          <w:i/>
        </w:rPr>
        <w:t>importance that conceptions of the ‘public’ have in international law more</w:t>
      </w:r>
      <w:r w:rsidR="002F039F" w:rsidRPr="00D25306">
        <w:rPr>
          <w:rFonts w:ascii="Times New Roman" w:hAnsi="Times New Roman" w:cs="Times New Roman"/>
          <w:i/>
        </w:rPr>
        <w:t xml:space="preserve"> generally, this paper </w:t>
      </w:r>
      <w:r w:rsidR="00631276" w:rsidRPr="00D25306">
        <w:rPr>
          <w:rFonts w:ascii="Times New Roman" w:hAnsi="Times New Roman" w:cs="Times New Roman"/>
          <w:i/>
        </w:rPr>
        <w:t xml:space="preserve">argues for greater engagement with the conceptual underpinnings of terms such as ‘public body’ so as to provide a meaningful basis for some of the </w:t>
      </w:r>
      <w:r w:rsidR="00A404CC" w:rsidRPr="00D25306">
        <w:rPr>
          <w:rFonts w:ascii="Times New Roman" w:hAnsi="Times New Roman" w:cs="Times New Roman"/>
          <w:i/>
        </w:rPr>
        <w:t>foundational</w:t>
      </w:r>
      <w:r w:rsidR="00631276" w:rsidRPr="00D25306">
        <w:rPr>
          <w:rFonts w:ascii="Times New Roman" w:hAnsi="Times New Roman" w:cs="Times New Roman"/>
          <w:i/>
        </w:rPr>
        <w:t xml:space="preserve"> terms in </w:t>
      </w:r>
      <w:r w:rsidR="00A404CC" w:rsidRPr="00D25306">
        <w:rPr>
          <w:rFonts w:ascii="Times New Roman" w:hAnsi="Times New Roman" w:cs="Times New Roman"/>
          <w:i/>
        </w:rPr>
        <w:t xml:space="preserve">current </w:t>
      </w:r>
      <w:r w:rsidR="00631276" w:rsidRPr="00D25306">
        <w:rPr>
          <w:rFonts w:ascii="Times New Roman" w:hAnsi="Times New Roman" w:cs="Times New Roman"/>
          <w:i/>
        </w:rPr>
        <w:t>international law.</w:t>
      </w:r>
    </w:p>
    <w:p w14:paraId="450B78D4" w14:textId="77777777" w:rsidR="00640FD3" w:rsidRPr="000D152F" w:rsidRDefault="00640FD3" w:rsidP="00D25306">
      <w:pPr>
        <w:spacing w:line="480" w:lineRule="auto"/>
        <w:jc w:val="both"/>
        <w:rPr>
          <w:rFonts w:ascii="Times New Roman" w:hAnsi="Times New Roman" w:cs="Times New Roman"/>
        </w:rPr>
      </w:pPr>
    </w:p>
    <w:p w14:paraId="470A7A3A" w14:textId="469A436F" w:rsidR="00F8398D" w:rsidRPr="000D152F" w:rsidRDefault="00F8398D" w:rsidP="00D25306">
      <w:pPr>
        <w:spacing w:line="480" w:lineRule="auto"/>
        <w:jc w:val="both"/>
        <w:rPr>
          <w:rFonts w:ascii="Times New Roman" w:hAnsi="Times New Roman" w:cs="Times New Roman"/>
          <w:b/>
          <w:i/>
        </w:rPr>
      </w:pPr>
      <w:r w:rsidRPr="000D152F">
        <w:rPr>
          <w:rFonts w:ascii="Times New Roman" w:hAnsi="Times New Roman" w:cs="Times New Roman"/>
          <w:b/>
          <w:i/>
        </w:rPr>
        <w:t>Introduction</w:t>
      </w:r>
    </w:p>
    <w:p w14:paraId="2C54F921" w14:textId="77777777" w:rsidR="00F8398D" w:rsidRPr="000D152F" w:rsidRDefault="00F8398D" w:rsidP="00D25306">
      <w:pPr>
        <w:spacing w:line="480" w:lineRule="auto"/>
        <w:jc w:val="both"/>
        <w:rPr>
          <w:rFonts w:ascii="Times New Roman" w:hAnsi="Times New Roman" w:cs="Times New Roman"/>
        </w:rPr>
      </w:pPr>
    </w:p>
    <w:p w14:paraId="3B7A2B43" w14:textId="01092DAB" w:rsidR="006E4B11" w:rsidRDefault="006E4B11" w:rsidP="00D25306">
      <w:pPr>
        <w:spacing w:line="480" w:lineRule="auto"/>
        <w:jc w:val="both"/>
        <w:rPr>
          <w:rFonts w:ascii="Times New Roman" w:hAnsi="Times New Roman" w:cs="Times New Roman"/>
        </w:rPr>
      </w:pPr>
      <w:r>
        <w:rPr>
          <w:rFonts w:ascii="Times New Roman" w:hAnsi="Times New Roman" w:cs="Times New Roman"/>
        </w:rPr>
        <w:t>The distinction between the public and the private is central to the way in which the World Trade Organization (‘WTO’) regulates international trade. The WTO regulates the behaviour of the Membership (principally</w:t>
      </w:r>
      <w:r w:rsidR="00A07D0C">
        <w:rPr>
          <w:rFonts w:ascii="Times New Roman" w:hAnsi="Times New Roman" w:cs="Times New Roman"/>
        </w:rPr>
        <w:t xml:space="preserve"> States) directly: t</w:t>
      </w:r>
      <w:r>
        <w:rPr>
          <w:rFonts w:ascii="Times New Roman" w:hAnsi="Times New Roman" w:cs="Times New Roman"/>
        </w:rPr>
        <w:t xml:space="preserve">hough private actors constitute the vast majority of traders, WTO rules </w:t>
      </w:r>
      <w:r w:rsidR="002A69E5">
        <w:rPr>
          <w:rFonts w:ascii="Times New Roman" w:hAnsi="Times New Roman" w:cs="Times New Roman"/>
        </w:rPr>
        <w:t xml:space="preserve">do not </w:t>
      </w:r>
      <w:r>
        <w:rPr>
          <w:rFonts w:ascii="Times New Roman" w:hAnsi="Times New Roman" w:cs="Times New Roman"/>
        </w:rPr>
        <w:t>apply to the</w:t>
      </w:r>
      <w:r w:rsidR="002A69E5">
        <w:rPr>
          <w:rFonts w:ascii="Times New Roman" w:hAnsi="Times New Roman" w:cs="Times New Roman"/>
        </w:rPr>
        <w:t>m</w:t>
      </w:r>
      <w:r>
        <w:rPr>
          <w:rFonts w:ascii="Times New Roman" w:hAnsi="Times New Roman" w:cs="Times New Roman"/>
        </w:rPr>
        <w:t xml:space="preserve"> </w:t>
      </w:r>
      <w:r w:rsidR="002A69E5">
        <w:rPr>
          <w:rFonts w:ascii="Times New Roman" w:hAnsi="Times New Roman" w:cs="Times New Roman"/>
        </w:rPr>
        <w:t xml:space="preserve">but rather the </w:t>
      </w:r>
      <w:r>
        <w:rPr>
          <w:rFonts w:ascii="Times New Roman" w:hAnsi="Times New Roman" w:cs="Times New Roman"/>
        </w:rPr>
        <w:t>Membership.</w:t>
      </w:r>
      <w:r w:rsidR="00572ED7">
        <w:rPr>
          <w:rStyle w:val="FootnoteReference"/>
          <w:rFonts w:ascii="Times New Roman" w:hAnsi="Times New Roman" w:cs="Times New Roman"/>
        </w:rPr>
        <w:footnoteReference w:id="3"/>
      </w:r>
      <w:r>
        <w:rPr>
          <w:rFonts w:ascii="Times New Roman" w:hAnsi="Times New Roman" w:cs="Times New Roman"/>
        </w:rPr>
        <w:t xml:space="preserve"> Members are restricted in the ways in which they may affect the market from how they tax and regulate imports, exports or sale of goods and services, to the way in which they pursue ‘non-trade’ goals which may have an effect on competition in the market (</w:t>
      </w:r>
      <w:r w:rsidR="002A69E5">
        <w:rPr>
          <w:rFonts w:ascii="Times New Roman" w:hAnsi="Times New Roman" w:cs="Times New Roman"/>
        </w:rPr>
        <w:t>whether intentionally or not</w:t>
      </w:r>
      <w:r>
        <w:rPr>
          <w:rFonts w:ascii="Times New Roman" w:hAnsi="Times New Roman" w:cs="Times New Roman"/>
        </w:rPr>
        <w:t>).</w:t>
      </w:r>
      <w:r w:rsidR="005C2CB2">
        <w:rPr>
          <w:rStyle w:val="FootnoteReference"/>
          <w:rFonts w:ascii="Times New Roman" w:hAnsi="Times New Roman" w:cs="Times New Roman"/>
        </w:rPr>
        <w:footnoteReference w:id="4"/>
      </w:r>
      <w:r w:rsidR="00441FB8">
        <w:rPr>
          <w:rFonts w:ascii="Times New Roman" w:hAnsi="Times New Roman" w:cs="Times New Roman"/>
        </w:rPr>
        <w:t xml:space="preserve"> </w:t>
      </w:r>
    </w:p>
    <w:p w14:paraId="12BA45D8" w14:textId="77777777" w:rsidR="002A69E5" w:rsidRDefault="002A69E5" w:rsidP="00D25306">
      <w:pPr>
        <w:spacing w:line="480" w:lineRule="auto"/>
        <w:jc w:val="both"/>
        <w:rPr>
          <w:rFonts w:ascii="Times New Roman" w:hAnsi="Times New Roman" w:cs="Times New Roman"/>
        </w:rPr>
      </w:pPr>
    </w:p>
    <w:p w14:paraId="475FE1AB" w14:textId="126930DC" w:rsidR="00DD2A8A" w:rsidRPr="000D152F" w:rsidRDefault="002A69E5" w:rsidP="00B229AF">
      <w:pPr>
        <w:spacing w:line="480" w:lineRule="auto"/>
        <w:jc w:val="both"/>
        <w:rPr>
          <w:rFonts w:ascii="Times New Roman" w:hAnsi="Times New Roman" w:cs="Times New Roman"/>
        </w:rPr>
      </w:pPr>
      <w:r>
        <w:rPr>
          <w:rFonts w:ascii="Times New Roman" w:hAnsi="Times New Roman" w:cs="Times New Roman"/>
        </w:rPr>
        <w:lastRenderedPageBreak/>
        <w:t>By regulating one class of actor (public) but focussing on the outcomes for another (private), WTO law is required to engage with the distinction between the public and the private on a continual basis</w:t>
      </w:r>
      <w:bookmarkStart w:id="1" w:name="_Ref245793374"/>
      <w:r w:rsidR="00A27A4F">
        <w:rPr>
          <w:rFonts w:ascii="Times New Roman" w:hAnsi="Times New Roman" w:cs="Times New Roman"/>
        </w:rPr>
        <w:t>,</w:t>
      </w:r>
      <w:bookmarkEnd w:id="1"/>
      <w:r>
        <w:rPr>
          <w:rFonts w:ascii="Times New Roman" w:hAnsi="Times New Roman" w:cs="Times New Roman"/>
        </w:rPr>
        <w:t xml:space="preserve"> </w:t>
      </w:r>
      <w:r w:rsidR="00A27A4F">
        <w:rPr>
          <w:rFonts w:ascii="Times New Roman" w:hAnsi="Times New Roman" w:cs="Times New Roman"/>
        </w:rPr>
        <w:t>a situation that becomes more complex in light of changes at both domestic and international levels.</w:t>
      </w:r>
      <w:bookmarkStart w:id="2" w:name="_Ref280528304"/>
      <w:r w:rsidR="00A07D0C" w:rsidRPr="000D152F">
        <w:rPr>
          <w:rStyle w:val="FootnoteReference"/>
          <w:rFonts w:ascii="Times New Roman" w:hAnsi="Times New Roman" w:cs="Times New Roman"/>
        </w:rPr>
        <w:footnoteReference w:id="5"/>
      </w:r>
      <w:bookmarkEnd w:id="2"/>
      <w:r w:rsidR="00A27A4F">
        <w:rPr>
          <w:rFonts w:ascii="Times New Roman" w:hAnsi="Times New Roman" w:cs="Times New Roman"/>
        </w:rPr>
        <w:t xml:space="preserve"> </w:t>
      </w:r>
      <w:r w:rsidR="00A27A4F" w:rsidRPr="000D152F">
        <w:rPr>
          <w:rFonts w:ascii="Times New Roman" w:hAnsi="Times New Roman" w:cs="Times New Roman"/>
        </w:rPr>
        <w:t>At the domestic level, many States are liberalising the provision of public services, blurring the line between public and private.</w:t>
      </w:r>
      <w:bookmarkStart w:id="3" w:name="_Ref260991794"/>
      <w:r w:rsidR="00A27A4F" w:rsidRPr="000D152F">
        <w:rPr>
          <w:rStyle w:val="FootnoteReference"/>
          <w:rFonts w:ascii="Times New Roman" w:hAnsi="Times New Roman" w:cs="Times New Roman"/>
        </w:rPr>
        <w:footnoteReference w:id="6"/>
      </w:r>
      <w:bookmarkEnd w:id="3"/>
      <w:r w:rsidR="00A27A4F" w:rsidRPr="000D152F">
        <w:rPr>
          <w:rFonts w:ascii="Times New Roman" w:hAnsi="Times New Roman" w:cs="Times New Roman"/>
        </w:rPr>
        <w:t xml:space="preserve"> At the international level, the distinction between public State action, and private commercial action is also becoming blurred.</w:t>
      </w:r>
      <w:r w:rsidR="00A27A4F" w:rsidRPr="000D152F">
        <w:rPr>
          <w:rStyle w:val="FootnoteReference"/>
          <w:rFonts w:ascii="Times New Roman" w:hAnsi="Times New Roman" w:cs="Times New Roman"/>
        </w:rPr>
        <w:footnoteReference w:id="7"/>
      </w:r>
      <w:r w:rsidR="00A27A4F" w:rsidRPr="000D152F">
        <w:rPr>
          <w:rFonts w:ascii="Times New Roman" w:hAnsi="Times New Roman" w:cs="Times New Roman"/>
        </w:rPr>
        <w:t xml:space="preserve"> </w:t>
      </w:r>
      <w:r>
        <w:rPr>
          <w:rFonts w:ascii="Times New Roman" w:hAnsi="Times New Roman" w:cs="Times New Roman"/>
        </w:rPr>
        <w:t xml:space="preserve">The proliferation of private standards which increasingly </w:t>
      </w:r>
      <w:r w:rsidR="00065EA2">
        <w:rPr>
          <w:rFonts w:ascii="Times New Roman" w:hAnsi="Times New Roman" w:cs="Times New Roman"/>
        </w:rPr>
        <w:t xml:space="preserve">affect </w:t>
      </w:r>
      <w:r w:rsidR="00392CC7">
        <w:rPr>
          <w:rFonts w:ascii="Times New Roman" w:hAnsi="Times New Roman" w:cs="Times New Roman"/>
        </w:rPr>
        <w:t>trade (at times to a greater extent than governmental standards) is one such example</w:t>
      </w:r>
      <w:r w:rsidR="00555E10">
        <w:rPr>
          <w:rFonts w:ascii="Times New Roman" w:hAnsi="Times New Roman" w:cs="Times New Roman"/>
        </w:rPr>
        <w:t>.</w:t>
      </w:r>
      <w:bookmarkStart w:id="4" w:name="_Ref425494835"/>
      <w:r w:rsidR="00A20524">
        <w:rPr>
          <w:rStyle w:val="FootnoteReference"/>
          <w:rFonts w:ascii="Times New Roman" w:hAnsi="Times New Roman" w:cs="Times New Roman"/>
        </w:rPr>
        <w:footnoteReference w:id="8"/>
      </w:r>
      <w:bookmarkEnd w:id="4"/>
    </w:p>
    <w:p w14:paraId="60F0A841" w14:textId="77777777" w:rsidR="00DD2A8A" w:rsidRPr="000D152F" w:rsidRDefault="00DD2A8A" w:rsidP="00D25306">
      <w:pPr>
        <w:spacing w:line="480" w:lineRule="auto"/>
        <w:jc w:val="both"/>
        <w:rPr>
          <w:rFonts w:ascii="Times New Roman" w:hAnsi="Times New Roman" w:cs="Times New Roman"/>
        </w:rPr>
      </w:pPr>
    </w:p>
    <w:p w14:paraId="57452A85" w14:textId="418600EF" w:rsidR="00CF6F08" w:rsidRDefault="00DE05DD" w:rsidP="00D25306">
      <w:pPr>
        <w:spacing w:line="480" w:lineRule="auto"/>
        <w:jc w:val="both"/>
        <w:rPr>
          <w:rFonts w:ascii="Times New Roman" w:hAnsi="Times New Roman" w:cs="Times New Roman"/>
        </w:rPr>
      </w:pPr>
      <w:r w:rsidRPr="000D152F">
        <w:rPr>
          <w:rFonts w:ascii="Times New Roman" w:hAnsi="Times New Roman" w:cs="Times New Roman"/>
        </w:rPr>
        <w:t xml:space="preserve">The debates over the definition of what constitutes a ‘public body’ for the purposes of the </w:t>
      </w:r>
      <w:r w:rsidR="00B870EF" w:rsidRPr="000D152F">
        <w:rPr>
          <w:rFonts w:ascii="Times New Roman" w:hAnsi="Times New Roman" w:cs="Times New Roman"/>
        </w:rPr>
        <w:t xml:space="preserve">SCM </w:t>
      </w:r>
      <w:r w:rsidR="00F52AC6" w:rsidRPr="000D152F">
        <w:rPr>
          <w:rFonts w:ascii="Times New Roman" w:hAnsi="Times New Roman" w:cs="Times New Roman"/>
        </w:rPr>
        <w:t xml:space="preserve">Agreement </w:t>
      </w:r>
      <w:r w:rsidRPr="000D152F">
        <w:rPr>
          <w:rFonts w:ascii="Times New Roman" w:hAnsi="Times New Roman" w:cs="Times New Roman"/>
        </w:rPr>
        <w:t>at the WTO is an indicator of the</w:t>
      </w:r>
      <w:r w:rsidR="002F039F" w:rsidRPr="000D152F">
        <w:rPr>
          <w:rFonts w:ascii="Times New Roman" w:hAnsi="Times New Roman" w:cs="Times New Roman"/>
        </w:rPr>
        <w:t>se</w:t>
      </w:r>
      <w:r w:rsidRPr="000D152F">
        <w:rPr>
          <w:rFonts w:ascii="Times New Roman" w:hAnsi="Times New Roman" w:cs="Times New Roman"/>
        </w:rPr>
        <w:t xml:space="preserve"> difficulties</w:t>
      </w:r>
      <w:r w:rsidR="00206D69" w:rsidRPr="000D152F">
        <w:rPr>
          <w:rFonts w:ascii="Times New Roman" w:hAnsi="Times New Roman" w:cs="Times New Roman"/>
        </w:rPr>
        <w:t>.</w:t>
      </w:r>
      <w:r w:rsidRPr="000D152F">
        <w:rPr>
          <w:rFonts w:ascii="Times New Roman" w:hAnsi="Times New Roman" w:cs="Times New Roman"/>
        </w:rPr>
        <w:t xml:space="preserve"> </w:t>
      </w:r>
      <w:r w:rsidR="002F039F" w:rsidRPr="000D152F">
        <w:rPr>
          <w:rFonts w:ascii="Times New Roman" w:hAnsi="Times New Roman" w:cs="Times New Roman"/>
        </w:rPr>
        <w:t xml:space="preserve">Echoing </w:t>
      </w:r>
      <w:r w:rsidR="007A72EA" w:rsidRPr="000D152F">
        <w:rPr>
          <w:rFonts w:ascii="Times New Roman" w:hAnsi="Times New Roman" w:cs="Times New Roman"/>
        </w:rPr>
        <w:t xml:space="preserve">debates at the domestic level over the proper role of the ‘State’ and the ‘market’, </w:t>
      </w:r>
      <w:r w:rsidR="005E3B31" w:rsidRPr="000D152F">
        <w:rPr>
          <w:rFonts w:ascii="Times New Roman" w:hAnsi="Times New Roman" w:cs="Times New Roman"/>
        </w:rPr>
        <w:t xml:space="preserve">or </w:t>
      </w:r>
      <w:r w:rsidR="007A72EA" w:rsidRPr="000D152F">
        <w:rPr>
          <w:rFonts w:ascii="Times New Roman" w:hAnsi="Times New Roman" w:cs="Times New Roman"/>
        </w:rPr>
        <w:t>over the ‘public’ sphere and the ‘private’ sphere (including how we begin to define such terms)</w:t>
      </w:r>
      <w:r w:rsidR="002F039F" w:rsidRPr="000D152F">
        <w:rPr>
          <w:rFonts w:ascii="Times New Roman" w:hAnsi="Times New Roman" w:cs="Times New Roman"/>
        </w:rPr>
        <w:t>,</w:t>
      </w:r>
      <w:r w:rsidR="007C4BA1" w:rsidRPr="000D152F">
        <w:rPr>
          <w:rStyle w:val="FootnoteReference"/>
          <w:rFonts w:ascii="Times New Roman" w:hAnsi="Times New Roman" w:cs="Times New Roman"/>
        </w:rPr>
        <w:footnoteReference w:id="9"/>
      </w:r>
      <w:r w:rsidR="002F039F" w:rsidRPr="000D152F">
        <w:rPr>
          <w:rFonts w:ascii="Times New Roman" w:hAnsi="Times New Roman" w:cs="Times New Roman"/>
        </w:rPr>
        <w:t xml:space="preserve"> s</w:t>
      </w:r>
      <w:r w:rsidR="007A72EA" w:rsidRPr="000D152F">
        <w:rPr>
          <w:rFonts w:ascii="Times New Roman" w:hAnsi="Times New Roman" w:cs="Times New Roman"/>
        </w:rPr>
        <w:t xml:space="preserve">uch </w:t>
      </w:r>
      <w:r w:rsidR="002F039F" w:rsidRPr="000D152F">
        <w:rPr>
          <w:rFonts w:ascii="Times New Roman" w:hAnsi="Times New Roman" w:cs="Times New Roman"/>
        </w:rPr>
        <w:t xml:space="preserve">challenges </w:t>
      </w:r>
      <w:r w:rsidR="007A72EA" w:rsidRPr="000D152F">
        <w:rPr>
          <w:rFonts w:ascii="Times New Roman" w:hAnsi="Times New Roman" w:cs="Times New Roman"/>
        </w:rPr>
        <w:t>pose a challenge to the WTO that has until now been preoccupied with the relationship between itself and its Members or between itself and other legal regimes in international law.</w:t>
      </w:r>
      <w:r w:rsidR="00C75CE4" w:rsidRPr="000D152F">
        <w:rPr>
          <w:rStyle w:val="FootnoteReference"/>
          <w:rFonts w:ascii="Times New Roman" w:hAnsi="Times New Roman" w:cs="Times New Roman"/>
        </w:rPr>
        <w:footnoteReference w:id="10"/>
      </w:r>
      <w:r w:rsidR="007A72EA" w:rsidRPr="000D152F">
        <w:rPr>
          <w:rFonts w:ascii="Times New Roman" w:hAnsi="Times New Roman" w:cs="Times New Roman"/>
        </w:rPr>
        <w:t xml:space="preserve"> </w:t>
      </w:r>
    </w:p>
    <w:p w14:paraId="40D2DCFE" w14:textId="77777777" w:rsidR="00CF6F08" w:rsidRDefault="00CF6F08" w:rsidP="00D25306">
      <w:pPr>
        <w:spacing w:line="480" w:lineRule="auto"/>
        <w:jc w:val="both"/>
        <w:rPr>
          <w:rFonts w:ascii="Times New Roman" w:hAnsi="Times New Roman" w:cs="Times New Roman"/>
        </w:rPr>
      </w:pPr>
    </w:p>
    <w:p w14:paraId="4B644D5F" w14:textId="35D99B1C" w:rsidR="007A72EA" w:rsidRPr="000D152F" w:rsidRDefault="000D45F9" w:rsidP="00D25306">
      <w:pPr>
        <w:spacing w:line="480" w:lineRule="auto"/>
        <w:jc w:val="both"/>
        <w:rPr>
          <w:rFonts w:ascii="Times New Roman" w:hAnsi="Times New Roman" w:cs="Times New Roman"/>
        </w:rPr>
      </w:pPr>
      <w:r w:rsidRPr="000D152F">
        <w:rPr>
          <w:rFonts w:ascii="Times New Roman" w:hAnsi="Times New Roman" w:cs="Times New Roman"/>
        </w:rPr>
        <w:t>Under the SCM Agreement, the existence of a subsidy is contingent on whether (</w:t>
      </w:r>
      <w:r w:rsidRPr="000D152F">
        <w:rPr>
          <w:rFonts w:ascii="Times New Roman" w:hAnsi="Times New Roman" w:cs="Times New Roman"/>
          <w:i/>
        </w:rPr>
        <w:t>inter alia</w:t>
      </w:r>
      <w:r w:rsidRPr="000D152F">
        <w:rPr>
          <w:rFonts w:ascii="Times New Roman" w:hAnsi="Times New Roman" w:cs="Times New Roman"/>
        </w:rPr>
        <w:t>) it is given ‘by a government or any public body within the territory of a Member’.</w:t>
      </w:r>
      <w:r w:rsidRPr="000D152F">
        <w:rPr>
          <w:rStyle w:val="FootnoteReference"/>
          <w:rFonts w:ascii="Times New Roman" w:hAnsi="Times New Roman" w:cs="Times New Roman"/>
        </w:rPr>
        <w:footnoteReference w:id="11"/>
      </w:r>
      <w:r w:rsidRPr="000D152F">
        <w:rPr>
          <w:rFonts w:ascii="Times New Roman" w:hAnsi="Times New Roman" w:cs="Times New Roman"/>
        </w:rPr>
        <w:t xml:space="preserve"> This requirement distinguishes between a loan received on advantageous terms and a government subsidy. In the first instance, the recipient has got a good deal, and its competitors will (potentially) have to respond to the challenge. In the second instance, however, the recipient has been granted a subsidy and its competitors may then request the imposition of countervailing duties to offset this ‘unfair’ advantage. Thus, this raises the question: what constitutes a ‘public body’ for the purposes of Art 1.1(a)(1)?</w:t>
      </w:r>
      <w:r>
        <w:rPr>
          <w:rFonts w:ascii="Times New Roman" w:hAnsi="Times New Roman" w:cs="Times New Roman"/>
        </w:rPr>
        <w:t xml:space="preserve"> In particular, are State-Owned Enterprises (SOEs) or State-Owned Commercial Banks (SOCBs) to be considered as public bodies? Should government ownership or control determine their status? Or should the role that they play within the economy be determinative? The increasing role played by SOEs and SOCBs within post-economic crisis States, and their prevalence within China and other emerging economies has heightened concerns over their classification.</w:t>
      </w:r>
      <w:r w:rsidR="00555E10" w:rsidRPr="000D152F">
        <w:rPr>
          <w:rFonts w:ascii="Times New Roman" w:hAnsi="Times New Roman" w:cs="Times New Roman"/>
          <w:vertAlign w:val="superscript"/>
        </w:rPr>
        <w:footnoteReference w:id="12"/>
      </w:r>
    </w:p>
    <w:p w14:paraId="61F9078E" w14:textId="77777777" w:rsidR="007A72EA" w:rsidRPr="000D152F" w:rsidRDefault="007A72EA" w:rsidP="00D25306">
      <w:pPr>
        <w:spacing w:line="480" w:lineRule="auto"/>
        <w:jc w:val="both"/>
        <w:rPr>
          <w:rFonts w:ascii="Times New Roman" w:hAnsi="Times New Roman" w:cs="Times New Roman"/>
        </w:rPr>
      </w:pPr>
    </w:p>
    <w:p w14:paraId="4380CE9D" w14:textId="2D5D5C83" w:rsidR="007265EF" w:rsidRDefault="00E41686" w:rsidP="00D25306">
      <w:pPr>
        <w:spacing w:line="480" w:lineRule="auto"/>
        <w:jc w:val="both"/>
        <w:rPr>
          <w:rFonts w:ascii="Times New Roman" w:hAnsi="Times New Roman" w:cs="Times New Roman"/>
        </w:rPr>
      </w:pPr>
      <w:r>
        <w:rPr>
          <w:rFonts w:ascii="Times New Roman" w:hAnsi="Times New Roman" w:cs="Times New Roman"/>
        </w:rPr>
        <w:t xml:space="preserve">The focus of this paper is WTO law (specifically the law on subsidies) though the issues raised also have relevance for other areas of international law. </w:t>
      </w:r>
      <w:r w:rsidR="007A1A4E" w:rsidRPr="000D152F">
        <w:rPr>
          <w:rFonts w:ascii="Times New Roman" w:hAnsi="Times New Roman" w:cs="Times New Roman"/>
        </w:rPr>
        <w:t>D</w:t>
      </w:r>
      <w:r w:rsidR="00325257" w:rsidRPr="000D152F">
        <w:rPr>
          <w:rFonts w:ascii="Times New Roman" w:hAnsi="Times New Roman" w:cs="Times New Roman"/>
        </w:rPr>
        <w:t>ebates over the public-</w:t>
      </w:r>
      <w:r w:rsidR="007A72EA" w:rsidRPr="000D152F">
        <w:rPr>
          <w:rFonts w:ascii="Times New Roman" w:hAnsi="Times New Roman" w:cs="Times New Roman"/>
        </w:rPr>
        <w:t xml:space="preserve">private </w:t>
      </w:r>
      <w:r w:rsidR="00325257" w:rsidRPr="000D152F">
        <w:rPr>
          <w:rFonts w:ascii="Times New Roman" w:hAnsi="Times New Roman" w:cs="Times New Roman"/>
        </w:rPr>
        <w:t xml:space="preserve">distinction </w:t>
      </w:r>
      <w:r w:rsidR="007A72EA" w:rsidRPr="000D152F">
        <w:rPr>
          <w:rFonts w:ascii="Times New Roman" w:hAnsi="Times New Roman" w:cs="Times New Roman"/>
        </w:rPr>
        <w:t xml:space="preserve">are </w:t>
      </w:r>
      <w:r w:rsidR="001F45EB" w:rsidRPr="000D152F">
        <w:rPr>
          <w:rFonts w:ascii="Times New Roman" w:hAnsi="Times New Roman" w:cs="Times New Roman"/>
        </w:rPr>
        <w:t xml:space="preserve">increasingly </w:t>
      </w:r>
      <w:r w:rsidR="007A72EA" w:rsidRPr="000D152F">
        <w:rPr>
          <w:rFonts w:ascii="Times New Roman" w:hAnsi="Times New Roman" w:cs="Times New Roman"/>
        </w:rPr>
        <w:t>present within questions of rights protection</w:t>
      </w:r>
      <w:r w:rsidR="00AC3712" w:rsidRPr="000D152F">
        <w:rPr>
          <w:rFonts w:ascii="Times New Roman" w:hAnsi="Times New Roman" w:cs="Times New Roman"/>
        </w:rPr>
        <w:t>,</w:t>
      </w:r>
      <w:r w:rsidR="007A72EA" w:rsidRPr="000D152F">
        <w:rPr>
          <w:rFonts w:ascii="Times New Roman" w:hAnsi="Times New Roman" w:cs="Times New Roman"/>
          <w:vertAlign w:val="superscript"/>
        </w:rPr>
        <w:footnoteReference w:id="13"/>
      </w:r>
      <w:r w:rsidR="00AC3712" w:rsidRPr="000D152F">
        <w:rPr>
          <w:rFonts w:ascii="Times New Roman" w:hAnsi="Times New Roman" w:cs="Times New Roman"/>
        </w:rPr>
        <w:t xml:space="preserve"> or</w:t>
      </w:r>
      <w:r w:rsidR="008A5E59" w:rsidRPr="000D152F">
        <w:rPr>
          <w:rFonts w:ascii="Times New Roman" w:hAnsi="Times New Roman" w:cs="Times New Roman"/>
        </w:rPr>
        <w:t>, indirectly,</w:t>
      </w:r>
      <w:r w:rsidR="00AC3712" w:rsidRPr="000D152F">
        <w:rPr>
          <w:rFonts w:ascii="Times New Roman" w:hAnsi="Times New Roman" w:cs="Times New Roman"/>
        </w:rPr>
        <w:t xml:space="preserve"> in </w:t>
      </w:r>
      <w:r>
        <w:rPr>
          <w:rFonts w:ascii="Times New Roman" w:hAnsi="Times New Roman" w:cs="Times New Roman"/>
        </w:rPr>
        <w:t>the application of international rules by domestic courts as is the case with immunities</w:t>
      </w:r>
      <w:r w:rsidR="00AC3712" w:rsidRPr="000D152F">
        <w:rPr>
          <w:rFonts w:ascii="Times New Roman" w:hAnsi="Times New Roman" w:cs="Times New Roman"/>
        </w:rPr>
        <w:t>.</w:t>
      </w:r>
      <w:bookmarkStart w:id="5" w:name="_Ref260651815"/>
      <w:r w:rsidR="00AC3712" w:rsidRPr="000D152F">
        <w:rPr>
          <w:rStyle w:val="FootnoteReference"/>
          <w:rFonts w:ascii="Times New Roman" w:hAnsi="Times New Roman" w:cs="Times New Roman"/>
        </w:rPr>
        <w:footnoteReference w:id="14"/>
      </w:r>
      <w:bookmarkEnd w:id="5"/>
      <w:r w:rsidR="007A72EA" w:rsidRPr="000D152F">
        <w:rPr>
          <w:rFonts w:ascii="Times New Roman" w:hAnsi="Times New Roman" w:cs="Times New Roman"/>
        </w:rPr>
        <w:t xml:space="preserve"> </w:t>
      </w:r>
      <w:r>
        <w:rPr>
          <w:rFonts w:ascii="Times New Roman" w:hAnsi="Times New Roman" w:cs="Times New Roman"/>
        </w:rPr>
        <w:t xml:space="preserve">WTO law offers a number of advantages </w:t>
      </w:r>
      <w:r w:rsidR="005A62C9">
        <w:rPr>
          <w:rFonts w:ascii="Times New Roman" w:hAnsi="Times New Roman" w:cs="Times New Roman"/>
        </w:rPr>
        <w:t xml:space="preserve">to examine </w:t>
      </w:r>
      <w:r>
        <w:rPr>
          <w:rFonts w:ascii="Times New Roman" w:hAnsi="Times New Roman" w:cs="Times New Roman"/>
        </w:rPr>
        <w:t xml:space="preserve">this issue: its </w:t>
      </w:r>
      <w:r w:rsidR="00741886">
        <w:rPr>
          <w:rFonts w:ascii="Times New Roman" w:hAnsi="Times New Roman" w:cs="Times New Roman"/>
        </w:rPr>
        <w:t xml:space="preserve">detailed set </w:t>
      </w:r>
      <w:r w:rsidR="00741886">
        <w:rPr>
          <w:rFonts w:ascii="Times New Roman" w:hAnsi="Times New Roman" w:cs="Times New Roman"/>
        </w:rPr>
        <w:lastRenderedPageBreak/>
        <w:t xml:space="preserve">of legal rules, effective dispute settlement system, and </w:t>
      </w:r>
      <w:r w:rsidR="00A26ABC">
        <w:rPr>
          <w:rFonts w:ascii="Times New Roman" w:hAnsi="Times New Roman" w:cs="Times New Roman"/>
        </w:rPr>
        <w:t xml:space="preserve">near-universal Membership </w:t>
      </w:r>
      <w:r w:rsidR="00080AE8">
        <w:rPr>
          <w:rFonts w:ascii="Times New Roman" w:hAnsi="Times New Roman" w:cs="Times New Roman"/>
        </w:rPr>
        <w:t xml:space="preserve">allow us to </w:t>
      </w:r>
      <w:r w:rsidR="00C45587">
        <w:rPr>
          <w:rFonts w:ascii="Times New Roman" w:hAnsi="Times New Roman" w:cs="Times New Roman"/>
        </w:rPr>
        <w:t>conduct an analysis in an institutionalised setting without complications relating to rule identification or jurisdictional issues.</w:t>
      </w:r>
      <w:r w:rsidR="00C45587">
        <w:rPr>
          <w:rStyle w:val="FootnoteReference"/>
          <w:rFonts w:ascii="Times New Roman" w:hAnsi="Times New Roman" w:cs="Times New Roman"/>
        </w:rPr>
        <w:footnoteReference w:id="15"/>
      </w:r>
      <w:r w:rsidR="00C45587">
        <w:rPr>
          <w:rFonts w:ascii="Times New Roman" w:hAnsi="Times New Roman" w:cs="Times New Roman"/>
        </w:rPr>
        <w:t xml:space="preserve"> </w:t>
      </w:r>
      <w:r w:rsidR="007265EF">
        <w:rPr>
          <w:rFonts w:ascii="Times New Roman" w:hAnsi="Times New Roman" w:cs="Times New Roman"/>
        </w:rPr>
        <w:t>As identified above, WTO law is frequently required to examine the boundary between public and private spheres of action,</w:t>
      </w:r>
      <w:r w:rsidR="007265EF">
        <w:rPr>
          <w:rStyle w:val="FootnoteReference"/>
          <w:rFonts w:ascii="Times New Roman" w:hAnsi="Times New Roman" w:cs="Times New Roman"/>
        </w:rPr>
        <w:footnoteReference w:id="16"/>
      </w:r>
      <w:r w:rsidR="007265EF">
        <w:rPr>
          <w:rFonts w:ascii="Times New Roman" w:hAnsi="Times New Roman" w:cs="Times New Roman"/>
        </w:rPr>
        <w:t xml:space="preserve"> yet the SCM Agreement is the most </w:t>
      </w:r>
      <w:r w:rsidR="00C00720">
        <w:rPr>
          <w:rFonts w:ascii="Times New Roman" w:hAnsi="Times New Roman" w:cs="Times New Roman"/>
        </w:rPr>
        <w:t>far reaching</w:t>
      </w:r>
      <w:r w:rsidR="00A621EE">
        <w:rPr>
          <w:rFonts w:ascii="Times New Roman" w:hAnsi="Times New Roman" w:cs="Times New Roman"/>
        </w:rPr>
        <w:t xml:space="preserve"> as it creates not only specific obligations but a ‘framework of rights and obligations’</w:t>
      </w:r>
      <w:r w:rsidR="00AB42A0">
        <w:rPr>
          <w:rStyle w:val="FootnoteReference"/>
          <w:rFonts w:ascii="Times New Roman" w:hAnsi="Times New Roman" w:cs="Times New Roman"/>
        </w:rPr>
        <w:footnoteReference w:id="17"/>
      </w:r>
      <w:r w:rsidR="00A621EE">
        <w:rPr>
          <w:rFonts w:ascii="Times New Roman" w:hAnsi="Times New Roman" w:cs="Times New Roman"/>
        </w:rPr>
        <w:t xml:space="preserve"> that serve to discipline and regulate the autonomy of the State to act within the market, thus creating a legal barrier between the public and private.</w:t>
      </w:r>
    </w:p>
    <w:p w14:paraId="26339430" w14:textId="77777777" w:rsidR="007265EF" w:rsidRDefault="007265EF" w:rsidP="00D25306">
      <w:pPr>
        <w:spacing w:line="480" w:lineRule="auto"/>
        <w:jc w:val="both"/>
        <w:rPr>
          <w:rFonts w:ascii="Times New Roman" w:hAnsi="Times New Roman" w:cs="Times New Roman"/>
        </w:rPr>
      </w:pPr>
    </w:p>
    <w:p w14:paraId="58C88C9E" w14:textId="09E4178A" w:rsidR="003E61DC" w:rsidRDefault="003E61DC" w:rsidP="00D25306">
      <w:pPr>
        <w:spacing w:line="480" w:lineRule="auto"/>
        <w:jc w:val="both"/>
        <w:rPr>
          <w:rFonts w:ascii="Times New Roman" w:hAnsi="Times New Roman" w:cs="Times New Roman"/>
        </w:rPr>
      </w:pPr>
    </w:p>
    <w:p w14:paraId="6B2564A9" w14:textId="7A668914" w:rsidR="000B07C4" w:rsidRPr="000D152F" w:rsidRDefault="003E61DC" w:rsidP="00D25306">
      <w:pPr>
        <w:spacing w:line="480" w:lineRule="auto"/>
        <w:jc w:val="both"/>
        <w:rPr>
          <w:rFonts w:ascii="Times New Roman" w:hAnsi="Times New Roman" w:cs="Times New Roman"/>
        </w:rPr>
      </w:pPr>
      <w:r>
        <w:rPr>
          <w:rFonts w:ascii="Times New Roman" w:hAnsi="Times New Roman" w:cs="Times New Roman"/>
        </w:rPr>
        <w:t xml:space="preserve">The paper </w:t>
      </w:r>
      <w:r w:rsidR="00F737F5" w:rsidRPr="000D152F">
        <w:rPr>
          <w:rFonts w:ascii="Times New Roman" w:hAnsi="Times New Roman" w:cs="Times New Roman"/>
        </w:rPr>
        <w:t>proceeds in four parts</w:t>
      </w:r>
      <w:r w:rsidR="007C7AA7" w:rsidRPr="000D152F">
        <w:rPr>
          <w:rFonts w:ascii="Times New Roman" w:hAnsi="Times New Roman" w:cs="Times New Roman"/>
        </w:rPr>
        <w:t xml:space="preserve"> from this Introduction</w:t>
      </w:r>
      <w:r w:rsidR="00F737F5" w:rsidRPr="000D152F">
        <w:rPr>
          <w:rFonts w:ascii="Times New Roman" w:hAnsi="Times New Roman" w:cs="Times New Roman"/>
        </w:rPr>
        <w:t xml:space="preserve">: in Part </w:t>
      </w:r>
      <w:r w:rsidR="007C7AA7" w:rsidRPr="000D152F">
        <w:rPr>
          <w:rFonts w:ascii="Times New Roman" w:hAnsi="Times New Roman" w:cs="Times New Roman"/>
        </w:rPr>
        <w:t>I</w:t>
      </w:r>
      <w:r w:rsidR="00F737F5" w:rsidRPr="000D152F">
        <w:rPr>
          <w:rFonts w:ascii="Times New Roman" w:hAnsi="Times New Roman" w:cs="Times New Roman"/>
        </w:rPr>
        <w:t>, the interpretation of ‘public body’ under the SCM Agreement is examined. Specifically, the approaches taken by the panel</w:t>
      </w:r>
      <w:r w:rsidR="00B66FC8">
        <w:rPr>
          <w:rFonts w:ascii="Times New Roman" w:hAnsi="Times New Roman" w:cs="Times New Roman"/>
        </w:rPr>
        <w:t>s</w:t>
      </w:r>
      <w:r w:rsidR="00F737F5" w:rsidRPr="000D152F">
        <w:rPr>
          <w:rFonts w:ascii="Times New Roman" w:hAnsi="Times New Roman" w:cs="Times New Roman"/>
        </w:rPr>
        <w:t xml:space="preserve"> and Appellate Body</w:t>
      </w:r>
      <w:r w:rsidR="00F737F5" w:rsidRPr="000D152F">
        <w:rPr>
          <w:rFonts w:ascii="Times New Roman" w:hAnsi="Times New Roman" w:cs="Times New Roman"/>
          <w:i/>
        </w:rPr>
        <w:t xml:space="preserve"> </w:t>
      </w:r>
      <w:r w:rsidR="00F737F5" w:rsidRPr="000D152F">
        <w:rPr>
          <w:rFonts w:ascii="Times New Roman" w:hAnsi="Times New Roman" w:cs="Times New Roman"/>
        </w:rPr>
        <w:t xml:space="preserve">in </w:t>
      </w:r>
      <w:r w:rsidR="00B66FC8">
        <w:rPr>
          <w:rFonts w:ascii="Times New Roman" w:hAnsi="Times New Roman" w:cs="Times New Roman"/>
        </w:rPr>
        <w:t xml:space="preserve">the </w:t>
      </w:r>
      <w:r w:rsidR="00F31C01" w:rsidRPr="000D152F">
        <w:rPr>
          <w:rFonts w:ascii="Times New Roman" w:hAnsi="Times New Roman" w:cs="Times New Roman"/>
          <w:i/>
        </w:rPr>
        <w:t>US – AD/CVDs (China)</w:t>
      </w:r>
      <w:r w:rsidR="00F737F5" w:rsidRPr="000D152F">
        <w:rPr>
          <w:rFonts w:ascii="Times New Roman" w:hAnsi="Times New Roman" w:cs="Times New Roman"/>
          <w:i/>
        </w:rPr>
        <w:t xml:space="preserve"> </w:t>
      </w:r>
      <w:r w:rsidR="00B66FC8">
        <w:rPr>
          <w:rFonts w:ascii="Times New Roman" w:hAnsi="Times New Roman" w:cs="Times New Roman"/>
        </w:rPr>
        <w:t xml:space="preserve">and </w:t>
      </w:r>
      <w:r w:rsidR="00B66FC8">
        <w:rPr>
          <w:rFonts w:ascii="Times New Roman" w:hAnsi="Times New Roman" w:cs="Times New Roman"/>
          <w:i/>
        </w:rPr>
        <w:t xml:space="preserve">US – Carbon Steel (India) </w:t>
      </w:r>
      <w:r w:rsidR="00B66FC8">
        <w:rPr>
          <w:rFonts w:ascii="Times New Roman" w:hAnsi="Times New Roman" w:cs="Times New Roman"/>
        </w:rPr>
        <w:t xml:space="preserve">disputes </w:t>
      </w:r>
      <w:r w:rsidR="002D506E">
        <w:rPr>
          <w:rFonts w:ascii="Times New Roman" w:hAnsi="Times New Roman" w:cs="Times New Roman"/>
        </w:rPr>
        <w:t xml:space="preserve">are analysed, identifying the </w:t>
      </w:r>
      <w:r w:rsidR="00F737F5" w:rsidRPr="000D152F">
        <w:rPr>
          <w:rFonts w:ascii="Times New Roman" w:hAnsi="Times New Roman" w:cs="Times New Roman"/>
        </w:rPr>
        <w:t xml:space="preserve">difficulties with </w:t>
      </w:r>
      <w:r w:rsidR="002D506E">
        <w:rPr>
          <w:rFonts w:ascii="Times New Roman" w:hAnsi="Times New Roman" w:cs="Times New Roman"/>
        </w:rPr>
        <w:t xml:space="preserve">the </w:t>
      </w:r>
      <w:r w:rsidR="00DE13BC">
        <w:rPr>
          <w:rFonts w:ascii="Times New Roman" w:hAnsi="Times New Roman" w:cs="Times New Roman"/>
        </w:rPr>
        <w:t xml:space="preserve">competing </w:t>
      </w:r>
      <w:r w:rsidR="00F737F5" w:rsidRPr="000D152F">
        <w:rPr>
          <w:rFonts w:ascii="Times New Roman" w:hAnsi="Times New Roman" w:cs="Times New Roman"/>
        </w:rPr>
        <w:t xml:space="preserve">interpretations given </w:t>
      </w:r>
      <w:r w:rsidR="000B07C4" w:rsidRPr="000D152F">
        <w:rPr>
          <w:rFonts w:ascii="Times New Roman" w:hAnsi="Times New Roman" w:cs="Times New Roman"/>
        </w:rPr>
        <w:t>at the WTO</w:t>
      </w:r>
      <w:r w:rsidR="00F737F5" w:rsidRPr="000D152F">
        <w:rPr>
          <w:rFonts w:ascii="Times New Roman" w:hAnsi="Times New Roman" w:cs="Times New Roman"/>
        </w:rPr>
        <w:t xml:space="preserve">. </w:t>
      </w:r>
      <w:r w:rsidR="000B07C4" w:rsidRPr="000D152F">
        <w:rPr>
          <w:rFonts w:ascii="Times New Roman" w:hAnsi="Times New Roman" w:cs="Times New Roman"/>
        </w:rPr>
        <w:t xml:space="preserve">Part II examines some of </w:t>
      </w:r>
      <w:r w:rsidR="005E3B31" w:rsidRPr="000D152F">
        <w:rPr>
          <w:rFonts w:ascii="Times New Roman" w:hAnsi="Times New Roman" w:cs="Times New Roman"/>
        </w:rPr>
        <w:t xml:space="preserve">the </w:t>
      </w:r>
      <w:r w:rsidR="000B07C4" w:rsidRPr="000D152F">
        <w:rPr>
          <w:rFonts w:ascii="Times New Roman" w:hAnsi="Times New Roman" w:cs="Times New Roman"/>
        </w:rPr>
        <w:t xml:space="preserve">key challenges facing the conceptualisation of a public-private relationship within international law and </w:t>
      </w:r>
      <w:r w:rsidR="00AF2133" w:rsidRPr="000D152F">
        <w:rPr>
          <w:rFonts w:ascii="Times New Roman" w:hAnsi="Times New Roman" w:cs="Times New Roman"/>
        </w:rPr>
        <w:t xml:space="preserve">identifies the limitations of </w:t>
      </w:r>
      <w:r w:rsidR="000B07C4" w:rsidRPr="000D152F">
        <w:rPr>
          <w:rFonts w:ascii="Times New Roman" w:hAnsi="Times New Roman" w:cs="Times New Roman"/>
        </w:rPr>
        <w:t xml:space="preserve">some of the most commonly used approaches. </w:t>
      </w:r>
    </w:p>
    <w:p w14:paraId="7FF325EE" w14:textId="77777777" w:rsidR="000B07C4" w:rsidRPr="000D152F" w:rsidRDefault="000B07C4" w:rsidP="00D25306">
      <w:pPr>
        <w:spacing w:line="480" w:lineRule="auto"/>
        <w:jc w:val="both"/>
        <w:rPr>
          <w:rFonts w:ascii="Times New Roman" w:hAnsi="Times New Roman" w:cs="Times New Roman"/>
        </w:rPr>
      </w:pPr>
    </w:p>
    <w:p w14:paraId="45831A60" w14:textId="76B643A8" w:rsidR="000B07C4" w:rsidRPr="000D152F" w:rsidRDefault="00CF0302" w:rsidP="00D25306">
      <w:pPr>
        <w:spacing w:line="480" w:lineRule="auto"/>
        <w:jc w:val="both"/>
        <w:rPr>
          <w:rFonts w:ascii="Times New Roman" w:hAnsi="Times New Roman" w:cs="Times New Roman"/>
        </w:rPr>
      </w:pPr>
      <w:r w:rsidRPr="000D152F">
        <w:rPr>
          <w:rFonts w:ascii="Times New Roman" w:hAnsi="Times New Roman" w:cs="Times New Roman"/>
        </w:rPr>
        <w:t>In Part III</w:t>
      </w:r>
      <w:r w:rsidR="000B07C4" w:rsidRPr="000D152F">
        <w:rPr>
          <w:rFonts w:ascii="Times New Roman" w:hAnsi="Times New Roman" w:cs="Times New Roman"/>
        </w:rPr>
        <w:t xml:space="preserve">, a framework is developed to </w:t>
      </w:r>
      <w:r w:rsidR="00B5331C" w:rsidRPr="000D152F">
        <w:rPr>
          <w:rFonts w:ascii="Times New Roman" w:hAnsi="Times New Roman" w:cs="Times New Roman"/>
        </w:rPr>
        <w:t xml:space="preserve">examine </w:t>
      </w:r>
      <w:r w:rsidR="000B07C4" w:rsidRPr="000D152F">
        <w:rPr>
          <w:rFonts w:ascii="Times New Roman" w:hAnsi="Times New Roman" w:cs="Times New Roman"/>
        </w:rPr>
        <w:t xml:space="preserve">the public-private </w:t>
      </w:r>
      <w:r w:rsidR="00B5331C" w:rsidRPr="000D152F">
        <w:rPr>
          <w:rFonts w:ascii="Times New Roman" w:hAnsi="Times New Roman" w:cs="Times New Roman"/>
        </w:rPr>
        <w:t xml:space="preserve">distinction </w:t>
      </w:r>
      <w:r w:rsidR="000B07C4" w:rsidRPr="000D152F">
        <w:rPr>
          <w:rFonts w:ascii="Times New Roman" w:hAnsi="Times New Roman" w:cs="Times New Roman"/>
        </w:rPr>
        <w:t xml:space="preserve">at an international level. It is suggested that the central challenge of acknowledging a plurality of differing structures of governance and the need for a uniform understanding of what constitutes ‘public’ in international law can be </w:t>
      </w:r>
      <w:r w:rsidR="0084220F" w:rsidRPr="000D152F">
        <w:rPr>
          <w:rFonts w:ascii="Times New Roman" w:hAnsi="Times New Roman" w:cs="Times New Roman"/>
        </w:rPr>
        <w:t>reframed</w:t>
      </w:r>
      <w:r w:rsidR="000B07C4" w:rsidRPr="000D152F">
        <w:rPr>
          <w:rFonts w:ascii="Times New Roman" w:hAnsi="Times New Roman" w:cs="Times New Roman"/>
        </w:rPr>
        <w:t xml:space="preserve"> by </w:t>
      </w:r>
      <w:r w:rsidR="0014360B" w:rsidRPr="000D152F">
        <w:rPr>
          <w:rFonts w:ascii="Times New Roman" w:hAnsi="Times New Roman" w:cs="Times New Roman"/>
        </w:rPr>
        <w:t xml:space="preserve">drawing on classical writings </w:t>
      </w:r>
      <w:r w:rsidR="0014360B" w:rsidRPr="000D152F">
        <w:rPr>
          <w:rFonts w:ascii="Times New Roman" w:hAnsi="Times New Roman" w:cs="Times New Roman"/>
        </w:rPr>
        <w:lastRenderedPageBreak/>
        <w:t xml:space="preserve">relating to the State and conceptions of </w:t>
      </w:r>
      <w:r w:rsidR="006A71F9" w:rsidRPr="000D152F">
        <w:rPr>
          <w:rFonts w:ascii="Times New Roman" w:hAnsi="Times New Roman" w:cs="Times New Roman"/>
        </w:rPr>
        <w:t xml:space="preserve">political association. </w:t>
      </w:r>
      <w:r w:rsidR="0014360B" w:rsidRPr="000D152F">
        <w:rPr>
          <w:rFonts w:ascii="Times New Roman" w:hAnsi="Times New Roman" w:cs="Times New Roman"/>
        </w:rPr>
        <w:t>It is suggested that a</w:t>
      </w:r>
      <w:r w:rsidR="00892C46">
        <w:rPr>
          <w:rFonts w:ascii="Times New Roman" w:hAnsi="Times New Roman" w:cs="Times New Roman"/>
        </w:rPr>
        <w:t xml:space="preserve"> </w:t>
      </w:r>
      <w:r w:rsidR="0014360B" w:rsidRPr="000D152F">
        <w:rPr>
          <w:rFonts w:ascii="Times New Roman" w:hAnsi="Times New Roman" w:cs="Times New Roman"/>
        </w:rPr>
        <w:t xml:space="preserve">teleological account of the ‘public’ </w:t>
      </w:r>
      <w:r w:rsidR="00892C46">
        <w:rPr>
          <w:rFonts w:ascii="Times New Roman" w:hAnsi="Times New Roman" w:cs="Times New Roman"/>
        </w:rPr>
        <w:t xml:space="preserve">that examines whether the aims of the </w:t>
      </w:r>
      <w:r w:rsidR="007B67B7">
        <w:rPr>
          <w:rFonts w:ascii="Times New Roman" w:hAnsi="Times New Roman" w:cs="Times New Roman"/>
        </w:rPr>
        <w:t xml:space="preserve">body in question meet a set of criteria linked to the objectives of the political community </w:t>
      </w:r>
      <w:r w:rsidR="00C92C4A">
        <w:rPr>
          <w:rFonts w:ascii="Times New Roman" w:hAnsi="Times New Roman" w:cs="Times New Roman"/>
        </w:rPr>
        <w:t>offers an alternative approach.</w:t>
      </w:r>
      <w:r w:rsidR="0014360B" w:rsidRPr="000D152F">
        <w:rPr>
          <w:rFonts w:ascii="Times New Roman" w:hAnsi="Times New Roman" w:cs="Times New Roman"/>
        </w:rPr>
        <w:t xml:space="preserve"> </w:t>
      </w:r>
    </w:p>
    <w:p w14:paraId="319A9569" w14:textId="77777777" w:rsidR="000B07C4" w:rsidRPr="000D152F" w:rsidRDefault="000B07C4"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0D6B768B" w14:textId="78115809" w:rsidR="00E25F46" w:rsidRPr="000D152F" w:rsidRDefault="007C7AA7" w:rsidP="00D25306">
      <w:pPr>
        <w:spacing w:line="480" w:lineRule="auto"/>
        <w:jc w:val="both"/>
        <w:rPr>
          <w:rFonts w:ascii="Times New Roman" w:hAnsi="Times New Roman" w:cs="Times New Roman"/>
        </w:rPr>
      </w:pPr>
      <w:r w:rsidRPr="000D152F">
        <w:rPr>
          <w:rFonts w:ascii="Times New Roman" w:hAnsi="Times New Roman" w:cs="Times New Roman"/>
        </w:rPr>
        <w:t xml:space="preserve">Part </w:t>
      </w:r>
      <w:r w:rsidR="00CF0302" w:rsidRPr="000D152F">
        <w:rPr>
          <w:rFonts w:ascii="Times New Roman" w:hAnsi="Times New Roman" w:cs="Times New Roman"/>
        </w:rPr>
        <w:t>I</w:t>
      </w:r>
      <w:r w:rsidR="00E25F46" w:rsidRPr="000D152F">
        <w:rPr>
          <w:rFonts w:ascii="Times New Roman" w:hAnsi="Times New Roman" w:cs="Times New Roman"/>
        </w:rPr>
        <w:t xml:space="preserve">V </w:t>
      </w:r>
      <w:r w:rsidR="006730FB" w:rsidRPr="000D152F">
        <w:rPr>
          <w:rFonts w:ascii="Times New Roman" w:hAnsi="Times New Roman" w:cs="Times New Roman"/>
        </w:rPr>
        <w:t xml:space="preserve">then </w:t>
      </w:r>
      <w:r w:rsidR="00E25F46" w:rsidRPr="000D152F">
        <w:rPr>
          <w:rFonts w:ascii="Times New Roman" w:hAnsi="Times New Roman" w:cs="Times New Roman"/>
        </w:rPr>
        <w:t>seeks to apply this approach to the WT</w:t>
      </w:r>
      <w:r w:rsidR="009A04A4" w:rsidRPr="000D152F">
        <w:rPr>
          <w:rFonts w:ascii="Times New Roman" w:hAnsi="Times New Roman" w:cs="Times New Roman"/>
        </w:rPr>
        <w:t>O, i</w:t>
      </w:r>
      <w:r w:rsidR="00E25F46" w:rsidRPr="000D152F">
        <w:rPr>
          <w:rFonts w:ascii="Times New Roman" w:hAnsi="Times New Roman" w:cs="Times New Roman"/>
        </w:rPr>
        <w:t xml:space="preserve">dentifying the </w:t>
      </w:r>
      <w:r w:rsidR="00F77F90" w:rsidRPr="000D152F">
        <w:rPr>
          <w:rFonts w:ascii="Times New Roman" w:hAnsi="Times New Roman" w:cs="Times New Roman"/>
        </w:rPr>
        <w:t>aims</w:t>
      </w:r>
      <w:r w:rsidR="00E25F46" w:rsidRPr="000D152F">
        <w:rPr>
          <w:rFonts w:ascii="Times New Roman" w:hAnsi="Times New Roman" w:cs="Times New Roman"/>
        </w:rPr>
        <w:t xml:space="preserve"> of the </w:t>
      </w:r>
      <w:r w:rsidR="00D332B6" w:rsidRPr="000D152F">
        <w:rPr>
          <w:rFonts w:ascii="Times New Roman" w:hAnsi="Times New Roman" w:cs="Times New Roman"/>
        </w:rPr>
        <w:t xml:space="preserve">State examined, and its relationship to the </w:t>
      </w:r>
      <w:r w:rsidR="00F77F90" w:rsidRPr="000D152F">
        <w:rPr>
          <w:rFonts w:ascii="Times New Roman" w:hAnsi="Times New Roman" w:cs="Times New Roman"/>
        </w:rPr>
        <w:t xml:space="preserve">aims </w:t>
      </w:r>
      <w:r w:rsidR="00D332B6" w:rsidRPr="000D152F">
        <w:rPr>
          <w:rFonts w:ascii="Times New Roman" w:hAnsi="Times New Roman" w:cs="Times New Roman"/>
        </w:rPr>
        <w:t xml:space="preserve">of the </w:t>
      </w:r>
      <w:r w:rsidR="00E25F46" w:rsidRPr="000D152F">
        <w:rPr>
          <w:rFonts w:ascii="Times New Roman" w:hAnsi="Times New Roman" w:cs="Times New Roman"/>
        </w:rPr>
        <w:t xml:space="preserve">WTO. </w:t>
      </w:r>
      <w:r w:rsidR="00B30968" w:rsidRPr="000D152F">
        <w:rPr>
          <w:rFonts w:ascii="Times New Roman" w:hAnsi="Times New Roman" w:cs="Times New Roman"/>
        </w:rPr>
        <w:t>The examination</w:t>
      </w:r>
      <w:r w:rsidR="00F77F90" w:rsidRPr="000D152F">
        <w:rPr>
          <w:rFonts w:ascii="Times New Roman" w:hAnsi="Times New Roman" w:cs="Times New Roman"/>
        </w:rPr>
        <w:t xml:space="preserve">, focussing on the object and purpose of the </w:t>
      </w:r>
      <w:r w:rsidR="00F77F90" w:rsidRPr="000D152F">
        <w:rPr>
          <w:rFonts w:ascii="Times New Roman" w:hAnsi="Times New Roman" w:cs="Times New Roman"/>
          <w:i/>
        </w:rPr>
        <w:t xml:space="preserve">polis </w:t>
      </w:r>
      <w:r w:rsidR="00F77F90" w:rsidRPr="000D152F">
        <w:rPr>
          <w:rFonts w:ascii="Times New Roman" w:hAnsi="Times New Roman" w:cs="Times New Roman"/>
        </w:rPr>
        <w:t xml:space="preserve">in question, rather than that of the relevant treaty, </w:t>
      </w:r>
      <w:r w:rsidR="00B30968" w:rsidRPr="000D152F">
        <w:rPr>
          <w:rFonts w:ascii="Times New Roman" w:hAnsi="Times New Roman" w:cs="Times New Roman"/>
        </w:rPr>
        <w:t xml:space="preserve">is used </w:t>
      </w:r>
      <w:r w:rsidR="00F77F90" w:rsidRPr="000D152F">
        <w:rPr>
          <w:rFonts w:ascii="Times New Roman" w:hAnsi="Times New Roman" w:cs="Times New Roman"/>
        </w:rPr>
        <w:t xml:space="preserve">to determine how to understand the concept of ‘public’ in the SCM agreement. </w:t>
      </w:r>
    </w:p>
    <w:p w14:paraId="078AFEE5" w14:textId="77777777" w:rsidR="00090151" w:rsidRPr="000D152F" w:rsidRDefault="00090151" w:rsidP="00D25306">
      <w:pPr>
        <w:spacing w:line="480" w:lineRule="auto"/>
        <w:jc w:val="both"/>
        <w:rPr>
          <w:rFonts w:ascii="Times New Roman" w:hAnsi="Times New Roman" w:cs="Times New Roman"/>
        </w:rPr>
      </w:pPr>
    </w:p>
    <w:p w14:paraId="7A615A8C" w14:textId="7F7E8236" w:rsidR="00090151" w:rsidRPr="000D152F" w:rsidRDefault="00A46785" w:rsidP="00D25306">
      <w:pPr>
        <w:spacing w:line="480" w:lineRule="auto"/>
        <w:jc w:val="both"/>
        <w:rPr>
          <w:rFonts w:ascii="Times New Roman" w:hAnsi="Times New Roman" w:cs="Times New Roman"/>
          <w:b/>
          <w:i/>
        </w:rPr>
      </w:pPr>
      <w:r w:rsidRPr="000D152F">
        <w:rPr>
          <w:rFonts w:ascii="Times New Roman" w:hAnsi="Times New Roman" w:cs="Times New Roman"/>
          <w:b/>
          <w:i/>
        </w:rPr>
        <w:t>Part I – The concept of ‘public body’ at the WTO</w:t>
      </w:r>
    </w:p>
    <w:p w14:paraId="2E36F942" w14:textId="77777777" w:rsidR="00FF29FB" w:rsidRPr="000D152F" w:rsidRDefault="00FF29FB" w:rsidP="00D25306">
      <w:pPr>
        <w:spacing w:line="480" w:lineRule="auto"/>
        <w:jc w:val="both"/>
        <w:rPr>
          <w:rFonts w:ascii="Times New Roman" w:hAnsi="Times New Roman" w:cs="Times New Roman"/>
        </w:rPr>
      </w:pPr>
    </w:p>
    <w:p w14:paraId="79A96840" w14:textId="01CAFD65" w:rsidR="006A7090" w:rsidRPr="000D152F" w:rsidRDefault="003B4D96" w:rsidP="00D25306">
      <w:pPr>
        <w:spacing w:line="480" w:lineRule="auto"/>
        <w:jc w:val="both"/>
        <w:rPr>
          <w:rFonts w:ascii="Times New Roman" w:hAnsi="Times New Roman" w:cs="Times New Roman"/>
        </w:rPr>
      </w:pPr>
      <w:r>
        <w:rPr>
          <w:rFonts w:ascii="Times New Roman" w:hAnsi="Times New Roman" w:cs="Times New Roman"/>
        </w:rPr>
        <w:t xml:space="preserve">Should a SOE or SOCB constitute a ‘public body’ for the purposes of the SCM Agreement, thus potentially bringing its acts within the </w:t>
      </w:r>
      <w:r w:rsidR="0060338B">
        <w:rPr>
          <w:rFonts w:ascii="Times New Roman" w:hAnsi="Times New Roman" w:cs="Times New Roman"/>
        </w:rPr>
        <w:t>scope of the SCM Agreement?</w:t>
      </w:r>
      <w:r w:rsidR="00F55FEC" w:rsidRPr="00F55FEC">
        <w:rPr>
          <w:rFonts w:ascii="Times New Roman" w:hAnsi="Times New Roman" w:cs="Times New Roman"/>
          <w:i/>
        </w:rPr>
        <w:t xml:space="preserve"> </w:t>
      </w:r>
      <w:r w:rsidR="00F55FEC">
        <w:rPr>
          <w:rFonts w:ascii="Times New Roman" w:hAnsi="Times New Roman" w:cs="Times New Roman"/>
        </w:rPr>
        <w:t xml:space="preserve">Though the </w:t>
      </w:r>
      <w:r w:rsidR="00F55FEC" w:rsidRPr="000D152F">
        <w:rPr>
          <w:rFonts w:ascii="Times New Roman" w:hAnsi="Times New Roman" w:cs="Times New Roman"/>
          <w:i/>
        </w:rPr>
        <w:t>US – AD/CVDs (China)</w:t>
      </w:r>
      <w:r w:rsidR="00F55FEC">
        <w:rPr>
          <w:rFonts w:ascii="Times New Roman" w:hAnsi="Times New Roman" w:cs="Times New Roman"/>
          <w:i/>
        </w:rPr>
        <w:t xml:space="preserve"> </w:t>
      </w:r>
      <w:r w:rsidR="00F55FEC">
        <w:rPr>
          <w:rFonts w:ascii="Times New Roman" w:hAnsi="Times New Roman" w:cs="Times New Roman"/>
        </w:rPr>
        <w:t>dispute was the first major treatment of this issue</w:t>
      </w:r>
      <w:r w:rsidR="00DE3C7A">
        <w:rPr>
          <w:rFonts w:ascii="Times New Roman" w:hAnsi="Times New Roman" w:cs="Times New Roman"/>
        </w:rPr>
        <w:t xml:space="preserve"> by the Appellate Body</w:t>
      </w:r>
      <w:r w:rsidR="00F55FEC">
        <w:rPr>
          <w:rFonts w:ascii="Times New Roman" w:hAnsi="Times New Roman" w:cs="Times New Roman"/>
        </w:rPr>
        <w:t xml:space="preserve">, an </w:t>
      </w:r>
      <w:r w:rsidR="00F1032B" w:rsidRPr="000D152F">
        <w:rPr>
          <w:rFonts w:ascii="Times New Roman" w:hAnsi="Times New Roman" w:cs="Times New Roman"/>
        </w:rPr>
        <w:t xml:space="preserve">analogous question had arisen previously, concerning the interpretation of ‘governments and their agencies’ under Art 9.1(a) Agreement on Agriculture in the </w:t>
      </w:r>
      <w:r w:rsidR="00F1032B" w:rsidRPr="000D152F">
        <w:rPr>
          <w:rFonts w:ascii="Times New Roman" w:hAnsi="Times New Roman" w:cs="Times New Roman"/>
          <w:i/>
        </w:rPr>
        <w:t xml:space="preserve">Canada – Dairy </w:t>
      </w:r>
      <w:r w:rsidR="00F1032B" w:rsidRPr="000D152F">
        <w:rPr>
          <w:rFonts w:ascii="Times New Roman" w:hAnsi="Times New Roman" w:cs="Times New Roman"/>
        </w:rPr>
        <w:t>dispute.</w:t>
      </w:r>
      <w:r w:rsidR="00F1032B" w:rsidRPr="000D152F">
        <w:rPr>
          <w:rStyle w:val="FootnoteReference"/>
          <w:rFonts w:ascii="Times New Roman" w:hAnsi="Times New Roman" w:cs="Times New Roman"/>
        </w:rPr>
        <w:footnoteReference w:id="18"/>
      </w:r>
      <w:r w:rsidR="00F1032B" w:rsidRPr="000D152F">
        <w:rPr>
          <w:rFonts w:ascii="Times New Roman" w:hAnsi="Times New Roman" w:cs="Times New Roman"/>
        </w:rPr>
        <w:t xml:space="preserve"> Here the Appellate Body upheld the panel’s position that provincial </w:t>
      </w:r>
      <w:r w:rsidR="00FF7694" w:rsidRPr="000D152F">
        <w:rPr>
          <w:rFonts w:ascii="Times New Roman" w:hAnsi="Times New Roman" w:cs="Times New Roman"/>
        </w:rPr>
        <w:t>milk marketing boards could constitute government agencies as they both p</w:t>
      </w:r>
      <w:r w:rsidR="00A82E84" w:rsidRPr="000D152F">
        <w:rPr>
          <w:rFonts w:ascii="Times New Roman" w:hAnsi="Times New Roman" w:cs="Times New Roman"/>
        </w:rPr>
        <w:t>erformed governmental functions</w:t>
      </w:r>
      <w:r w:rsidR="00BF6199" w:rsidRPr="000D152F">
        <w:rPr>
          <w:rFonts w:ascii="Times New Roman" w:hAnsi="Times New Roman" w:cs="Times New Roman"/>
        </w:rPr>
        <w:t xml:space="preserve"> </w:t>
      </w:r>
      <w:r w:rsidR="00FF7694" w:rsidRPr="000D152F">
        <w:rPr>
          <w:rFonts w:ascii="Times New Roman" w:hAnsi="Times New Roman" w:cs="Times New Roman"/>
        </w:rPr>
        <w:t>and were delegated the powers to do so by a governmental authority.</w:t>
      </w:r>
      <w:r w:rsidR="00A82E84" w:rsidRPr="000D152F">
        <w:rPr>
          <w:rFonts w:ascii="Times New Roman" w:hAnsi="Times New Roman" w:cs="Times New Roman"/>
        </w:rPr>
        <w:t xml:space="preserve"> This approach offers two requirements: a functional requirement (that is, the body performs a governmental function) and a source requirement (that the source of the powers is governmental).</w:t>
      </w:r>
      <w:bookmarkStart w:id="6" w:name="_Ref280528668"/>
      <w:r w:rsidR="00FF7694" w:rsidRPr="000D152F">
        <w:rPr>
          <w:rStyle w:val="FootnoteReference"/>
          <w:rFonts w:ascii="Times New Roman" w:hAnsi="Times New Roman" w:cs="Times New Roman"/>
        </w:rPr>
        <w:footnoteReference w:id="19"/>
      </w:r>
      <w:bookmarkEnd w:id="6"/>
    </w:p>
    <w:p w14:paraId="7BF4C18B" w14:textId="77777777" w:rsidR="006A7090" w:rsidRPr="000D152F" w:rsidRDefault="006A7090" w:rsidP="00D25306">
      <w:pPr>
        <w:spacing w:line="480" w:lineRule="auto"/>
        <w:jc w:val="both"/>
        <w:rPr>
          <w:rFonts w:ascii="Times New Roman" w:hAnsi="Times New Roman" w:cs="Times New Roman"/>
        </w:rPr>
      </w:pPr>
    </w:p>
    <w:p w14:paraId="48777F11" w14:textId="3AFEEB5C" w:rsidR="00F1032B" w:rsidRPr="000D152F" w:rsidRDefault="00BF6199" w:rsidP="00D25306">
      <w:pPr>
        <w:spacing w:line="480" w:lineRule="auto"/>
        <w:jc w:val="both"/>
        <w:rPr>
          <w:rFonts w:ascii="Times New Roman" w:hAnsi="Times New Roman" w:cs="Times New Roman"/>
        </w:rPr>
      </w:pPr>
      <w:r w:rsidRPr="000D152F">
        <w:rPr>
          <w:rFonts w:ascii="Times New Roman" w:hAnsi="Times New Roman" w:cs="Times New Roman"/>
        </w:rPr>
        <w:t xml:space="preserve">This seemingly clear solution, however, presents </w:t>
      </w:r>
      <w:r w:rsidR="006A7090" w:rsidRPr="000D152F">
        <w:rPr>
          <w:rFonts w:ascii="Times New Roman" w:hAnsi="Times New Roman" w:cs="Times New Roman"/>
        </w:rPr>
        <w:t>challenges. With regard to the source</w:t>
      </w:r>
      <w:r w:rsidRPr="000D152F">
        <w:rPr>
          <w:rFonts w:ascii="Times New Roman" w:hAnsi="Times New Roman" w:cs="Times New Roman"/>
        </w:rPr>
        <w:t xml:space="preserve"> requirement, it </w:t>
      </w:r>
      <w:r w:rsidR="00F748C4">
        <w:rPr>
          <w:rFonts w:ascii="Times New Roman" w:hAnsi="Times New Roman" w:cs="Times New Roman"/>
        </w:rPr>
        <w:t>was</w:t>
      </w:r>
      <w:r w:rsidR="00F748C4" w:rsidRPr="000D152F">
        <w:rPr>
          <w:rFonts w:ascii="Times New Roman" w:hAnsi="Times New Roman" w:cs="Times New Roman"/>
        </w:rPr>
        <w:t xml:space="preserve"> </w:t>
      </w:r>
      <w:r w:rsidRPr="000D152F">
        <w:rPr>
          <w:rFonts w:ascii="Times New Roman" w:hAnsi="Times New Roman" w:cs="Times New Roman"/>
        </w:rPr>
        <w:t xml:space="preserve">considered relevant that the provincial milk marketing boards ‘operate </w:t>
      </w:r>
      <w:r w:rsidRPr="000D152F">
        <w:rPr>
          <w:rFonts w:ascii="Times New Roman" w:hAnsi="Times New Roman" w:cs="Times New Roman"/>
        </w:rPr>
        <w:lastRenderedPageBreak/>
        <w:t>within a framework set up by federal and provincial legislation.’</w:t>
      </w:r>
      <w:r w:rsidRPr="000D152F">
        <w:rPr>
          <w:rStyle w:val="FootnoteReference"/>
          <w:rFonts w:ascii="Times New Roman" w:hAnsi="Times New Roman" w:cs="Times New Roman"/>
        </w:rPr>
        <w:footnoteReference w:id="20"/>
      </w:r>
      <w:r w:rsidR="005C7BB6" w:rsidRPr="000D152F">
        <w:rPr>
          <w:rFonts w:ascii="Times New Roman" w:hAnsi="Times New Roman" w:cs="Times New Roman"/>
        </w:rPr>
        <w:t xml:space="preserve"> </w:t>
      </w:r>
      <w:r w:rsidR="0082505F" w:rsidRPr="000D152F">
        <w:rPr>
          <w:rFonts w:ascii="Times New Roman" w:hAnsi="Times New Roman" w:cs="Times New Roman"/>
        </w:rPr>
        <w:t>U</w:t>
      </w:r>
      <w:r w:rsidR="006A7090" w:rsidRPr="000D152F">
        <w:rPr>
          <w:rFonts w:ascii="Times New Roman" w:hAnsi="Times New Roman" w:cs="Times New Roman"/>
        </w:rPr>
        <w:t>nder English law</w:t>
      </w:r>
      <w:r w:rsidR="0082505F" w:rsidRPr="000D152F">
        <w:rPr>
          <w:rFonts w:ascii="Times New Roman" w:hAnsi="Times New Roman" w:cs="Times New Roman"/>
        </w:rPr>
        <w:t>, however,</w:t>
      </w:r>
      <w:r w:rsidR="006A7090" w:rsidRPr="000D152F">
        <w:rPr>
          <w:rFonts w:ascii="Times New Roman" w:hAnsi="Times New Roman" w:cs="Times New Roman"/>
        </w:rPr>
        <w:t xml:space="preserve"> </w:t>
      </w:r>
      <w:r w:rsidR="0082505F" w:rsidRPr="000D152F">
        <w:rPr>
          <w:rFonts w:ascii="Times New Roman" w:hAnsi="Times New Roman" w:cs="Times New Roman"/>
        </w:rPr>
        <w:t xml:space="preserve">contracting private parties </w:t>
      </w:r>
      <w:r w:rsidR="006A7090" w:rsidRPr="000D152F">
        <w:rPr>
          <w:rFonts w:ascii="Times New Roman" w:hAnsi="Times New Roman" w:cs="Times New Roman"/>
        </w:rPr>
        <w:t>operate</w:t>
      </w:r>
      <w:r w:rsidR="0082505F" w:rsidRPr="000D152F">
        <w:rPr>
          <w:rFonts w:ascii="Times New Roman" w:hAnsi="Times New Roman" w:cs="Times New Roman"/>
        </w:rPr>
        <w:t xml:space="preserve"> within a legal framework determined</w:t>
      </w:r>
      <w:r w:rsidR="006A7090" w:rsidRPr="000D152F">
        <w:rPr>
          <w:rFonts w:ascii="Times New Roman" w:hAnsi="Times New Roman" w:cs="Times New Roman"/>
        </w:rPr>
        <w:t xml:space="preserve"> by Parliament and the common law.</w:t>
      </w:r>
      <w:r w:rsidR="00B64380" w:rsidRPr="000D152F">
        <w:rPr>
          <w:rFonts w:ascii="Times New Roman" w:hAnsi="Times New Roman" w:cs="Times New Roman"/>
        </w:rPr>
        <w:t xml:space="preserve"> We would not consider </w:t>
      </w:r>
      <w:r w:rsidR="0082505F" w:rsidRPr="000D152F">
        <w:rPr>
          <w:rFonts w:ascii="Times New Roman" w:hAnsi="Times New Roman" w:cs="Times New Roman"/>
        </w:rPr>
        <w:t>contracting private parties to exercise</w:t>
      </w:r>
      <w:r w:rsidR="006A7090" w:rsidRPr="000D152F">
        <w:rPr>
          <w:rFonts w:ascii="Times New Roman" w:hAnsi="Times New Roman" w:cs="Times New Roman"/>
        </w:rPr>
        <w:t xml:space="preserve"> any form of governmental authority</w:t>
      </w:r>
      <w:r w:rsidR="00B64380" w:rsidRPr="000D152F">
        <w:rPr>
          <w:rFonts w:ascii="Times New Roman" w:hAnsi="Times New Roman" w:cs="Times New Roman"/>
        </w:rPr>
        <w:t>, however</w:t>
      </w:r>
      <w:r w:rsidR="006A7090" w:rsidRPr="000D152F">
        <w:rPr>
          <w:rFonts w:ascii="Times New Roman" w:hAnsi="Times New Roman" w:cs="Times New Roman"/>
        </w:rPr>
        <w:t>.</w:t>
      </w:r>
      <w:r w:rsidR="005B7860">
        <w:rPr>
          <w:rStyle w:val="FootnoteReference"/>
          <w:rFonts w:ascii="Times New Roman" w:hAnsi="Times New Roman" w:cs="Times New Roman"/>
        </w:rPr>
        <w:footnoteReference w:id="21"/>
      </w:r>
      <w:r w:rsidR="006A7090" w:rsidRPr="000D152F">
        <w:rPr>
          <w:rFonts w:ascii="Times New Roman" w:hAnsi="Times New Roman" w:cs="Times New Roman"/>
        </w:rPr>
        <w:t xml:space="preserve"> The Appellate Body’s definition of a government agency </w:t>
      </w:r>
      <w:r w:rsidR="00621079" w:rsidRPr="000D152F">
        <w:rPr>
          <w:rFonts w:ascii="Times New Roman" w:hAnsi="Times New Roman" w:cs="Times New Roman"/>
        </w:rPr>
        <w:t xml:space="preserve">when examining the functional requirement </w:t>
      </w:r>
      <w:r w:rsidR="006A7090" w:rsidRPr="000D152F">
        <w:rPr>
          <w:rFonts w:ascii="Times New Roman" w:hAnsi="Times New Roman" w:cs="Times New Roman"/>
        </w:rPr>
        <w:t xml:space="preserve">is similarly problematic: </w:t>
      </w:r>
    </w:p>
    <w:p w14:paraId="0FF09816" w14:textId="77777777" w:rsidR="006A7090" w:rsidRPr="000D152F" w:rsidRDefault="006A7090" w:rsidP="00D25306">
      <w:pPr>
        <w:spacing w:line="480" w:lineRule="auto"/>
        <w:jc w:val="both"/>
        <w:rPr>
          <w:rFonts w:ascii="Times New Roman" w:hAnsi="Times New Roman" w:cs="Times New Roman"/>
        </w:rPr>
      </w:pPr>
    </w:p>
    <w:p w14:paraId="6A6C54A5" w14:textId="11005067" w:rsidR="006A7090" w:rsidRPr="000D152F" w:rsidRDefault="006A7090" w:rsidP="00D25306">
      <w:pPr>
        <w:spacing w:line="480" w:lineRule="auto"/>
        <w:ind w:left="567" w:right="567"/>
        <w:jc w:val="both"/>
        <w:rPr>
          <w:rFonts w:ascii="Times New Roman" w:hAnsi="Times New Roman" w:cs="Times New Roman"/>
        </w:rPr>
      </w:pPr>
      <w:r w:rsidRPr="000D152F">
        <w:rPr>
          <w:rFonts w:ascii="Times New Roman" w:hAnsi="Times New Roman" w:cs="Times New Roman"/>
        </w:rPr>
        <w:t>‘A "government agency" is, in our view, an entity which exercises powers vested in it by a "government" for the purpose of performing functions of a "governmental" character, that is, to "regulate", "restrain", "supervise" or "control" the conduct of private citizens.’</w:t>
      </w:r>
      <w:r w:rsidRPr="000D152F">
        <w:rPr>
          <w:rStyle w:val="FootnoteReference"/>
          <w:rFonts w:ascii="Times New Roman" w:hAnsi="Times New Roman" w:cs="Times New Roman"/>
        </w:rPr>
        <w:footnoteReference w:id="22"/>
      </w:r>
    </w:p>
    <w:p w14:paraId="6A130121" w14:textId="77777777" w:rsidR="005C7237" w:rsidRPr="000D152F" w:rsidRDefault="005C7237" w:rsidP="00D25306">
      <w:pPr>
        <w:spacing w:line="480" w:lineRule="auto"/>
        <w:jc w:val="both"/>
        <w:rPr>
          <w:rFonts w:ascii="Times New Roman" w:hAnsi="Times New Roman" w:cs="Times New Roman"/>
        </w:rPr>
      </w:pPr>
    </w:p>
    <w:p w14:paraId="761F4C57" w14:textId="0F8B1500" w:rsidR="005C7237" w:rsidRPr="000D152F" w:rsidRDefault="006430D6" w:rsidP="00D25306">
      <w:pPr>
        <w:spacing w:line="480" w:lineRule="auto"/>
        <w:jc w:val="both"/>
        <w:rPr>
          <w:rFonts w:ascii="Times New Roman" w:hAnsi="Times New Roman" w:cs="Times New Roman"/>
        </w:rPr>
      </w:pPr>
      <w:r w:rsidRPr="000D152F">
        <w:rPr>
          <w:rFonts w:ascii="Times New Roman" w:hAnsi="Times New Roman" w:cs="Times New Roman"/>
        </w:rPr>
        <w:t>M</w:t>
      </w:r>
      <w:r w:rsidR="00B64380" w:rsidRPr="000D152F">
        <w:rPr>
          <w:rFonts w:ascii="Times New Roman" w:hAnsi="Times New Roman" w:cs="Times New Roman"/>
        </w:rPr>
        <w:t>any government functions do n</w:t>
      </w:r>
      <w:r w:rsidR="000659F1" w:rsidRPr="000D152F">
        <w:rPr>
          <w:rFonts w:ascii="Times New Roman" w:hAnsi="Times New Roman" w:cs="Times New Roman"/>
        </w:rPr>
        <w:t>ot depend on regulating, restra</w:t>
      </w:r>
      <w:r w:rsidR="00B64380" w:rsidRPr="000D152F">
        <w:rPr>
          <w:rFonts w:ascii="Times New Roman" w:hAnsi="Times New Roman" w:cs="Times New Roman"/>
        </w:rPr>
        <w:t xml:space="preserve">ining, supervising or controlling the conduct of private citizens: the provision of healthcare, education, transport services, general infrastructure or </w:t>
      </w:r>
      <w:r w:rsidR="000659F1" w:rsidRPr="000D152F">
        <w:rPr>
          <w:rFonts w:ascii="Times New Roman" w:hAnsi="Times New Roman" w:cs="Times New Roman"/>
        </w:rPr>
        <w:t xml:space="preserve">welfare to name but a few. While elements of governmental oversight or control of these services may be </w:t>
      </w:r>
      <w:r w:rsidRPr="000D152F">
        <w:rPr>
          <w:rFonts w:ascii="Times New Roman" w:hAnsi="Times New Roman" w:cs="Times New Roman"/>
        </w:rPr>
        <w:t>understood</w:t>
      </w:r>
      <w:r w:rsidR="000659F1" w:rsidRPr="000D152F">
        <w:rPr>
          <w:rFonts w:ascii="Times New Roman" w:hAnsi="Times New Roman" w:cs="Times New Roman"/>
        </w:rPr>
        <w:t xml:space="preserve"> through a supervision/regulation lens, the commitment can extend to provide and enable or empower citizens to act</w:t>
      </w:r>
      <w:r w:rsidR="00621079" w:rsidRPr="000D152F">
        <w:rPr>
          <w:rFonts w:ascii="Times New Roman" w:hAnsi="Times New Roman" w:cs="Times New Roman"/>
        </w:rPr>
        <w:t>.</w:t>
      </w:r>
      <w:r w:rsidR="00F247A7">
        <w:rPr>
          <w:rStyle w:val="FootnoteReference"/>
          <w:rFonts w:ascii="Times New Roman" w:hAnsi="Times New Roman" w:cs="Times New Roman"/>
        </w:rPr>
        <w:footnoteReference w:id="23"/>
      </w:r>
    </w:p>
    <w:p w14:paraId="05731959" w14:textId="77777777" w:rsidR="00F32260" w:rsidRPr="000D152F" w:rsidRDefault="00F32260" w:rsidP="00D25306">
      <w:pPr>
        <w:spacing w:line="480" w:lineRule="auto"/>
        <w:jc w:val="both"/>
        <w:rPr>
          <w:rFonts w:ascii="Times New Roman" w:hAnsi="Times New Roman" w:cs="Times New Roman"/>
        </w:rPr>
      </w:pPr>
    </w:p>
    <w:p w14:paraId="5B00007C" w14:textId="4C5D8802" w:rsidR="00092CBB" w:rsidRPr="000D152F" w:rsidRDefault="00F32260" w:rsidP="00D25306">
      <w:pPr>
        <w:spacing w:line="480" w:lineRule="auto"/>
        <w:jc w:val="both"/>
        <w:rPr>
          <w:rFonts w:ascii="Times New Roman" w:hAnsi="Times New Roman" w:cs="Times New Roman"/>
        </w:rPr>
      </w:pPr>
      <w:r w:rsidRPr="000D152F">
        <w:rPr>
          <w:rFonts w:ascii="Times New Roman" w:hAnsi="Times New Roman" w:cs="Times New Roman"/>
        </w:rPr>
        <w:t xml:space="preserve">The </w:t>
      </w:r>
      <w:r w:rsidRPr="000D152F">
        <w:rPr>
          <w:rFonts w:ascii="Times New Roman" w:hAnsi="Times New Roman" w:cs="Times New Roman"/>
          <w:i/>
        </w:rPr>
        <w:t>US – AD/CVDs (China)</w:t>
      </w:r>
      <w:r w:rsidR="00B076FE" w:rsidRPr="000D152F">
        <w:rPr>
          <w:rFonts w:ascii="Times New Roman" w:hAnsi="Times New Roman" w:cs="Times New Roman"/>
        </w:rPr>
        <w:t xml:space="preserve"> dispute presented an opportunity for the WTO to reengage with the</w:t>
      </w:r>
      <w:r w:rsidR="00A91A4D" w:rsidRPr="000D152F">
        <w:rPr>
          <w:rFonts w:ascii="Times New Roman" w:hAnsi="Times New Roman" w:cs="Times New Roman"/>
        </w:rPr>
        <w:t xml:space="preserve"> concept of a</w:t>
      </w:r>
      <w:r w:rsidR="00B076FE" w:rsidRPr="000D152F">
        <w:rPr>
          <w:rFonts w:ascii="Times New Roman" w:hAnsi="Times New Roman" w:cs="Times New Roman"/>
        </w:rPr>
        <w:t xml:space="preserve"> </w:t>
      </w:r>
      <w:r w:rsidR="00A91A4D" w:rsidRPr="000D152F">
        <w:rPr>
          <w:rFonts w:ascii="Times New Roman" w:hAnsi="Times New Roman" w:cs="Times New Roman"/>
        </w:rPr>
        <w:t>‘</w:t>
      </w:r>
      <w:r w:rsidR="00B076FE" w:rsidRPr="000D152F">
        <w:rPr>
          <w:rFonts w:ascii="Times New Roman" w:hAnsi="Times New Roman" w:cs="Times New Roman"/>
        </w:rPr>
        <w:t xml:space="preserve">public </w:t>
      </w:r>
      <w:r w:rsidR="00A91A4D" w:rsidRPr="000D152F">
        <w:rPr>
          <w:rFonts w:ascii="Times New Roman" w:hAnsi="Times New Roman" w:cs="Times New Roman"/>
        </w:rPr>
        <w:t>body</w:t>
      </w:r>
      <w:r w:rsidR="00B076FE" w:rsidRPr="000D152F">
        <w:rPr>
          <w:rFonts w:ascii="Times New Roman" w:hAnsi="Times New Roman" w:cs="Times New Roman"/>
        </w:rPr>
        <w:t>.</w:t>
      </w:r>
      <w:r w:rsidR="00A91A4D" w:rsidRPr="000D152F">
        <w:rPr>
          <w:rFonts w:ascii="Times New Roman" w:hAnsi="Times New Roman" w:cs="Times New Roman"/>
        </w:rPr>
        <w:t>’</w:t>
      </w:r>
      <w:r w:rsidR="00B076FE" w:rsidRPr="000D152F">
        <w:rPr>
          <w:rFonts w:ascii="Times New Roman" w:hAnsi="Times New Roman" w:cs="Times New Roman"/>
        </w:rPr>
        <w:t xml:space="preserve"> </w:t>
      </w:r>
      <w:r w:rsidR="00092CBB" w:rsidRPr="000D152F">
        <w:rPr>
          <w:rFonts w:ascii="Times New Roman" w:hAnsi="Times New Roman" w:cs="Times New Roman"/>
        </w:rPr>
        <w:t xml:space="preserve">While previous panels had examined the requirement, it had not been the subject of </w:t>
      </w:r>
      <w:r w:rsidR="00BE3C51" w:rsidRPr="000D152F">
        <w:rPr>
          <w:rFonts w:ascii="Times New Roman" w:hAnsi="Times New Roman" w:cs="Times New Roman"/>
        </w:rPr>
        <w:t>significant debate with</w:t>
      </w:r>
      <w:r w:rsidR="00092CBB" w:rsidRPr="000D152F">
        <w:rPr>
          <w:rFonts w:ascii="Times New Roman" w:hAnsi="Times New Roman" w:cs="Times New Roman"/>
        </w:rPr>
        <w:t xml:space="preserve"> </w:t>
      </w:r>
      <w:r w:rsidR="00BE3C51" w:rsidRPr="000D152F">
        <w:rPr>
          <w:rFonts w:ascii="Times New Roman" w:hAnsi="Times New Roman" w:cs="Times New Roman"/>
        </w:rPr>
        <w:t xml:space="preserve">the panels in </w:t>
      </w:r>
      <w:r w:rsidR="00092CBB" w:rsidRPr="000D152F">
        <w:rPr>
          <w:rFonts w:ascii="Times New Roman" w:hAnsi="Times New Roman" w:cs="Times New Roman"/>
        </w:rPr>
        <w:t xml:space="preserve">both </w:t>
      </w:r>
      <w:r w:rsidR="00092CBB" w:rsidRPr="000D152F">
        <w:rPr>
          <w:rFonts w:ascii="Times New Roman" w:hAnsi="Times New Roman" w:cs="Times New Roman"/>
          <w:i/>
        </w:rPr>
        <w:t xml:space="preserve">Korea – Commercial </w:t>
      </w:r>
      <w:r w:rsidR="00092CBB" w:rsidRPr="000D152F">
        <w:rPr>
          <w:rFonts w:ascii="Times New Roman" w:hAnsi="Times New Roman" w:cs="Times New Roman"/>
          <w:i/>
        </w:rPr>
        <w:lastRenderedPageBreak/>
        <w:t>Vessels</w:t>
      </w:r>
      <w:r w:rsidR="00092CBB" w:rsidRPr="000D152F">
        <w:rPr>
          <w:rStyle w:val="FootnoteReference"/>
          <w:rFonts w:ascii="Times New Roman" w:hAnsi="Times New Roman" w:cs="Times New Roman"/>
          <w:i/>
        </w:rPr>
        <w:footnoteReference w:id="24"/>
      </w:r>
      <w:r w:rsidR="00092CBB" w:rsidRPr="000D152F">
        <w:rPr>
          <w:rFonts w:ascii="Times New Roman" w:hAnsi="Times New Roman" w:cs="Times New Roman"/>
        </w:rPr>
        <w:t xml:space="preserve"> and </w:t>
      </w:r>
      <w:r w:rsidR="00092CBB" w:rsidRPr="000D152F">
        <w:rPr>
          <w:rFonts w:ascii="Times New Roman" w:hAnsi="Times New Roman" w:cs="Times New Roman"/>
          <w:i/>
        </w:rPr>
        <w:t>EC – Large Civil Aircraft</w:t>
      </w:r>
      <w:r w:rsidR="00273B83" w:rsidRPr="000D152F">
        <w:rPr>
          <w:rStyle w:val="FootnoteReference"/>
          <w:rFonts w:ascii="Times New Roman" w:hAnsi="Times New Roman" w:cs="Times New Roman"/>
          <w:i/>
        </w:rPr>
        <w:footnoteReference w:id="25"/>
      </w:r>
      <w:r w:rsidR="00092CBB" w:rsidRPr="000D152F">
        <w:rPr>
          <w:rFonts w:ascii="Times New Roman" w:hAnsi="Times New Roman" w:cs="Times New Roman"/>
        </w:rPr>
        <w:t xml:space="preserve"> </w:t>
      </w:r>
      <w:r w:rsidR="00BE3C51" w:rsidRPr="000D152F">
        <w:rPr>
          <w:rFonts w:ascii="Times New Roman" w:hAnsi="Times New Roman" w:cs="Times New Roman"/>
        </w:rPr>
        <w:t xml:space="preserve">applying </w:t>
      </w:r>
      <w:r w:rsidR="00092CBB" w:rsidRPr="000D152F">
        <w:rPr>
          <w:rFonts w:ascii="Times New Roman" w:hAnsi="Times New Roman" w:cs="Times New Roman"/>
        </w:rPr>
        <w:t xml:space="preserve">a control test as the principal factor in determining whether the body in question constituted a ‘public body.’ In </w:t>
      </w:r>
      <w:r w:rsidR="00092CBB" w:rsidRPr="000D152F">
        <w:rPr>
          <w:rFonts w:ascii="Times New Roman" w:hAnsi="Times New Roman" w:cs="Times New Roman"/>
          <w:i/>
        </w:rPr>
        <w:t>US – AD/CVDs (China)</w:t>
      </w:r>
      <w:r w:rsidR="00092CBB" w:rsidRPr="000D152F">
        <w:rPr>
          <w:rFonts w:ascii="Times New Roman" w:hAnsi="Times New Roman" w:cs="Times New Roman"/>
        </w:rPr>
        <w:t>, however, the requirement took a central place within the reports.</w:t>
      </w:r>
      <w:bookmarkStart w:id="7" w:name="_Ref425504408"/>
      <w:r w:rsidR="00590AE2">
        <w:rPr>
          <w:rStyle w:val="FootnoteReference"/>
          <w:rFonts w:ascii="Times New Roman" w:hAnsi="Times New Roman" w:cs="Times New Roman"/>
        </w:rPr>
        <w:footnoteReference w:id="26"/>
      </w:r>
      <w:bookmarkEnd w:id="7"/>
    </w:p>
    <w:p w14:paraId="1280910E" w14:textId="77777777" w:rsidR="00092CBB" w:rsidRPr="000D152F" w:rsidRDefault="00092CBB" w:rsidP="00D25306">
      <w:pPr>
        <w:spacing w:line="480" w:lineRule="auto"/>
        <w:jc w:val="both"/>
        <w:rPr>
          <w:rFonts w:ascii="Times New Roman" w:hAnsi="Times New Roman" w:cs="Times New Roman"/>
        </w:rPr>
      </w:pPr>
    </w:p>
    <w:p w14:paraId="2B8E72CE" w14:textId="3C7AD0C8" w:rsidR="00AB7271" w:rsidRPr="000D152F" w:rsidRDefault="00B076FE" w:rsidP="00D25306">
      <w:pPr>
        <w:spacing w:line="480" w:lineRule="auto"/>
        <w:jc w:val="both"/>
        <w:rPr>
          <w:rFonts w:ascii="Times New Roman" w:hAnsi="Times New Roman" w:cs="Times New Roman"/>
        </w:rPr>
      </w:pPr>
      <w:r w:rsidRPr="000D152F">
        <w:rPr>
          <w:rFonts w:ascii="Times New Roman" w:hAnsi="Times New Roman" w:cs="Times New Roman"/>
        </w:rPr>
        <w:t xml:space="preserve">One of the key disputes was the extent to which </w:t>
      </w:r>
      <w:r w:rsidR="008B09D4" w:rsidRPr="000D152F">
        <w:rPr>
          <w:rFonts w:ascii="Times New Roman" w:hAnsi="Times New Roman" w:cs="Times New Roman"/>
        </w:rPr>
        <w:t>SOEs</w:t>
      </w:r>
      <w:r w:rsidR="00806ACB">
        <w:rPr>
          <w:rFonts w:ascii="Times New Roman" w:hAnsi="Times New Roman" w:cs="Times New Roman"/>
        </w:rPr>
        <w:t xml:space="preserve"> </w:t>
      </w:r>
      <w:r w:rsidRPr="000D152F">
        <w:rPr>
          <w:rFonts w:ascii="Times New Roman" w:hAnsi="Times New Roman" w:cs="Times New Roman"/>
        </w:rPr>
        <w:t xml:space="preserve">or </w:t>
      </w:r>
      <w:r w:rsidR="008B09D4" w:rsidRPr="000D152F">
        <w:rPr>
          <w:rFonts w:ascii="Times New Roman" w:hAnsi="Times New Roman" w:cs="Times New Roman"/>
        </w:rPr>
        <w:t xml:space="preserve">SOCBs </w:t>
      </w:r>
      <w:r w:rsidRPr="000D152F">
        <w:rPr>
          <w:rFonts w:ascii="Times New Roman" w:hAnsi="Times New Roman" w:cs="Times New Roman"/>
        </w:rPr>
        <w:t>constituted public bodies for the purposes of Art 1.1(a)(1) SCM Agreement.</w:t>
      </w:r>
      <w:r w:rsidR="00215708" w:rsidRPr="000D152F">
        <w:rPr>
          <w:rFonts w:ascii="Times New Roman" w:hAnsi="Times New Roman" w:cs="Times New Roman"/>
        </w:rPr>
        <w:t xml:space="preserve"> </w:t>
      </w:r>
      <w:r w:rsidR="006C5FC0" w:rsidRPr="000D152F">
        <w:rPr>
          <w:rFonts w:ascii="Times New Roman" w:hAnsi="Times New Roman" w:cs="Times New Roman"/>
        </w:rPr>
        <w:t>If they are not public bodies, then the SOEs that provide raw materials to businesses, and the SOCBs that provide them with loans are merely other private actors engaged in the market place. However, if not, then these bodies constitute public bodies and the loans and raw materials become potential subsidies and the goods exported by the businesses become potential targets for protective measures (specifically countervailing duties</w:t>
      </w:r>
      <w:r w:rsidR="007D07C0" w:rsidRPr="000D152F">
        <w:rPr>
          <w:rFonts w:ascii="Times New Roman" w:hAnsi="Times New Roman" w:cs="Times New Roman"/>
        </w:rPr>
        <w:t>, and in this instance, also anti-dumping duties</w:t>
      </w:r>
      <w:r w:rsidR="006C5FC0" w:rsidRPr="000D152F">
        <w:rPr>
          <w:rFonts w:ascii="Times New Roman" w:hAnsi="Times New Roman" w:cs="Times New Roman"/>
        </w:rPr>
        <w:t>).</w:t>
      </w:r>
    </w:p>
    <w:p w14:paraId="615D23E6" w14:textId="77777777" w:rsidR="00AB7271" w:rsidRPr="000D152F" w:rsidRDefault="00AB7271" w:rsidP="00D25306">
      <w:pPr>
        <w:spacing w:line="480" w:lineRule="auto"/>
        <w:jc w:val="both"/>
        <w:rPr>
          <w:rFonts w:ascii="Times New Roman" w:hAnsi="Times New Roman" w:cs="Times New Roman"/>
        </w:rPr>
      </w:pPr>
    </w:p>
    <w:p w14:paraId="20F52144" w14:textId="2F159D74" w:rsidR="00F1032B" w:rsidRPr="000D152F" w:rsidRDefault="00D50A95" w:rsidP="00D25306">
      <w:pPr>
        <w:spacing w:line="480" w:lineRule="auto"/>
        <w:jc w:val="both"/>
        <w:rPr>
          <w:rFonts w:ascii="Times New Roman" w:hAnsi="Times New Roman" w:cs="Times New Roman"/>
        </w:rPr>
      </w:pPr>
      <w:r w:rsidRPr="000D152F">
        <w:rPr>
          <w:rFonts w:ascii="Times New Roman" w:hAnsi="Times New Roman" w:cs="Times New Roman"/>
        </w:rPr>
        <w:t>The US Department of Commerce</w:t>
      </w:r>
      <w:r w:rsidR="007D07C0" w:rsidRPr="000D152F">
        <w:rPr>
          <w:rFonts w:ascii="Times New Roman" w:hAnsi="Times New Roman" w:cs="Times New Roman"/>
        </w:rPr>
        <w:t xml:space="preserve"> had determined that </w:t>
      </w:r>
      <w:r w:rsidR="00751D13" w:rsidRPr="000D152F">
        <w:rPr>
          <w:rFonts w:ascii="Times New Roman" w:hAnsi="Times New Roman" w:cs="Times New Roman"/>
        </w:rPr>
        <w:t xml:space="preserve">the </w:t>
      </w:r>
      <w:r w:rsidR="007D07C0" w:rsidRPr="000D152F">
        <w:rPr>
          <w:rFonts w:ascii="Times New Roman" w:hAnsi="Times New Roman" w:cs="Times New Roman"/>
        </w:rPr>
        <w:t xml:space="preserve">SOEs </w:t>
      </w:r>
      <w:r w:rsidR="00751D13" w:rsidRPr="000D152F">
        <w:rPr>
          <w:rFonts w:ascii="Times New Roman" w:hAnsi="Times New Roman" w:cs="Times New Roman"/>
        </w:rPr>
        <w:t>and SOCBs constituted public bodies</w:t>
      </w:r>
      <w:r w:rsidR="00653843" w:rsidRPr="000D152F">
        <w:rPr>
          <w:rFonts w:ascii="Times New Roman" w:hAnsi="Times New Roman" w:cs="Times New Roman"/>
        </w:rPr>
        <w:t>, a finding upheld by t</w:t>
      </w:r>
      <w:r w:rsidR="00215708" w:rsidRPr="000D152F">
        <w:rPr>
          <w:rFonts w:ascii="Times New Roman" w:hAnsi="Times New Roman" w:cs="Times New Roman"/>
        </w:rPr>
        <w:t>he panel</w:t>
      </w:r>
      <w:r w:rsidR="00653843" w:rsidRPr="000D152F">
        <w:rPr>
          <w:rFonts w:ascii="Times New Roman" w:hAnsi="Times New Roman" w:cs="Times New Roman"/>
        </w:rPr>
        <w:t>.</w:t>
      </w:r>
      <w:r w:rsidR="00215708" w:rsidRPr="000D152F">
        <w:rPr>
          <w:rFonts w:ascii="Times New Roman" w:hAnsi="Times New Roman" w:cs="Times New Roman"/>
        </w:rPr>
        <w:t xml:space="preserve"> </w:t>
      </w:r>
      <w:r w:rsidR="00653843" w:rsidRPr="000D152F">
        <w:rPr>
          <w:rFonts w:ascii="Times New Roman" w:hAnsi="Times New Roman" w:cs="Times New Roman"/>
        </w:rPr>
        <w:t xml:space="preserve">The panel </w:t>
      </w:r>
      <w:r w:rsidR="00215708" w:rsidRPr="000D152F">
        <w:rPr>
          <w:rFonts w:ascii="Times New Roman" w:hAnsi="Times New Roman" w:cs="Times New Roman"/>
        </w:rPr>
        <w:t>acknowledged that there was no clear definition for the term ‘public body’</w:t>
      </w:r>
      <w:r w:rsidR="00215708" w:rsidRPr="000D152F">
        <w:rPr>
          <w:rStyle w:val="FootnoteReference"/>
          <w:rFonts w:ascii="Times New Roman" w:hAnsi="Times New Roman" w:cs="Times New Roman"/>
        </w:rPr>
        <w:footnoteReference w:id="27"/>
      </w:r>
      <w:r w:rsidR="00653843" w:rsidRPr="000D152F">
        <w:rPr>
          <w:rFonts w:ascii="Times New Roman" w:hAnsi="Times New Roman" w:cs="Times New Roman"/>
        </w:rPr>
        <w:t xml:space="preserve"> and identified the</w:t>
      </w:r>
      <w:r w:rsidR="00CE7831" w:rsidRPr="000D152F">
        <w:rPr>
          <w:rFonts w:ascii="Times New Roman" w:hAnsi="Times New Roman" w:cs="Times New Roman"/>
        </w:rPr>
        <w:t xml:space="preserve"> core challenge </w:t>
      </w:r>
      <w:r w:rsidRPr="000D152F">
        <w:rPr>
          <w:rFonts w:ascii="Times New Roman" w:hAnsi="Times New Roman" w:cs="Times New Roman"/>
        </w:rPr>
        <w:t xml:space="preserve">with </w:t>
      </w:r>
      <w:r w:rsidR="00CE7831" w:rsidRPr="000D152F">
        <w:rPr>
          <w:rFonts w:ascii="Times New Roman" w:hAnsi="Times New Roman" w:cs="Times New Roman"/>
        </w:rPr>
        <w:t>such a term: namely, that different jurisdictions define what constitutes a ‘public body’ under their own law in numerous different ways. They pointed out that ‘[s]</w:t>
      </w:r>
      <w:r w:rsidR="00F1032B" w:rsidRPr="000D152F">
        <w:rPr>
          <w:rFonts w:ascii="Times New Roman" w:hAnsi="Times New Roman" w:cs="Times New Roman"/>
        </w:rPr>
        <w:t>ome of these go well beyond government agencies or similar organs of government, and include, inter alia, government-owned or -controlled corporations providing goods and/or services.</w:t>
      </w:r>
      <w:r w:rsidR="00CE7831" w:rsidRPr="000D152F">
        <w:rPr>
          <w:rFonts w:ascii="Times New Roman" w:hAnsi="Times New Roman" w:cs="Times New Roman"/>
        </w:rPr>
        <w:t>’</w:t>
      </w:r>
      <w:r w:rsidR="00CE7831" w:rsidRPr="000D152F">
        <w:rPr>
          <w:rStyle w:val="FootnoteReference"/>
          <w:rFonts w:ascii="Times New Roman" w:hAnsi="Times New Roman" w:cs="Times New Roman"/>
        </w:rPr>
        <w:footnoteReference w:id="28"/>
      </w:r>
    </w:p>
    <w:p w14:paraId="1828AC87" w14:textId="77777777" w:rsidR="00F1032B" w:rsidRPr="000D152F" w:rsidRDefault="00F1032B" w:rsidP="00D25306">
      <w:pPr>
        <w:spacing w:line="480" w:lineRule="auto"/>
        <w:jc w:val="both"/>
        <w:rPr>
          <w:rFonts w:ascii="Times New Roman" w:hAnsi="Times New Roman" w:cs="Times New Roman"/>
        </w:rPr>
      </w:pPr>
    </w:p>
    <w:p w14:paraId="0031DD8C" w14:textId="1C5346AE" w:rsidR="00F1032B" w:rsidRPr="000D152F" w:rsidRDefault="008B09D4" w:rsidP="00D25306">
      <w:pPr>
        <w:spacing w:line="480" w:lineRule="auto"/>
        <w:jc w:val="both"/>
        <w:rPr>
          <w:rFonts w:ascii="Times New Roman" w:hAnsi="Times New Roman" w:cs="Times New Roman"/>
        </w:rPr>
      </w:pPr>
      <w:r w:rsidRPr="000D152F">
        <w:rPr>
          <w:rFonts w:ascii="Times New Roman" w:hAnsi="Times New Roman" w:cs="Times New Roman"/>
        </w:rPr>
        <w:lastRenderedPageBreak/>
        <w:t>Having examined the relevant provisions in French and Spanish, the panel felt that the question that needed to be answe</w:t>
      </w:r>
      <w:r w:rsidR="00EA737D">
        <w:rPr>
          <w:rFonts w:ascii="Times New Roman" w:hAnsi="Times New Roman" w:cs="Times New Roman"/>
        </w:rPr>
        <w:t>red was whether SOEs or SOCBs w</w:t>
      </w:r>
      <w:r w:rsidRPr="000D152F">
        <w:rPr>
          <w:rFonts w:ascii="Times New Roman" w:hAnsi="Times New Roman" w:cs="Times New Roman"/>
        </w:rPr>
        <w:t xml:space="preserve">ere public or private bodies </w:t>
      </w:r>
      <w:r w:rsidR="00EA737D">
        <w:rPr>
          <w:rFonts w:ascii="Times New Roman" w:hAnsi="Times New Roman" w:cs="Times New Roman"/>
        </w:rPr>
        <w:t xml:space="preserve">specifically </w:t>
      </w:r>
      <w:r w:rsidRPr="000D152F">
        <w:rPr>
          <w:rFonts w:ascii="Times New Roman" w:hAnsi="Times New Roman" w:cs="Times New Roman"/>
        </w:rPr>
        <w:t>for the purposes of the SCM Agreement</w:t>
      </w:r>
      <w:r w:rsidR="00157A0D" w:rsidRPr="000D152F">
        <w:rPr>
          <w:rFonts w:ascii="Times New Roman" w:hAnsi="Times New Roman" w:cs="Times New Roman"/>
        </w:rPr>
        <w:t>.</w:t>
      </w:r>
      <w:r w:rsidRPr="000D152F">
        <w:rPr>
          <w:rStyle w:val="FootnoteReference"/>
          <w:rFonts w:ascii="Times New Roman" w:hAnsi="Times New Roman" w:cs="Times New Roman"/>
        </w:rPr>
        <w:footnoteReference w:id="29"/>
      </w:r>
      <w:r w:rsidRPr="000D152F">
        <w:rPr>
          <w:rFonts w:ascii="Times New Roman" w:hAnsi="Times New Roman" w:cs="Times New Roman"/>
        </w:rPr>
        <w:t xml:space="preserve"> </w:t>
      </w:r>
      <w:r w:rsidR="00296DD2">
        <w:rPr>
          <w:rFonts w:ascii="Times New Roman" w:hAnsi="Times New Roman" w:cs="Times New Roman"/>
        </w:rPr>
        <w:t xml:space="preserve">The </w:t>
      </w:r>
      <w:r w:rsidRPr="000D152F">
        <w:rPr>
          <w:rFonts w:ascii="Times New Roman" w:hAnsi="Times New Roman" w:cs="Times New Roman"/>
        </w:rPr>
        <w:t xml:space="preserve">focus was on the relationship between public and private, rather than between ‘public body’ and ‘government.’ In drawing the division in this manner, the panel framed the discussion in terms of the public-private relationship rather than, as the Appellate Body had done in </w:t>
      </w:r>
      <w:r w:rsidRPr="000D152F">
        <w:rPr>
          <w:rFonts w:ascii="Times New Roman" w:hAnsi="Times New Roman" w:cs="Times New Roman"/>
          <w:i/>
        </w:rPr>
        <w:t>Canada – Dairy</w:t>
      </w:r>
      <w:r w:rsidRPr="000D152F">
        <w:rPr>
          <w:rFonts w:ascii="Times New Roman" w:hAnsi="Times New Roman" w:cs="Times New Roman"/>
        </w:rPr>
        <w:t xml:space="preserve">, </w:t>
      </w:r>
      <w:r w:rsidR="001351AA" w:rsidRPr="000D152F">
        <w:rPr>
          <w:rFonts w:ascii="Times New Roman" w:hAnsi="Times New Roman" w:cs="Times New Roman"/>
        </w:rPr>
        <w:t xml:space="preserve">between governmental and non-governmental functions. </w:t>
      </w:r>
      <w:r w:rsidR="00EF2E10" w:rsidRPr="000D152F">
        <w:rPr>
          <w:rFonts w:ascii="Times New Roman" w:hAnsi="Times New Roman" w:cs="Times New Roman"/>
        </w:rPr>
        <w:t>I</w:t>
      </w:r>
      <w:r w:rsidR="00D93672" w:rsidRPr="000D152F">
        <w:rPr>
          <w:rFonts w:ascii="Times New Roman" w:hAnsi="Times New Roman" w:cs="Times New Roman"/>
        </w:rPr>
        <w:t>n this instance</w:t>
      </w:r>
      <w:r w:rsidR="005506F3">
        <w:rPr>
          <w:rFonts w:ascii="Times New Roman" w:hAnsi="Times New Roman" w:cs="Times New Roman"/>
        </w:rPr>
        <w:t>,</w:t>
      </w:r>
      <w:r w:rsidR="00D93672" w:rsidRPr="000D152F">
        <w:rPr>
          <w:rFonts w:ascii="Times New Roman" w:hAnsi="Times New Roman" w:cs="Times New Roman"/>
        </w:rPr>
        <w:t xml:space="preserve"> </w:t>
      </w:r>
      <w:r w:rsidR="00EF2E10" w:rsidRPr="000D152F">
        <w:rPr>
          <w:rFonts w:ascii="Times New Roman" w:hAnsi="Times New Roman" w:cs="Times New Roman"/>
        </w:rPr>
        <w:t xml:space="preserve">it </w:t>
      </w:r>
      <w:r w:rsidR="00D93672" w:rsidRPr="000D152F">
        <w:rPr>
          <w:rFonts w:ascii="Times New Roman" w:hAnsi="Times New Roman" w:cs="Times New Roman"/>
        </w:rPr>
        <w:t xml:space="preserve">led the panel to an interpretation centred on control as the key distinguishing factor: the ‘public sector’ as part of the economy though under State control, ‘private enterprise’ as </w:t>
      </w:r>
      <w:r w:rsidR="00DC02E1" w:rsidRPr="000D152F">
        <w:rPr>
          <w:rFonts w:ascii="Times New Roman" w:hAnsi="Times New Roman" w:cs="Times New Roman"/>
        </w:rPr>
        <w:t xml:space="preserve">part of the economy though </w:t>
      </w:r>
      <w:r w:rsidR="00D93672" w:rsidRPr="000D152F">
        <w:rPr>
          <w:rFonts w:ascii="Times New Roman" w:hAnsi="Times New Roman" w:cs="Times New Roman"/>
        </w:rPr>
        <w:t xml:space="preserve">privately </w:t>
      </w:r>
      <w:r w:rsidR="00B40BF1" w:rsidRPr="000D152F">
        <w:rPr>
          <w:rFonts w:ascii="Times New Roman" w:hAnsi="Times New Roman" w:cs="Times New Roman"/>
        </w:rPr>
        <w:t>controlled</w:t>
      </w:r>
      <w:r w:rsidR="00D93672" w:rsidRPr="000D152F">
        <w:rPr>
          <w:rFonts w:ascii="Times New Roman" w:hAnsi="Times New Roman" w:cs="Times New Roman"/>
        </w:rPr>
        <w:t>.</w:t>
      </w:r>
      <w:r w:rsidR="00D93672" w:rsidRPr="000D152F">
        <w:rPr>
          <w:rStyle w:val="FootnoteReference"/>
          <w:rFonts w:ascii="Times New Roman" w:hAnsi="Times New Roman" w:cs="Times New Roman"/>
        </w:rPr>
        <w:t xml:space="preserve"> </w:t>
      </w:r>
      <w:r w:rsidR="00D93672" w:rsidRPr="000D152F">
        <w:rPr>
          <w:rStyle w:val="FootnoteReference"/>
          <w:rFonts w:ascii="Times New Roman" w:hAnsi="Times New Roman" w:cs="Times New Roman"/>
        </w:rPr>
        <w:footnoteReference w:id="30"/>
      </w:r>
    </w:p>
    <w:p w14:paraId="726FB23D" w14:textId="77777777" w:rsidR="00D93672" w:rsidRPr="000D152F" w:rsidRDefault="00D93672" w:rsidP="00D25306">
      <w:pPr>
        <w:spacing w:line="480" w:lineRule="auto"/>
        <w:jc w:val="both"/>
        <w:rPr>
          <w:rFonts w:ascii="Times New Roman" w:hAnsi="Times New Roman" w:cs="Times New Roman"/>
        </w:rPr>
      </w:pPr>
    </w:p>
    <w:p w14:paraId="07B1EBCF" w14:textId="6B460513" w:rsidR="00F93994" w:rsidRPr="000D152F" w:rsidRDefault="00F93994" w:rsidP="00D25306">
      <w:pPr>
        <w:spacing w:line="480" w:lineRule="auto"/>
        <w:jc w:val="both"/>
        <w:rPr>
          <w:rFonts w:ascii="Times New Roman" w:hAnsi="Times New Roman" w:cs="Times New Roman"/>
        </w:rPr>
      </w:pPr>
      <w:r w:rsidRPr="000D152F">
        <w:rPr>
          <w:rFonts w:ascii="Times New Roman" w:hAnsi="Times New Roman" w:cs="Times New Roman"/>
        </w:rPr>
        <w:t xml:space="preserve">By identifying control as the standard, the panel excluded the </w:t>
      </w:r>
      <w:r w:rsidR="00653843" w:rsidRPr="000D152F">
        <w:rPr>
          <w:rFonts w:ascii="Times New Roman" w:hAnsi="Times New Roman" w:cs="Times New Roman"/>
        </w:rPr>
        <w:t>need</w:t>
      </w:r>
      <w:r w:rsidRPr="000D152F">
        <w:rPr>
          <w:rFonts w:ascii="Times New Roman" w:hAnsi="Times New Roman" w:cs="Times New Roman"/>
        </w:rPr>
        <w:t xml:space="preserve"> for the body to exercise governmental functions. It concluded on this point: </w:t>
      </w:r>
    </w:p>
    <w:p w14:paraId="312A3DCA" w14:textId="77777777" w:rsidR="00F93994" w:rsidRPr="000D152F" w:rsidRDefault="00F93994" w:rsidP="00D25306">
      <w:pPr>
        <w:spacing w:line="480" w:lineRule="auto"/>
        <w:jc w:val="both"/>
        <w:rPr>
          <w:rFonts w:ascii="Times New Roman" w:hAnsi="Times New Roman" w:cs="Times New Roman"/>
        </w:rPr>
      </w:pPr>
    </w:p>
    <w:p w14:paraId="3503BE96" w14:textId="57483A91" w:rsidR="00F1032B" w:rsidRPr="000D152F" w:rsidRDefault="00F93994" w:rsidP="00D25306">
      <w:pPr>
        <w:spacing w:line="480" w:lineRule="auto"/>
        <w:ind w:left="567" w:right="567"/>
        <w:jc w:val="both"/>
        <w:rPr>
          <w:rFonts w:ascii="Times New Roman" w:hAnsi="Times New Roman" w:cs="Times New Roman"/>
        </w:rPr>
      </w:pPr>
      <w:r w:rsidRPr="000D152F">
        <w:rPr>
          <w:rFonts w:ascii="Times New Roman" w:hAnsi="Times New Roman" w:cs="Times New Roman"/>
        </w:rPr>
        <w:t>‘w</w:t>
      </w:r>
      <w:r w:rsidR="00F1032B" w:rsidRPr="000D152F">
        <w:rPr>
          <w:rFonts w:ascii="Times New Roman" w:hAnsi="Times New Roman" w:cs="Times New Roman"/>
        </w:rPr>
        <w:t>e consider that interpreting "any public body" to mean any entity that is controlled by the government best serves the object and purpose of the SCM Agreement.</w:t>
      </w:r>
      <w:r w:rsidR="00AF2F19" w:rsidRPr="000D152F">
        <w:rPr>
          <w:rFonts w:ascii="Times New Roman" w:hAnsi="Times New Roman" w:cs="Times New Roman"/>
        </w:rPr>
        <w:t>’</w:t>
      </w:r>
      <w:r w:rsidR="00AF2F19" w:rsidRPr="000D152F">
        <w:rPr>
          <w:rStyle w:val="FootnoteReference"/>
          <w:rFonts w:ascii="Times New Roman" w:hAnsi="Times New Roman" w:cs="Times New Roman"/>
        </w:rPr>
        <w:footnoteReference w:id="31"/>
      </w:r>
    </w:p>
    <w:p w14:paraId="6BB36006" w14:textId="77777777" w:rsidR="00F1032B" w:rsidRPr="000D152F" w:rsidRDefault="00F1032B" w:rsidP="00D25306">
      <w:pPr>
        <w:spacing w:line="480" w:lineRule="auto"/>
        <w:jc w:val="both"/>
        <w:rPr>
          <w:rFonts w:ascii="Times New Roman" w:hAnsi="Times New Roman" w:cs="Times New Roman"/>
        </w:rPr>
      </w:pPr>
    </w:p>
    <w:p w14:paraId="788604EA" w14:textId="3F32540D" w:rsidR="00F1032B" w:rsidRPr="000D152F" w:rsidRDefault="0074031E" w:rsidP="00D25306">
      <w:pPr>
        <w:spacing w:line="480" w:lineRule="auto"/>
        <w:jc w:val="both"/>
        <w:rPr>
          <w:rFonts w:ascii="Times New Roman" w:hAnsi="Times New Roman" w:cs="Times New Roman"/>
        </w:rPr>
      </w:pPr>
      <w:r w:rsidRPr="000D152F">
        <w:rPr>
          <w:rFonts w:ascii="Times New Roman" w:hAnsi="Times New Roman" w:cs="Times New Roman"/>
        </w:rPr>
        <w:t>The Appellate Body</w:t>
      </w:r>
      <w:r w:rsidR="00F1032B" w:rsidRPr="000D152F">
        <w:rPr>
          <w:rFonts w:ascii="Times New Roman" w:hAnsi="Times New Roman" w:cs="Times New Roman"/>
        </w:rPr>
        <w:t xml:space="preserve"> </w:t>
      </w:r>
      <w:r w:rsidR="00670AD1" w:rsidRPr="000D152F">
        <w:rPr>
          <w:rFonts w:ascii="Times New Roman" w:hAnsi="Times New Roman" w:cs="Times New Roman"/>
        </w:rPr>
        <w:t>did not reject the panel’s approach in its entirety: it accepted that there are times when governmental control could indicate that the body in question was to be viewed as a ‘public body’ for the purposes of the SCM Agreement.</w:t>
      </w:r>
      <w:r w:rsidR="00670AD1" w:rsidRPr="000D152F">
        <w:rPr>
          <w:rStyle w:val="FootnoteReference"/>
          <w:rFonts w:ascii="Times New Roman" w:hAnsi="Times New Roman" w:cs="Times New Roman"/>
        </w:rPr>
        <w:footnoteReference w:id="32"/>
      </w:r>
      <w:r w:rsidR="00FC5D06" w:rsidRPr="000D152F">
        <w:rPr>
          <w:rFonts w:ascii="Times New Roman" w:hAnsi="Times New Roman" w:cs="Times New Roman"/>
        </w:rPr>
        <w:t xml:space="preserve"> It did this with caution, identifying that this was relevant insofar as it demonstrated that there was a governmental </w:t>
      </w:r>
      <w:r w:rsidR="00FC5D06" w:rsidRPr="000D152F">
        <w:rPr>
          <w:rFonts w:ascii="Times New Roman" w:hAnsi="Times New Roman" w:cs="Times New Roman"/>
        </w:rPr>
        <w:lastRenderedPageBreak/>
        <w:t xml:space="preserve">function being exercised. </w:t>
      </w:r>
      <w:r w:rsidR="00D00CEE" w:rsidRPr="000D152F">
        <w:rPr>
          <w:rFonts w:ascii="Times New Roman" w:hAnsi="Times New Roman" w:cs="Times New Roman"/>
        </w:rPr>
        <w:t xml:space="preserve">Control was needed but </w:t>
      </w:r>
      <w:r w:rsidR="00F636EB" w:rsidRPr="000D152F">
        <w:rPr>
          <w:rFonts w:ascii="Times New Roman" w:hAnsi="Times New Roman" w:cs="Times New Roman"/>
        </w:rPr>
        <w:t>was not sufficient; control was important where necessary to exercise a governmental function.</w:t>
      </w:r>
      <w:r w:rsidR="00A277BB">
        <w:rPr>
          <w:rStyle w:val="FootnoteReference"/>
          <w:rFonts w:ascii="Times New Roman" w:hAnsi="Times New Roman" w:cs="Times New Roman"/>
        </w:rPr>
        <w:footnoteReference w:id="33"/>
      </w:r>
      <w:r w:rsidR="00F636EB" w:rsidRPr="000D152F">
        <w:rPr>
          <w:rFonts w:ascii="Times New Roman" w:hAnsi="Times New Roman" w:cs="Times New Roman"/>
        </w:rPr>
        <w:t xml:space="preserve"> </w:t>
      </w:r>
      <w:r w:rsidR="00FC5D06" w:rsidRPr="000D152F">
        <w:rPr>
          <w:rFonts w:ascii="Times New Roman" w:hAnsi="Times New Roman" w:cs="Times New Roman"/>
        </w:rPr>
        <w:t>Like the panel before it, the Appellate Body also sought guidance from dictionary definitions, though in this case the composite</w:t>
      </w:r>
      <w:r w:rsidR="005F3A50" w:rsidRPr="000D152F">
        <w:rPr>
          <w:rFonts w:ascii="Times New Roman" w:hAnsi="Times New Roman" w:cs="Times New Roman"/>
        </w:rPr>
        <w:t xml:space="preserve"> term ‘public body’ le</w:t>
      </w:r>
      <w:r w:rsidR="00FC5D06" w:rsidRPr="000D152F">
        <w:rPr>
          <w:rFonts w:ascii="Times New Roman" w:hAnsi="Times New Roman" w:cs="Times New Roman"/>
        </w:rPr>
        <w:t xml:space="preserve">d to a focus on the exercise of functions </w:t>
      </w:r>
      <w:r w:rsidR="00C3548C" w:rsidRPr="000D152F">
        <w:rPr>
          <w:rFonts w:ascii="Times New Roman" w:hAnsi="Times New Roman" w:cs="Times New Roman"/>
        </w:rPr>
        <w:t>that would be considered governmental in nature.</w:t>
      </w:r>
      <w:r w:rsidR="00C3548C" w:rsidRPr="000D152F">
        <w:rPr>
          <w:rStyle w:val="FootnoteReference"/>
          <w:rFonts w:ascii="Times New Roman" w:hAnsi="Times New Roman" w:cs="Times New Roman"/>
        </w:rPr>
        <w:footnoteReference w:id="34"/>
      </w:r>
      <w:r w:rsidR="00C3548C" w:rsidRPr="000D152F">
        <w:rPr>
          <w:rFonts w:ascii="Times New Roman" w:hAnsi="Times New Roman" w:cs="Times New Roman"/>
        </w:rPr>
        <w:t xml:space="preserve"> </w:t>
      </w:r>
    </w:p>
    <w:p w14:paraId="1A9A3161" w14:textId="77777777" w:rsidR="0074031E" w:rsidRPr="000D152F" w:rsidRDefault="0074031E" w:rsidP="00D25306">
      <w:pPr>
        <w:spacing w:line="480" w:lineRule="auto"/>
        <w:jc w:val="both"/>
        <w:rPr>
          <w:rFonts w:ascii="Times New Roman" w:hAnsi="Times New Roman" w:cs="Times New Roman"/>
        </w:rPr>
      </w:pPr>
    </w:p>
    <w:p w14:paraId="385B1C72" w14:textId="4EA86831" w:rsidR="00471C93" w:rsidRPr="000D152F" w:rsidRDefault="00471C93" w:rsidP="00D25306">
      <w:pPr>
        <w:spacing w:line="480" w:lineRule="auto"/>
        <w:jc w:val="both"/>
        <w:rPr>
          <w:rFonts w:ascii="Times New Roman" w:hAnsi="Times New Roman" w:cs="Times New Roman"/>
        </w:rPr>
      </w:pPr>
      <w:r w:rsidRPr="000D152F">
        <w:rPr>
          <w:rFonts w:ascii="Times New Roman" w:hAnsi="Times New Roman" w:cs="Times New Roman"/>
        </w:rPr>
        <w:t>Clearly, a definition that depends on defining governmental authority presents considerable difficulties for administrative investigators, policy makers and judicial bodies.</w:t>
      </w:r>
      <w:r w:rsidR="005E31EA" w:rsidRPr="000D152F">
        <w:rPr>
          <w:rFonts w:ascii="Times New Roman" w:hAnsi="Times New Roman" w:cs="Times New Roman"/>
        </w:rPr>
        <w:t xml:space="preserve"> The Appellate Body expressed this challenge </w:t>
      </w:r>
      <w:r w:rsidR="000F30A1">
        <w:rPr>
          <w:rFonts w:ascii="Times New Roman" w:hAnsi="Times New Roman" w:cs="Times New Roman"/>
        </w:rPr>
        <w:t>as follows</w:t>
      </w:r>
      <w:r w:rsidR="005E31EA" w:rsidRPr="000D152F">
        <w:rPr>
          <w:rFonts w:ascii="Times New Roman" w:hAnsi="Times New Roman" w:cs="Times New Roman"/>
        </w:rPr>
        <w:t xml:space="preserve">: </w:t>
      </w:r>
    </w:p>
    <w:p w14:paraId="4B43F9B4" w14:textId="77777777" w:rsidR="00471C93" w:rsidRPr="000D152F" w:rsidRDefault="00471C93" w:rsidP="00D25306">
      <w:pPr>
        <w:spacing w:line="480" w:lineRule="auto"/>
        <w:jc w:val="both"/>
        <w:rPr>
          <w:rFonts w:ascii="Times New Roman" w:hAnsi="Times New Roman" w:cs="Times New Roman"/>
        </w:rPr>
      </w:pPr>
    </w:p>
    <w:p w14:paraId="6821232D" w14:textId="22853829" w:rsidR="002B1DE6" w:rsidRPr="000D152F" w:rsidRDefault="005E31EA" w:rsidP="00D25306">
      <w:pPr>
        <w:spacing w:line="480" w:lineRule="auto"/>
        <w:ind w:left="567" w:right="567"/>
        <w:jc w:val="both"/>
        <w:rPr>
          <w:rFonts w:ascii="Times New Roman" w:hAnsi="Times New Roman" w:cs="Times New Roman"/>
        </w:rPr>
      </w:pPr>
      <w:r w:rsidRPr="000D152F">
        <w:rPr>
          <w:rFonts w:ascii="Times New Roman" w:hAnsi="Times New Roman" w:cs="Times New Roman"/>
        </w:rPr>
        <w:t>‘</w:t>
      </w:r>
      <w:r w:rsidR="002B1DE6" w:rsidRPr="000D152F">
        <w:rPr>
          <w:rFonts w:ascii="Times New Roman" w:hAnsi="Times New Roman" w:cs="Times New Roman"/>
        </w:rPr>
        <w:t>just as no two governments are exactly alike, the precise contours and characteristics of a public body are bound to differ from entity to entity, State to State, and case to case.</w:t>
      </w:r>
      <w:r w:rsidR="005A1915" w:rsidRPr="000D152F">
        <w:rPr>
          <w:rFonts w:ascii="Times New Roman" w:hAnsi="Times New Roman" w:cs="Times New Roman"/>
        </w:rPr>
        <w:t>’</w:t>
      </w:r>
      <w:r w:rsidRPr="000D152F">
        <w:rPr>
          <w:rStyle w:val="FootnoteReference"/>
          <w:rFonts w:ascii="Times New Roman" w:hAnsi="Times New Roman" w:cs="Times New Roman"/>
        </w:rPr>
        <w:footnoteReference w:id="35"/>
      </w:r>
    </w:p>
    <w:p w14:paraId="5A4F666A" w14:textId="77777777" w:rsidR="002B1DE6" w:rsidRPr="000D152F" w:rsidRDefault="002B1DE6" w:rsidP="00D25306">
      <w:pPr>
        <w:spacing w:line="480" w:lineRule="auto"/>
        <w:jc w:val="both"/>
        <w:rPr>
          <w:rFonts w:ascii="Times New Roman" w:hAnsi="Times New Roman" w:cs="Times New Roman"/>
        </w:rPr>
      </w:pPr>
    </w:p>
    <w:p w14:paraId="44BD4B3E" w14:textId="2907C8DB" w:rsidR="00FC127F" w:rsidRPr="000D152F" w:rsidRDefault="00FC127F" w:rsidP="00D25306">
      <w:pPr>
        <w:spacing w:line="480" w:lineRule="auto"/>
        <w:jc w:val="both"/>
        <w:rPr>
          <w:rFonts w:ascii="Times New Roman" w:hAnsi="Times New Roman" w:cs="Times New Roman"/>
        </w:rPr>
      </w:pPr>
      <w:r w:rsidRPr="000D152F">
        <w:rPr>
          <w:rFonts w:ascii="Times New Roman" w:hAnsi="Times New Roman" w:cs="Times New Roman"/>
        </w:rPr>
        <w:t>Unlike the panel which sought to provide a clearer rule that would offer greater certainty, the Appellate Body offered an alternative test that is, by its very nature, flexible and indeterminate.</w:t>
      </w:r>
      <w:r w:rsidR="00F666A9">
        <w:rPr>
          <w:rStyle w:val="FootnoteReference"/>
          <w:rFonts w:ascii="Times New Roman" w:hAnsi="Times New Roman" w:cs="Times New Roman"/>
        </w:rPr>
        <w:footnoteReference w:id="36"/>
      </w:r>
      <w:r w:rsidRPr="000D152F">
        <w:rPr>
          <w:rFonts w:ascii="Times New Roman" w:hAnsi="Times New Roman" w:cs="Times New Roman"/>
        </w:rPr>
        <w:t xml:space="preserve"> </w:t>
      </w:r>
      <w:r w:rsidR="000E7F9F" w:rsidRPr="000D152F">
        <w:rPr>
          <w:rFonts w:ascii="Times New Roman" w:hAnsi="Times New Roman" w:cs="Times New Roman"/>
        </w:rPr>
        <w:t xml:space="preserve">The </w:t>
      </w:r>
      <w:r w:rsidR="00DC4D0D" w:rsidRPr="000D152F">
        <w:rPr>
          <w:rFonts w:ascii="Times New Roman" w:hAnsi="Times New Roman" w:cs="Times New Roman"/>
        </w:rPr>
        <w:t xml:space="preserve">problem </w:t>
      </w:r>
      <w:r w:rsidR="000E7F9F" w:rsidRPr="000D152F">
        <w:rPr>
          <w:rFonts w:ascii="Times New Roman" w:hAnsi="Times New Roman" w:cs="Times New Roman"/>
        </w:rPr>
        <w:t>is not, however, in the Appellate Body’s willing</w:t>
      </w:r>
      <w:r w:rsidR="003A5C4F" w:rsidRPr="000D152F">
        <w:rPr>
          <w:rFonts w:ascii="Times New Roman" w:hAnsi="Times New Roman" w:cs="Times New Roman"/>
        </w:rPr>
        <w:t xml:space="preserve">ness </w:t>
      </w:r>
      <w:r w:rsidR="00DC4D0D" w:rsidRPr="000D152F">
        <w:rPr>
          <w:rFonts w:ascii="Times New Roman" w:hAnsi="Times New Roman" w:cs="Times New Roman"/>
        </w:rPr>
        <w:t xml:space="preserve">to provide a flexible test in the hope that this would satisfy the challenges presented by the plurality of governance structures within the WTO membership, but rather, with the underlying presumption that it is possible to determine what a governmental function </w:t>
      </w:r>
      <w:r w:rsidR="00DC4D0D" w:rsidRPr="000D152F">
        <w:rPr>
          <w:rFonts w:ascii="Times New Roman" w:hAnsi="Times New Roman" w:cs="Times New Roman"/>
          <w:i/>
        </w:rPr>
        <w:t xml:space="preserve">is </w:t>
      </w:r>
      <w:r w:rsidR="00DC4D0D" w:rsidRPr="000D152F">
        <w:rPr>
          <w:rFonts w:ascii="Times New Roman" w:hAnsi="Times New Roman" w:cs="Times New Roman"/>
        </w:rPr>
        <w:t xml:space="preserve">without </w:t>
      </w:r>
      <w:r w:rsidR="00FF776F" w:rsidRPr="000D152F">
        <w:rPr>
          <w:rFonts w:ascii="Times New Roman" w:hAnsi="Times New Roman" w:cs="Times New Roman"/>
        </w:rPr>
        <w:t>engaging with its underlying meaning</w:t>
      </w:r>
      <w:r w:rsidR="00DC4D0D" w:rsidRPr="000D152F">
        <w:rPr>
          <w:rFonts w:ascii="Times New Roman" w:hAnsi="Times New Roman" w:cs="Times New Roman"/>
        </w:rPr>
        <w:t xml:space="preserve">. </w:t>
      </w:r>
    </w:p>
    <w:p w14:paraId="5E9B57D4" w14:textId="77777777" w:rsidR="00DC4D0D" w:rsidRPr="000D152F" w:rsidRDefault="00DC4D0D" w:rsidP="00D25306">
      <w:pPr>
        <w:spacing w:line="480" w:lineRule="auto"/>
        <w:jc w:val="both"/>
        <w:rPr>
          <w:rFonts w:ascii="Times New Roman" w:hAnsi="Times New Roman" w:cs="Times New Roman"/>
        </w:rPr>
      </w:pPr>
    </w:p>
    <w:p w14:paraId="7AFDAD3C" w14:textId="7B11EFAC" w:rsidR="00DC4D0D" w:rsidRPr="000D152F" w:rsidRDefault="00446423" w:rsidP="00D25306">
      <w:pPr>
        <w:spacing w:line="480" w:lineRule="auto"/>
        <w:jc w:val="both"/>
        <w:rPr>
          <w:rFonts w:ascii="Times New Roman" w:hAnsi="Times New Roman" w:cs="Times New Roman"/>
        </w:rPr>
      </w:pPr>
      <w:r w:rsidRPr="000D152F">
        <w:rPr>
          <w:rFonts w:ascii="Times New Roman" w:hAnsi="Times New Roman" w:cs="Times New Roman"/>
        </w:rPr>
        <w:t>At a superficial level</w:t>
      </w:r>
      <w:r w:rsidR="00DC4D0D" w:rsidRPr="000D152F">
        <w:rPr>
          <w:rFonts w:ascii="Times New Roman" w:hAnsi="Times New Roman" w:cs="Times New Roman"/>
        </w:rPr>
        <w:t>, the Appellate Body’s interpretation</w:t>
      </w:r>
      <w:r w:rsidR="00393512" w:rsidRPr="000D152F">
        <w:rPr>
          <w:rStyle w:val="FootnoteReference"/>
          <w:rFonts w:ascii="Times New Roman" w:hAnsi="Times New Roman" w:cs="Times New Roman"/>
        </w:rPr>
        <w:footnoteReference w:id="37"/>
      </w:r>
      <w:r w:rsidR="00DC4D0D" w:rsidRPr="000D152F">
        <w:rPr>
          <w:rFonts w:ascii="Times New Roman" w:hAnsi="Times New Roman" w:cs="Times New Roman"/>
        </w:rPr>
        <w:t xml:space="preserve"> is deeply influenced by its understanding of the Articles on State Responsibility,</w:t>
      </w:r>
      <w:bookmarkStart w:id="8" w:name="_Ref280527444"/>
      <w:r w:rsidR="004B6EDE" w:rsidRPr="000D152F">
        <w:rPr>
          <w:rStyle w:val="FootnoteReference"/>
          <w:rFonts w:ascii="Times New Roman" w:hAnsi="Times New Roman" w:cs="Times New Roman"/>
        </w:rPr>
        <w:footnoteReference w:id="38"/>
      </w:r>
      <w:bookmarkEnd w:id="8"/>
      <w:r w:rsidR="00DC4D0D" w:rsidRPr="000D152F">
        <w:rPr>
          <w:rFonts w:ascii="Times New Roman" w:hAnsi="Times New Roman" w:cs="Times New Roman"/>
        </w:rPr>
        <w:t xml:space="preserve"> </w:t>
      </w:r>
      <w:r w:rsidR="00AD53A2" w:rsidRPr="000D152F">
        <w:rPr>
          <w:rFonts w:ascii="Times New Roman" w:hAnsi="Times New Roman" w:cs="Times New Roman"/>
        </w:rPr>
        <w:t>in particular Art</w:t>
      </w:r>
      <w:r w:rsidR="00436F3C">
        <w:rPr>
          <w:rFonts w:ascii="Times New Roman" w:hAnsi="Times New Roman" w:cs="Times New Roman"/>
        </w:rPr>
        <w:t>icle</w:t>
      </w:r>
      <w:r w:rsidR="00AD53A2" w:rsidRPr="000D152F">
        <w:rPr>
          <w:rFonts w:ascii="Times New Roman" w:hAnsi="Times New Roman" w:cs="Times New Roman"/>
        </w:rPr>
        <w:t xml:space="preserve"> 5</w:t>
      </w:r>
      <w:r w:rsidR="00DC4D0D" w:rsidRPr="000D152F">
        <w:rPr>
          <w:rFonts w:ascii="Times New Roman" w:hAnsi="Times New Roman" w:cs="Times New Roman"/>
        </w:rPr>
        <w:t>.</w:t>
      </w:r>
      <w:r w:rsidR="00AD53A2" w:rsidRPr="000D152F">
        <w:rPr>
          <w:rStyle w:val="FootnoteReference"/>
          <w:rFonts w:ascii="Times New Roman" w:hAnsi="Times New Roman" w:cs="Times New Roman"/>
        </w:rPr>
        <w:footnoteReference w:id="39"/>
      </w:r>
      <w:r w:rsidR="00DC4D0D" w:rsidRPr="000D152F">
        <w:rPr>
          <w:rFonts w:ascii="Times New Roman" w:hAnsi="Times New Roman" w:cs="Times New Roman"/>
        </w:rPr>
        <w:t xml:space="preserve"> </w:t>
      </w:r>
      <w:r w:rsidR="00393512" w:rsidRPr="000D152F">
        <w:rPr>
          <w:rFonts w:ascii="Times New Roman" w:hAnsi="Times New Roman" w:cs="Times New Roman"/>
        </w:rPr>
        <w:t xml:space="preserve">The criticism to be made here, however, is not </w:t>
      </w:r>
      <w:r w:rsidR="00F52FB8" w:rsidRPr="000D152F">
        <w:rPr>
          <w:rFonts w:ascii="Times New Roman" w:hAnsi="Times New Roman" w:cs="Times New Roman"/>
        </w:rPr>
        <w:t xml:space="preserve">that the Articles on State Responsibility ought not have been examined, or were wrongly </w:t>
      </w:r>
      <w:r w:rsidR="005F3A50" w:rsidRPr="000D152F">
        <w:rPr>
          <w:rFonts w:ascii="Times New Roman" w:hAnsi="Times New Roman" w:cs="Times New Roman"/>
        </w:rPr>
        <w:t>used</w:t>
      </w:r>
      <w:r w:rsidR="00F52FB8" w:rsidRPr="000D152F">
        <w:rPr>
          <w:rFonts w:ascii="Times New Roman" w:hAnsi="Times New Roman" w:cs="Times New Roman"/>
        </w:rPr>
        <w:t xml:space="preserve"> (though there are strong </w:t>
      </w:r>
      <w:r w:rsidR="007D003D" w:rsidRPr="000D152F">
        <w:rPr>
          <w:rFonts w:ascii="Times New Roman" w:hAnsi="Times New Roman" w:cs="Times New Roman"/>
        </w:rPr>
        <w:t xml:space="preserve">arguments </w:t>
      </w:r>
      <w:r w:rsidR="00F52FB8" w:rsidRPr="000D152F">
        <w:rPr>
          <w:rFonts w:ascii="Times New Roman" w:hAnsi="Times New Roman" w:cs="Times New Roman"/>
        </w:rPr>
        <w:t>to be made in both cases)</w:t>
      </w:r>
      <w:r w:rsidR="00AE50AB" w:rsidRPr="000D152F">
        <w:rPr>
          <w:rStyle w:val="FootnoteReference"/>
          <w:rFonts w:ascii="Times New Roman" w:hAnsi="Times New Roman" w:cs="Times New Roman"/>
        </w:rPr>
        <w:footnoteReference w:id="40"/>
      </w:r>
      <w:r w:rsidR="00F52FB8" w:rsidRPr="000D152F">
        <w:rPr>
          <w:rFonts w:ascii="Times New Roman" w:hAnsi="Times New Roman" w:cs="Times New Roman"/>
        </w:rPr>
        <w:t xml:space="preserve"> Rather, the principal problem here is that the Articles on State Responsibility themselves are </w:t>
      </w:r>
      <w:r w:rsidR="002157AA" w:rsidRPr="000D152F">
        <w:rPr>
          <w:rFonts w:ascii="Times New Roman" w:hAnsi="Times New Roman" w:cs="Times New Roman"/>
        </w:rPr>
        <w:t>insufficient</w:t>
      </w:r>
      <w:r w:rsidR="00F52FB8" w:rsidRPr="000D152F">
        <w:rPr>
          <w:rFonts w:ascii="Times New Roman" w:hAnsi="Times New Roman" w:cs="Times New Roman"/>
        </w:rPr>
        <w:t>; they provide a</w:t>
      </w:r>
      <w:r w:rsidR="002157AA" w:rsidRPr="000D152F">
        <w:rPr>
          <w:rFonts w:ascii="Times New Roman" w:hAnsi="Times New Roman" w:cs="Times New Roman"/>
        </w:rPr>
        <w:t>n</w:t>
      </w:r>
      <w:r w:rsidR="00F52FB8" w:rsidRPr="000D152F">
        <w:rPr>
          <w:rFonts w:ascii="Times New Roman" w:hAnsi="Times New Roman" w:cs="Times New Roman"/>
        </w:rPr>
        <w:t xml:space="preserve"> inadequate method f</w:t>
      </w:r>
      <w:r w:rsidR="002D78B7" w:rsidRPr="000D152F">
        <w:rPr>
          <w:rFonts w:ascii="Times New Roman" w:hAnsi="Times New Roman" w:cs="Times New Roman"/>
        </w:rPr>
        <w:t xml:space="preserve">or determining whether or not a </w:t>
      </w:r>
      <w:r w:rsidR="00D039E2" w:rsidRPr="000D152F">
        <w:rPr>
          <w:rFonts w:ascii="Times New Roman" w:hAnsi="Times New Roman" w:cs="Times New Roman"/>
        </w:rPr>
        <w:t>‘</w:t>
      </w:r>
      <w:r w:rsidR="002D78B7" w:rsidRPr="000D152F">
        <w:rPr>
          <w:rFonts w:ascii="Times New Roman" w:hAnsi="Times New Roman" w:cs="Times New Roman"/>
        </w:rPr>
        <w:t>parastatal</w:t>
      </w:r>
      <w:r w:rsidR="00F52FB8" w:rsidRPr="000D152F">
        <w:rPr>
          <w:rFonts w:ascii="Times New Roman" w:hAnsi="Times New Roman" w:cs="Times New Roman"/>
        </w:rPr>
        <w:t xml:space="preserve"> </w:t>
      </w:r>
      <w:r w:rsidR="002D78B7" w:rsidRPr="000D152F">
        <w:rPr>
          <w:rFonts w:ascii="Times New Roman" w:hAnsi="Times New Roman" w:cs="Times New Roman"/>
        </w:rPr>
        <w:t>entity</w:t>
      </w:r>
      <w:r w:rsidR="00D039E2" w:rsidRPr="000D152F">
        <w:rPr>
          <w:rFonts w:ascii="Times New Roman" w:hAnsi="Times New Roman" w:cs="Times New Roman"/>
        </w:rPr>
        <w:t>’</w:t>
      </w:r>
      <w:r w:rsidR="002D78B7" w:rsidRPr="000D152F">
        <w:rPr>
          <w:rFonts w:ascii="Times New Roman" w:hAnsi="Times New Roman" w:cs="Times New Roman"/>
        </w:rPr>
        <w:t xml:space="preserve"> </w:t>
      </w:r>
      <w:r w:rsidR="00D039E2" w:rsidRPr="000D152F">
        <w:rPr>
          <w:rFonts w:ascii="Times New Roman" w:hAnsi="Times New Roman" w:cs="Times New Roman"/>
        </w:rPr>
        <w:t xml:space="preserve">(in the Commentary’s terminology) </w:t>
      </w:r>
      <w:r w:rsidR="00F52FB8" w:rsidRPr="000D152F">
        <w:rPr>
          <w:rFonts w:ascii="Times New Roman" w:hAnsi="Times New Roman" w:cs="Times New Roman"/>
        </w:rPr>
        <w:t xml:space="preserve">is </w:t>
      </w:r>
      <w:r w:rsidR="00686D8A">
        <w:rPr>
          <w:rFonts w:ascii="Times New Roman" w:hAnsi="Times New Roman" w:cs="Times New Roman"/>
        </w:rPr>
        <w:t xml:space="preserve">acting on the basis of </w:t>
      </w:r>
      <w:r w:rsidR="00523753" w:rsidRPr="000D152F">
        <w:rPr>
          <w:rFonts w:ascii="Times New Roman" w:hAnsi="Times New Roman" w:cs="Times New Roman"/>
        </w:rPr>
        <w:t>governmental authority.</w:t>
      </w:r>
      <w:r w:rsidR="00CE34BD">
        <w:rPr>
          <w:rStyle w:val="FootnoteReference"/>
          <w:rFonts w:ascii="Times New Roman" w:hAnsi="Times New Roman" w:cs="Times New Roman"/>
        </w:rPr>
        <w:footnoteReference w:id="41"/>
      </w:r>
      <w:r w:rsidR="00523753" w:rsidRPr="000D152F">
        <w:rPr>
          <w:rFonts w:ascii="Times New Roman" w:hAnsi="Times New Roman" w:cs="Times New Roman"/>
        </w:rPr>
        <w:t xml:space="preserve"> The Commentary</w:t>
      </w:r>
      <w:r w:rsidR="002D78B7" w:rsidRPr="000D152F">
        <w:rPr>
          <w:rFonts w:ascii="Times New Roman" w:hAnsi="Times New Roman" w:cs="Times New Roman"/>
        </w:rPr>
        <w:t xml:space="preserve"> suggest</w:t>
      </w:r>
      <w:r w:rsidR="00523753" w:rsidRPr="000D152F">
        <w:rPr>
          <w:rFonts w:ascii="Times New Roman" w:hAnsi="Times New Roman" w:cs="Times New Roman"/>
        </w:rPr>
        <w:t>s</w:t>
      </w:r>
      <w:r w:rsidR="002D78B7" w:rsidRPr="000D152F">
        <w:rPr>
          <w:rFonts w:ascii="Times New Roman" w:hAnsi="Times New Roman" w:cs="Times New Roman"/>
        </w:rPr>
        <w:t xml:space="preserve"> (foreshadowing the Appellate Body’s approach):</w:t>
      </w:r>
    </w:p>
    <w:p w14:paraId="3C73790D" w14:textId="77777777" w:rsidR="002D78B7" w:rsidRPr="000D152F" w:rsidRDefault="002D78B7" w:rsidP="00D25306">
      <w:pPr>
        <w:spacing w:line="480" w:lineRule="auto"/>
        <w:jc w:val="both"/>
        <w:rPr>
          <w:rFonts w:ascii="Times New Roman" w:hAnsi="Times New Roman" w:cs="Times New Roman"/>
        </w:rPr>
      </w:pPr>
    </w:p>
    <w:p w14:paraId="3CAF917E" w14:textId="1EF9AB97" w:rsidR="002D78B7" w:rsidRPr="000D152F" w:rsidRDefault="002D78B7" w:rsidP="00D25306">
      <w:pPr>
        <w:spacing w:line="480" w:lineRule="auto"/>
        <w:ind w:left="567" w:right="567"/>
        <w:jc w:val="both"/>
        <w:rPr>
          <w:rFonts w:ascii="Times New Roman" w:hAnsi="Times New Roman" w:cs="Times New Roman"/>
        </w:rPr>
      </w:pPr>
      <w:r w:rsidRPr="000D152F">
        <w:rPr>
          <w:rFonts w:ascii="Times New Roman" w:hAnsi="Times New Roman" w:cs="Times New Roman"/>
        </w:rPr>
        <w:t>‘Article 5 does not attempt to identify precisely the scope of “governmental authority” for the purpose of attribution of the conduct of an entity to the State. Beyond a certain limit, what is regarded as “governmental” depends on the particular society, its history and traditions. Of particular importance will be not just the content of the powers, but the way they are conferred on an entity, the purposes for which they are to be exercised and the extent to which the entity is accountable to government for their exercise. These are essentially questions of the application of a general standard to varied circumstances.’</w:t>
      </w:r>
      <w:bookmarkStart w:id="9" w:name="_Ref258153590"/>
      <w:r w:rsidRPr="000D152F">
        <w:rPr>
          <w:rStyle w:val="FootnoteReference"/>
          <w:rFonts w:ascii="Times New Roman" w:hAnsi="Times New Roman" w:cs="Times New Roman"/>
        </w:rPr>
        <w:footnoteReference w:id="42"/>
      </w:r>
      <w:bookmarkEnd w:id="9"/>
    </w:p>
    <w:p w14:paraId="1F1D0ABF" w14:textId="79C7CB1E" w:rsidR="002D78B7" w:rsidRPr="000D152F" w:rsidRDefault="002D78B7" w:rsidP="00D25306">
      <w:pPr>
        <w:spacing w:line="480" w:lineRule="auto"/>
        <w:jc w:val="both"/>
        <w:rPr>
          <w:rFonts w:ascii="Times New Roman" w:hAnsi="Times New Roman" w:cs="Times New Roman"/>
        </w:rPr>
      </w:pPr>
    </w:p>
    <w:p w14:paraId="66EACB5F" w14:textId="780E5DF7" w:rsidR="003D5B68" w:rsidRPr="000D152F" w:rsidRDefault="00523753" w:rsidP="00D25306">
      <w:pPr>
        <w:spacing w:line="480" w:lineRule="auto"/>
        <w:jc w:val="both"/>
        <w:rPr>
          <w:rFonts w:ascii="Times New Roman" w:hAnsi="Times New Roman" w:cs="Times New Roman"/>
        </w:rPr>
      </w:pPr>
      <w:r w:rsidRPr="000D152F">
        <w:rPr>
          <w:rFonts w:ascii="Times New Roman" w:hAnsi="Times New Roman" w:cs="Times New Roman"/>
        </w:rPr>
        <w:t xml:space="preserve">At no point are we given any guidance as to how to determine the scope of the governmental. Instead, </w:t>
      </w:r>
      <w:r w:rsidR="00F25921" w:rsidRPr="000D152F">
        <w:rPr>
          <w:rFonts w:ascii="Times New Roman" w:hAnsi="Times New Roman" w:cs="Times New Roman"/>
        </w:rPr>
        <w:t>‘[b]eyond</w:t>
      </w:r>
      <w:r w:rsidR="00BF2B9F" w:rsidRPr="000D152F">
        <w:rPr>
          <w:rFonts w:ascii="Times New Roman" w:hAnsi="Times New Roman" w:cs="Times New Roman"/>
        </w:rPr>
        <w:t xml:space="preserve"> a certain limit’ </w:t>
      </w:r>
      <w:r w:rsidRPr="000D152F">
        <w:rPr>
          <w:rFonts w:ascii="Times New Roman" w:hAnsi="Times New Roman" w:cs="Times New Roman"/>
        </w:rPr>
        <w:t xml:space="preserve">it </w:t>
      </w:r>
      <w:r w:rsidR="00BF2B9F" w:rsidRPr="000D152F">
        <w:rPr>
          <w:rFonts w:ascii="Times New Roman" w:hAnsi="Times New Roman" w:cs="Times New Roman"/>
        </w:rPr>
        <w:t>depends</w:t>
      </w:r>
      <w:r w:rsidRPr="000D152F">
        <w:rPr>
          <w:rFonts w:ascii="Times New Roman" w:hAnsi="Times New Roman" w:cs="Times New Roman"/>
        </w:rPr>
        <w:t xml:space="preserve"> on each case. In spite of this assertion, the Commentary is unclear, suggesting that there is an element of predetermination involved: there are types of action or </w:t>
      </w:r>
      <w:r w:rsidR="00702DDC" w:rsidRPr="000D152F">
        <w:rPr>
          <w:rFonts w:ascii="Times New Roman" w:hAnsi="Times New Roman" w:cs="Times New Roman"/>
        </w:rPr>
        <w:t xml:space="preserve">authority that are </w:t>
      </w:r>
      <w:r w:rsidR="007D003D" w:rsidRPr="000D152F">
        <w:rPr>
          <w:rFonts w:ascii="Times New Roman" w:hAnsi="Times New Roman" w:cs="Times New Roman"/>
          <w:i/>
        </w:rPr>
        <w:t>per se</w:t>
      </w:r>
      <w:r w:rsidR="007D003D" w:rsidRPr="000D152F">
        <w:rPr>
          <w:rFonts w:ascii="Times New Roman" w:hAnsi="Times New Roman" w:cs="Times New Roman"/>
        </w:rPr>
        <w:t xml:space="preserve"> </w:t>
      </w:r>
      <w:r w:rsidR="00702DDC" w:rsidRPr="000D152F">
        <w:rPr>
          <w:rFonts w:ascii="Times New Roman" w:hAnsi="Times New Roman" w:cs="Times New Roman"/>
        </w:rPr>
        <w:t>governmental</w:t>
      </w:r>
      <w:r w:rsidRPr="000D152F">
        <w:rPr>
          <w:rFonts w:ascii="Times New Roman" w:hAnsi="Times New Roman" w:cs="Times New Roman"/>
        </w:rPr>
        <w:t>.</w:t>
      </w:r>
      <w:r w:rsidR="002839FE" w:rsidRPr="000D152F">
        <w:rPr>
          <w:rFonts w:ascii="Times New Roman" w:hAnsi="Times New Roman" w:cs="Times New Roman"/>
        </w:rPr>
        <w:t xml:space="preserve"> The purpose of Article 5, according to the Commentary, is to deal with entities ‘which exercise elements of governmental authority in place of State organs, as well as situations where former State corporations have been privatized but retain certain public or regulatory functions.’</w:t>
      </w:r>
      <w:bookmarkStart w:id="10" w:name="_Ref260653045"/>
      <w:r w:rsidRPr="000D152F">
        <w:rPr>
          <w:rStyle w:val="FootnoteReference"/>
          <w:rFonts w:ascii="Times New Roman" w:hAnsi="Times New Roman" w:cs="Times New Roman"/>
        </w:rPr>
        <w:footnoteReference w:id="43"/>
      </w:r>
      <w:bookmarkEnd w:id="10"/>
      <w:r w:rsidR="002839FE" w:rsidRPr="000D152F">
        <w:rPr>
          <w:rFonts w:ascii="Times New Roman" w:hAnsi="Times New Roman" w:cs="Times New Roman"/>
        </w:rPr>
        <w:t xml:space="preserve"> </w:t>
      </w:r>
    </w:p>
    <w:p w14:paraId="17506E22" w14:textId="77777777" w:rsidR="003D5B68" w:rsidRPr="000D152F" w:rsidRDefault="003D5B68" w:rsidP="00D25306">
      <w:pPr>
        <w:spacing w:line="480" w:lineRule="auto"/>
        <w:jc w:val="both"/>
        <w:rPr>
          <w:rFonts w:ascii="Times New Roman" w:hAnsi="Times New Roman" w:cs="Times New Roman"/>
        </w:rPr>
      </w:pPr>
    </w:p>
    <w:p w14:paraId="10099C72" w14:textId="1930AF56" w:rsidR="00B5320E" w:rsidRDefault="00BF2B9F" w:rsidP="00D25306">
      <w:pPr>
        <w:spacing w:line="480" w:lineRule="auto"/>
        <w:jc w:val="both"/>
        <w:rPr>
          <w:rFonts w:ascii="Times New Roman" w:hAnsi="Times New Roman" w:cs="Times New Roman"/>
        </w:rPr>
      </w:pPr>
      <w:r w:rsidRPr="000D152F">
        <w:rPr>
          <w:rFonts w:ascii="Times New Roman" w:hAnsi="Times New Roman" w:cs="Times New Roman"/>
        </w:rPr>
        <w:t xml:space="preserve">The implication is that </w:t>
      </w:r>
      <w:r w:rsidR="002839FE" w:rsidRPr="000D152F">
        <w:rPr>
          <w:rFonts w:ascii="Times New Roman" w:hAnsi="Times New Roman" w:cs="Times New Roman"/>
        </w:rPr>
        <w:t xml:space="preserve">the core nature of the power </w:t>
      </w:r>
      <w:r w:rsidR="00702DDC" w:rsidRPr="000D152F">
        <w:rPr>
          <w:rFonts w:ascii="Times New Roman" w:hAnsi="Times New Roman" w:cs="Times New Roman"/>
        </w:rPr>
        <w:t xml:space="preserve">is </w:t>
      </w:r>
      <w:r w:rsidR="00346EB6" w:rsidRPr="000D152F">
        <w:rPr>
          <w:rFonts w:ascii="Times New Roman" w:hAnsi="Times New Roman" w:cs="Times New Roman"/>
        </w:rPr>
        <w:t>self-evident</w:t>
      </w:r>
      <w:r w:rsidR="002839FE" w:rsidRPr="000D152F">
        <w:rPr>
          <w:rFonts w:ascii="Times New Roman" w:hAnsi="Times New Roman" w:cs="Times New Roman"/>
        </w:rPr>
        <w:t>, only the nature of its delivery or provision</w:t>
      </w:r>
      <w:r w:rsidR="00702DDC" w:rsidRPr="000D152F">
        <w:rPr>
          <w:rFonts w:ascii="Times New Roman" w:hAnsi="Times New Roman" w:cs="Times New Roman"/>
        </w:rPr>
        <w:t xml:space="preserve"> changes</w:t>
      </w:r>
      <w:r w:rsidR="002839FE" w:rsidRPr="000D152F">
        <w:rPr>
          <w:rFonts w:ascii="Times New Roman" w:hAnsi="Times New Roman" w:cs="Times New Roman"/>
        </w:rPr>
        <w:t xml:space="preserve">. </w:t>
      </w:r>
      <w:r w:rsidR="00346EB6" w:rsidRPr="000D152F">
        <w:rPr>
          <w:rFonts w:ascii="Times New Roman" w:hAnsi="Times New Roman" w:cs="Times New Roman"/>
        </w:rPr>
        <w:t xml:space="preserve">Thus, though the entity may be private, it now exercises functions that were public and are, therefore, ‘governmental’. </w:t>
      </w:r>
      <w:r w:rsidR="00620C32">
        <w:rPr>
          <w:rFonts w:ascii="Times New Roman" w:hAnsi="Times New Roman" w:cs="Times New Roman"/>
        </w:rPr>
        <w:t>Conversely</w:t>
      </w:r>
      <w:r w:rsidR="00B5320E">
        <w:rPr>
          <w:rFonts w:ascii="Times New Roman" w:hAnsi="Times New Roman" w:cs="Times New Roman"/>
        </w:rPr>
        <w:t xml:space="preserve">, where an entity is private, though majority owned and headed by government officials, it may well be </w:t>
      </w:r>
      <w:r w:rsidR="00620C32">
        <w:rPr>
          <w:rFonts w:ascii="Times New Roman" w:hAnsi="Times New Roman" w:cs="Times New Roman"/>
        </w:rPr>
        <w:t>free from oversight where it does not exercise authority considered to be governmental</w:t>
      </w:r>
      <w:r w:rsidR="00B5320E">
        <w:rPr>
          <w:rFonts w:ascii="Times New Roman" w:hAnsi="Times New Roman" w:cs="Times New Roman"/>
        </w:rPr>
        <w:t>.</w:t>
      </w:r>
      <w:r w:rsidR="00AA48C4">
        <w:rPr>
          <w:rStyle w:val="FootnoteReference"/>
          <w:rFonts w:ascii="Times New Roman" w:hAnsi="Times New Roman" w:cs="Times New Roman"/>
        </w:rPr>
        <w:footnoteReference w:id="44"/>
      </w:r>
    </w:p>
    <w:p w14:paraId="73EC860F" w14:textId="77777777" w:rsidR="00B5320E" w:rsidRDefault="00B5320E" w:rsidP="00D25306">
      <w:pPr>
        <w:spacing w:line="480" w:lineRule="auto"/>
        <w:jc w:val="both"/>
        <w:rPr>
          <w:rFonts w:ascii="Times New Roman" w:hAnsi="Times New Roman" w:cs="Times New Roman"/>
        </w:rPr>
      </w:pPr>
    </w:p>
    <w:p w14:paraId="00BD4E00" w14:textId="7A248BBF" w:rsidR="004022AE" w:rsidRPr="000D152F" w:rsidRDefault="002839FE" w:rsidP="00D25306">
      <w:pPr>
        <w:spacing w:line="480" w:lineRule="auto"/>
        <w:jc w:val="both"/>
        <w:rPr>
          <w:rFonts w:ascii="Times New Roman" w:hAnsi="Times New Roman" w:cs="Times New Roman"/>
        </w:rPr>
      </w:pPr>
      <w:r w:rsidRPr="000D152F">
        <w:rPr>
          <w:rFonts w:ascii="Times New Roman" w:hAnsi="Times New Roman" w:cs="Times New Roman"/>
        </w:rPr>
        <w:t>This raises considerable difficulties, mo</w:t>
      </w:r>
      <w:r w:rsidR="00BF2B9F" w:rsidRPr="000D152F">
        <w:rPr>
          <w:rFonts w:ascii="Times New Roman" w:hAnsi="Times New Roman" w:cs="Times New Roman"/>
        </w:rPr>
        <w:t xml:space="preserve">st obviously, </w:t>
      </w:r>
      <w:r w:rsidRPr="000D152F">
        <w:rPr>
          <w:rFonts w:ascii="Times New Roman" w:hAnsi="Times New Roman" w:cs="Times New Roman"/>
        </w:rPr>
        <w:t xml:space="preserve">at what point in time and social development was the typical or ideal catalogue of government functions determined? </w:t>
      </w:r>
      <w:r w:rsidR="008641E8">
        <w:rPr>
          <w:rFonts w:ascii="Times New Roman" w:hAnsi="Times New Roman" w:cs="Times New Roman"/>
        </w:rPr>
        <w:t>Do we identify the fictional birth of the modern State in 1648 as our reference point?</w:t>
      </w:r>
      <w:bookmarkStart w:id="11" w:name="_Ref280528129"/>
      <w:r w:rsidR="006D07AC">
        <w:rPr>
          <w:rStyle w:val="FootnoteReference"/>
          <w:rFonts w:ascii="Times New Roman" w:hAnsi="Times New Roman" w:cs="Times New Roman"/>
        </w:rPr>
        <w:footnoteReference w:id="45"/>
      </w:r>
      <w:bookmarkEnd w:id="11"/>
      <w:r w:rsidR="008641E8">
        <w:rPr>
          <w:rFonts w:ascii="Times New Roman" w:hAnsi="Times New Roman" w:cs="Times New Roman"/>
        </w:rPr>
        <w:t xml:space="preserve"> Or since the last traumatic international political and societal ‘reset’, 1945 perhaps, or 1991?</w:t>
      </w:r>
      <w:r w:rsidR="00994768">
        <w:rPr>
          <w:rStyle w:val="FootnoteReference"/>
          <w:rFonts w:ascii="Times New Roman" w:hAnsi="Times New Roman" w:cs="Times New Roman"/>
        </w:rPr>
        <w:footnoteReference w:id="46"/>
      </w:r>
      <w:r w:rsidR="008641E8">
        <w:rPr>
          <w:rFonts w:ascii="Times New Roman" w:hAnsi="Times New Roman" w:cs="Times New Roman"/>
        </w:rPr>
        <w:t xml:space="preserve"> If we identify powers we now consider governmental, a </w:t>
      </w:r>
      <w:r w:rsidR="00994768">
        <w:rPr>
          <w:rFonts w:ascii="Times New Roman" w:hAnsi="Times New Roman" w:cs="Times New Roman"/>
        </w:rPr>
        <w:t>reappraisal</w:t>
      </w:r>
      <w:r w:rsidR="008641E8">
        <w:rPr>
          <w:rFonts w:ascii="Times New Roman" w:hAnsi="Times New Roman" w:cs="Times New Roman"/>
        </w:rPr>
        <w:t xml:space="preserve"> in each of these times challenges our assumptions: </w:t>
      </w:r>
      <w:r w:rsidR="00994768">
        <w:rPr>
          <w:rFonts w:ascii="Times New Roman" w:hAnsi="Times New Roman" w:cs="Times New Roman"/>
        </w:rPr>
        <w:t>police services (no/yes/yes), central banks (no/yes/yes), telecoms (inconceivable</w:t>
      </w:r>
      <w:r w:rsidR="00BF3C4A">
        <w:rPr>
          <w:rFonts w:ascii="Times New Roman" w:hAnsi="Times New Roman" w:cs="Times New Roman"/>
        </w:rPr>
        <w:t>/yes/no).</w:t>
      </w:r>
      <w:r w:rsidR="00BE06B2">
        <w:rPr>
          <w:rFonts w:ascii="Times New Roman" w:hAnsi="Times New Roman" w:cs="Times New Roman"/>
        </w:rPr>
        <w:t xml:space="preserve"> </w:t>
      </w:r>
      <w:r w:rsidRPr="000D152F">
        <w:rPr>
          <w:rFonts w:ascii="Times New Roman" w:hAnsi="Times New Roman" w:cs="Times New Roman"/>
        </w:rPr>
        <w:t>In light of this conceptual confusion, the preference for a case-by-</w:t>
      </w:r>
      <w:r w:rsidRPr="000D152F">
        <w:rPr>
          <w:rFonts w:ascii="Times New Roman" w:hAnsi="Times New Roman" w:cs="Times New Roman"/>
        </w:rPr>
        <w:lastRenderedPageBreak/>
        <w:t xml:space="preserve">case analysis under both the Articles and at the Appellate Body speaks more to an insecurity in accurately determining governmental function than any respect for the plurality of social structures globally. </w:t>
      </w:r>
    </w:p>
    <w:p w14:paraId="171193BD" w14:textId="77777777" w:rsidR="00C53DCE" w:rsidRDefault="00C53DCE" w:rsidP="001B06D9">
      <w:pPr>
        <w:spacing w:line="480" w:lineRule="auto"/>
        <w:jc w:val="both"/>
        <w:rPr>
          <w:rFonts w:ascii="Times New Roman" w:hAnsi="Times New Roman" w:cs="Times New Roman"/>
        </w:rPr>
      </w:pPr>
    </w:p>
    <w:p w14:paraId="6492062D" w14:textId="32E0C4CD" w:rsidR="00076A90" w:rsidRDefault="00C53DCE" w:rsidP="001B06D9">
      <w:pPr>
        <w:spacing w:line="480" w:lineRule="auto"/>
        <w:jc w:val="both"/>
        <w:rPr>
          <w:rFonts w:ascii="Times New Roman" w:hAnsi="Times New Roman" w:cs="Times New Roman"/>
        </w:rPr>
      </w:pPr>
      <w:r>
        <w:rPr>
          <w:rFonts w:ascii="Times New Roman" w:hAnsi="Times New Roman" w:cs="Times New Roman"/>
        </w:rPr>
        <w:t xml:space="preserve">There are interpretative difficulties </w:t>
      </w:r>
      <w:r w:rsidR="00076A90">
        <w:rPr>
          <w:rFonts w:ascii="Times New Roman" w:hAnsi="Times New Roman" w:cs="Times New Roman"/>
        </w:rPr>
        <w:t xml:space="preserve">with either approach also. If we use an ownership test, the scope of ‘public body’ becomes too wide, potentially capturing a number of bodies unintentionally (such as banks which have received bailouts, automotive manufacturers which have the government as a shareholder, legacy industries that have </w:t>
      </w:r>
      <w:r w:rsidR="00603EC1">
        <w:rPr>
          <w:rFonts w:ascii="Times New Roman" w:hAnsi="Times New Roman" w:cs="Times New Roman"/>
        </w:rPr>
        <w:t xml:space="preserve">been </w:t>
      </w:r>
      <w:r w:rsidR="00076A90">
        <w:rPr>
          <w:rFonts w:ascii="Times New Roman" w:hAnsi="Times New Roman" w:cs="Times New Roman"/>
        </w:rPr>
        <w:t>privatised and are in transition). The control test duplicates the purpose of Article 1</w:t>
      </w:r>
      <w:r w:rsidR="00BA49F6">
        <w:rPr>
          <w:rFonts w:ascii="Times New Roman" w:hAnsi="Times New Roman" w:cs="Times New Roman"/>
        </w:rPr>
        <w:t>.1</w:t>
      </w:r>
      <w:r w:rsidR="00076A90">
        <w:rPr>
          <w:rFonts w:ascii="Times New Roman" w:hAnsi="Times New Roman" w:cs="Times New Roman"/>
        </w:rPr>
        <w:t>(a)(1)(iv) SCM which makes provision for private bodies which have been entrusted or directed to carry out the functions that constitute potential subsidies (such as transfer of funds).</w:t>
      </w:r>
      <w:bookmarkStart w:id="12" w:name="_Ref425511494"/>
      <w:r w:rsidR="00076A90" w:rsidRPr="000D152F">
        <w:rPr>
          <w:rStyle w:val="FootnoteReference"/>
          <w:rFonts w:ascii="Times New Roman" w:hAnsi="Times New Roman" w:cs="Times New Roman"/>
        </w:rPr>
        <w:footnoteReference w:id="47"/>
      </w:r>
      <w:bookmarkEnd w:id="12"/>
      <w:r w:rsidR="00076A90">
        <w:rPr>
          <w:rFonts w:ascii="Times New Roman" w:hAnsi="Times New Roman" w:cs="Times New Roman"/>
        </w:rPr>
        <w:t xml:space="preserve"> This provision performs the ‘anti-circumvention’ aim that would otherwise be attributed to the ‘public body’ definition.</w:t>
      </w:r>
      <w:r w:rsidR="00076A90" w:rsidRPr="000D152F">
        <w:rPr>
          <w:rStyle w:val="FootnoteReference"/>
          <w:rFonts w:ascii="Times New Roman" w:hAnsi="Times New Roman" w:cs="Times New Roman"/>
        </w:rPr>
        <w:footnoteReference w:id="48"/>
      </w:r>
      <w:r w:rsidR="004A7A38">
        <w:rPr>
          <w:rFonts w:ascii="Times New Roman" w:hAnsi="Times New Roman" w:cs="Times New Roman"/>
        </w:rPr>
        <w:t xml:space="preserve"> The source ap</w:t>
      </w:r>
      <w:r w:rsidR="00C668E0">
        <w:rPr>
          <w:rFonts w:ascii="Times New Roman" w:hAnsi="Times New Roman" w:cs="Times New Roman"/>
        </w:rPr>
        <w:t>proach is similarly problematic</w:t>
      </w:r>
      <w:r w:rsidR="004A7A38">
        <w:rPr>
          <w:rFonts w:ascii="Times New Roman" w:hAnsi="Times New Roman" w:cs="Times New Roman"/>
        </w:rPr>
        <w:t xml:space="preserve"> </w:t>
      </w:r>
      <w:r w:rsidR="00C668E0">
        <w:rPr>
          <w:rFonts w:ascii="Times New Roman" w:hAnsi="Times New Roman" w:cs="Times New Roman"/>
        </w:rPr>
        <w:t>(</w:t>
      </w:r>
      <w:r w:rsidR="004A7A38">
        <w:rPr>
          <w:rFonts w:ascii="Times New Roman" w:hAnsi="Times New Roman" w:cs="Times New Roman"/>
        </w:rPr>
        <w:t xml:space="preserve">as the US identified during the </w:t>
      </w:r>
      <w:r w:rsidR="004A7A38" w:rsidRPr="001B06D9">
        <w:rPr>
          <w:rFonts w:ascii="Times New Roman" w:hAnsi="Times New Roman" w:cs="Times New Roman"/>
          <w:i/>
        </w:rPr>
        <w:t xml:space="preserve">US </w:t>
      </w:r>
      <w:r w:rsidR="00EF0E13" w:rsidRPr="001B06D9">
        <w:rPr>
          <w:rFonts w:ascii="Times New Roman" w:hAnsi="Times New Roman" w:cs="Times New Roman"/>
          <w:i/>
        </w:rPr>
        <w:t>–</w:t>
      </w:r>
      <w:r w:rsidR="004A7A38" w:rsidRPr="001B06D9">
        <w:rPr>
          <w:rFonts w:ascii="Times New Roman" w:hAnsi="Times New Roman" w:cs="Times New Roman"/>
          <w:i/>
        </w:rPr>
        <w:t xml:space="preserve"> </w:t>
      </w:r>
      <w:r w:rsidR="00EF0E13" w:rsidRPr="001B06D9">
        <w:rPr>
          <w:rFonts w:ascii="Times New Roman" w:hAnsi="Times New Roman" w:cs="Times New Roman"/>
          <w:i/>
        </w:rPr>
        <w:t>Carbon Steel (India)</w:t>
      </w:r>
      <w:r w:rsidR="00EF0E13">
        <w:rPr>
          <w:rFonts w:ascii="Times New Roman" w:hAnsi="Times New Roman" w:cs="Times New Roman"/>
        </w:rPr>
        <w:t xml:space="preserve"> dispute</w:t>
      </w:r>
      <w:r w:rsidR="00C668E0">
        <w:rPr>
          <w:rFonts w:ascii="Times New Roman" w:hAnsi="Times New Roman" w:cs="Times New Roman"/>
        </w:rPr>
        <w:t>)</w:t>
      </w:r>
      <w:r w:rsidR="00EF0E13" w:rsidRPr="000D152F">
        <w:rPr>
          <w:rStyle w:val="FootnoteReference"/>
          <w:rFonts w:ascii="Times New Roman" w:hAnsi="Times New Roman" w:cs="Times New Roman"/>
        </w:rPr>
        <w:footnoteReference w:id="49"/>
      </w:r>
      <w:r w:rsidR="00C668E0">
        <w:rPr>
          <w:rFonts w:ascii="Times New Roman" w:hAnsi="Times New Roman" w:cs="Times New Roman"/>
        </w:rPr>
        <w:t xml:space="preserve"> as </w:t>
      </w:r>
      <w:r w:rsidR="0008077D">
        <w:rPr>
          <w:rFonts w:ascii="Times New Roman" w:hAnsi="Times New Roman" w:cs="Times New Roman"/>
        </w:rPr>
        <w:t xml:space="preserve">not all public acts </w:t>
      </w:r>
      <w:r w:rsidR="005B7860">
        <w:rPr>
          <w:rFonts w:ascii="Times New Roman" w:hAnsi="Times New Roman" w:cs="Times New Roman"/>
        </w:rPr>
        <w:t xml:space="preserve">stem from </w:t>
      </w:r>
      <w:r w:rsidR="0008077D">
        <w:rPr>
          <w:rFonts w:ascii="Times New Roman" w:hAnsi="Times New Roman" w:cs="Times New Roman"/>
        </w:rPr>
        <w:t xml:space="preserve">specific </w:t>
      </w:r>
      <w:r w:rsidR="005B7860">
        <w:rPr>
          <w:rFonts w:ascii="Times New Roman" w:hAnsi="Times New Roman" w:cs="Times New Roman"/>
        </w:rPr>
        <w:t>public law instruments</w:t>
      </w:r>
      <w:r w:rsidR="0008077D">
        <w:rPr>
          <w:rFonts w:ascii="Times New Roman" w:hAnsi="Times New Roman" w:cs="Times New Roman"/>
        </w:rPr>
        <w:t xml:space="preserve">, while many private acts </w:t>
      </w:r>
      <w:r w:rsidR="005B7860">
        <w:rPr>
          <w:rFonts w:ascii="Times New Roman" w:hAnsi="Times New Roman" w:cs="Times New Roman"/>
        </w:rPr>
        <w:t>do</w:t>
      </w:r>
      <w:r w:rsidR="0008077D">
        <w:rPr>
          <w:rFonts w:ascii="Times New Roman" w:hAnsi="Times New Roman" w:cs="Times New Roman"/>
        </w:rPr>
        <w:t>.</w:t>
      </w:r>
      <w:bookmarkStart w:id="13" w:name="_Ref425511497"/>
      <w:r w:rsidR="0008077D" w:rsidRPr="000D152F">
        <w:rPr>
          <w:rStyle w:val="FootnoteReference"/>
          <w:rFonts w:ascii="Times New Roman" w:hAnsi="Times New Roman" w:cs="Times New Roman"/>
        </w:rPr>
        <w:footnoteReference w:id="50"/>
      </w:r>
      <w:bookmarkEnd w:id="13"/>
      <w:r w:rsidR="00BA49F6">
        <w:rPr>
          <w:rFonts w:ascii="Times New Roman" w:hAnsi="Times New Roman" w:cs="Times New Roman"/>
        </w:rPr>
        <w:t xml:space="preserve"> Finally, a function test is inadequate as it overlaps with ‘government</w:t>
      </w:r>
      <w:r w:rsidR="00071991">
        <w:rPr>
          <w:rFonts w:ascii="Times New Roman" w:hAnsi="Times New Roman" w:cs="Times New Roman"/>
        </w:rPr>
        <w:t>’</w:t>
      </w:r>
      <w:r w:rsidR="00BA49F6">
        <w:rPr>
          <w:rFonts w:ascii="Times New Roman" w:hAnsi="Times New Roman" w:cs="Times New Roman"/>
        </w:rPr>
        <w:t xml:space="preserve"> in the narrow sense </w:t>
      </w:r>
      <w:r w:rsidR="00071991">
        <w:rPr>
          <w:rFonts w:ascii="Times New Roman" w:hAnsi="Times New Roman" w:cs="Times New Roman"/>
        </w:rPr>
        <w:t>(</w:t>
      </w:r>
      <w:r w:rsidR="00BA49F6">
        <w:rPr>
          <w:rFonts w:ascii="Times New Roman" w:hAnsi="Times New Roman" w:cs="Times New Roman"/>
        </w:rPr>
        <w:t>i.e. the first half of Article 1.1(a)(1): ‘government or any public body’</w:t>
      </w:r>
      <w:r w:rsidR="00071991">
        <w:rPr>
          <w:rFonts w:ascii="Times New Roman" w:hAnsi="Times New Roman" w:cs="Times New Roman"/>
        </w:rPr>
        <w:t>)</w:t>
      </w:r>
      <w:r w:rsidR="00BA49F6">
        <w:rPr>
          <w:rFonts w:ascii="Times New Roman" w:hAnsi="Times New Roman" w:cs="Times New Roman"/>
        </w:rPr>
        <w:t xml:space="preserve"> and thus unnecessarily confuses matters, as well as restricting the understanding </w:t>
      </w:r>
      <w:r w:rsidR="00B7081E">
        <w:rPr>
          <w:rFonts w:ascii="Times New Roman" w:hAnsi="Times New Roman" w:cs="Times New Roman"/>
        </w:rPr>
        <w:t xml:space="preserve">of </w:t>
      </w:r>
      <w:r w:rsidR="00BA49F6">
        <w:rPr>
          <w:rFonts w:ascii="Times New Roman" w:hAnsi="Times New Roman" w:cs="Times New Roman"/>
        </w:rPr>
        <w:t>‘government’.</w:t>
      </w:r>
    </w:p>
    <w:p w14:paraId="20106BF8" w14:textId="77777777" w:rsidR="00FF29FB" w:rsidRPr="000D152F" w:rsidRDefault="00FF29FB" w:rsidP="001B06D9">
      <w:pPr>
        <w:spacing w:line="480" w:lineRule="auto"/>
        <w:jc w:val="both"/>
        <w:rPr>
          <w:rFonts w:ascii="Times New Roman" w:hAnsi="Times New Roman" w:cs="Times New Roman"/>
        </w:rPr>
      </w:pPr>
    </w:p>
    <w:p w14:paraId="6F3A9F32" w14:textId="2726F61D" w:rsidR="00857846" w:rsidRPr="000D152F" w:rsidRDefault="0085784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i/>
        </w:rPr>
      </w:pPr>
      <w:r w:rsidRPr="000D152F">
        <w:rPr>
          <w:rFonts w:ascii="Times New Roman" w:hAnsi="Times New Roman" w:cs="Times New Roman"/>
          <w:b/>
          <w:i/>
        </w:rPr>
        <w:t>PART I</w:t>
      </w:r>
      <w:r w:rsidR="00995C8C" w:rsidRPr="000D152F">
        <w:rPr>
          <w:rFonts w:ascii="Times New Roman" w:hAnsi="Times New Roman" w:cs="Times New Roman"/>
          <w:b/>
          <w:i/>
        </w:rPr>
        <w:t>I</w:t>
      </w:r>
      <w:r w:rsidRPr="000D152F">
        <w:rPr>
          <w:rFonts w:ascii="Times New Roman" w:hAnsi="Times New Roman" w:cs="Times New Roman"/>
          <w:b/>
          <w:i/>
        </w:rPr>
        <w:t xml:space="preserve"> </w:t>
      </w:r>
      <w:r w:rsidR="00FF29FB" w:rsidRPr="000D152F">
        <w:rPr>
          <w:rFonts w:ascii="Times New Roman" w:hAnsi="Times New Roman" w:cs="Times New Roman"/>
          <w:b/>
          <w:i/>
        </w:rPr>
        <w:t>–</w:t>
      </w:r>
      <w:r w:rsidRPr="000D152F">
        <w:rPr>
          <w:rFonts w:ascii="Times New Roman" w:hAnsi="Times New Roman" w:cs="Times New Roman"/>
          <w:b/>
          <w:i/>
        </w:rPr>
        <w:t xml:space="preserve"> </w:t>
      </w:r>
      <w:r w:rsidR="00FF29FB" w:rsidRPr="000D152F">
        <w:rPr>
          <w:rFonts w:ascii="Times New Roman" w:hAnsi="Times New Roman" w:cs="Times New Roman"/>
          <w:b/>
          <w:i/>
        </w:rPr>
        <w:t>Difficulties with the public-private relationship in international Law</w:t>
      </w:r>
    </w:p>
    <w:p w14:paraId="350D484F" w14:textId="77777777" w:rsidR="00FF29FB" w:rsidRPr="000D152F" w:rsidRDefault="00FF29FB"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25DC7304" w14:textId="34C604C8" w:rsidR="007C7555" w:rsidRPr="000D152F" w:rsidRDefault="007C7555"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The criticism developed thus far</w:t>
      </w:r>
      <w:r w:rsidR="00573530">
        <w:rPr>
          <w:rFonts w:ascii="Times New Roman" w:hAnsi="Times New Roman" w:cs="Times New Roman"/>
        </w:rPr>
        <w:t xml:space="preserve"> is not that the Appellate Body</w:t>
      </w:r>
      <w:r w:rsidRPr="000D152F">
        <w:rPr>
          <w:rFonts w:ascii="Times New Roman" w:hAnsi="Times New Roman" w:cs="Times New Roman"/>
        </w:rPr>
        <w:t xml:space="preserve"> or </w:t>
      </w:r>
      <w:r w:rsidR="00573530">
        <w:rPr>
          <w:rFonts w:ascii="Times New Roman" w:hAnsi="Times New Roman" w:cs="Times New Roman"/>
        </w:rPr>
        <w:t xml:space="preserve">WTO </w:t>
      </w:r>
      <w:r w:rsidRPr="000D152F">
        <w:rPr>
          <w:rFonts w:ascii="Times New Roman" w:hAnsi="Times New Roman" w:cs="Times New Roman"/>
        </w:rPr>
        <w:t>panels</w:t>
      </w:r>
      <w:r w:rsidR="00573530">
        <w:rPr>
          <w:rFonts w:ascii="Times New Roman" w:hAnsi="Times New Roman" w:cs="Times New Roman"/>
        </w:rPr>
        <w:t>,</w:t>
      </w:r>
      <w:r w:rsidRPr="000D152F">
        <w:rPr>
          <w:rFonts w:ascii="Times New Roman" w:hAnsi="Times New Roman" w:cs="Times New Roman"/>
        </w:rPr>
        <w:t xml:space="preserve"> or the International Law Commission</w:t>
      </w:r>
      <w:r w:rsidR="00573530">
        <w:rPr>
          <w:rFonts w:ascii="Times New Roman" w:hAnsi="Times New Roman" w:cs="Times New Roman"/>
        </w:rPr>
        <w:t>,</w:t>
      </w:r>
      <w:r w:rsidRPr="000D152F">
        <w:rPr>
          <w:rFonts w:ascii="Times New Roman" w:hAnsi="Times New Roman" w:cs="Times New Roman"/>
        </w:rPr>
        <w:t xml:space="preserve"> have failed to apply the correct </w:t>
      </w:r>
      <w:r w:rsidR="00805EC7" w:rsidRPr="000D152F">
        <w:rPr>
          <w:rFonts w:ascii="Times New Roman" w:hAnsi="Times New Roman" w:cs="Times New Roman"/>
        </w:rPr>
        <w:t>definition</w:t>
      </w:r>
      <w:r w:rsidRPr="000D152F">
        <w:rPr>
          <w:rFonts w:ascii="Times New Roman" w:hAnsi="Times New Roman" w:cs="Times New Roman"/>
        </w:rPr>
        <w:t xml:space="preserve"> of ‘public body’ or </w:t>
      </w:r>
      <w:r w:rsidRPr="000D152F">
        <w:rPr>
          <w:rFonts w:ascii="Times New Roman" w:hAnsi="Times New Roman" w:cs="Times New Roman"/>
        </w:rPr>
        <w:lastRenderedPageBreak/>
        <w:t xml:space="preserve">‘governmental authority’ </w:t>
      </w:r>
      <w:r w:rsidR="00805EC7" w:rsidRPr="000D152F">
        <w:rPr>
          <w:rFonts w:ascii="Times New Roman" w:hAnsi="Times New Roman" w:cs="Times New Roman"/>
        </w:rPr>
        <w:t>(</w:t>
      </w:r>
      <w:r w:rsidRPr="000D152F">
        <w:rPr>
          <w:rFonts w:ascii="Times New Roman" w:hAnsi="Times New Roman" w:cs="Times New Roman"/>
        </w:rPr>
        <w:t xml:space="preserve">or </w:t>
      </w:r>
      <w:r w:rsidR="00805EC7" w:rsidRPr="000D152F">
        <w:rPr>
          <w:rFonts w:ascii="Times New Roman" w:hAnsi="Times New Roman" w:cs="Times New Roman"/>
        </w:rPr>
        <w:t xml:space="preserve">any </w:t>
      </w:r>
      <w:r w:rsidRPr="000D152F">
        <w:rPr>
          <w:rFonts w:ascii="Times New Roman" w:hAnsi="Times New Roman" w:cs="Times New Roman"/>
        </w:rPr>
        <w:t xml:space="preserve">other </w:t>
      </w:r>
      <w:r w:rsidR="000703AB" w:rsidRPr="000D152F">
        <w:rPr>
          <w:rFonts w:ascii="Times New Roman" w:hAnsi="Times New Roman" w:cs="Times New Roman"/>
        </w:rPr>
        <w:t>construction based on a public-private relationship</w:t>
      </w:r>
      <w:r w:rsidR="00805EC7" w:rsidRPr="000D152F">
        <w:rPr>
          <w:rFonts w:ascii="Times New Roman" w:hAnsi="Times New Roman" w:cs="Times New Roman"/>
        </w:rPr>
        <w:t>)</w:t>
      </w:r>
      <w:r w:rsidR="000703AB" w:rsidRPr="000D152F">
        <w:rPr>
          <w:rFonts w:ascii="Times New Roman" w:hAnsi="Times New Roman" w:cs="Times New Roman"/>
        </w:rPr>
        <w:t xml:space="preserve">. The concern here is </w:t>
      </w:r>
      <w:r w:rsidR="00CF4EF8" w:rsidRPr="000D152F">
        <w:rPr>
          <w:rFonts w:ascii="Times New Roman" w:hAnsi="Times New Roman" w:cs="Times New Roman"/>
        </w:rPr>
        <w:t>an unwillingness to determine the specific content of the term</w:t>
      </w:r>
      <w:r w:rsidR="00273E30">
        <w:rPr>
          <w:rFonts w:ascii="Times New Roman" w:hAnsi="Times New Roman" w:cs="Times New Roman"/>
        </w:rPr>
        <w:t xml:space="preserve"> in question</w:t>
      </w:r>
      <w:r w:rsidR="002D166B">
        <w:rPr>
          <w:rFonts w:ascii="Times New Roman" w:hAnsi="Times New Roman" w:cs="Times New Roman"/>
        </w:rPr>
        <w:t xml:space="preserve"> (for example, ‘public body’)</w:t>
      </w:r>
      <w:r w:rsidR="000703AB" w:rsidRPr="000D152F">
        <w:rPr>
          <w:rFonts w:ascii="Times New Roman" w:hAnsi="Times New Roman" w:cs="Times New Roman"/>
        </w:rPr>
        <w:t>.</w:t>
      </w:r>
      <w:r w:rsidR="00426A68" w:rsidRPr="000D152F">
        <w:rPr>
          <w:rStyle w:val="FootnoteReference"/>
          <w:rFonts w:ascii="Times New Roman" w:hAnsi="Times New Roman" w:cs="Times New Roman"/>
        </w:rPr>
        <w:footnoteReference w:id="51"/>
      </w:r>
      <w:r w:rsidR="000703AB" w:rsidRPr="000D152F">
        <w:rPr>
          <w:rFonts w:ascii="Times New Roman" w:hAnsi="Times New Roman" w:cs="Times New Roman"/>
        </w:rPr>
        <w:t xml:space="preserve"> </w:t>
      </w:r>
      <w:r w:rsidR="00426A68" w:rsidRPr="000D152F">
        <w:rPr>
          <w:rFonts w:ascii="Times New Roman" w:hAnsi="Times New Roman" w:cs="Times New Roman"/>
        </w:rPr>
        <w:t>Part II now</w:t>
      </w:r>
      <w:r w:rsidR="004977D9" w:rsidRPr="000D152F">
        <w:rPr>
          <w:rFonts w:ascii="Times New Roman" w:hAnsi="Times New Roman" w:cs="Times New Roman"/>
        </w:rPr>
        <w:t xml:space="preserve"> identifies </w:t>
      </w:r>
      <w:r w:rsidR="000703AB" w:rsidRPr="000D152F">
        <w:rPr>
          <w:rFonts w:ascii="Times New Roman" w:hAnsi="Times New Roman" w:cs="Times New Roman"/>
        </w:rPr>
        <w:t xml:space="preserve">the difficulties with understanding the relationship at the international level, before moving onto Part </w:t>
      </w:r>
      <w:r w:rsidR="004977D9" w:rsidRPr="000D152F">
        <w:rPr>
          <w:rFonts w:ascii="Times New Roman" w:hAnsi="Times New Roman" w:cs="Times New Roman"/>
        </w:rPr>
        <w:t xml:space="preserve">III </w:t>
      </w:r>
      <w:r w:rsidR="000703AB" w:rsidRPr="000D152F">
        <w:rPr>
          <w:rFonts w:ascii="Times New Roman" w:hAnsi="Times New Roman" w:cs="Times New Roman"/>
        </w:rPr>
        <w:t xml:space="preserve">where a possible approach is suggested (and then in Part </w:t>
      </w:r>
      <w:r w:rsidR="004977D9" w:rsidRPr="000D152F">
        <w:rPr>
          <w:rFonts w:ascii="Times New Roman" w:hAnsi="Times New Roman" w:cs="Times New Roman"/>
        </w:rPr>
        <w:t>I</w:t>
      </w:r>
      <w:r w:rsidR="000703AB" w:rsidRPr="000D152F">
        <w:rPr>
          <w:rFonts w:ascii="Times New Roman" w:hAnsi="Times New Roman" w:cs="Times New Roman"/>
        </w:rPr>
        <w:t xml:space="preserve">V, applied to the WTO). </w:t>
      </w:r>
    </w:p>
    <w:p w14:paraId="21288ACC" w14:textId="77777777" w:rsidR="007C7555" w:rsidRPr="000D152F" w:rsidRDefault="007C7555"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1A4D5C12" w14:textId="035CD7D0" w:rsidR="00E900D5" w:rsidRPr="000D152F" w:rsidRDefault="00E900D5"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There </w:t>
      </w:r>
      <w:r w:rsidR="004977D9" w:rsidRPr="000D152F">
        <w:rPr>
          <w:rFonts w:ascii="Times New Roman" w:hAnsi="Times New Roman" w:cs="Times New Roman"/>
        </w:rPr>
        <w:t xml:space="preserve">are two </w:t>
      </w:r>
      <w:r w:rsidRPr="000D152F">
        <w:rPr>
          <w:rFonts w:ascii="Times New Roman" w:hAnsi="Times New Roman" w:cs="Times New Roman"/>
        </w:rPr>
        <w:t>challenge</w:t>
      </w:r>
      <w:r w:rsidR="00CF4EF8" w:rsidRPr="000D152F">
        <w:rPr>
          <w:rFonts w:ascii="Times New Roman" w:hAnsi="Times New Roman" w:cs="Times New Roman"/>
        </w:rPr>
        <w:t>s to</w:t>
      </w:r>
      <w:r w:rsidRPr="000D152F">
        <w:rPr>
          <w:rFonts w:ascii="Times New Roman" w:hAnsi="Times New Roman" w:cs="Times New Roman"/>
        </w:rPr>
        <w:t xml:space="preserve"> approaching the distinction between </w:t>
      </w:r>
      <w:r w:rsidR="005F7AC4" w:rsidRPr="000D152F">
        <w:rPr>
          <w:rFonts w:ascii="Times New Roman" w:hAnsi="Times New Roman" w:cs="Times New Roman"/>
        </w:rPr>
        <w:t xml:space="preserve">the </w:t>
      </w:r>
      <w:r w:rsidRPr="000D152F">
        <w:rPr>
          <w:rFonts w:ascii="Times New Roman" w:hAnsi="Times New Roman" w:cs="Times New Roman"/>
        </w:rPr>
        <w:t>public and private at an international level.</w:t>
      </w:r>
      <w:r w:rsidR="00583515" w:rsidRPr="000D152F">
        <w:rPr>
          <w:rFonts w:ascii="Times New Roman" w:hAnsi="Times New Roman" w:cs="Times New Roman"/>
        </w:rPr>
        <w:t xml:space="preserve"> </w:t>
      </w:r>
      <w:r w:rsidR="00512CAC" w:rsidRPr="000D152F">
        <w:rPr>
          <w:rFonts w:ascii="Times New Roman" w:hAnsi="Times New Roman" w:cs="Times New Roman"/>
        </w:rPr>
        <w:t>The first is</w:t>
      </w:r>
      <w:r w:rsidR="004977D9" w:rsidRPr="000D152F">
        <w:rPr>
          <w:rFonts w:ascii="Times New Roman" w:hAnsi="Times New Roman" w:cs="Times New Roman"/>
        </w:rPr>
        <w:t xml:space="preserve"> substantive</w:t>
      </w:r>
      <w:r w:rsidR="00512CAC" w:rsidRPr="000D152F">
        <w:rPr>
          <w:rFonts w:ascii="Times New Roman" w:hAnsi="Times New Roman" w:cs="Times New Roman"/>
        </w:rPr>
        <w:t>, the second</w:t>
      </w:r>
      <w:r w:rsidR="004977D9" w:rsidRPr="000D152F">
        <w:rPr>
          <w:rFonts w:ascii="Times New Roman" w:hAnsi="Times New Roman" w:cs="Times New Roman"/>
        </w:rPr>
        <w:t xml:space="preserve"> methodological. With regard to the substantive challenge to understanding the distinction between the public and private internationally, t</w:t>
      </w:r>
      <w:r w:rsidR="00583515" w:rsidRPr="000D152F">
        <w:rPr>
          <w:rFonts w:ascii="Times New Roman" w:hAnsi="Times New Roman" w:cs="Times New Roman"/>
        </w:rPr>
        <w:t xml:space="preserve">he traditional </w:t>
      </w:r>
      <w:r w:rsidR="00DE11DB" w:rsidRPr="000D152F">
        <w:rPr>
          <w:rFonts w:ascii="Times New Roman" w:hAnsi="Times New Roman" w:cs="Times New Roman"/>
        </w:rPr>
        <w:t xml:space="preserve">definitions, which </w:t>
      </w:r>
      <w:r w:rsidR="004977D9" w:rsidRPr="000D152F">
        <w:rPr>
          <w:rFonts w:ascii="Times New Roman" w:hAnsi="Times New Roman" w:cs="Times New Roman"/>
        </w:rPr>
        <w:t xml:space="preserve">are based on domestic legal systems and </w:t>
      </w:r>
      <w:r w:rsidR="00DE11DB" w:rsidRPr="000D152F">
        <w:rPr>
          <w:rFonts w:ascii="Times New Roman" w:hAnsi="Times New Roman" w:cs="Times New Roman"/>
        </w:rPr>
        <w:t>rest on conceptions of community or social groups, have</w:t>
      </w:r>
      <w:r w:rsidR="001D5626" w:rsidRPr="000D152F">
        <w:rPr>
          <w:rFonts w:ascii="Times New Roman" w:hAnsi="Times New Roman" w:cs="Times New Roman"/>
        </w:rPr>
        <w:t xml:space="preserve"> a potentially distinct meaning or application when applied to groups of States or International Organizations.</w:t>
      </w:r>
      <w:r w:rsidR="00DE11DB" w:rsidRPr="000D152F">
        <w:rPr>
          <w:rFonts w:ascii="Times New Roman" w:hAnsi="Times New Roman" w:cs="Times New Roman"/>
        </w:rPr>
        <w:t xml:space="preserve"> Further, international law has</w:t>
      </w:r>
      <w:r w:rsidR="00A52181" w:rsidRPr="000D152F">
        <w:rPr>
          <w:rFonts w:ascii="Times New Roman" w:hAnsi="Times New Roman" w:cs="Times New Roman"/>
        </w:rPr>
        <w:t>, in its modern form,</w:t>
      </w:r>
      <w:r w:rsidR="00DE11DB" w:rsidRPr="000D152F">
        <w:rPr>
          <w:rFonts w:ascii="Times New Roman" w:hAnsi="Times New Roman" w:cs="Times New Roman"/>
        </w:rPr>
        <w:t xml:space="preserve"> traditionally been the law </w:t>
      </w:r>
      <w:r w:rsidR="00DE11DB" w:rsidRPr="000D152F">
        <w:rPr>
          <w:rFonts w:ascii="Times New Roman" w:hAnsi="Times New Roman" w:cs="Times New Roman"/>
          <w:i/>
        </w:rPr>
        <w:t>of</w:t>
      </w:r>
      <w:r w:rsidR="00DE11DB" w:rsidRPr="000D152F">
        <w:rPr>
          <w:rFonts w:ascii="Times New Roman" w:hAnsi="Times New Roman" w:cs="Times New Roman"/>
        </w:rPr>
        <w:t xml:space="preserve"> States made </w:t>
      </w:r>
      <w:r w:rsidR="00DE11DB" w:rsidRPr="000D152F">
        <w:rPr>
          <w:rFonts w:ascii="Times New Roman" w:hAnsi="Times New Roman" w:cs="Times New Roman"/>
          <w:i/>
        </w:rPr>
        <w:t>by</w:t>
      </w:r>
      <w:r w:rsidR="00DE11DB" w:rsidRPr="000D152F">
        <w:rPr>
          <w:rFonts w:ascii="Times New Roman" w:hAnsi="Times New Roman" w:cs="Times New Roman"/>
        </w:rPr>
        <w:t xml:space="preserve"> States. In this sense, public international law has been just that – public. Nonetheless, there are increasing challenges to this account of </w:t>
      </w:r>
      <w:r w:rsidR="00A1039D" w:rsidRPr="000D152F">
        <w:rPr>
          <w:rFonts w:ascii="Times New Roman" w:hAnsi="Times New Roman" w:cs="Times New Roman"/>
        </w:rPr>
        <w:t xml:space="preserve">the </w:t>
      </w:r>
      <w:r w:rsidR="00DE11DB" w:rsidRPr="000D152F">
        <w:rPr>
          <w:rFonts w:ascii="Times New Roman" w:hAnsi="Times New Roman" w:cs="Times New Roman"/>
        </w:rPr>
        <w:t xml:space="preserve">international </w:t>
      </w:r>
      <w:r w:rsidR="00A1039D" w:rsidRPr="000D152F">
        <w:rPr>
          <w:rFonts w:ascii="Times New Roman" w:hAnsi="Times New Roman" w:cs="Times New Roman"/>
        </w:rPr>
        <w:t xml:space="preserve">system. </w:t>
      </w:r>
    </w:p>
    <w:p w14:paraId="4550C7ED" w14:textId="77777777" w:rsidR="00A1039D" w:rsidRPr="000D152F" w:rsidRDefault="00A1039D"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3A3EE78A" w14:textId="18D7B2B8" w:rsidR="00951A80" w:rsidRPr="000D152F" w:rsidRDefault="00A1039D"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The scope of investigation into the public-private </w:t>
      </w:r>
      <w:r w:rsidR="001D4B03" w:rsidRPr="000D152F">
        <w:rPr>
          <w:rFonts w:ascii="Times New Roman" w:hAnsi="Times New Roman" w:cs="Times New Roman"/>
        </w:rPr>
        <w:t>distinction</w:t>
      </w:r>
      <w:r w:rsidRPr="000D152F">
        <w:rPr>
          <w:rFonts w:ascii="Times New Roman" w:hAnsi="Times New Roman" w:cs="Times New Roman"/>
        </w:rPr>
        <w:t xml:space="preserve"> at the international level is not only the </w:t>
      </w:r>
      <w:r w:rsidRPr="000D152F">
        <w:rPr>
          <w:rFonts w:ascii="Times New Roman" w:hAnsi="Times New Roman" w:cs="Times New Roman"/>
          <w:i/>
        </w:rPr>
        <w:t>international</w:t>
      </w:r>
      <w:r w:rsidRPr="000D152F">
        <w:rPr>
          <w:rFonts w:ascii="Times New Roman" w:hAnsi="Times New Roman" w:cs="Times New Roman"/>
        </w:rPr>
        <w:t xml:space="preserve"> dynamic of the relationship but also the international recognition or regulation of the </w:t>
      </w:r>
      <w:r w:rsidRPr="000D152F">
        <w:rPr>
          <w:rFonts w:ascii="Times New Roman" w:hAnsi="Times New Roman" w:cs="Times New Roman"/>
          <w:i/>
        </w:rPr>
        <w:t>domestic</w:t>
      </w:r>
      <w:r w:rsidRPr="000D152F">
        <w:rPr>
          <w:rFonts w:ascii="Times New Roman" w:hAnsi="Times New Roman" w:cs="Times New Roman"/>
        </w:rPr>
        <w:t xml:space="preserve"> public-private relationship. </w:t>
      </w:r>
      <w:r w:rsidR="001E6A50" w:rsidRPr="000D152F">
        <w:rPr>
          <w:rFonts w:ascii="Times New Roman" w:hAnsi="Times New Roman" w:cs="Times New Roman"/>
        </w:rPr>
        <w:t>This is the case with the SCM Agreement – an international body must identify which domestic entity constitutes a ‘public body’ in the eyes of international (WTO) law.</w:t>
      </w:r>
      <w:r w:rsidR="00951A80" w:rsidRPr="000D152F">
        <w:rPr>
          <w:rFonts w:ascii="Times New Roman" w:hAnsi="Times New Roman" w:cs="Times New Roman"/>
        </w:rPr>
        <w:t xml:space="preserve"> Such an exercise is, as previously identified, fraught with difficulties, most </w:t>
      </w:r>
      <w:r w:rsidR="00A82B8B" w:rsidRPr="000D152F">
        <w:rPr>
          <w:rFonts w:ascii="Times New Roman" w:hAnsi="Times New Roman" w:cs="Times New Roman"/>
        </w:rPr>
        <w:t xml:space="preserve">notably the plurality of </w:t>
      </w:r>
      <w:r w:rsidR="00951A80" w:rsidRPr="000D152F">
        <w:rPr>
          <w:rFonts w:ascii="Times New Roman" w:hAnsi="Times New Roman" w:cs="Times New Roman"/>
        </w:rPr>
        <w:t>governance structures amongst States.</w:t>
      </w:r>
      <w:r w:rsidR="00A52181" w:rsidRPr="000D152F">
        <w:rPr>
          <w:rFonts w:ascii="Times New Roman" w:hAnsi="Times New Roman" w:cs="Times New Roman"/>
        </w:rPr>
        <w:t xml:space="preserve"> Not only is this a conceptually difficult exercise but it is also politically contentious, touching as it does upon the appropriate deference that bodies such as the WTO should give to States </w:t>
      </w:r>
      <w:r w:rsidR="00A52181" w:rsidRPr="000D152F">
        <w:rPr>
          <w:rFonts w:ascii="Times New Roman" w:hAnsi="Times New Roman" w:cs="Times New Roman"/>
        </w:rPr>
        <w:lastRenderedPageBreak/>
        <w:t>in making such determinations.</w:t>
      </w:r>
      <w:r w:rsidR="00A52181" w:rsidRPr="000D152F">
        <w:rPr>
          <w:rStyle w:val="FootnoteReference"/>
          <w:rFonts w:ascii="Times New Roman" w:hAnsi="Times New Roman" w:cs="Times New Roman"/>
        </w:rPr>
        <w:footnoteReference w:id="52"/>
      </w:r>
    </w:p>
    <w:p w14:paraId="2C68F03C" w14:textId="77777777" w:rsidR="00951A80" w:rsidRPr="000D152F" w:rsidRDefault="00951A80"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33468115" w14:textId="4780DDA1" w:rsidR="00A1039D" w:rsidRPr="000D152F" w:rsidRDefault="00935D7C"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Such a challenge </w:t>
      </w:r>
      <w:r w:rsidR="00A82B8B" w:rsidRPr="000D152F">
        <w:rPr>
          <w:rFonts w:ascii="Times New Roman" w:hAnsi="Times New Roman" w:cs="Times New Roman"/>
        </w:rPr>
        <w:t>could</w:t>
      </w:r>
      <w:r w:rsidRPr="000D152F">
        <w:rPr>
          <w:rFonts w:ascii="Times New Roman" w:hAnsi="Times New Roman" w:cs="Times New Roman"/>
        </w:rPr>
        <w:t xml:space="preserve"> be </w:t>
      </w:r>
      <w:r w:rsidR="00951A80" w:rsidRPr="000D152F">
        <w:rPr>
          <w:rFonts w:ascii="Times New Roman" w:hAnsi="Times New Roman" w:cs="Times New Roman"/>
        </w:rPr>
        <w:t>resolve</w:t>
      </w:r>
      <w:r w:rsidR="00A46EC5" w:rsidRPr="000D152F">
        <w:rPr>
          <w:rFonts w:ascii="Times New Roman" w:hAnsi="Times New Roman" w:cs="Times New Roman"/>
        </w:rPr>
        <w:t>d in different ways.</w:t>
      </w:r>
      <w:r w:rsidRPr="000D152F">
        <w:rPr>
          <w:rFonts w:ascii="Times New Roman" w:hAnsi="Times New Roman" w:cs="Times New Roman"/>
        </w:rPr>
        <w:t xml:space="preserve"> </w:t>
      </w:r>
      <w:r w:rsidR="00A46EC5" w:rsidRPr="000D152F">
        <w:rPr>
          <w:rFonts w:ascii="Times New Roman" w:hAnsi="Times New Roman" w:cs="Times New Roman"/>
        </w:rPr>
        <w:t>W</w:t>
      </w:r>
      <w:r w:rsidR="00951A80" w:rsidRPr="000D152F">
        <w:rPr>
          <w:rFonts w:ascii="Times New Roman" w:hAnsi="Times New Roman" w:cs="Times New Roman"/>
        </w:rPr>
        <w:t xml:space="preserve">e might create an international definition of what should be considered </w:t>
      </w:r>
      <w:r w:rsidR="00A46EC5" w:rsidRPr="000D152F">
        <w:rPr>
          <w:rFonts w:ascii="Times New Roman" w:hAnsi="Times New Roman" w:cs="Times New Roman"/>
        </w:rPr>
        <w:t>public or</w:t>
      </w:r>
      <w:r w:rsidR="00800551" w:rsidRPr="000D152F">
        <w:rPr>
          <w:rFonts w:ascii="Times New Roman" w:hAnsi="Times New Roman" w:cs="Times New Roman"/>
        </w:rPr>
        <w:t xml:space="preserve"> we might simply accept</w:t>
      </w:r>
      <w:r w:rsidRPr="000D152F">
        <w:rPr>
          <w:rFonts w:ascii="Times New Roman" w:hAnsi="Times New Roman" w:cs="Times New Roman"/>
        </w:rPr>
        <w:t xml:space="preserve"> that the definition is to be determined by the host State of the parastatal entity</w:t>
      </w:r>
      <w:r w:rsidR="00A46EC5" w:rsidRPr="000D152F">
        <w:rPr>
          <w:rFonts w:ascii="Times New Roman" w:hAnsi="Times New Roman" w:cs="Times New Roman"/>
        </w:rPr>
        <w:t>.</w:t>
      </w:r>
      <w:r w:rsidRPr="000D152F">
        <w:rPr>
          <w:rFonts w:ascii="Times New Roman" w:hAnsi="Times New Roman" w:cs="Times New Roman"/>
        </w:rPr>
        <w:t xml:space="preserve"> </w:t>
      </w:r>
      <w:r w:rsidR="00A46EC5" w:rsidRPr="000D152F">
        <w:rPr>
          <w:rFonts w:ascii="Times New Roman" w:hAnsi="Times New Roman" w:cs="Times New Roman"/>
        </w:rPr>
        <w:t>W</w:t>
      </w:r>
      <w:r w:rsidRPr="000D152F">
        <w:rPr>
          <w:rFonts w:ascii="Times New Roman" w:hAnsi="Times New Roman" w:cs="Times New Roman"/>
        </w:rPr>
        <w:t xml:space="preserve">e might determine </w:t>
      </w:r>
      <w:r w:rsidR="00800551" w:rsidRPr="000D152F">
        <w:rPr>
          <w:rFonts w:ascii="Times New Roman" w:hAnsi="Times New Roman" w:cs="Times New Roman"/>
        </w:rPr>
        <w:t xml:space="preserve">the entity’s nature by virtue of the </w:t>
      </w:r>
      <w:r w:rsidR="00A46EC5" w:rsidRPr="000D152F">
        <w:rPr>
          <w:rFonts w:ascii="Times New Roman" w:hAnsi="Times New Roman" w:cs="Times New Roman"/>
        </w:rPr>
        <w:t>source of its powers, the functions it exercises or the level of control exercised over it by central government.</w:t>
      </w:r>
      <w:r w:rsidR="00DE0657" w:rsidRPr="000D152F">
        <w:rPr>
          <w:rStyle w:val="FootnoteReference"/>
          <w:rFonts w:ascii="Times New Roman" w:hAnsi="Times New Roman" w:cs="Times New Roman"/>
        </w:rPr>
        <w:footnoteReference w:id="53"/>
      </w:r>
      <w:r w:rsidR="00A46EC5" w:rsidRPr="000D152F">
        <w:rPr>
          <w:rFonts w:ascii="Times New Roman" w:hAnsi="Times New Roman" w:cs="Times New Roman"/>
        </w:rPr>
        <w:t xml:space="preserve"> Alternatively, we might examine the extent to which certain groups are affected by the actions of this entity in an attempt to trace the </w:t>
      </w:r>
      <w:r w:rsidR="00057B8F" w:rsidRPr="000D152F">
        <w:rPr>
          <w:rFonts w:ascii="Times New Roman" w:hAnsi="Times New Roman" w:cs="Times New Roman"/>
        </w:rPr>
        <w:t xml:space="preserve">public nature </w:t>
      </w:r>
      <w:r w:rsidR="00A46EC5" w:rsidRPr="000D152F">
        <w:rPr>
          <w:rFonts w:ascii="Times New Roman" w:hAnsi="Times New Roman" w:cs="Times New Roman"/>
        </w:rPr>
        <w:t>of its effect.</w:t>
      </w:r>
    </w:p>
    <w:p w14:paraId="2CAADEA4" w14:textId="77777777" w:rsidR="00583515" w:rsidRPr="000D152F" w:rsidRDefault="00583515"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5617FA46" w14:textId="13A2AB8A" w:rsidR="00857846" w:rsidRPr="000D152F" w:rsidRDefault="005F01C2"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While a uniform definition may be preferable, given its ability to clarify questions across the board, in practice such a goal is extremely difficult. There is no consensus amongst States on the appropriate contours of </w:t>
      </w:r>
      <w:r w:rsidR="006C3A25" w:rsidRPr="000D152F">
        <w:rPr>
          <w:rFonts w:ascii="Times New Roman" w:hAnsi="Times New Roman" w:cs="Times New Roman"/>
        </w:rPr>
        <w:t>the public-private relationship;</w:t>
      </w:r>
      <w:r w:rsidRPr="000D152F">
        <w:rPr>
          <w:rFonts w:ascii="Times New Roman" w:hAnsi="Times New Roman" w:cs="Times New Roman"/>
        </w:rPr>
        <w:t xml:space="preserve"> indeed, there is rarely </w:t>
      </w:r>
      <w:r w:rsidR="00E10E81" w:rsidRPr="000D152F">
        <w:rPr>
          <w:rFonts w:ascii="Times New Roman" w:hAnsi="Times New Roman" w:cs="Times New Roman"/>
        </w:rPr>
        <w:t xml:space="preserve">settled </w:t>
      </w:r>
      <w:r w:rsidRPr="000D152F">
        <w:rPr>
          <w:rFonts w:ascii="Times New Roman" w:hAnsi="Times New Roman" w:cs="Times New Roman"/>
        </w:rPr>
        <w:t xml:space="preserve">consensus </w:t>
      </w:r>
      <w:r w:rsidRPr="000D152F">
        <w:rPr>
          <w:rFonts w:ascii="Times New Roman" w:hAnsi="Times New Roman" w:cs="Times New Roman"/>
          <w:i/>
        </w:rPr>
        <w:t xml:space="preserve">within </w:t>
      </w:r>
      <w:r w:rsidRPr="000D152F">
        <w:rPr>
          <w:rFonts w:ascii="Times New Roman" w:hAnsi="Times New Roman" w:cs="Times New Roman"/>
        </w:rPr>
        <w:t xml:space="preserve">States as to the appropriate scope of the relationship. While this paper does not pretend to offer a uniform answer for such a challenge, it does attempt to offer </w:t>
      </w:r>
      <w:r w:rsidR="006C3A25" w:rsidRPr="000D152F">
        <w:rPr>
          <w:rFonts w:ascii="Times New Roman" w:hAnsi="Times New Roman" w:cs="Times New Roman"/>
        </w:rPr>
        <w:t xml:space="preserve">a preliminary </w:t>
      </w:r>
      <w:r w:rsidRPr="000D152F">
        <w:rPr>
          <w:rFonts w:ascii="Times New Roman" w:hAnsi="Times New Roman" w:cs="Times New Roman"/>
        </w:rPr>
        <w:t xml:space="preserve">approach </w:t>
      </w:r>
      <w:r w:rsidR="00915EB9" w:rsidRPr="000D152F">
        <w:rPr>
          <w:rFonts w:ascii="Times New Roman" w:hAnsi="Times New Roman" w:cs="Times New Roman"/>
        </w:rPr>
        <w:t>for consideration</w:t>
      </w:r>
      <w:r w:rsidRPr="000D152F">
        <w:rPr>
          <w:rFonts w:ascii="Times New Roman" w:hAnsi="Times New Roman" w:cs="Times New Roman"/>
        </w:rPr>
        <w:t>.</w:t>
      </w:r>
      <w:r w:rsidR="00D90027" w:rsidRPr="000D152F">
        <w:rPr>
          <w:rStyle w:val="FootnoteReference"/>
          <w:rFonts w:ascii="Times New Roman" w:hAnsi="Times New Roman" w:cs="Times New Roman"/>
        </w:rPr>
        <w:footnoteReference w:id="54"/>
      </w:r>
      <w:r w:rsidRPr="000D152F">
        <w:rPr>
          <w:rFonts w:ascii="Times New Roman" w:hAnsi="Times New Roman" w:cs="Times New Roman"/>
        </w:rPr>
        <w:t xml:space="preserve"> The primary goal, therefore, is to set out a conceptual framework for the </w:t>
      </w:r>
      <w:r w:rsidR="0016074A" w:rsidRPr="000D152F">
        <w:rPr>
          <w:rFonts w:ascii="Times New Roman" w:hAnsi="Times New Roman" w:cs="Times New Roman"/>
        </w:rPr>
        <w:t>discussion</w:t>
      </w:r>
      <w:r w:rsidRPr="000D152F">
        <w:rPr>
          <w:rFonts w:ascii="Times New Roman" w:hAnsi="Times New Roman" w:cs="Times New Roman"/>
        </w:rPr>
        <w:t>.</w:t>
      </w:r>
      <w:r w:rsidR="00DE0657" w:rsidRPr="000D152F">
        <w:rPr>
          <w:rStyle w:val="FootnoteReference"/>
          <w:rFonts w:ascii="Times New Roman" w:hAnsi="Times New Roman" w:cs="Times New Roman"/>
        </w:rPr>
        <w:footnoteReference w:id="55"/>
      </w:r>
    </w:p>
    <w:p w14:paraId="36683BE7" w14:textId="77777777" w:rsidR="00B3453F" w:rsidRPr="000D152F" w:rsidRDefault="00B3453F"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42E990FF" w14:textId="4A69B2D5" w:rsidR="00D90027" w:rsidRPr="000D152F" w:rsidRDefault="00C22E6A"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The second challenge </w:t>
      </w:r>
      <w:r w:rsidR="00715D20" w:rsidRPr="000D152F">
        <w:rPr>
          <w:rFonts w:ascii="Times New Roman" w:hAnsi="Times New Roman" w:cs="Times New Roman"/>
        </w:rPr>
        <w:t>in determining</w:t>
      </w:r>
      <w:r w:rsidR="00CC106F" w:rsidRPr="000D152F">
        <w:rPr>
          <w:rFonts w:ascii="Times New Roman" w:hAnsi="Times New Roman" w:cs="Times New Roman"/>
        </w:rPr>
        <w:t xml:space="preserve"> the content of the ‘public’ </w:t>
      </w:r>
      <w:r w:rsidRPr="000D152F">
        <w:rPr>
          <w:rFonts w:ascii="Times New Roman" w:hAnsi="Times New Roman" w:cs="Times New Roman"/>
        </w:rPr>
        <w:t xml:space="preserve">is a methodological one, and which has already been touched upon. </w:t>
      </w:r>
      <w:r w:rsidR="00CC106F" w:rsidRPr="000D152F">
        <w:rPr>
          <w:rFonts w:ascii="Times New Roman" w:hAnsi="Times New Roman" w:cs="Times New Roman"/>
        </w:rPr>
        <w:t xml:space="preserve">In the </w:t>
      </w:r>
      <w:r w:rsidR="00CC106F" w:rsidRPr="000D152F">
        <w:rPr>
          <w:rFonts w:ascii="Times New Roman" w:hAnsi="Times New Roman" w:cs="Times New Roman"/>
          <w:i/>
        </w:rPr>
        <w:t>US- AD/CVDs (China)</w:t>
      </w:r>
      <w:r w:rsidR="00CC106F" w:rsidRPr="000D152F">
        <w:rPr>
          <w:rFonts w:ascii="Times New Roman" w:hAnsi="Times New Roman" w:cs="Times New Roman"/>
        </w:rPr>
        <w:t xml:space="preserve"> dispute, the panel and Appellate Body</w:t>
      </w:r>
      <w:r w:rsidRPr="000D152F">
        <w:rPr>
          <w:rFonts w:ascii="Times New Roman" w:hAnsi="Times New Roman" w:cs="Times New Roman"/>
        </w:rPr>
        <w:t xml:space="preserve"> approached the question of defining a ‘public body’ as a question of treaty </w:t>
      </w:r>
      <w:r w:rsidRPr="000D152F">
        <w:rPr>
          <w:rFonts w:ascii="Times New Roman" w:hAnsi="Times New Roman" w:cs="Times New Roman"/>
        </w:rPr>
        <w:lastRenderedPageBreak/>
        <w:t>interpretation.</w:t>
      </w:r>
      <w:bookmarkStart w:id="14" w:name="_Ref449611379"/>
      <w:r w:rsidRPr="000D152F">
        <w:rPr>
          <w:rStyle w:val="FootnoteReference"/>
          <w:rFonts w:ascii="Times New Roman" w:hAnsi="Times New Roman" w:cs="Times New Roman"/>
        </w:rPr>
        <w:footnoteReference w:id="56"/>
      </w:r>
      <w:bookmarkEnd w:id="14"/>
      <w:r w:rsidRPr="000D152F">
        <w:rPr>
          <w:rFonts w:ascii="Times New Roman" w:hAnsi="Times New Roman" w:cs="Times New Roman"/>
        </w:rPr>
        <w:t xml:space="preserve"> </w:t>
      </w:r>
      <w:r w:rsidR="006171D0" w:rsidRPr="000D152F">
        <w:rPr>
          <w:rFonts w:ascii="Times New Roman" w:hAnsi="Times New Roman" w:cs="Times New Roman"/>
        </w:rPr>
        <w:t xml:space="preserve">There is no doubt that </w:t>
      </w:r>
      <w:r w:rsidR="00715D20" w:rsidRPr="000D152F">
        <w:rPr>
          <w:rFonts w:ascii="Times New Roman" w:hAnsi="Times New Roman" w:cs="Times New Roman"/>
        </w:rPr>
        <w:t>in cases of ambiguity</w:t>
      </w:r>
      <w:r w:rsidR="006171D0" w:rsidRPr="000D152F">
        <w:rPr>
          <w:rFonts w:ascii="Times New Roman" w:hAnsi="Times New Roman" w:cs="Times New Roman"/>
        </w:rPr>
        <w:t xml:space="preserve">, we are to look (in the WTO, for example) to the customary rules of treaty interpretation as represented by (in particular) Arts 31 and 32 </w:t>
      </w:r>
      <w:r w:rsidR="00772768" w:rsidRPr="000D152F">
        <w:rPr>
          <w:rFonts w:ascii="Times New Roman" w:hAnsi="Times New Roman" w:cs="Times New Roman"/>
        </w:rPr>
        <w:t xml:space="preserve">of the </w:t>
      </w:r>
      <w:r w:rsidR="006171D0" w:rsidRPr="000D152F">
        <w:rPr>
          <w:rFonts w:ascii="Times New Roman" w:hAnsi="Times New Roman" w:cs="Times New Roman"/>
        </w:rPr>
        <w:t>V</w:t>
      </w:r>
      <w:r w:rsidR="00772768" w:rsidRPr="000D152F">
        <w:rPr>
          <w:rFonts w:ascii="Times New Roman" w:hAnsi="Times New Roman" w:cs="Times New Roman"/>
        </w:rPr>
        <w:t xml:space="preserve">ienna </w:t>
      </w:r>
      <w:r w:rsidR="006171D0" w:rsidRPr="000D152F">
        <w:rPr>
          <w:rFonts w:ascii="Times New Roman" w:hAnsi="Times New Roman" w:cs="Times New Roman"/>
        </w:rPr>
        <w:t>C</w:t>
      </w:r>
      <w:r w:rsidR="00772768" w:rsidRPr="000D152F">
        <w:rPr>
          <w:rFonts w:ascii="Times New Roman" w:hAnsi="Times New Roman" w:cs="Times New Roman"/>
        </w:rPr>
        <w:t xml:space="preserve">onvention on the </w:t>
      </w:r>
      <w:r w:rsidR="006171D0" w:rsidRPr="000D152F">
        <w:rPr>
          <w:rFonts w:ascii="Times New Roman" w:hAnsi="Times New Roman" w:cs="Times New Roman"/>
        </w:rPr>
        <w:t>L</w:t>
      </w:r>
      <w:r w:rsidR="00772768" w:rsidRPr="000D152F">
        <w:rPr>
          <w:rFonts w:ascii="Times New Roman" w:hAnsi="Times New Roman" w:cs="Times New Roman"/>
        </w:rPr>
        <w:t xml:space="preserve">aw of </w:t>
      </w:r>
      <w:r w:rsidR="006171D0" w:rsidRPr="000D152F">
        <w:rPr>
          <w:rFonts w:ascii="Times New Roman" w:hAnsi="Times New Roman" w:cs="Times New Roman"/>
        </w:rPr>
        <w:t>T</w:t>
      </w:r>
      <w:r w:rsidR="00772768" w:rsidRPr="000D152F">
        <w:rPr>
          <w:rFonts w:ascii="Times New Roman" w:hAnsi="Times New Roman" w:cs="Times New Roman"/>
        </w:rPr>
        <w:t>reaties</w:t>
      </w:r>
      <w:r w:rsidR="006171D0" w:rsidRPr="000D152F">
        <w:rPr>
          <w:rFonts w:ascii="Times New Roman" w:hAnsi="Times New Roman" w:cs="Times New Roman"/>
        </w:rPr>
        <w:t>.</w:t>
      </w:r>
      <w:r w:rsidR="00772768" w:rsidRPr="000D152F">
        <w:rPr>
          <w:rStyle w:val="FootnoteReference"/>
          <w:rFonts w:ascii="Times New Roman" w:hAnsi="Times New Roman" w:cs="Times New Roman"/>
        </w:rPr>
        <w:t xml:space="preserve"> </w:t>
      </w:r>
      <w:bookmarkStart w:id="15" w:name="_Ref425499943"/>
      <w:r w:rsidR="00772768" w:rsidRPr="000D152F">
        <w:rPr>
          <w:rStyle w:val="FootnoteReference"/>
          <w:rFonts w:ascii="Times New Roman" w:hAnsi="Times New Roman" w:cs="Times New Roman"/>
        </w:rPr>
        <w:footnoteReference w:id="57"/>
      </w:r>
      <w:bookmarkEnd w:id="15"/>
      <w:r w:rsidR="00AA3C0F" w:rsidRPr="000D152F">
        <w:rPr>
          <w:rFonts w:ascii="Times New Roman" w:hAnsi="Times New Roman" w:cs="Times New Roman"/>
        </w:rPr>
        <w:t xml:space="preserve"> The</w:t>
      </w:r>
      <w:r w:rsidR="00715D20" w:rsidRPr="000D152F">
        <w:rPr>
          <w:rFonts w:ascii="Times New Roman" w:hAnsi="Times New Roman" w:cs="Times New Roman"/>
        </w:rPr>
        <w:t xml:space="preserve"> difficulty </w:t>
      </w:r>
      <w:r w:rsidR="00D90027" w:rsidRPr="000D152F">
        <w:rPr>
          <w:rFonts w:ascii="Times New Roman" w:hAnsi="Times New Roman" w:cs="Times New Roman"/>
        </w:rPr>
        <w:t>is that we have yet to determine the content of the term, its ‘ordinary meaning</w:t>
      </w:r>
      <w:r w:rsidR="00BD5330" w:rsidRPr="000D152F">
        <w:rPr>
          <w:rFonts w:ascii="Times New Roman" w:hAnsi="Times New Roman" w:cs="Times New Roman"/>
        </w:rPr>
        <w:t>.’ I</w:t>
      </w:r>
      <w:r w:rsidR="00D90027" w:rsidRPr="000D152F">
        <w:rPr>
          <w:rFonts w:ascii="Times New Roman" w:hAnsi="Times New Roman" w:cs="Times New Roman"/>
        </w:rPr>
        <w:t>ndeed, we have yet to give it any meaning beyond a nebu</w:t>
      </w:r>
      <w:r w:rsidR="000F3F9B" w:rsidRPr="000D152F">
        <w:rPr>
          <w:rFonts w:ascii="Times New Roman" w:hAnsi="Times New Roman" w:cs="Times New Roman"/>
        </w:rPr>
        <w:t>lous impression based on source-</w:t>
      </w:r>
      <w:r w:rsidR="00D90027" w:rsidRPr="000D152F">
        <w:rPr>
          <w:rFonts w:ascii="Times New Roman" w:hAnsi="Times New Roman" w:cs="Times New Roman"/>
        </w:rPr>
        <w:t>based or functional criteria. These</w:t>
      </w:r>
      <w:r w:rsidR="001C06D2" w:rsidRPr="000D152F">
        <w:rPr>
          <w:rFonts w:ascii="Times New Roman" w:hAnsi="Times New Roman" w:cs="Times New Roman"/>
        </w:rPr>
        <w:t xml:space="preserve"> are sign</w:t>
      </w:r>
      <w:r w:rsidR="00D90027" w:rsidRPr="000D152F">
        <w:rPr>
          <w:rFonts w:ascii="Times New Roman" w:hAnsi="Times New Roman" w:cs="Times New Roman"/>
        </w:rPr>
        <w:t xml:space="preserve">posts of meaning, </w:t>
      </w:r>
      <w:r w:rsidR="001C06D2" w:rsidRPr="000D152F">
        <w:rPr>
          <w:rFonts w:ascii="Times New Roman" w:hAnsi="Times New Roman" w:cs="Times New Roman"/>
        </w:rPr>
        <w:t xml:space="preserve">giving us an indication of where to look but </w:t>
      </w:r>
      <w:r w:rsidR="00D90027" w:rsidRPr="000D152F">
        <w:rPr>
          <w:rFonts w:ascii="Times New Roman" w:hAnsi="Times New Roman" w:cs="Times New Roman"/>
        </w:rPr>
        <w:t xml:space="preserve">they do not tell us what it means for something to </w:t>
      </w:r>
      <w:r w:rsidR="00D90027" w:rsidRPr="000D152F">
        <w:rPr>
          <w:rFonts w:ascii="Times New Roman" w:hAnsi="Times New Roman" w:cs="Times New Roman"/>
          <w:i/>
        </w:rPr>
        <w:t xml:space="preserve">be </w:t>
      </w:r>
      <w:r w:rsidR="00D90027" w:rsidRPr="000D152F">
        <w:rPr>
          <w:rFonts w:ascii="Times New Roman" w:hAnsi="Times New Roman" w:cs="Times New Roman"/>
        </w:rPr>
        <w:t>‘public’</w:t>
      </w:r>
      <w:r w:rsidR="006676A7" w:rsidRPr="000D152F">
        <w:rPr>
          <w:rFonts w:ascii="Times New Roman" w:hAnsi="Times New Roman" w:cs="Times New Roman"/>
        </w:rPr>
        <w:t>.</w:t>
      </w:r>
    </w:p>
    <w:p w14:paraId="7C55FC1D" w14:textId="77777777" w:rsidR="00D90027" w:rsidRPr="000D152F" w:rsidRDefault="00D90027"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31B2AB84" w14:textId="660617F6" w:rsidR="004977D9" w:rsidRDefault="00D90027" w:rsidP="00D25306">
      <w:pPr>
        <w:widowControl w:val="0"/>
        <w:autoSpaceDE w:val="0"/>
        <w:autoSpaceDN w:val="0"/>
        <w:adjustRightInd w:val="0"/>
        <w:spacing w:after="240" w:line="480" w:lineRule="auto"/>
        <w:rPr>
          <w:rFonts w:ascii="Times New Roman" w:hAnsi="Times New Roman" w:cs="Times New Roman"/>
          <w:lang w:val="en-US"/>
        </w:rPr>
      </w:pPr>
      <w:r w:rsidRPr="000D152F">
        <w:rPr>
          <w:rFonts w:ascii="Times New Roman" w:hAnsi="Times New Roman" w:cs="Times New Roman"/>
        </w:rPr>
        <w:t xml:space="preserve">When we seek to know whether a ‘public body’ is a public body, we have to understand the core meaning </w:t>
      </w:r>
      <w:r w:rsidRPr="000D152F">
        <w:rPr>
          <w:rFonts w:ascii="Times New Roman" w:hAnsi="Times New Roman" w:cs="Times New Roman"/>
          <w:i/>
        </w:rPr>
        <w:t>before</w:t>
      </w:r>
      <w:r w:rsidRPr="000D152F">
        <w:rPr>
          <w:rFonts w:ascii="Times New Roman" w:hAnsi="Times New Roman" w:cs="Times New Roman"/>
        </w:rPr>
        <w:t xml:space="preserve"> conducting the customary exercise of interpreting </w:t>
      </w:r>
      <w:r w:rsidR="006676A7" w:rsidRPr="000D152F">
        <w:rPr>
          <w:rFonts w:ascii="Times New Roman" w:hAnsi="Times New Roman" w:cs="Times New Roman"/>
        </w:rPr>
        <w:t xml:space="preserve">this term. </w:t>
      </w:r>
      <w:r w:rsidR="000F3F9B" w:rsidRPr="000D152F">
        <w:rPr>
          <w:rFonts w:ascii="Times New Roman" w:hAnsi="Times New Roman" w:cs="Times New Roman"/>
        </w:rPr>
        <w:t>Without knowing what the ‘ordinary meaning’ is, we cannot interpret the treaty ‘</w:t>
      </w:r>
      <w:r w:rsidR="000F3F9B" w:rsidRPr="000D152F">
        <w:rPr>
          <w:rFonts w:ascii="Times New Roman" w:hAnsi="Times New Roman" w:cs="Times New Roman"/>
          <w:lang w:val="en-US"/>
        </w:rPr>
        <w:t>in good faith in accordance with the ordinary meaning to be given to the terms of the treaty in their context and in the light of its object and purpose.’ The question</w:t>
      </w:r>
      <w:r w:rsidR="00821A4C" w:rsidRPr="000D152F">
        <w:rPr>
          <w:rFonts w:ascii="Times New Roman" w:hAnsi="Times New Roman" w:cs="Times New Roman"/>
          <w:lang w:val="en-US"/>
        </w:rPr>
        <w:t>,</w:t>
      </w:r>
      <w:r w:rsidR="000F3F9B" w:rsidRPr="000D152F">
        <w:rPr>
          <w:rFonts w:ascii="Times New Roman" w:hAnsi="Times New Roman" w:cs="Times New Roman"/>
          <w:lang w:val="en-US"/>
        </w:rPr>
        <w:t xml:space="preserve"> therefore, is not whether or not to give priority to the ordinary meaning or the object and purpose of the treaty, but rather, to identify the ordinary meaning beyond the limit</w:t>
      </w:r>
      <w:r w:rsidR="00821A4C" w:rsidRPr="000D152F">
        <w:rPr>
          <w:rFonts w:ascii="Times New Roman" w:hAnsi="Times New Roman" w:cs="Times New Roman"/>
          <w:lang w:val="en-US"/>
        </w:rPr>
        <w:t>ed</w:t>
      </w:r>
      <w:r w:rsidR="000F3F9B" w:rsidRPr="000D152F">
        <w:rPr>
          <w:rFonts w:ascii="Times New Roman" w:hAnsi="Times New Roman" w:cs="Times New Roman"/>
          <w:lang w:val="en-US"/>
        </w:rPr>
        <w:t xml:space="preserve"> appreciation we have for such a term thus far. </w:t>
      </w:r>
      <w:r w:rsidR="00594458" w:rsidRPr="000D152F">
        <w:rPr>
          <w:rFonts w:ascii="Times New Roman" w:hAnsi="Times New Roman" w:cs="Times New Roman"/>
          <w:lang w:val="en-US"/>
        </w:rPr>
        <w:t xml:space="preserve">The purpose of the following Part is to begin the exercise of identifying the meaning of this term. It is argued that for us to understand the core of what it means for something to be ’public’, we have to understand the purpose of the public in question. It is a teleological examination, not of the treaty but of the political association that gives rise to the potential ‘public body’. </w:t>
      </w:r>
    </w:p>
    <w:p w14:paraId="0AEC6334" w14:textId="77777777" w:rsidR="00A96406" w:rsidRPr="000D152F" w:rsidRDefault="00A96406" w:rsidP="00D25306">
      <w:pPr>
        <w:widowControl w:val="0"/>
        <w:autoSpaceDE w:val="0"/>
        <w:autoSpaceDN w:val="0"/>
        <w:adjustRightInd w:val="0"/>
        <w:spacing w:after="240" w:line="480" w:lineRule="auto"/>
        <w:rPr>
          <w:rFonts w:ascii="Times New Roman" w:hAnsi="Times New Roman" w:cs="Times New Roman"/>
          <w:lang w:val="en-US"/>
        </w:rPr>
      </w:pPr>
    </w:p>
    <w:p w14:paraId="70E941D8" w14:textId="4F08CDB6" w:rsidR="00857846" w:rsidRPr="000D152F" w:rsidRDefault="0085784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i/>
        </w:rPr>
      </w:pPr>
      <w:r w:rsidRPr="000D152F">
        <w:rPr>
          <w:rFonts w:ascii="Times New Roman" w:hAnsi="Times New Roman" w:cs="Times New Roman"/>
          <w:b/>
          <w:i/>
        </w:rPr>
        <w:t xml:space="preserve">PART </w:t>
      </w:r>
      <w:r w:rsidR="004977D9" w:rsidRPr="000D152F">
        <w:rPr>
          <w:rFonts w:ascii="Times New Roman" w:hAnsi="Times New Roman" w:cs="Times New Roman"/>
          <w:b/>
          <w:i/>
        </w:rPr>
        <w:t xml:space="preserve">III </w:t>
      </w:r>
      <w:r w:rsidR="005F01C2" w:rsidRPr="000D152F">
        <w:rPr>
          <w:rFonts w:ascii="Times New Roman" w:hAnsi="Times New Roman" w:cs="Times New Roman"/>
          <w:b/>
          <w:i/>
        </w:rPr>
        <w:t>–</w:t>
      </w:r>
      <w:r w:rsidRPr="000D152F">
        <w:rPr>
          <w:rFonts w:ascii="Times New Roman" w:hAnsi="Times New Roman" w:cs="Times New Roman"/>
          <w:b/>
          <w:i/>
        </w:rPr>
        <w:t xml:space="preserve"> </w:t>
      </w:r>
      <w:r w:rsidR="005F01C2" w:rsidRPr="000D152F">
        <w:rPr>
          <w:rFonts w:ascii="Times New Roman" w:hAnsi="Times New Roman" w:cs="Times New Roman"/>
          <w:b/>
          <w:i/>
        </w:rPr>
        <w:t xml:space="preserve">A </w:t>
      </w:r>
      <w:r w:rsidR="00555DEF" w:rsidRPr="000D152F">
        <w:rPr>
          <w:rFonts w:ascii="Times New Roman" w:hAnsi="Times New Roman" w:cs="Times New Roman"/>
          <w:b/>
          <w:i/>
        </w:rPr>
        <w:t xml:space="preserve">teleological </w:t>
      </w:r>
      <w:r w:rsidR="00AD027F" w:rsidRPr="000D152F">
        <w:rPr>
          <w:rFonts w:ascii="Times New Roman" w:hAnsi="Times New Roman" w:cs="Times New Roman"/>
          <w:b/>
          <w:i/>
        </w:rPr>
        <w:t>approach to</w:t>
      </w:r>
      <w:r w:rsidR="00555DEF" w:rsidRPr="000D152F">
        <w:rPr>
          <w:rFonts w:ascii="Times New Roman" w:hAnsi="Times New Roman" w:cs="Times New Roman"/>
          <w:b/>
          <w:i/>
        </w:rPr>
        <w:t xml:space="preserve"> </w:t>
      </w:r>
      <w:r w:rsidR="00AD027F" w:rsidRPr="000D152F">
        <w:rPr>
          <w:rFonts w:ascii="Times New Roman" w:hAnsi="Times New Roman" w:cs="Times New Roman"/>
          <w:b/>
          <w:i/>
        </w:rPr>
        <w:t xml:space="preserve">distinguish </w:t>
      </w:r>
      <w:r w:rsidR="00555DEF" w:rsidRPr="000D152F">
        <w:rPr>
          <w:rFonts w:ascii="Times New Roman" w:hAnsi="Times New Roman" w:cs="Times New Roman"/>
          <w:b/>
          <w:i/>
        </w:rPr>
        <w:t xml:space="preserve">the </w:t>
      </w:r>
      <w:r w:rsidR="005F01C2" w:rsidRPr="000D152F">
        <w:rPr>
          <w:rFonts w:ascii="Times New Roman" w:hAnsi="Times New Roman" w:cs="Times New Roman"/>
          <w:b/>
          <w:i/>
        </w:rPr>
        <w:t>public</w:t>
      </w:r>
      <w:r w:rsidR="00555DEF" w:rsidRPr="000D152F">
        <w:rPr>
          <w:rFonts w:ascii="Times New Roman" w:hAnsi="Times New Roman" w:cs="Times New Roman"/>
          <w:b/>
          <w:i/>
        </w:rPr>
        <w:t xml:space="preserve"> from the private</w:t>
      </w:r>
    </w:p>
    <w:p w14:paraId="1EC41A0D" w14:textId="77777777" w:rsidR="006A2071" w:rsidRPr="000D152F" w:rsidRDefault="006A2071"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73324EF6" w14:textId="67989FBB" w:rsidR="003131BD" w:rsidRPr="000D152F" w:rsidRDefault="0038415F"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In o</w:t>
      </w:r>
      <w:r w:rsidR="00A84AD7" w:rsidRPr="000D152F">
        <w:rPr>
          <w:rFonts w:ascii="Times New Roman" w:hAnsi="Times New Roman" w:cs="Times New Roman"/>
        </w:rPr>
        <w:t>rder to develop a framework to understand</w:t>
      </w:r>
      <w:r w:rsidRPr="000D152F">
        <w:rPr>
          <w:rFonts w:ascii="Times New Roman" w:hAnsi="Times New Roman" w:cs="Times New Roman"/>
        </w:rPr>
        <w:t xml:space="preserve"> the contours of the public-private relationship, certain challenges must be faced. The principal of these is how we can produce a concept of ‘public’ that functions at international and domestic levels, and in the face of profound variations and lack of uniformity. </w:t>
      </w:r>
      <w:r w:rsidR="003131BD" w:rsidRPr="000D152F">
        <w:rPr>
          <w:rFonts w:ascii="Times New Roman" w:hAnsi="Times New Roman" w:cs="Times New Roman"/>
        </w:rPr>
        <w:t>In this Part, it is argued that such a variety of State structures and an appreciation for the differing roles of appropriate public engagement is not new. By returning to the writings of Aristotle and Cicero</w:t>
      </w:r>
      <w:r w:rsidR="003D27A5" w:rsidRPr="000D152F">
        <w:rPr>
          <w:rFonts w:ascii="Times New Roman" w:hAnsi="Times New Roman" w:cs="Times New Roman"/>
        </w:rPr>
        <w:t xml:space="preserve"> in particular</w:t>
      </w:r>
      <w:r w:rsidR="003131BD" w:rsidRPr="000D152F">
        <w:rPr>
          <w:rFonts w:ascii="Times New Roman" w:hAnsi="Times New Roman" w:cs="Times New Roman"/>
        </w:rPr>
        <w:t>,</w:t>
      </w:r>
      <w:r w:rsidR="00A25C8C" w:rsidRPr="000D152F">
        <w:rPr>
          <w:rStyle w:val="FootnoteReference"/>
          <w:rFonts w:ascii="Times New Roman" w:hAnsi="Times New Roman" w:cs="Times New Roman"/>
        </w:rPr>
        <w:footnoteReference w:id="58"/>
      </w:r>
      <w:r w:rsidR="003131BD" w:rsidRPr="000D152F">
        <w:rPr>
          <w:rFonts w:ascii="Times New Roman" w:hAnsi="Times New Roman" w:cs="Times New Roman"/>
        </w:rPr>
        <w:t xml:space="preserve"> we can identify two separate though related approaches to acknowledging a plurality of government structures and the </w:t>
      </w:r>
      <w:r w:rsidR="00A84AD7" w:rsidRPr="000D152F">
        <w:rPr>
          <w:rFonts w:ascii="Times New Roman" w:hAnsi="Times New Roman" w:cs="Times New Roman"/>
        </w:rPr>
        <w:t xml:space="preserve">most effective way to understand </w:t>
      </w:r>
      <w:r w:rsidR="003131BD" w:rsidRPr="000D152F">
        <w:rPr>
          <w:rFonts w:ascii="Times New Roman" w:hAnsi="Times New Roman" w:cs="Times New Roman"/>
        </w:rPr>
        <w:t>the proper role of public structures in such circumstances.</w:t>
      </w:r>
      <w:r w:rsidR="00E439C2" w:rsidRPr="000D152F">
        <w:rPr>
          <w:rStyle w:val="FootnoteReference"/>
          <w:rFonts w:ascii="Times New Roman" w:hAnsi="Times New Roman" w:cs="Times New Roman"/>
        </w:rPr>
        <w:footnoteReference w:id="59"/>
      </w:r>
      <w:r w:rsidR="003131BD" w:rsidRPr="000D152F">
        <w:rPr>
          <w:rFonts w:ascii="Times New Roman" w:hAnsi="Times New Roman" w:cs="Times New Roman"/>
        </w:rPr>
        <w:t xml:space="preserve"> </w:t>
      </w:r>
    </w:p>
    <w:p w14:paraId="48F36A1E" w14:textId="77777777" w:rsidR="003131BD" w:rsidRPr="000D152F" w:rsidRDefault="003131BD"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1702E988" w14:textId="636591D5" w:rsidR="003131BD" w:rsidRPr="000D152F" w:rsidRDefault="00BD5330"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The </w:t>
      </w:r>
      <w:r w:rsidR="003131BD" w:rsidRPr="000D152F">
        <w:rPr>
          <w:rFonts w:ascii="Times New Roman" w:hAnsi="Times New Roman" w:cs="Times New Roman"/>
        </w:rPr>
        <w:t>worlds of Aristotle and Cicero</w:t>
      </w:r>
      <w:r w:rsidRPr="000D152F">
        <w:rPr>
          <w:rFonts w:ascii="Times New Roman" w:hAnsi="Times New Roman" w:cs="Times New Roman"/>
        </w:rPr>
        <w:t xml:space="preserve"> were, of course,</w:t>
      </w:r>
      <w:r w:rsidR="003131BD" w:rsidRPr="000D152F">
        <w:rPr>
          <w:rFonts w:ascii="Times New Roman" w:hAnsi="Times New Roman" w:cs="Times New Roman"/>
        </w:rPr>
        <w:t xml:space="preserve"> profoundly different to our own: the nature of international relations, the role of international law a</w:t>
      </w:r>
      <w:r w:rsidR="00986E5E" w:rsidRPr="000D152F">
        <w:rPr>
          <w:rFonts w:ascii="Times New Roman" w:hAnsi="Times New Roman" w:cs="Times New Roman"/>
        </w:rPr>
        <w:t>nd preconceptions over</w:t>
      </w:r>
      <w:r w:rsidR="003131BD" w:rsidRPr="000D152F">
        <w:rPr>
          <w:rFonts w:ascii="Times New Roman" w:hAnsi="Times New Roman" w:cs="Times New Roman"/>
        </w:rPr>
        <w:t xml:space="preserve"> what might be considered ‘public’ action were dramatically different to those identifiable </w:t>
      </w:r>
      <w:r w:rsidRPr="000D152F">
        <w:rPr>
          <w:rFonts w:ascii="Times New Roman" w:hAnsi="Times New Roman" w:cs="Times New Roman"/>
        </w:rPr>
        <w:t>today</w:t>
      </w:r>
      <w:r w:rsidR="003131BD" w:rsidRPr="000D152F">
        <w:rPr>
          <w:rFonts w:ascii="Times New Roman" w:hAnsi="Times New Roman" w:cs="Times New Roman"/>
        </w:rPr>
        <w:t>.</w:t>
      </w:r>
      <w:r w:rsidR="004832C9" w:rsidRPr="000D152F">
        <w:rPr>
          <w:rStyle w:val="FootnoteReference"/>
          <w:rFonts w:ascii="Times New Roman" w:hAnsi="Times New Roman" w:cs="Times New Roman"/>
        </w:rPr>
        <w:t xml:space="preserve"> </w:t>
      </w:r>
      <w:r w:rsidR="004832C9" w:rsidRPr="000D152F">
        <w:rPr>
          <w:rStyle w:val="FootnoteReference"/>
          <w:rFonts w:ascii="Times New Roman" w:hAnsi="Times New Roman" w:cs="Times New Roman"/>
        </w:rPr>
        <w:footnoteReference w:id="60"/>
      </w:r>
      <w:r w:rsidR="003131BD" w:rsidRPr="000D152F">
        <w:rPr>
          <w:rFonts w:ascii="Times New Roman" w:hAnsi="Times New Roman" w:cs="Times New Roman"/>
        </w:rPr>
        <w:t xml:space="preserve"> </w:t>
      </w:r>
      <w:r w:rsidRPr="000D152F">
        <w:rPr>
          <w:rFonts w:ascii="Times New Roman" w:hAnsi="Times New Roman" w:cs="Times New Roman"/>
        </w:rPr>
        <w:t>Nonetheless, t</w:t>
      </w:r>
      <w:r w:rsidR="003131BD" w:rsidRPr="000D152F">
        <w:rPr>
          <w:rFonts w:ascii="Times New Roman" w:hAnsi="Times New Roman" w:cs="Times New Roman"/>
        </w:rPr>
        <w:t xml:space="preserve">he </w:t>
      </w:r>
      <w:r w:rsidRPr="000D152F">
        <w:rPr>
          <w:rFonts w:ascii="Times New Roman" w:hAnsi="Times New Roman" w:cs="Times New Roman"/>
        </w:rPr>
        <w:t xml:space="preserve">aim </w:t>
      </w:r>
      <w:r w:rsidR="003131BD" w:rsidRPr="000D152F">
        <w:rPr>
          <w:rFonts w:ascii="Times New Roman" w:hAnsi="Times New Roman" w:cs="Times New Roman"/>
        </w:rPr>
        <w:t xml:space="preserve">is not to transpose these writers’ views </w:t>
      </w:r>
      <w:r w:rsidRPr="000D152F">
        <w:rPr>
          <w:rFonts w:ascii="Times New Roman" w:hAnsi="Times New Roman" w:cs="Times New Roman"/>
        </w:rPr>
        <w:t xml:space="preserve">wholesale </w:t>
      </w:r>
      <w:r w:rsidR="003131BD" w:rsidRPr="000D152F">
        <w:rPr>
          <w:rFonts w:ascii="Times New Roman" w:hAnsi="Times New Roman" w:cs="Times New Roman"/>
        </w:rPr>
        <w:t xml:space="preserve">but rather </w:t>
      </w:r>
      <w:r w:rsidRPr="000D152F">
        <w:rPr>
          <w:rFonts w:ascii="Times New Roman" w:hAnsi="Times New Roman" w:cs="Times New Roman"/>
        </w:rPr>
        <w:t xml:space="preserve">draw </w:t>
      </w:r>
      <w:r w:rsidR="00986E5E" w:rsidRPr="000D152F">
        <w:rPr>
          <w:rFonts w:ascii="Times New Roman" w:hAnsi="Times New Roman" w:cs="Times New Roman"/>
        </w:rPr>
        <w:t xml:space="preserve">insights </w:t>
      </w:r>
      <w:r w:rsidRPr="000D152F">
        <w:rPr>
          <w:rFonts w:ascii="Times New Roman" w:hAnsi="Times New Roman" w:cs="Times New Roman"/>
        </w:rPr>
        <w:t xml:space="preserve">from them vis-à-vis </w:t>
      </w:r>
      <w:r w:rsidR="00986E5E" w:rsidRPr="000D152F">
        <w:rPr>
          <w:rFonts w:ascii="Times New Roman" w:hAnsi="Times New Roman" w:cs="Times New Roman"/>
        </w:rPr>
        <w:t>the public-private relationship</w:t>
      </w:r>
      <w:r w:rsidRPr="000D152F">
        <w:rPr>
          <w:rFonts w:ascii="Times New Roman" w:hAnsi="Times New Roman" w:cs="Times New Roman"/>
        </w:rPr>
        <w:t xml:space="preserve"> today</w:t>
      </w:r>
      <w:r w:rsidR="003131BD" w:rsidRPr="000D152F">
        <w:rPr>
          <w:rFonts w:ascii="Times New Roman" w:hAnsi="Times New Roman" w:cs="Times New Roman"/>
        </w:rPr>
        <w:t xml:space="preserve">. </w:t>
      </w:r>
    </w:p>
    <w:p w14:paraId="2437B18D" w14:textId="77777777" w:rsidR="003131BD" w:rsidRPr="000D152F" w:rsidRDefault="003131BD"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3765A46C" w14:textId="3DC261E0" w:rsidR="00BE12AC" w:rsidRPr="000D152F" w:rsidRDefault="00BE12AC"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Both Aristotle and Cicero wrote during a period of pluralism in State structures: </w:t>
      </w:r>
      <w:r w:rsidR="00E11F1B" w:rsidRPr="000D152F">
        <w:rPr>
          <w:rFonts w:ascii="Times New Roman" w:hAnsi="Times New Roman" w:cs="Times New Roman"/>
        </w:rPr>
        <w:t>amongst</w:t>
      </w:r>
      <w:r w:rsidRPr="000D152F">
        <w:rPr>
          <w:rFonts w:ascii="Times New Roman" w:hAnsi="Times New Roman" w:cs="Times New Roman"/>
        </w:rPr>
        <w:t xml:space="preserve"> Greek city-States, some were oligarchic (such as Sparta</w:t>
      </w:r>
      <w:r w:rsidR="00DC52BE" w:rsidRPr="000D152F">
        <w:rPr>
          <w:rFonts w:ascii="Times New Roman" w:hAnsi="Times New Roman" w:cs="Times New Roman"/>
        </w:rPr>
        <w:t xml:space="preserve"> or Crete</w:t>
      </w:r>
      <w:r w:rsidR="00DC52BE" w:rsidRPr="000D152F">
        <w:rPr>
          <w:rStyle w:val="FootnoteReference"/>
          <w:rFonts w:ascii="Times New Roman" w:hAnsi="Times New Roman" w:cs="Times New Roman"/>
        </w:rPr>
        <w:footnoteReference w:id="61"/>
      </w:r>
      <w:r w:rsidRPr="000D152F">
        <w:rPr>
          <w:rFonts w:ascii="Times New Roman" w:hAnsi="Times New Roman" w:cs="Times New Roman"/>
        </w:rPr>
        <w:t xml:space="preserve">) others democratic in varying forms (Athens most notably). They also shared their geographic area with Egyptians </w:t>
      </w:r>
      <w:r w:rsidRPr="000D152F">
        <w:rPr>
          <w:rFonts w:ascii="Times New Roman" w:hAnsi="Times New Roman" w:cs="Times New Roman"/>
        </w:rPr>
        <w:lastRenderedPageBreak/>
        <w:t>and (increasingly) Macedonians who used monarchical models. Cicero, identifying a similar range of systems within his own political world</w:t>
      </w:r>
      <w:r w:rsidR="00A970C8" w:rsidRPr="000D152F">
        <w:rPr>
          <w:rStyle w:val="FootnoteReference"/>
          <w:rFonts w:ascii="Times New Roman" w:hAnsi="Times New Roman" w:cs="Times New Roman"/>
        </w:rPr>
        <w:footnoteReference w:id="62"/>
      </w:r>
      <w:r w:rsidRPr="000D152F">
        <w:rPr>
          <w:rFonts w:ascii="Times New Roman" w:hAnsi="Times New Roman" w:cs="Times New Roman"/>
        </w:rPr>
        <w:t xml:space="preserve"> could also add the ‘mixed’ model of republican Rome, </w:t>
      </w:r>
      <w:r w:rsidR="00F37B47" w:rsidRPr="000D152F">
        <w:rPr>
          <w:rFonts w:ascii="Times New Roman" w:hAnsi="Times New Roman" w:cs="Times New Roman"/>
        </w:rPr>
        <w:t xml:space="preserve">which shared </w:t>
      </w:r>
      <w:r w:rsidRPr="000D152F">
        <w:rPr>
          <w:rFonts w:ascii="Times New Roman" w:hAnsi="Times New Roman" w:cs="Times New Roman"/>
        </w:rPr>
        <w:t>characteristics of the democracy, o</w:t>
      </w:r>
      <w:r w:rsidR="00127F7C" w:rsidRPr="000D152F">
        <w:rPr>
          <w:rFonts w:ascii="Times New Roman" w:hAnsi="Times New Roman" w:cs="Times New Roman"/>
        </w:rPr>
        <w:t xml:space="preserve">ligarchy and monarchy. Each was therefore </w:t>
      </w:r>
      <w:r w:rsidRPr="000D152F">
        <w:rPr>
          <w:rFonts w:ascii="Times New Roman" w:hAnsi="Times New Roman" w:cs="Times New Roman"/>
        </w:rPr>
        <w:t>adept at understanding that different societies could structure themselves in very different ways, much as w</w:t>
      </w:r>
      <w:r w:rsidR="00384B86" w:rsidRPr="000D152F">
        <w:rPr>
          <w:rFonts w:ascii="Times New Roman" w:hAnsi="Times New Roman" w:cs="Times New Roman"/>
        </w:rPr>
        <w:t>e can identify a wide range of S</w:t>
      </w:r>
      <w:r w:rsidRPr="000D152F">
        <w:rPr>
          <w:rFonts w:ascii="Times New Roman" w:hAnsi="Times New Roman" w:cs="Times New Roman"/>
        </w:rPr>
        <w:t>tate structures, even amongst those that share a superficial veneer of market-democracy.</w:t>
      </w:r>
      <w:r w:rsidR="00747D29" w:rsidRPr="000D152F">
        <w:rPr>
          <w:rStyle w:val="FootnoteReference"/>
          <w:rFonts w:ascii="Times New Roman" w:hAnsi="Times New Roman" w:cs="Times New Roman"/>
        </w:rPr>
        <w:footnoteReference w:id="63"/>
      </w:r>
    </w:p>
    <w:p w14:paraId="29692CDA" w14:textId="77777777" w:rsidR="00BE12AC" w:rsidRPr="000D152F" w:rsidRDefault="00BE12AC"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36A46F5F" w14:textId="305FDE4A" w:rsidR="001B093C" w:rsidRPr="000D152F" w:rsidRDefault="001B093C"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Considerable </w:t>
      </w:r>
      <w:r w:rsidR="00BE12AC" w:rsidRPr="000D152F">
        <w:rPr>
          <w:rFonts w:ascii="Times New Roman" w:hAnsi="Times New Roman" w:cs="Times New Roman"/>
        </w:rPr>
        <w:t xml:space="preserve">attention is </w:t>
      </w:r>
      <w:r w:rsidR="004C2ADD" w:rsidRPr="000D152F">
        <w:rPr>
          <w:rFonts w:ascii="Times New Roman" w:hAnsi="Times New Roman" w:cs="Times New Roman"/>
        </w:rPr>
        <w:t xml:space="preserve">given </w:t>
      </w:r>
      <w:r w:rsidR="00E11F1B" w:rsidRPr="000D152F">
        <w:rPr>
          <w:rFonts w:ascii="Times New Roman" w:hAnsi="Times New Roman" w:cs="Times New Roman"/>
        </w:rPr>
        <w:t xml:space="preserve">by both Aristotle and Cicero </w:t>
      </w:r>
      <w:r w:rsidR="004C2ADD" w:rsidRPr="000D152F">
        <w:rPr>
          <w:rFonts w:ascii="Times New Roman" w:hAnsi="Times New Roman" w:cs="Times New Roman"/>
        </w:rPr>
        <w:t>to the relationship between different models of governance (building on Plato’s cycle of regimes from aristocracy to tyranny</w:t>
      </w:r>
      <w:r w:rsidR="004C2ADD" w:rsidRPr="000D152F">
        <w:rPr>
          <w:rStyle w:val="FootnoteReference"/>
          <w:rFonts w:ascii="Times New Roman" w:hAnsi="Times New Roman" w:cs="Times New Roman"/>
        </w:rPr>
        <w:footnoteReference w:id="64"/>
      </w:r>
      <w:r w:rsidR="004C2ADD" w:rsidRPr="000D152F">
        <w:rPr>
          <w:rFonts w:ascii="Times New Roman" w:hAnsi="Times New Roman" w:cs="Times New Roman"/>
        </w:rPr>
        <w:t xml:space="preserve">), </w:t>
      </w:r>
      <w:r w:rsidRPr="000D152F">
        <w:rPr>
          <w:rFonts w:ascii="Times New Roman" w:hAnsi="Times New Roman" w:cs="Times New Roman"/>
        </w:rPr>
        <w:t>which further ingrains the inherent flexibility and mutability of the nature of a State structure (something our contemporary analyses of the public fail to do).</w:t>
      </w:r>
      <w:r w:rsidR="00746740" w:rsidRPr="000D152F">
        <w:rPr>
          <w:rStyle w:val="FootnoteReference"/>
          <w:rFonts w:ascii="Times New Roman" w:hAnsi="Times New Roman" w:cs="Times New Roman"/>
        </w:rPr>
        <w:footnoteReference w:id="65"/>
      </w:r>
      <w:r w:rsidRPr="000D152F">
        <w:rPr>
          <w:rFonts w:ascii="Times New Roman" w:hAnsi="Times New Roman" w:cs="Times New Roman"/>
        </w:rPr>
        <w:t xml:space="preserve"> For Cicero this is the ‘instability of </w:t>
      </w:r>
      <w:r w:rsidR="00A72316" w:rsidRPr="000D152F">
        <w:rPr>
          <w:rFonts w:ascii="Times New Roman" w:hAnsi="Times New Roman" w:cs="Times New Roman"/>
        </w:rPr>
        <w:t>simple forms’ – the fluid relationsh</w:t>
      </w:r>
      <w:r w:rsidR="00C14FD8" w:rsidRPr="000D152F">
        <w:rPr>
          <w:rFonts w:ascii="Times New Roman" w:hAnsi="Times New Roman" w:cs="Times New Roman"/>
        </w:rPr>
        <w:t>ip between models of governance.</w:t>
      </w:r>
      <w:r w:rsidR="00C14FD8" w:rsidRPr="000D152F">
        <w:rPr>
          <w:rStyle w:val="FootnoteReference"/>
          <w:rFonts w:ascii="Times New Roman" w:hAnsi="Times New Roman" w:cs="Times New Roman"/>
        </w:rPr>
        <w:footnoteReference w:id="66"/>
      </w:r>
    </w:p>
    <w:p w14:paraId="535369E2" w14:textId="77777777" w:rsidR="001B093C" w:rsidRPr="000D152F" w:rsidRDefault="001B093C"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43B55D3B" w14:textId="50C80D96" w:rsidR="00BE12AC" w:rsidRPr="000D152F" w:rsidRDefault="001B093C"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While </w:t>
      </w:r>
      <w:r w:rsidR="004C2ADD" w:rsidRPr="000D152F">
        <w:rPr>
          <w:rFonts w:ascii="Times New Roman" w:hAnsi="Times New Roman" w:cs="Times New Roman"/>
        </w:rPr>
        <w:t xml:space="preserve">focus </w:t>
      </w:r>
      <w:r w:rsidRPr="000D152F">
        <w:rPr>
          <w:rFonts w:ascii="Times New Roman" w:hAnsi="Times New Roman" w:cs="Times New Roman"/>
        </w:rPr>
        <w:t xml:space="preserve">is given to the </w:t>
      </w:r>
      <w:r w:rsidR="00BE12AC" w:rsidRPr="000D152F">
        <w:rPr>
          <w:rFonts w:ascii="Times New Roman" w:hAnsi="Times New Roman" w:cs="Times New Roman"/>
        </w:rPr>
        <w:t xml:space="preserve">merits of the different models, </w:t>
      </w:r>
      <w:r w:rsidRPr="000D152F">
        <w:rPr>
          <w:rFonts w:ascii="Times New Roman" w:hAnsi="Times New Roman" w:cs="Times New Roman"/>
        </w:rPr>
        <w:t xml:space="preserve">neither Aristotle nor Cicero seek to </w:t>
      </w:r>
      <w:r w:rsidR="00BE12AC" w:rsidRPr="000D152F">
        <w:rPr>
          <w:rFonts w:ascii="Times New Roman" w:hAnsi="Times New Roman" w:cs="Times New Roman"/>
        </w:rPr>
        <w:t xml:space="preserve">answer which system works most effectively without a purpose in mind. </w:t>
      </w:r>
      <w:r w:rsidR="00BA5540" w:rsidRPr="000D152F">
        <w:rPr>
          <w:rFonts w:ascii="Times New Roman" w:hAnsi="Times New Roman" w:cs="Times New Roman"/>
        </w:rPr>
        <w:t>For Aristotle, he is clear:</w:t>
      </w:r>
    </w:p>
    <w:p w14:paraId="4421690E" w14:textId="77777777" w:rsidR="00BA5540" w:rsidRPr="000D152F" w:rsidRDefault="00BA5540"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25BE029E" w14:textId="2EB51CDD" w:rsidR="00BA5540" w:rsidRPr="000D152F" w:rsidRDefault="00BA5540"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ight="567"/>
        <w:jc w:val="both"/>
        <w:rPr>
          <w:rFonts w:ascii="Times New Roman" w:hAnsi="Times New Roman" w:cs="Times New Roman"/>
        </w:rPr>
      </w:pPr>
      <w:r w:rsidRPr="000D152F">
        <w:rPr>
          <w:rFonts w:ascii="Times New Roman" w:hAnsi="Times New Roman" w:cs="Times New Roman"/>
        </w:rPr>
        <w:t>‘Observation shows us, first, that every city</w:t>
      </w:r>
      <w:r w:rsidR="00787B8B" w:rsidRPr="000D152F">
        <w:rPr>
          <w:rFonts w:ascii="Times New Roman" w:hAnsi="Times New Roman" w:cs="Times New Roman"/>
        </w:rPr>
        <w:t>-State</w:t>
      </w:r>
      <w:r w:rsidRPr="000D152F">
        <w:rPr>
          <w:rFonts w:ascii="Times New Roman" w:hAnsi="Times New Roman" w:cs="Times New Roman"/>
        </w:rPr>
        <w:t xml:space="preserve"> [</w:t>
      </w:r>
      <w:r w:rsidRPr="000D152F">
        <w:rPr>
          <w:rFonts w:ascii="Times New Roman" w:hAnsi="Times New Roman" w:cs="Times New Roman"/>
          <w:i/>
        </w:rPr>
        <w:t>polis</w:t>
      </w:r>
      <w:r w:rsidRPr="000D152F">
        <w:rPr>
          <w:rFonts w:ascii="Times New Roman" w:hAnsi="Times New Roman" w:cs="Times New Roman"/>
        </w:rPr>
        <w:t>] is a species of association</w:t>
      </w:r>
      <w:r w:rsidR="0064539B" w:rsidRPr="000D152F">
        <w:rPr>
          <w:rFonts w:ascii="Times New Roman" w:hAnsi="Times New Roman" w:cs="Times New Roman"/>
        </w:rPr>
        <w:t xml:space="preserve"> [</w:t>
      </w:r>
      <w:r w:rsidR="0064539B" w:rsidRPr="000D152F">
        <w:rPr>
          <w:rFonts w:ascii="Times New Roman" w:hAnsi="Times New Roman" w:cs="Times New Roman"/>
          <w:i/>
        </w:rPr>
        <w:t>koinonia</w:t>
      </w:r>
      <w:r w:rsidR="0064539B" w:rsidRPr="000D152F">
        <w:rPr>
          <w:rFonts w:ascii="Times New Roman" w:hAnsi="Times New Roman" w:cs="Times New Roman"/>
        </w:rPr>
        <w:t>]</w:t>
      </w:r>
      <w:r w:rsidR="00AD404A" w:rsidRPr="000D152F">
        <w:rPr>
          <w:rFonts w:ascii="Times New Roman" w:hAnsi="Times New Roman" w:cs="Times New Roman"/>
        </w:rPr>
        <w:t>,</w:t>
      </w:r>
      <w:r w:rsidRPr="000D152F">
        <w:rPr>
          <w:rFonts w:ascii="Times New Roman" w:hAnsi="Times New Roman" w:cs="Times New Roman"/>
        </w:rPr>
        <w:t xml:space="preserve"> and, secondly, that all </w:t>
      </w:r>
      <w:r w:rsidR="00AD404A" w:rsidRPr="000D152F">
        <w:rPr>
          <w:rFonts w:ascii="Times New Roman" w:hAnsi="Times New Roman" w:cs="Times New Roman"/>
        </w:rPr>
        <w:t xml:space="preserve">associations come into being for the sake of some good – for all men do all their acts with a view of achieving something which is, in their view, a good. It is clear therefore that all associations aim at some good, and that the particular association which is the most sovereign </w:t>
      </w:r>
      <w:r w:rsidR="00AD404A" w:rsidRPr="000D152F">
        <w:rPr>
          <w:rFonts w:ascii="Times New Roman" w:hAnsi="Times New Roman" w:cs="Times New Roman"/>
        </w:rPr>
        <w:lastRenderedPageBreak/>
        <w:t>of all, and includes all the rest, will pursue this aim most, and will thus be directed to the most sovereign of all goods. This most sovereign and inclusive association is the city</w:t>
      </w:r>
      <w:r w:rsidR="007E6B1F" w:rsidRPr="000D152F">
        <w:rPr>
          <w:rFonts w:ascii="Times New Roman" w:hAnsi="Times New Roman" w:cs="Times New Roman"/>
        </w:rPr>
        <w:t>-State</w:t>
      </w:r>
      <w:r w:rsidR="00AD404A" w:rsidRPr="000D152F">
        <w:rPr>
          <w:rFonts w:ascii="Times New Roman" w:hAnsi="Times New Roman" w:cs="Times New Roman"/>
        </w:rPr>
        <w:t xml:space="preserve"> [or </w:t>
      </w:r>
      <w:r w:rsidR="00AD404A" w:rsidRPr="000D152F">
        <w:rPr>
          <w:rFonts w:ascii="Times New Roman" w:hAnsi="Times New Roman" w:cs="Times New Roman"/>
          <w:i/>
        </w:rPr>
        <w:t>polis</w:t>
      </w:r>
      <w:r w:rsidR="00AD404A" w:rsidRPr="000D152F">
        <w:rPr>
          <w:rFonts w:ascii="Times New Roman" w:hAnsi="Times New Roman" w:cs="Times New Roman"/>
        </w:rPr>
        <w:t>], as it is called, or the political association.’</w:t>
      </w:r>
      <w:r w:rsidR="00AD404A" w:rsidRPr="000D152F">
        <w:rPr>
          <w:rStyle w:val="FootnoteReference"/>
          <w:rFonts w:ascii="Times New Roman" w:hAnsi="Times New Roman" w:cs="Times New Roman"/>
        </w:rPr>
        <w:footnoteReference w:id="67"/>
      </w:r>
    </w:p>
    <w:p w14:paraId="68ED5CE1" w14:textId="77777777" w:rsidR="00BE12AC" w:rsidRPr="000D152F" w:rsidRDefault="00BE12AC"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098428E9" w14:textId="6B5A1176" w:rsidR="001C0EE0" w:rsidRPr="000D152F" w:rsidRDefault="00AD404A"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It is worth noting that the term here translated by Barker as ‘association’ (</w:t>
      </w:r>
      <w:r w:rsidRPr="000D152F">
        <w:rPr>
          <w:rFonts w:ascii="Times New Roman" w:hAnsi="Times New Roman" w:cs="Times New Roman"/>
          <w:i/>
        </w:rPr>
        <w:t>koinonia</w:t>
      </w:r>
      <w:r w:rsidRPr="000D152F">
        <w:rPr>
          <w:rFonts w:ascii="Times New Roman" w:hAnsi="Times New Roman" w:cs="Times New Roman"/>
        </w:rPr>
        <w:t>) has with it a sense of sharing and participation,</w:t>
      </w:r>
      <w:r w:rsidR="00093E88" w:rsidRPr="000D152F">
        <w:rPr>
          <w:rStyle w:val="FootnoteReference"/>
          <w:rFonts w:ascii="Times New Roman" w:hAnsi="Times New Roman" w:cs="Times New Roman"/>
        </w:rPr>
        <w:footnoteReference w:id="68"/>
      </w:r>
      <w:r w:rsidRPr="000D152F">
        <w:rPr>
          <w:rFonts w:ascii="Times New Roman" w:hAnsi="Times New Roman" w:cs="Times New Roman"/>
        </w:rPr>
        <w:t xml:space="preserve"> thus in the original </w:t>
      </w:r>
      <w:r w:rsidRPr="000D152F">
        <w:rPr>
          <w:rFonts w:ascii="Times New Roman" w:hAnsi="Times New Roman" w:cs="Times New Roman"/>
          <w:i/>
        </w:rPr>
        <w:t>koinonia</w:t>
      </w:r>
      <w:r w:rsidRPr="000D152F">
        <w:rPr>
          <w:rFonts w:ascii="Times New Roman" w:hAnsi="Times New Roman" w:cs="Times New Roman"/>
        </w:rPr>
        <w:t xml:space="preserve"> can be applied to </w:t>
      </w:r>
      <w:r w:rsidR="00384B86" w:rsidRPr="000D152F">
        <w:rPr>
          <w:rFonts w:ascii="Times New Roman" w:hAnsi="Times New Roman" w:cs="Times New Roman"/>
        </w:rPr>
        <w:t xml:space="preserve">more than </w:t>
      </w:r>
      <w:r w:rsidRPr="000D152F">
        <w:rPr>
          <w:rFonts w:ascii="Times New Roman" w:hAnsi="Times New Roman" w:cs="Times New Roman"/>
        </w:rPr>
        <w:t>a city-State.</w:t>
      </w:r>
      <w:r w:rsidR="004C25B4" w:rsidRPr="000D152F">
        <w:rPr>
          <w:rStyle w:val="FootnoteReference"/>
          <w:rFonts w:ascii="Times New Roman" w:hAnsi="Times New Roman" w:cs="Times New Roman"/>
        </w:rPr>
        <w:footnoteReference w:id="69"/>
      </w:r>
      <w:r w:rsidRPr="000D152F">
        <w:rPr>
          <w:rFonts w:ascii="Times New Roman" w:hAnsi="Times New Roman" w:cs="Times New Roman"/>
        </w:rPr>
        <w:t xml:space="preserve"> </w:t>
      </w:r>
      <w:r w:rsidR="001C0EE0" w:rsidRPr="000D152F">
        <w:rPr>
          <w:rFonts w:ascii="Times New Roman" w:hAnsi="Times New Roman" w:cs="Times New Roman"/>
        </w:rPr>
        <w:t xml:space="preserve">Key in Aristotle’s </w:t>
      </w:r>
      <w:r w:rsidR="00384B86" w:rsidRPr="000D152F">
        <w:rPr>
          <w:rFonts w:ascii="Times New Roman" w:hAnsi="Times New Roman" w:cs="Times New Roman"/>
        </w:rPr>
        <w:t>introduction</w:t>
      </w:r>
      <w:r w:rsidR="001C0EE0" w:rsidRPr="000D152F">
        <w:rPr>
          <w:rFonts w:ascii="Times New Roman" w:hAnsi="Times New Roman" w:cs="Times New Roman"/>
        </w:rPr>
        <w:t xml:space="preserve"> is the teleological examination of the political </w:t>
      </w:r>
      <w:r w:rsidR="00A726B9" w:rsidRPr="000D152F">
        <w:rPr>
          <w:rFonts w:ascii="Times New Roman" w:hAnsi="Times New Roman" w:cs="Times New Roman"/>
        </w:rPr>
        <w:t>association</w:t>
      </w:r>
      <w:r w:rsidR="001C0EE0" w:rsidRPr="000D152F">
        <w:rPr>
          <w:rFonts w:ascii="Times New Roman" w:hAnsi="Times New Roman" w:cs="Times New Roman"/>
        </w:rPr>
        <w:t>.</w:t>
      </w:r>
      <w:r w:rsidR="00090ED5" w:rsidRPr="000D152F">
        <w:rPr>
          <w:rStyle w:val="FootnoteReference"/>
          <w:rFonts w:ascii="Times New Roman" w:hAnsi="Times New Roman" w:cs="Times New Roman"/>
        </w:rPr>
        <w:footnoteReference w:id="70"/>
      </w:r>
      <w:r w:rsidR="001C0EE0" w:rsidRPr="000D152F">
        <w:rPr>
          <w:rFonts w:ascii="Times New Roman" w:hAnsi="Times New Roman" w:cs="Times New Roman"/>
        </w:rPr>
        <w:t xml:space="preserve"> He is careful not to give all the same </w:t>
      </w:r>
      <w:r w:rsidR="004C25B4" w:rsidRPr="000D152F">
        <w:rPr>
          <w:rFonts w:ascii="Times New Roman" w:hAnsi="Times New Roman" w:cs="Times New Roman"/>
        </w:rPr>
        <w:t>aim or objective (</w:t>
      </w:r>
      <w:r w:rsidR="001C0EE0" w:rsidRPr="000D152F">
        <w:rPr>
          <w:rFonts w:ascii="Times New Roman" w:hAnsi="Times New Roman" w:cs="Times New Roman"/>
          <w:i/>
        </w:rPr>
        <w:t>telos</w:t>
      </w:r>
      <w:r w:rsidR="004C25B4" w:rsidRPr="000D152F">
        <w:rPr>
          <w:rFonts w:ascii="Times New Roman" w:hAnsi="Times New Roman" w:cs="Times New Roman"/>
        </w:rPr>
        <w:t>)</w:t>
      </w:r>
      <w:r w:rsidR="001C0EE0" w:rsidRPr="000D152F">
        <w:rPr>
          <w:rFonts w:ascii="Times New Roman" w:hAnsi="Times New Roman" w:cs="Times New Roman"/>
        </w:rPr>
        <w:t xml:space="preserve">– note the qualification, ‘all men do all their acts with a view of achieving something which is, </w:t>
      </w:r>
      <w:r w:rsidR="001C0EE0" w:rsidRPr="000D152F">
        <w:rPr>
          <w:rFonts w:ascii="Times New Roman" w:hAnsi="Times New Roman" w:cs="Times New Roman"/>
          <w:i/>
        </w:rPr>
        <w:t>in their view</w:t>
      </w:r>
      <w:r w:rsidR="001C0EE0" w:rsidRPr="000D152F">
        <w:rPr>
          <w:rFonts w:ascii="Times New Roman" w:hAnsi="Times New Roman" w:cs="Times New Roman"/>
        </w:rPr>
        <w:t>, a good.’</w:t>
      </w:r>
      <w:r w:rsidR="001C0EE0" w:rsidRPr="000D152F">
        <w:rPr>
          <w:rStyle w:val="FootnoteReference"/>
          <w:rFonts w:ascii="Times New Roman" w:hAnsi="Times New Roman" w:cs="Times New Roman"/>
        </w:rPr>
        <w:footnoteReference w:id="71"/>
      </w:r>
      <w:r w:rsidR="00A356ED" w:rsidRPr="000D152F">
        <w:rPr>
          <w:rFonts w:ascii="Times New Roman" w:hAnsi="Times New Roman" w:cs="Times New Roman"/>
        </w:rPr>
        <w:t xml:space="preserve"> Nor does he fall into the trap of considering </w:t>
      </w:r>
      <w:r w:rsidR="003A3798" w:rsidRPr="000D152F">
        <w:rPr>
          <w:rFonts w:ascii="Times New Roman" w:hAnsi="Times New Roman" w:cs="Times New Roman"/>
        </w:rPr>
        <w:t xml:space="preserve">the aims of the monarch (for example) as being equal to the </w:t>
      </w:r>
      <w:r w:rsidR="00F510EB" w:rsidRPr="000D152F">
        <w:rPr>
          <w:rFonts w:ascii="Times New Roman" w:hAnsi="Times New Roman" w:cs="Times New Roman"/>
        </w:rPr>
        <w:t>aim of the political association</w:t>
      </w:r>
      <w:r w:rsidR="003A3798" w:rsidRPr="000D152F">
        <w:rPr>
          <w:rFonts w:ascii="Times New Roman" w:hAnsi="Times New Roman" w:cs="Times New Roman"/>
        </w:rPr>
        <w:t xml:space="preserve">. </w:t>
      </w:r>
      <w:r w:rsidR="008275C7" w:rsidRPr="000D152F">
        <w:rPr>
          <w:rFonts w:ascii="Times New Roman" w:hAnsi="Times New Roman" w:cs="Times New Roman"/>
        </w:rPr>
        <w:t xml:space="preserve">The statesman is limited both by the rules of statesmanship as </w:t>
      </w:r>
      <w:r w:rsidR="005578D6" w:rsidRPr="000D152F">
        <w:rPr>
          <w:rFonts w:ascii="Times New Roman" w:hAnsi="Times New Roman" w:cs="Times New Roman"/>
        </w:rPr>
        <w:t>well as the impossibility of</w:t>
      </w:r>
      <w:r w:rsidR="008275C7" w:rsidRPr="000D152F">
        <w:rPr>
          <w:rFonts w:ascii="Times New Roman" w:hAnsi="Times New Roman" w:cs="Times New Roman"/>
        </w:rPr>
        <w:t xml:space="preserve"> being o</w:t>
      </w:r>
      <w:r w:rsidR="008573A8" w:rsidRPr="000D152F">
        <w:rPr>
          <w:rFonts w:ascii="Times New Roman" w:hAnsi="Times New Roman" w:cs="Times New Roman"/>
        </w:rPr>
        <w:t xml:space="preserve">utside of the political system: </w:t>
      </w:r>
      <w:r w:rsidR="008275C7" w:rsidRPr="000D152F">
        <w:rPr>
          <w:rFonts w:ascii="Times New Roman" w:hAnsi="Times New Roman" w:cs="Times New Roman"/>
        </w:rPr>
        <w:t>‘one who rules and is ruled in turn.’</w:t>
      </w:r>
      <w:r w:rsidR="008275C7" w:rsidRPr="000D152F">
        <w:rPr>
          <w:rStyle w:val="FootnoteReference"/>
          <w:rFonts w:ascii="Times New Roman" w:hAnsi="Times New Roman" w:cs="Times New Roman"/>
        </w:rPr>
        <w:footnoteReference w:id="72"/>
      </w:r>
    </w:p>
    <w:p w14:paraId="4C2A4224" w14:textId="77777777" w:rsidR="00E35194" w:rsidRPr="000D152F" w:rsidRDefault="00E35194"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5C0E457A" w14:textId="5C4CF02C" w:rsidR="00E35194" w:rsidRPr="000D152F" w:rsidRDefault="00E35194"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This </w:t>
      </w:r>
      <w:r w:rsidR="00FD3617" w:rsidRPr="000D152F">
        <w:rPr>
          <w:rFonts w:ascii="Times New Roman" w:hAnsi="Times New Roman" w:cs="Times New Roman"/>
        </w:rPr>
        <w:t xml:space="preserve">objective or </w:t>
      </w:r>
      <w:r w:rsidRPr="000D152F">
        <w:rPr>
          <w:rFonts w:ascii="Times New Roman" w:hAnsi="Times New Roman" w:cs="Times New Roman"/>
        </w:rPr>
        <w:t xml:space="preserve">aim both guides the political association as an objective but </w:t>
      </w:r>
      <w:r w:rsidR="005578D6" w:rsidRPr="000D152F">
        <w:rPr>
          <w:rFonts w:ascii="Times New Roman" w:hAnsi="Times New Roman" w:cs="Times New Roman"/>
        </w:rPr>
        <w:t xml:space="preserve">is </w:t>
      </w:r>
      <w:r w:rsidR="00E42043" w:rsidRPr="000D152F">
        <w:rPr>
          <w:rFonts w:ascii="Times New Roman" w:hAnsi="Times New Roman" w:cs="Times New Roman"/>
        </w:rPr>
        <w:t xml:space="preserve">also </w:t>
      </w:r>
      <w:r w:rsidR="005578D6" w:rsidRPr="000D152F">
        <w:rPr>
          <w:rFonts w:ascii="Times New Roman" w:hAnsi="Times New Roman" w:cs="Times New Roman"/>
        </w:rPr>
        <w:t>a constituting factor: w</w:t>
      </w:r>
      <w:r w:rsidRPr="000D152F">
        <w:rPr>
          <w:rFonts w:ascii="Times New Roman" w:hAnsi="Times New Roman" w:cs="Times New Roman"/>
        </w:rPr>
        <w:t xml:space="preserve">ere it not for this objective, the association would not exist. Further, where there are disagreements over the appropriate form of, or policy to be taken by, an association, it is only by understanding the </w:t>
      </w:r>
      <w:r w:rsidR="00256ADE" w:rsidRPr="000D152F">
        <w:rPr>
          <w:rFonts w:ascii="Times New Roman" w:hAnsi="Times New Roman" w:cs="Times New Roman"/>
        </w:rPr>
        <w:t xml:space="preserve">aim </w:t>
      </w:r>
      <w:r w:rsidRPr="000D152F">
        <w:rPr>
          <w:rFonts w:ascii="Times New Roman" w:hAnsi="Times New Roman" w:cs="Times New Roman"/>
        </w:rPr>
        <w:t>(</w:t>
      </w:r>
      <w:r w:rsidRPr="000D152F">
        <w:rPr>
          <w:rFonts w:ascii="Times New Roman" w:hAnsi="Times New Roman" w:cs="Times New Roman"/>
          <w:i/>
        </w:rPr>
        <w:t>telos</w:t>
      </w:r>
      <w:r w:rsidRPr="000D152F">
        <w:rPr>
          <w:rFonts w:ascii="Times New Roman" w:hAnsi="Times New Roman" w:cs="Times New Roman"/>
        </w:rPr>
        <w:t>) of the political association that we can decide on the appropriate course of action.</w:t>
      </w:r>
      <w:r w:rsidRPr="000D152F">
        <w:rPr>
          <w:rStyle w:val="FootnoteReference"/>
          <w:rFonts w:ascii="Times New Roman" w:hAnsi="Times New Roman" w:cs="Times New Roman"/>
        </w:rPr>
        <w:footnoteReference w:id="73"/>
      </w:r>
      <w:r w:rsidRPr="000D152F">
        <w:rPr>
          <w:rFonts w:ascii="Times New Roman" w:hAnsi="Times New Roman" w:cs="Times New Roman"/>
        </w:rPr>
        <w:t xml:space="preserve"> The teleological examination is thus necessary to resolve debates over the appropriate form and policies of a political association.</w:t>
      </w:r>
    </w:p>
    <w:p w14:paraId="2A8C4AEA" w14:textId="77777777" w:rsidR="00E35194" w:rsidRPr="000D152F" w:rsidRDefault="00E35194"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27EF5881" w14:textId="3E275BFA" w:rsidR="00F510EB" w:rsidRPr="000D152F" w:rsidRDefault="00E35194"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In order t</w:t>
      </w:r>
      <w:r w:rsidR="009A5E48" w:rsidRPr="000D152F">
        <w:rPr>
          <w:rFonts w:ascii="Times New Roman" w:hAnsi="Times New Roman" w:cs="Times New Roman"/>
        </w:rPr>
        <w:t>o understand a social structure</w:t>
      </w:r>
      <w:r w:rsidRPr="000D152F">
        <w:rPr>
          <w:rFonts w:ascii="Times New Roman" w:hAnsi="Times New Roman" w:cs="Times New Roman"/>
        </w:rPr>
        <w:t xml:space="preserve"> we need, therefore</w:t>
      </w:r>
      <w:r w:rsidR="009A5E48" w:rsidRPr="000D152F">
        <w:rPr>
          <w:rFonts w:ascii="Times New Roman" w:hAnsi="Times New Roman" w:cs="Times New Roman"/>
        </w:rPr>
        <w:t>,</w:t>
      </w:r>
      <w:r w:rsidRPr="000D152F">
        <w:rPr>
          <w:rFonts w:ascii="Times New Roman" w:hAnsi="Times New Roman" w:cs="Times New Roman"/>
        </w:rPr>
        <w:t xml:space="preserve"> to understand the </w:t>
      </w:r>
      <w:r w:rsidRPr="000D152F">
        <w:rPr>
          <w:rFonts w:ascii="Times New Roman" w:hAnsi="Times New Roman" w:cs="Times New Roman"/>
          <w:i/>
        </w:rPr>
        <w:t>why</w:t>
      </w:r>
      <w:r w:rsidRPr="000D152F">
        <w:rPr>
          <w:rFonts w:ascii="Times New Roman" w:hAnsi="Times New Roman" w:cs="Times New Roman"/>
        </w:rPr>
        <w:t xml:space="preserve"> of </w:t>
      </w:r>
      <w:r w:rsidR="009A5E48" w:rsidRPr="000D152F">
        <w:rPr>
          <w:rFonts w:ascii="Times New Roman" w:hAnsi="Times New Roman" w:cs="Times New Roman"/>
        </w:rPr>
        <w:t>a social structure</w:t>
      </w:r>
      <w:r w:rsidRPr="000D152F">
        <w:rPr>
          <w:rFonts w:ascii="Times New Roman" w:hAnsi="Times New Roman" w:cs="Times New Roman"/>
        </w:rPr>
        <w:t xml:space="preserve">. At a fundamental level, the aim of the association </w:t>
      </w:r>
      <w:r w:rsidR="009A5E48" w:rsidRPr="000D152F">
        <w:rPr>
          <w:rFonts w:ascii="Times New Roman" w:hAnsi="Times New Roman" w:cs="Times New Roman"/>
        </w:rPr>
        <w:t>is the reason for its existence;</w:t>
      </w:r>
      <w:r w:rsidRPr="000D152F">
        <w:rPr>
          <w:rFonts w:ascii="Times New Roman" w:hAnsi="Times New Roman" w:cs="Times New Roman"/>
        </w:rPr>
        <w:t xml:space="preserve"> without that purpose, it would not </w:t>
      </w:r>
      <w:r w:rsidR="009A5E48" w:rsidRPr="000D152F">
        <w:rPr>
          <w:rFonts w:ascii="Times New Roman" w:hAnsi="Times New Roman" w:cs="Times New Roman"/>
        </w:rPr>
        <w:t xml:space="preserve">have been </w:t>
      </w:r>
      <w:r w:rsidRPr="000D152F">
        <w:rPr>
          <w:rFonts w:ascii="Times New Roman" w:hAnsi="Times New Roman" w:cs="Times New Roman"/>
        </w:rPr>
        <w:t xml:space="preserve">constituted. The </w:t>
      </w:r>
      <w:r w:rsidRPr="000D152F">
        <w:rPr>
          <w:rFonts w:ascii="Times New Roman" w:hAnsi="Times New Roman" w:cs="Times New Roman"/>
          <w:i/>
        </w:rPr>
        <w:t>telos</w:t>
      </w:r>
      <w:r w:rsidRPr="000D152F">
        <w:rPr>
          <w:rFonts w:ascii="Times New Roman" w:hAnsi="Times New Roman" w:cs="Times New Roman"/>
        </w:rPr>
        <w:t xml:space="preserve"> of the association is thus a defining element of its existence – and </w:t>
      </w:r>
      <w:r w:rsidR="00390736" w:rsidRPr="000D152F">
        <w:rPr>
          <w:rFonts w:ascii="Times New Roman" w:hAnsi="Times New Roman" w:cs="Times New Roman"/>
        </w:rPr>
        <w:t xml:space="preserve">the association </w:t>
      </w:r>
      <w:r w:rsidRPr="000D152F">
        <w:rPr>
          <w:rFonts w:ascii="Times New Roman" w:hAnsi="Times New Roman" w:cs="Times New Roman"/>
        </w:rPr>
        <w:t xml:space="preserve">cannot be understood without </w:t>
      </w:r>
      <w:r w:rsidR="005578D6" w:rsidRPr="000D152F">
        <w:rPr>
          <w:rFonts w:ascii="Times New Roman" w:hAnsi="Times New Roman" w:cs="Times New Roman"/>
        </w:rPr>
        <w:t>knowing</w:t>
      </w:r>
      <w:r w:rsidRPr="000D152F">
        <w:rPr>
          <w:rFonts w:ascii="Times New Roman" w:hAnsi="Times New Roman" w:cs="Times New Roman"/>
        </w:rPr>
        <w:t xml:space="preserve"> </w:t>
      </w:r>
      <w:r w:rsidR="00390736" w:rsidRPr="000D152F">
        <w:rPr>
          <w:rFonts w:ascii="Times New Roman" w:hAnsi="Times New Roman" w:cs="Times New Roman"/>
        </w:rPr>
        <w:t>it</w:t>
      </w:r>
      <w:r w:rsidRPr="000D152F">
        <w:rPr>
          <w:rFonts w:ascii="Times New Roman" w:hAnsi="Times New Roman" w:cs="Times New Roman"/>
        </w:rPr>
        <w:t>.</w:t>
      </w:r>
      <w:bookmarkStart w:id="16" w:name="_Ref260653182"/>
      <w:r w:rsidRPr="000D152F">
        <w:rPr>
          <w:rStyle w:val="FootnoteReference"/>
          <w:rFonts w:ascii="Times New Roman" w:hAnsi="Times New Roman" w:cs="Times New Roman"/>
        </w:rPr>
        <w:footnoteReference w:id="74"/>
      </w:r>
      <w:bookmarkEnd w:id="16"/>
    </w:p>
    <w:p w14:paraId="4CA2DA66" w14:textId="77777777" w:rsidR="00E35194" w:rsidRPr="000D152F" w:rsidRDefault="00E35194"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4A1D289D" w14:textId="1E9B219B" w:rsidR="00A415C6" w:rsidRPr="000D152F" w:rsidRDefault="0006506E"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Aristotle then</w:t>
      </w:r>
      <w:r w:rsidR="00125238" w:rsidRPr="000D152F">
        <w:rPr>
          <w:rFonts w:ascii="Times New Roman" w:hAnsi="Times New Roman" w:cs="Times New Roman"/>
        </w:rPr>
        <w:t xml:space="preserve"> turns to the aim or objective of the </w:t>
      </w:r>
      <w:r w:rsidR="007E6B1F" w:rsidRPr="000D152F">
        <w:rPr>
          <w:rFonts w:ascii="Times New Roman" w:hAnsi="Times New Roman" w:cs="Times New Roman"/>
        </w:rPr>
        <w:t xml:space="preserve">political association </w:t>
      </w:r>
      <w:r w:rsidR="00125238" w:rsidRPr="000D152F">
        <w:rPr>
          <w:rFonts w:ascii="Times New Roman" w:hAnsi="Times New Roman" w:cs="Times New Roman"/>
        </w:rPr>
        <w:t xml:space="preserve">that, in turn, leads him to examine the objectives of the best constitution. </w:t>
      </w:r>
      <w:r w:rsidR="003F59FD" w:rsidRPr="000D152F">
        <w:rPr>
          <w:rFonts w:ascii="Times New Roman" w:hAnsi="Times New Roman" w:cs="Times New Roman"/>
        </w:rPr>
        <w:t>This is, in his view, the pursuit of a life of goodness.</w:t>
      </w:r>
      <w:r w:rsidR="003F59FD" w:rsidRPr="000D152F">
        <w:rPr>
          <w:rStyle w:val="FootnoteReference"/>
          <w:rFonts w:ascii="Times New Roman" w:hAnsi="Times New Roman" w:cs="Times New Roman"/>
        </w:rPr>
        <w:footnoteReference w:id="75"/>
      </w:r>
      <w:r w:rsidR="00577397" w:rsidRPr="000D152F">
        <w:rPr>
          <w:rFonts w:ascii="Times New Roman" w:hAnsi="Times New Roman" w:cs="Times New Roman"/>
        </w:rPr>
        <w:t xml:space="preserve"> </w:t>
      </w:r>
      <w:r w:rsidR="00A415C6" w:rsidRPr="000D152F">
        <w:rPr>
          <w:rFonts w:ascii="Times New Roman" w:hAnsi="Times New Roman" w:cs="Times New Roman"/>
        </w:rPr>
        <w:t>The political association is to allow the fullest development of the good life by its citizens: ‘any city which is truly so called, and is not merely one in name, must devote itself to the end of encouraging goodness.’</w:t>
      </w:r>
      <w:r w:rsidR="00A415C6" w:rsidRPr="000D152F">
        <w:rPr>
          <w:rStyle w:val="FootnoteReference"/>
          <w:rFonts w:ascii="Times New Roman" w:hAnsi="Times New Roman" w:cs="Times New Roman"/>
        </w:rPr>
        <w:footnoteReference w:id="76"/>
      </w:r>
    </w:p>
    <w:p w14:paraId="442B4931" w14:textId="5BABDA7D" w:rsidR="00A415C6" w:rsidRPr="000D152F" w:rsidRDefault="00A415C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 </w:t>
      </w:r>
    </w:p>
    <w:p w14:paraId="32B79115" w14:textId="39CCE440" w:rsidR="00294971" w:rsidRPr="000D152F" w:rsidRDefault="00D07ADF"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When determining which forms of government can best contribute to this aim, </w:t>
      </w:r>
      <w:r w:rsidR="00294971" w:rsidRPr="000D152F">
        <w:rPr>
          <w:rFonts w:ascii="Times New Roman" w:hAnsi="Times New Roman" w:cs="Times New Roman"/>
        </w:rPr>
        <w:t xml:space="preserve">it is worth </w:t>
      </w:r>
      <w:r w:rsidR="005E11CC" w:rsidRPr="000D152F">
        <w:rPr>
          <w:rFonts w:ascii="Times New Roman" w:hAnsi="Times New Roman" w:cs="Times New Roman"/>
        </w:rPr>
        <w:t xml:space="preserve">noting </w:t>
      </w:r>
      <w:r w:rsidR="00294971" w:rsidRPr="000D152F">
        <w:rPr>
          <w:rFonts w:ascii="Times New Roman" w:hAnsi="Times New Roman" w:cs="Times New Roman"/>
        </w:rPr>
        <w:t>a key distinction that Aristotle makes</w:t>
      </w:r>
      <w:r w:rsidR="005E11CC" w:rsidRPr="000D152F">
        <w:rPr>
          <w:rFonts w:ascii="Times New Roman" w:hAnsi="Times New Roman" w:cs="Times New Roman"/>
        </w:rPr>
        <w:t xml:space="preserve"> with regard to t</w:t>
      </w:r>
      <w:r w:rsidR="001C7DA4" w:rsidRPr="000D152F">
        <w:rPr>
          <w:rFonts w:ascii="Times New Roman" w:hAnsi="Times New Roman" w:cs="Times New Roman"/>
        </w:rPr>
        <w:t>he good (‘right’) forms of constitution as opposed to the wrong (‘perverse’) forms of constitution. He states</w:t>
      </w:r>
      <w:r w:rsidR="00294971" w:rsidRPr="000D152F">
        <w:rPr>
          <w:rFonts w:ascii="Times New Roman" w:hAnsi="Times New Roman" w:cs="Times New Roman"/>
        </w:rPr>
        <w:t xml:space="preserve">: </w:t>
      </w:r>
    </w:p>
    <w:p w14:paraId="53F9ABAA" w14:textId="77777777" w:rsidR="00294971" w:rsidRPr="000D152F" w:rsidRDefault="00294971"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0DE59A84" w14:textId="5F4A2040" w:rsidR="00294971" w:rsidRPr="000D152F" w:rsidRDefault="00E35194"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ight="567"/>
        <w:jc w:val="both"/>
        <w:rPr>
          <w:rFonts w:ascii="Times New Roman" w:hAnsi="Times New Roman" w:cs="Times New Roman"/>
        </w:rPr>
      </w:pPr>
      <w:r w:rsidRPr="000D152F">
        <w:rPr>
          <w:rFonts w:ascii="Times New Roman" w:hAnsi="Times New Roman" w:cs="Times New Roman"/>
        </w:rPr>
        <w:t>‘</w:t>
      </w:r>
      <w:r w:rsidR="00294971" w:rsidRPr="000D152F">
        <w:rPr>
          <w:rFonts w:ascii="Times New Roman" w:hAnsi="Times New Roman" w:cs="Times New Roman"/>
        </w:rPr>
        <w:t>[T]hose constitutions which consider the common interest are right constitutions, judged by the standard of absolute justice. Those constitutions which consider only the personal interests of the rulers are all wrong constitutions, or perversions of the right forms.</w:t>
      </w:r>
      <w:r w:rsidRPr="000D152F">
        <w:rPr>
          <w:rFonts w:ascii="Times New Roman" w:hAnsi="Times New Roman" w:cs="Times New Roman"/>
        </w:rPr>
        <w:t>’</w:t>
      </w:r>
      <w:r w:rsidR="00254E16" w:rsidRPr="000D152F">
        <w:rPr>
          <w:rStyle w:val="FootnoteReference"/>
          <w:rFonts w:ascii="Times New Roman" w:hAnsi="Times New Roman" w:cs="Times New Roman"/>
        </w:rPr>
        <w:footnoteReference w:id="77"/>
      </w:r>
    </w:p>
    <w:p w14:paraId="2C3B882D" w14:textId="77777777" w:rsidR="00294971" w:rsidRPr="000D152F" w:rsidRDefault="00294971"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53596131" w14:textId="4E110168" w:rsidR="007449FA" w:rsidRPr="000D152F" w:rsidRDefault="001C7DA4"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An elision is made here, connecting the common interest to the appropriate aim of the </w:t>
      </w:r>
      <w:r w:rsidRPr="000D152F">
        <w:rPr>
          <w:rFonts w:ascii="Times New Roman" w:hAnsi="Times New Roman" w:cs="Times New Roman"/>
        </w:rPr>
        <w:lastRenderedPageBreak/>
        <w:t xml:space="preserve">political association, and discarding the pursuit of private interest from the right aim of the association. The distinction drawn between common interest and private interest underpins </w:t>
      </w:r>
      <w:r w:rsidR="00AE2428" w:rsidRPr="000D152F">
        <w:rPr>
          <w:rFonts w:ascii="Times New Roman" w:hAnsi="Times New Roman" w:cs="Times New Roman"/>
        </w:rPr>
        <w:t xml:space="preserve">an early appreciation of the public-private relationship. </w:t>
      </w:r>
      <w:r w:rsidR="002D1058">
        <w:rPr>
          <w:rFonts w:ascii="Times New Roman" w:hAnsi="Times New Roman" w:cs="Times New Roman"/>
        </w:rPr>
        <w:t>Thus for Aristotle, t</w:t>
      </w:r>
      <w:r w:rsidR="00AE2428" w:rsidRPr="000D152F">
        <w:rPr>
          <w:rFonts w:ascii="Times New Roman" w:hAnsi="Times New Roman" w:cs="Times New Roman"/>
        </w:rPr>
        <w:t xml:space="preserve">he common interest serves the public, not only </w:t>
      </w:r>
      <w:r w:rsidR="004822F3" w:rsidRPr="000D152F">
        <w:rPr>
          <w:rFonts w:ascii="Times New Roman" w:hAnsi="Times New Roman" w:cs="Times New Roman"/>
        </w:rPr>
        <w:t>the many: ‘Tyranny is a government by a single person directed to the interests of that person</w:t>
      </w:r>
      <w:r w:rsidR="00487DAF" w:rsidRPr="000D152F">
        <w:rPr>
          <w:rFonts w:ascii="Times New Roman" w:hAnsi="Times New Roman" w:cs="Times New Roman"/>
        </w:rPr>
        <w:t xml:space="preserve">. </w:t>
      </w:r>
      <w:r w:rsidR="0081616A" w:rsidRPr="000D152F">
        <w:rPr>
          <w:rFonts w:ascii="Times New Roman" w:hAnsi="Times New Roman" w:cs="Times New Roman"/>
        </w:rPr>
        <w:t>Oligarchy is directed to the interest of the well-to-do; Democracy is directed to the interest of the poor. None of these benefits the common interest.’</w:t>
      </w:r>
      <w:r w:rsidR="002375C4" w:rsidRPr="000D152F">
        <w:rPr>
          <w:rStyle w:val="FootnoteReference"/>
          <w:rFonts w:ascii="Times New Roman" w:hAnsi="Times New Roman" w:cs="Times New Roman"/>
        </w:rPr>
        <w:footnoteReference w:id="78"/>
      </w:r>
    </w:p>
    <w:p w14:paraId="095B929A" w14:textId="77777777" w:rsidR="005C6D3F" w:rsidRPr="000D152F" w:rsidRDefault="005C6D3F"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4C997202" w14:textId="1012FDFC" w:rsidR="00EB62FB" w:rsidRPr="000D152F" w:rsidRDefault="00646B57"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Cicero</w:t>
      </w:r>
      <w:r w:rsidR="00EB62FB" w:rsidRPr="000D152F">
        <w:rPr>
          <w:rFonts w:ascii="Times New Roman" w:hAnsi="Times New Roman" w:cs="Times New Roman"/>
        </w:rPr>
        <w:t xml:space="preserve">’s approach to examining the purpose of the political </w:t>
      </w:r>
      <w:r w:rsidR="003F1B86" w:rsidRPr="000D152F">
        <w:rPr>
          <w:rFonts w:ascii="Times New Roman" w:hAnsi="Times New Roman" w:cs="Times New Roman"/>
        </w:rPr>
        <w:t xml:space="preserve">association </w:t>
      </w:r>
      <w:r w:rsidR="00EB62FB" w:rsidRPr="000D152F">
        <w:rPr>
          <w:rFonts w:ascii="Times New Roman" w:hAnsi="Times New Roman" w:cs="Times New Roman"/>
        </w:rPr>
        <w:t>takes an interesting tack.</w:t>
      </w:r>
      <w:r w:rsidRPr="000D152F">
        <w:rPr>
          <w:rFonts w:ascii="Times New Roman" w:hAnsi="Times New Roman" w:cs="Times New Roman"/>
        </w:rPr>
        <w:t xml:space="preserve"> </w:t>
      </w:r>
      <w:r w:rsidR="00EB62FB" w:rsidRPr="000D152F">
        <w:rPr>
          <w:rFonts w:ascii="Times New Roman" w:hAnsi="Times New Roman" w:cs="Times New Roman"/>
        </w:rPr>
        <w:t xml:space="preserve">Taking </w:t>
      </w:r>
      <w:r w:rsidRPr="000D152F">
        <w:rPr>
          <w:rFonts w:ascii="Times New Roman" w:hAnsi="Times New Roman" w:cs="Times New Roman"/>
        </w:rPr>
        <w:t>a similar positio</w:t>
      </w:r>
      <w:r w:rsidR="00FD3617" w:rsidRPr="000D152F">
        <w:rPr>
          <w:rFonts w:ascii="Times New Roman" w:hAnsi="Times New Roman" w:cs="Times New Roman"/>
        </w:rPr>
        <w:t>n to Aristotle, claiming that</w:t>
      </w:r>
      <w:r w:rsidRPr="000D152F">
        <w:rPr>
          <w:rFonts w:ascii="Times New Roman" w:hAnsi="Times New Roman" w:cs="Times New Roman"/>
        </w:rPr>
        <w:t xml:space="preserve"> a community’s aim is </w:t>
      </w:r>
      <w:r w:rsidR="00B17BA7" w:rsidRPr="000D152F">
        <w:rPr>
          <w:rFonts w:ascii="Times New Roman" w:hAnsi="Times New Roman" w:cs="Times New Roman"/>
        </w:rPr>
        <w:t xml:space="preserve">to provide citizens with </w:t>
      </w:r>
      <w:r w:rsidRPr="000D152F">
        <w:rPr>
          <w:rFonts w:ascii="Times New Roman" w:hAnsi="Times New Roman" w:cs="Times New Roman"/>
        </w:rPr>
        <w:t xml:space="preserve">‘a happy and honourable life. For that is the primary </w:t>
      </w:r>
      <w:r w:rsidR="00B17BA7" w:rsidRPr="000D152F">
        <w:rPr>
          <w:rFonts w:ascii="Times New Roman" w:hAnsi="Times New Roman" w:cs="Times New Roman"/>
        </w:rPr>
        <w:t>purpose of forming a community, and that must be achieved for human beings by the state, partly through its institutions and partly through its laws.’</w:t>
      </w:r>
      <w:r w:rsidR="00B17BA7" w:rsidRPr="000D152F">
        <w:rPr>
          <w:rStyle w:val="FootnoteReference"/>
          <w:rFonts w:ascii="Times New Roman" w:hAnsi="Times New Roman" w:cs="Times New Roman"/>
        </w:rPr>
        <w:footnoteReference w:id="79"/>
      </w:r>
      <w:r w:rsidR="00C21DFC" w:rsidRPr="000D152F">
        <w:rPr>
          <w:rFonts w:ascii="Times New Roman" w:hAnsi="Times New Roman" w:cs="Times New Roman"/>
        </w:rPr>
        <w:t xml:space="preserve"> </w:t>
      </w:r>
      <w:r w:rsidR="00851B5A" w:rsidRPr="000D152F">
        <w:rPr>
          <w:rFonts w:ascii="Times New Roman" w:hAnsi="Times New Roman" w:cs="Times New Roman"/>
        </w:rPr>
        <w:t xml:space="preserve">The purpose of the </w:t>
      </w:r>
      <w:r w:rsidR="00851B5A" w:rsidRPr="000D152F">
        <w:rPr>
          <w:rFonts w:ascii="Times New Roman" w:hAnsi="Times New Roman" w:cs="Times New Roman"/>
          <w:i/>
        </w:rPr>
        <w:t>polis</w:t>
      </w:r>
      <w:r w:rsidR="00851B5A" w:rsidRPr="000D152F">
        <w:rPr>
          <w:rFonts w:ascii="Times New Roman" w:hAnsi="Times New Roman" w:cs="Times New Roman"/>
        </w:rPr>
        <w:t xml:space="preserve"> is thus to encourage happiness, which is to say the ‘greatest good’ in Aristotelian terms. Both Aristotle and Cicero identify education as a key form of delivering on this goal</w:t>
      </w:r>
      <w:r w:rsidR="008506F7" w:rsidRPr="000D152F">
        <w:rPr>
          <w:rFonts w:ascii="Times New Roman" w:hAnsi="Times New Roman" w:cs="Times New Roman"/>
        </w:rPr>
        <w:t>.</w:t>
      </w:r>
      <w:r w:rsidR="00851B5A" w:rsidRPr="000D152F">
        <w:rPr>
          <w:rStyle w:val="FootnoteReference"/>
          <w:rFonts w:ascii="Times New Roman" w:hAnsi="Times New Roman" w:cs="Times New Roman"/>
        </w:rPr>
        <w:footnoteReference w:id="80"/>
      </w:r>
      <w:r w:rsidR="00851B5A" w:rsidRPr="000D152F">
        <w:rPr>
          <w:rFonts w:ascii="Times New Roman" w:hAnsi="Times New Roman" w:cs="Times New Roman"/>
        </w:rPr>
        <w:t xml:space="preserve"> </w:t>
      </w:r>
      <w:r w:rsidR="008506F7" w:rsidRPr="000D152F">
        <w:rPr>
          <w:rFonts w:ascii="Times New Roman" w:hAnsi="Times New Roman" w:cs="Times New Roman"/>
        </w:rPr>
        <w:t>Aristotle in particular identifies the ability to reflect and practice</w:t>
      </w:r>
      <w:r w:rsidR="000D4675" w:rsidRPr="000D152F">
        <w:rPr>
          <w:rFonts w:ascii="Times New Roman" w:hAnsi="Times New Roman" w:cs="Times New Roman"/>
        </w:rPr>
        <w:t xml:space="preserve"> philosophy as necessary to fulfilling a complete life (hence his lack of esteem for traders, labourers or other individuals whose greatest contribution is to ensure that those capable of pursuing higher interests are capable to do so).</w:t>
      </w:r>
      <w:r w:rsidR="000D4675" w:rsidRPr="000D152F">
        <w:rPr>
          <w:rStyle w:val="FootnoteReference"/>
          <w:rFonts w:ascii="Times New Roman" w:hAnsi="Times New Roman" w:cs="Times New Roman"/>
        </w:rPr>
        <w:footnoteReference w:id="81"/>
      </w:r>
      <w:r w:rsidR="000D4675" w:rsidRPr="000D152F">
        <w:rPr>
          <w:rFonts w:ascii="Times New Roman" w:hAnsi="Times New Roman" w:cs="Times New Roman"/>
        </w:rPr>
        <w:t xml:space="preserve"> </w:t>
      </w:r>
      <w:r w:rsidR="00572046" w:rsidRPr="000D152F">
        <w:rPr>
          <w:rFonts w:ascii="Times New Roman" w:hAnsi="Times New Roman" w:cs="Times New Roman"/>
        </w:rPr>
        <w:t>While t</w:t>
      </w:r>
      <w:r w:rsidR="00851B5A" w:rsidRPr="000D152F">
        <w:rPr>
          <w:rFonts w:ascii="Times New Roman" w:hAnsi="Times New Roman" w:cs="Times New Roman"/>
        </w:rPr>
        <w:t xml:space="preserve">hey identify formal educational </w:t>
      </w:r>
      <w:r w:rsidR="00572046" w:rsidRPr="000D152F">
        <w:rPr>
          <w:rFonts w:ascii="Times New Roman" w:hAnsi="Times New Roman" w:cs="Times New Roman"/>
        </w:rPr>
        <w:t xml:space="preserve">practices </w:t>
      </w:r>
      <w:r w:rsidR="00851B5A" w:rsidRPr="000D152F">
        <w:rPr>
          <w:rFonts w:ascii="Times New Roman" w:hAnsi="Times New Roman" w:cs="Times New Roman"/>
        </w:rPr>
        <w:t xml:space="preserve">and </w:t>
      </w:r>
      <w:r w:rsidR="00572046" w:rsidRPr="000D152F">
        <w:rPr>
          <w:rFonts w:ascii="Times New Roman" w:hAnsi="Times New Roman" w:cs="Times New Roman"/>
        </w:rPr>
        <w:t xml:space="preserve">styles, </w:t>
      </w:r>
      <w:r w:rsidR="007035E0" w:rsidRPr="000D152F">
        <w:rPr>
          <w:rFonts w:ascii="Times New Roman" w:hAnsi="Times New Roman" w:cs="Times New Roman"/>
        </w:rPr>
        <w:t>the focus on education is</w:t>
      </w:r>
      <w:r w:rsidR="00572046" w:rsidRPr="000D152F">
        <w:rPr>
          <w:rFonts w:ascii="Times New Roman" w:hAnsi="Times New Roman" w:cs="Times New Roman"/>
        </w:rPr>
        <w:t xml:space="preserve"> instrumental: to live the good life, a citizen requires training, support or guidance. </w:t>
      </w:r>
      <w:r w:rsidR="00EC59A7" w:rsidRPr="000D152F">
        <w:rPr>
          <w:rFonts w:ascii="Times New Roman" w:hAnsi="Times New Roman" w:cs="Times New Roman"/>
        </w:rPr>
        <w:t xml:space="preserve">Though they have different interpretations of the exact content of what is good, they are both nonetheless committed to </w:t>
      </w:r>
      <w:r w:rsidR="0006506E" w:rsidRPr="000D152F">
        <w:rPr>
          <w:rFonts w:ascii="Times New Roman" w:hAnsi="Times New Roman" w:cs="Times New Roman"/>
        </w:rPr>
        <w:t xml:space="preserve">the facilitation of this </w:t>
      </w:r>
      <w:r w:rsidR="00EC59A7" w:rsidRPr="000D152F">
        <w:rPr>
          <w:rFonts w:ascii="Times New Roman" w:hAnsi="Times New Roman" w:cs="Times New Roman"/>
        </w:rPr>
        <w:t xml:space="preserve">pursuit as the objective of the State. </w:t>
      </w:r>
    </w:p>
    <w:p w14:paraId="2DEBD8E7" w14:textId="77777777" w:rsidR="00E278C1" w:rsidRPr="000D152F" w:rsidRDefault="00E278C1"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298453BA" w14:textId="4247BFFE" w:rsidR="00EC59A7" w:rsidRPr="000D152F" w:rsidRDefault="00EB62FB" w:rsidP="00D25306">
      <w:pPr>
        <w:spacing w:line="480" w:lineRule="auto"/>
        <w:jc w:val="both"/>
        <w:rPr>
          <w:rFonts w:ascii="Times New Roman" w:hAnsi="Times New Roman" w:cs="Times New Roman"/>
        </w:rPr>
      </w:pPr>
      <w:r w:rsidRPr="000D152F">
        <w:rPr>
          <w:rFonts w:ascii="Times New Roman" w:hAnsi="Times New Roman" w:cs="Times New Roman"/>
        </w:rPr>
        <w:lastRenderedPageBreak/>
        <w:t xml:space="preserve">Cicero </w:t>
      </w:r>
      <w:r w:rsidR="00CC72AC" w:rsidRPr="000D152F">
        <w:rPr>
          <w:rFonts w:ascii="Times New Roman" w:hAnsi="Times New Roman" w:cs="Times New Roman"/>
        </w:rPr>
        <w:t xml:space="preserve">continues </w:t>
      </w:r>
      <w:r w:rsidR="003F1B86" w:rsidRPr="000D152F">
        <w:rPr>
          <w:rFonts w:ascii="Times New Roman" w:hAnsi="Times New Roman" w:cs="Times New Roman"/>
        </w:rPr>
        <w:t>that in pursuing the</w:t>
      </w:r>
      <w:r w:rsidRPr="000D152F">
        <w:rPr>
          <w:rFonts w:ascii="Times New Roman" w:hAnsi="Times New Roman" w:cs="Times New Roman"/>
        </w:rPr>
        <w:t xml:space="preserve"> good life, one might be tempted </w:t>
      </w:r>
      <w:r w:rsidR="003F1B86" w:rsidRPr="000D152F">
        <w:rPr>
          <w:rFonts w:ascii="Times New Roman" w:hAnsi="Times New Roman" w:cs="Times New Roman"/>
        </w:rPr>
        <w:t>to prioritise</w:t>
      </w:r>
      <w:r w:rsidRPr="000D152F">
        <w:rPr>
          <w:rFonts w:ascii="Times New Roman" w:hAnsi="Times New Roman" w:cs="Times New Roman"/>
        </w:rPr>
        <w:t xml:space="preserve"> </w:t>
      </w:r>
      <w:r w:rsidR="003F1B86" w:rsidRPr="000D152F">
        <w:rPr>
          <w:rFonts w:ascii="Times New Roman" w:hAnsi="Times New Roman" w:cs="Times New Roman"/>
        </w:rPr>
        <w:t xml:space="preserve">that which is </w:t>
      </w:r>
      <w:r w:rsidRPr="000D152F">
        <w:rPr>
          <w:rFonts w:ascii="Times New Roman" w:hAnsi="Times New Roman" w:cs="Times New Roman"/>
        </w:rPr>
        <w:t xml:space="preserve">expedient </w:t>
      </w:r>
      <w:r w:rsidR="003F1B86" w:rsidRPr="000D152F">
        <w:rPr>
          <w:rFonts w:ascii="Times New Roman" w:hAnsi="Times New Roman" w:cs="Times New Roman"/>
        </w:rPr>
        <w:t>or useful (</w:t>
      </w:r>
      <w:r w:rsidR="003F1B86" w:rsidRPr="000D152F">
        <w:rPr>
          <w:rFonts w:ascii="Times New Roman" w:hAnsi="Times New Roman" w:cs="Times New Roman"/>
          <w:i/>
        </w:rPr>
        <w:t>utile</w:t>
      </w:r>
      <w:r w:rsidR="003F1B86" w:rsidRPr="000D152F">
        <w:rPr>
          <w:rFonts w:ascii="Times New Roman" w:hAnsi="Times New Roman" w:cs="Times New Roman"/>
        </w:rPr>
        <w:t xml:space="preserve">) </w:t>
      </w:r>
      <w:r w:rsidRPr="000D152F">
        <w:rPr>
          <w:rFonts w:ascii="Times New Roman" w:hAnsi="Times New Roman" w:cs="Times New Roman"/>
        </w:rPr>
        <w:t xml:space="preserve">over </w:t>
      </w:r>
      <w:r w:rsidR="003F1B86" w:rsidRPr="000D152F">
        <w:rPr>
          <w:rFonts w:ascii="Times New Roman" w:hAnsi="Times New Roman" w:cs="Times New Roman"/>
        </w:rPr>
        <w:t xml:space="preserve">that which is </w:t>
      </w:r>
      <w:r w:rsidRPr="000D152F">
        <w:rPr>
          <w:rFonts w:ascii="Times New Roman" w:hAnsi="Times New Roman" w:cs="Times New Roman"/>
        </w:rPr>
        <w:t>honourable</w:t>
      </w:r>
      <w:r w:rsidR="003F1B86" w:rsidRPr="000D152F">
        <w:rPr>
          <w:rFonts w:ascii="Times New Roman" w:hAnsi="Times New Roman" w:cs="Times New Roman"/>
        </w:rPr>
        <w:t xml:space="preserve"> (</w:t>
      </w:r>
      <w:r w:rsidR="003F1B86" w:rsidRPr="000D152F">
        <w:rPr>
          <w:rFonts w:ascii="Times New Roman" w:hAnsi="Times New Roman" w:cs="Times New Roman"/>
          <w:i/>
        </w:rPr>
        <w:t>honestum</w:t>
      </w:r>
      <w:r w:rsidR="00281367" w:rsidRPr="000D152F">
        <w:rPr>
          <w:rFonts w:ascii="Times New Roman" w:hAnsi="Times New Roman" w:cs="Times New Roman"/>
        </w:rPr>
        <w:t>)</w:t>
      </w:r>
      <w:r w:rsidRPr="000D152F">
        <w:rPr>
          <w:rFonts w:ascii="Times New Roman" w:hAnsi="Times New Roman" w:cs="Times New Roman"/>
        </w:rPr>
        <w:t xml:space="preserve">. </w:t>
      </w:r>
      <w:r w:rsidR="00367386" w:rsidRPr="000D152F">
        <w:rPr>
          <w:rFonts w:ascii="Times New Roman" w:hAnsi="Times New Roman" w:cs="Times New Roman"/>
        </w:rPr>
        <w:t>‘Useful’ here (</w:t>
      </w:r>
      <w:r w:rsidR="00367386" w:rsidRPr="000D152F">
        <w:rPr>
          <w:rFonts w:ascii="Times New Roman" w:hAnsi="Times New Roman" w:cs="Times New Roman"/>
          <w:i/>
        </w:rPr>
        <w:t>utile</w:t>
      </w:r>
      <w:r w:rsidR="00367386" w:rsidRPr="000D152F">
        <w:rPr>
          <w:rFonts w:ascii="Times New Roman" w:hAnsi="Times New Roman" w:cs="Times New Roman"/>
        </w:rPr>
        <w:t>) carries greater weight than mere utility; it is something that is worthwhile in the sense of serving a good.</w:t>
      </w:r>
      <w:r w:rsidR="00367386" w:rsidRPr="000D152F">
        <w:rPr>
          <w:rStyle w:val="FootnoteReference"/>
          <w:rFonts w:ascii="Times New Roman" w:hAnsi="Times New Roman" w:cs="Times New Roman"/>
        </w:rPr>
        <w:footnoteReference w:id="82"/>
      </w:r>
      <w:r w:rsidR="00367386" w:rsidRPr="000D152F">
        <w:rPr>
          <w:rFonts w:ascii="Times New Roman" w:hAnsi="Times New Roman" w:cs="Times New Roman"/>
        </w:rPr>
        <w:t xml:space="preserve"> He gives numerous examples of where a useful act was nonetheless rejected in order to satisfy honour,</w:t>
      </w:r>
      <w:r w:rsidR="00367386" w:rsidRPr="000D152F">
        <w:rPr>
          <w:rStyle w:val="FootnoteReference"/>
          <w:rFonts w:ascii="Times New Roman" w:hAnsi="Times New Roman" w:cs="Times New Roman"/>
        </w:rPr>
        <w:footnoteReference w:id="83"/>
      </w:r>
      <w:r w:rsidR="00367386" w:rsidRPr="000D152F">
        <w:rPr>
          <w:rFonts w:ascii="Times New Roman" w:hAnsi="Times New Roman" w:cs="Times New Roman"/>
        </w:rPr>
        <w:t xml:space="preserve"> and gives general principles to ensure that the pursuit of utility is not used to undermine the importance of honour.</w:t>
      </w:r>
      <w:r w:rsidR="00367386" w:rsidRPr="000D152F">
        <w:rPr>
          <w:rStyle w:val="FootnoteReference"/>
          <w:rFonts w:ascii="Times New Roman" w:hAnsi="Times New Roman" w:cs="Times New Roman"/>
        </w:rPr>
        <w:footnoteReference w:id="84"/>
      </w:r>
      <w:r w:rsidR="00367386" w:rsidRPr="000D152F">
        <w:rPr>
          <w:rFonts w:ascii="Times New Roman" w:hAnsi="Times New Roman" w:cs="Times New Roman"/>
        </w:rPr>
        <w:t xml:space="preserve"> What these discussions give us is a more detailed understanding of what Cicero perceived of as the great Roman addition to their Greek philosophical heritage: a sense of duty and honour, </w:t>
      </w:r>
      <w:r w:rsidR="00367386" w:rsidRPr="000D152F">
        <w:rPr>
          <w:rFonts w:ascii="Times New Roman" w:hAnsi="Times New Roman" w:cs="Times New Roman"/>
          <w:i/>
        </w:rPr>
        <w:t>fides</w:t>
      </w:r>
      <w:r w:rsidR="00037103" w:rsidRPr="000D152F">
        <w:rPr>
          <w:rFonts w:ascii="Times New Roman" w:hAnsi="Times New Roman" w:cs="Times New Roman"/>
        </w:rPr>
        <w:t>,</w:t>
      </w:r>
      <w:r w:rsidR="00367386" w:rsidRPr="000D152F">
        <w:rPr>
          <w:rFonts w:ascii="Times New Roman" w:hAnsi="Times New Roman" w:cs="Times New Roman"/>
        </w:rPr>
        <w:t xml:space="preserve"> which serves to </w:t>
      </w:r>
      <w:r w:rsidR="004A163B" w:rsidRPr="000D152F">
        <w:rPr>
          <w:rFonts w:ascii="Times New Roman" w:hAnsi="Times New Roman" w:cs="Times New Roman"/>
        </w:rPr>
        <w:t xml:space="preserve">limit </w:t>
      </w:r>
      <w:r w:rsidR="00037103" w:rsidRPr="000D152F">
        <w:rPr>
          <w:rFonts w:ascii="Times New Roman" w:hAnsi="Times New Roman" w:cs="Times New Roman"/>
        </w:rPr>
        <w:t xml:space="preserve">a </w:t>
      </w:r>
      <w:r w:rsidR="00367386" w:rsidRPr="000D152F">
        <w:rPr>
          <w:rFonts w:ascii="Times New Roman" w:hAnsi="Times New Roman" w:cs="Times New Roman"/>
        </w:rPr>
        <w:t xml:space="preserve">manipulation or conflict no matter how irreducible it may seem. </w:t>
      </w:r>
    </w:p>
    <w:p w14:paraId="3AAF77A5" w14:textId="77777777" w:rsidR="00EC59A7" w:rsidRPr="000D152F" w:rsidRDefault="00EC59A7" w:rsidP="00D25306">
      <w:pPr>
        <w:spacing w:line="480" w:lineRule="auto"/>
        <w:jc w:val="both"/>
        <w:rPr>
          <w:rFonts w:ascii="Times New Roman" w:hAnsi="Times New Roman" w:cs="Times New Roman"/>
        </w:rPr>
      </w:pPr>
    </w:p>
    <w:p w14:paraId="59F22DEC" w14:textId="788DD49F" w:rsidR="00367386" w:rsidRPr="000D152F" w:rsidRDefault="00EC59A7" w:rsidP="00D25306">
      <w:pPr>
        <w:spacing w:line="480" w:lineRule="auto"/>
        <w:jc w:val="both"/>
        <w:rPr>
          <w:rFonts w:ascii="Times New Roman" w:hAnsi="Times New Roman" w:cs="Times New Roman"/>
        </w:rPr>
      </w:pPr>
      <w:r w:rsidRPr="000D152F">
        <w:rPr>
          <w:rFonts w:ascii="Times New Roman" w:hAnsi="Times New Roman" w:cs="Times New Roman"/>
        </w:rPr>
        <w:t xml:space="preserve">The sense of duty directly relates to the maintenance of obligations and the distinction between public and private spheres of action. </w:t>
      </w:r>
      <w:r w:rsidR="00367386" w:rsidRPr="000D152F">
        <w:rPr>
          <w:rFonts w:ascii="Times New Roman" w:hAnsi="Times New Roman" w:cs="Times New Roman"/>
        </w:rPr>
        <w:t>For Cicero, the pursuit of the good life was intrinsically linked to the maintenance of obligations. Thus he stated:</w:t>
      </w:r>
    </w:p>
    <w:p w14:paraId="3AD8A362" w14:textId="77777777" w:rsidR="00367386" w:rsidRPr="000D152F" w:rsidRDefault="0036738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2400A89E" w14:textId="77777777" w:rsidR="00367386" w:rsidRPr="000D152F" w:rsidRDefault="0036738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ight="567"/>
        <w:jc w:val="both"/>
        <w:rPr>
          <w:rFonts w:ascii="Times New Roman" w:hAnsi="Times New Roman" w:cs="Times New Roman"/>
        </w:rPr>
      </w:pPr>
      <w:r w:rsidRPr="000D152F">
        <w:rPr>
          <w:rFonts w:ascii="Times New Roman" w:hAnsi="Times New Roman" w:cs="Times New Roman"/>
        </w:rPr>
        <w:t>‘…there is no aspect of life public or private, civic or domestic, which can be without its obligation, whether in our individual concerns or in relations with our neighbour. Honourable behaviour lies entirely in the performance of such obligations, and likewise base conduct lies in neglecting them.’</w:t>
      </w:r>
      <w:r w:rsidRPr="000D152F">
        <w:rPr>
          <w:rStyle w:val="FootnoteReference"/>
          <w:rFonts w:ascii="Times New Roman" w:hAnsi="Times New Roman" w:cs="Times New Roman"/>
        </w:rPr>
        <w:footnoteReference w:id="85"/>
      </w:r>
    </w:p>
    <w:p w14:paraId="485169D9" w14:textId="77777777" w:rsidR="00367386" w:rsidRPr="000D152F" w:rsidRDefault="0036738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7656895D" w14:textId="77777777" w:rsidR="00367386" w:rsidRPr="000D152F" w:rsidRDefault="0036738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He continues, stating that the ‘foundation of justice, is good faith [</w:t>
      </w:r>
      <w:r w:rsidRPr="000D152F">
        <w:rPr>
          <w:rFonts w:ascii="Times New Roman" w:hAnsi="Times New Roman" w:cs="Times New Roman"/>
          <w:i/>
        </w:rPr>
        <w:t>fides</w:t>
      </w:r>
      <w:r w:rsidRPr="000D152F">
        <w:rPr>
          <w:rFonts w:ascii="Times New Roman" w:hAnsi="Times New Roman" w:cs="Times New Roman"/>
        </w:rPr>
        <w:t>], in other words truthfully abiding by our words and agreements.’</w:t>
      </w:r>
      <w:r w:rsidRPr="000D152F">
        <w:rPr>
          <w:rStyle w:val="FootnoteReference"/>
          <w:rFonts w:ascii="Times New Roman" w:hAnsi="Times New Roman" w:cs="Times New Roman"/>
        </w:rPr>
        <w:footnoteReference w:id="86"/>
      </w:r>
    </w:p>
    <w:p w14:paraId="70E0A553" w14:textId="77777777" w:rsidR="00367386" w:rsidRPr="000D152F" w:rsidRDefault="0036738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75335AC2" w14:textId="39C52C34" w:rsidR="00367386" w:rsidRPr="000D152F" w:rsidRDefault="0036738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For Cicero the pursuit of the good, is bound </w:t>
      </w:r>
      <w:r w:rsidR="00D003A7" w:rsidRPr="000D152F">
        <w:rPr>
          <w:rFonts w:ascii="Times New Roman" w:hAnsi="Times New Roman" w:cs="Times New Roman"/>
        </w:rPr>
        <w:t xml:space="preserve">to </w:t>
      </w:r>
      <w:r w:rsidRPr="000D152F">
        <w:rPr>
          <w:rFonts w:ascii="Times New Roman" w:hAnsi="Times New Roman" w:cs="Times New Roman"/>
        </w:rPr>
        <w:t xml:space="preserve">the duty to act in good faith – that is, </w:t>
      </w:r>
      <w:r w:rsidRPr="000D152F">
        <w:rPr>
          <w:rFonts w:ascii="Times New Roman" w:hAnsi="Times New Roman" w:cs="Times New Roman"/>
        </w:rPr>
        <w:lastRenderedPageBreak/>
        <w:t xml:space="preserve">maintaining obligations arising from one’s public or private life. The Ciceronian stress on </w:t>
      </w:r>
      <w:r w:rsidRPr="000D152F">
        <w:rPr>
          <w:rFonts w:ascii="Times New Roman" w:hAnsi="Times New Roman" w:cs="Times New Roman"/>
          <w:i/>
        </w:rPr>
        <w:t>fides</w:t>
      </w:r>
      <w:r w:rsidRPr="000D152F">
        <w:rPr>
          <w:rFonts w:ascii="Times New Roman" w:hAnsi="Times New Roman" w:cs="Times New Roman"/>
        </w:rPr>
        <w:t xml:space="preserve"> compliments the teleological examination of the aim or object of the </w:t>
      </w:r>
      <w:r w:rsidRPr="000D152F">
        <w:rPr>
          <w:rFonts w:ascii="Times New Roman" w:hAnsi="Times New Roman" w:cs="Times New Roman"/>
          <w:i/>
        </w:rPr>
        <w:t>polis</w:t>
      </w:r>
      <w:r w:rsidRPr="000D152F">
        <w:rPr>
          <w:rFonts w:ascii="Times New Roman" w:hAnsi="Times New Roman" w:cs="Times New Roman"/>
        </w:rPr>
        <w:t xml:space="preserve"> in question, by </w:t>
      </w:r>
      <w:r w:rsidR="00961C50" w:rsidRPr="000D152F">
        <w:rPr>
          <w:rFonts w:ascii="Times New Roman" w:hAnsi="Times New Roman" w:cs="Times New Roman"/>
        </w:rPr>
        <w:t xml:space="preserve">ensuring that acts in the pursuit of the good life, in the </w:t>
      </w:r>
      <w:r w:rsidR="00FF6F6A" w:rsidRPr="000D152F">
        <w:rPr>
          <w:rFonts w:ascii="Times New Roman" w:hAnsi="Times New Roman" w:cs="Times New Roman"/>
        </w:rPr>
        <w:t>common</w:t>
      </w:r>
      <w:r w:rsidR="00961C50" w:rsidRPr="000D152F">
        <w:rPr>
          <w:rFonts w:ascii="Times New Roman" w:hAnsi="Times New Roman" w:cs="Times New Roman"/>
        </w:rPr>
        <w:t xml:space="preserve"> interest are those to be praised, not those conducted in one’s own interest.</w:t>
      </w:r>
      <w:r w:rsidR="00961C50" w:rsidRPr="000D152F">
        <w:rPr>
          <w:rStyle w:val="FootnoteReference"/>
          <w:rFonts w:ascii="Times New Roman" w:hAnsi="Times New Roman" w:cs="Times New Roman"/>
        </w:rPr>
        <w:footnoteReference w:id="87"/>
      </w:r>
    </w:p>
    <w:p w14:paraId="751D86D0" w14:textId="77777777" w:rsidR="00367386" w:rsidRPr="000D152F" w:rsidRDefault="0036738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5F5CA428" w14:textId="619EA91C" w:rsidR="00B17BA7" w:rsidRPr="000D152F" w:rsidRDefault="00EB62FB"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Cicero states </w:t>
      </w:r>
      <w:r w:rsidR="00367386" w:rsidRPr="000D152F">
        <w:rPr>
          <w:rFonts w:ascii="Times New Roman" w:hAnsi="Times New Roman" w:cs="Times New Roman"/>
        </w:rPr>
        <w:t>that there can be no conflict between the useful and the honourable</w:t>
      </w:r>
      <w:r w:rsidRPr="000D152F">
        <w:rPr>
          <w:rFonts w:ascii="Times New Roman" w:hAnsi="Times New Roman" w:cs="Times New Roman"/>
        </w:rPr>
        <w:t xml:space="preserve"> but rather that </w:t>
      </w:r>
      <w:r w:rsidR="00367386" w:rsidRPr="000D152F">
        <w:rPr>
          <w:rFonts w:ascii="Times New Roman" w:hAnsi="Times New Roman" w:cs="Times New Roman"/>
        </w:rPr>
        <w:t xml:space="preserve">they are </w:t>
      </w:r>
      <w:r w:rsidR="00CD72ED" w:rsidRPr="000D152F">
        <w:rPr>
          <w:rFonts w:ascii="Times New Roman" w:hAnsi="Times New Roman" w:cs="Times New Roman"/>
        </w:rPr>
        <w:t xml:space="preserve">twinned, </w:t>
      </w:r>
      <w:r w:rsidRPr="000D152F">
        <w:rPr>
          <w:rFonts w:ascii="Times New Roman" w:hAnsi="Times New Roman" w:cs="Times New Roman"/>
        </w:rPr>
        <w:t xml:space="preserve">each </w:t>
      </w:r>
      <w:r w:rsidR="00367386" w:rsidRPr="000D152F">
        <w:rPr>
          <w:rFonts w:ascii="Times New Roman" w:hAnsi="Times New Roman" w:cs="Times New Roman"/>
        </w:rPr>
        <w:t xml:space="preserve">through </w:t>
      </w:r>
      <w:r w:rsidRPr="000D152F">
        <w:rPr>
          <w:rFonts w:ascii="Times New Roman" w:hAnsi="Times New Roman" w:cs="Times New Roman"/>
        </w:rPr>
        <w:t>justice, so that: ‘what is just is also useful, and again what is honourable is also just.’</w:t>
      </w:r>
      <w:r w:rsidRPr="000D152F">
        <w:rPr>
          <w:rStyle w:val="FootnoteReference"/>
          <w:rFonts w:ascii="Times New Roman" w:hAnsi="Times New Roman" w:cs="Times New Roman"/>
        </w:rPr>
        <w:footnoteReference w:id="88"/>
      </w:r>
      <w:r w:rsidR="00C13E3D" w:rsidRPr="000D152F">
        <w:rPr>
          <w:rFonts w:ascii="Times New Roman" w:hAnsi="Times New Roman" w:cs="Times New Roman"/>
        </w:rPr>
        <w:t xml:space="preserve"> For our discussion, the con</w:t>
      </w:r>
      <w:r w:rsidR="00F83150" w:rsidRPr="000D152F">
        <w:rPr>
          <w:rFonts w:ascii="Times New Roman" w:hAnsi="Times New Roman" w:cs="Times New Roman"/>
        </w:rPr>
        <w:t>cern with the just and justice</w:t>
      </w:r>
      <w:r w:rsidR="00367386" w:rsidRPr="000D152F">
        <w:rPr>
          <w:rFonts w:ascii="Times New Roman" w:hAnsi="Times New Roman" w:cs="Times New Roman"/>
        </w:rPr>
        <w:t xml:space="preserve"> </w:t>
      </w:r>
      <w:r w:rsidR="00C13E3D" w:rsidRPr="000D152F">
        <w:rPr>
          <w:rFonts w:ascii="Times New Roman" w:hAnsi="Times New Roman" w:cs="Times New Roman"/>
        </w:rPr>
        <w:t xml:space="preserve">offers a particularly interesting development, as Cicero relates the purpose of </w:t>
      </w:r>
      <w:r w:rsidR="00302DA6" w:rsidRPr="000D152F">
        <w:rPr>
          <w:rFonts w:ascii="Times New Roman" w:hAnsi="Times New Roman" w:cs="Times New Roman"/>
        </w:rPr>
        <w:t>justice</w:t>
      </w:r>
      <w:r w:rsidR="00C13E3D" w:rsidRPr="000D152F">
        <w:rPr>
          <w:rFonts w:ascii="Times New Roman" w:hAnsi="Times New Roman" w:cs="Times New Roman"/>
        </w:rPr>
        <w:t xml:space="preserve"> specifically to the distinction between the private and the public:</w:t>
      </w:r>
    </w:p>
    <w:p w14:paraId="512EAC61" w14:textId="77777777" w:rsidR="00851B5A" w:rsidRPr="000D152F" w:rsidRDefault="00851B5A"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45E4EF95" w14:textId="17A2FA02" w:rsidR="00C13E3D" w:rsidRPr="000D152F" w:rsidRDefault="00C13E3D"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ight="567"/>
        <w:jc w:val="both"/>
        <w:rPr>
          <w:rFonts w:ascii="Times New Roman" w:hAnsi="Times New Roman" w:cs="Times New Roman"/>
        </w:rPr>
      </w:pPr>
      <w:r w:rsidRPr="000D152F">
        <w:rPr>
          <w:rFonts w:ascii="Times New Roman" w:hAnsi="Times New Roman" w:cs="Times New Roman"/>
        </w:rPr>
        <w:t>‘The primary function of justice is to ensure that no one harms his neighbour unless he has himself been unjustly attacked. Its second concern is that communal property should serve communal interests, and private property private interests.</w:t>
      </w:r>
    </w:p>
    <w:p w14:paraId="2E0BD97A" w14:textId="77777777" w:rsidR="00C13E3D" w:rsidRPr="000D152F" w:rsidRDefault="00C13E3D"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ight="567"/>
        <w:jc w:val="both"/>
        <w:rPr>
          <w:rFonts w:ascii="Times New Roman" w:hAnsi="Times New Roman" w:cs="Times New Roman"/>
        </w:rPr>
      </w:pPr>
    </w:p>
    <w:p w14:paraId="625DECA6" w14:textId="6C0AD4FA" w:rsidR="00C13E3D" w:rsidRPr="000D152F" w:rsidRDefault="00C13E3D"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ight="567"/>
        <w:jc w:val="both"/>
        <w:rPr>
          <w:rFonts w:ascii="Times New Roman" w:hAnsi="Times New Roman" w:cs="Times New Roman"/>
        </w:rPr>
      </w:pPr>
      <w:r w:rsidRPr="000D152F">
        <w:rPr>
          <w:rFonts w:ascii="Times New Roman" w:hAnsi="Times New Roman" w:cs="Times New Roman"/>
        </w:rPr>
        <w:t>Private property has been endowed not by nature, but by long-standing occupancy in the case of those who settled long ago on empty land; or by victory in the case of those who gained it in war; or by law</w:t>
      </w:r>
      <w:r w:rsidR="003D1C3D" w:rsidRPr="000D152F">
        <w:rPr>
          <w:rFonts w:ascii="Times New Roman" w:hAnsi="Times New Roman" w:cs="Times New Roman"/>
          <w:vertAlign w:val="superscript"/>
        </w:rPr>
        <w:t>[</w:t>
      </w:r>
      <w:r w:rsidRPr="000D152F">
        <w:rPr>
          <w:rStyle w:val="FootnoteReference"/>
          <w:rFonts w:ascii="Times New Roman" w:hAnsi="Times New Roman" w:cs="Times New Roman"/>
        </w:rPr>
        <w:footnoteReference w:id="89"/>
      </w:r>
      <w:r w:rsidR="003D1C3D" w:rsidRPr="000D152F">
        <w:rPr>
          <w:rFonts w:ascii="Times New Roman" w:hAnsi="Times New Roman" w:cs="Times New Roman"/>
          <w:vertAlign w:val="superscript"/>
        </w:rPr>
        <w:t>]</w:t>
      </w:r>
      <w:r w:rsidRPr="000D152F">
        <w:rPr>
          <w:rFonts w:ascii="Times New Roman" w:hAnsi="Times New Roman" w:cs="Times New Roman"/>
        </w:rPr>
        <w:t xml:space="preserve"> or bargain or contract or lot.’</w:t>
      </w:r>
      <w:r w:rsidR="009F1019" w:rsidRPr="000D152F">
        <w:rPr>
          <w:rStyle w:val="FootnoteReference"/>
          <w:rFonts w:ascii="Times New Roman" w:hAnsi="Times New Roman" w:cs="Times New Roman"/>
        </w:rPr>
        <w:footnoteReference w:id="90"/>
      </w:r>
    </w:p>
    <w:p w14:paraId="1E5078F4" w14:textId="77777777" w:rsidR="00C13E3D" w:rsidRPr="000D152F" w:rsidRDefault="00C13E3D"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7643C035" w14:textId="0678BA9B" w:rsidR="00302DA6" w:rsidRPr="000D152F" w:rsidRDefault="00302DA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The distinction between </w:t>
      </w:r>
      <w:r w:rsidR="006006CC" w:rsidRPr="000D152F">
        <w:rPr>
          <w:rFonts w:ascii="Times New Roman" w:hAnsi="Times New Roman" w:cs="Times New Roman"/>
        </w:rPr>
        <w:t>the public and the private was fundamental</w:t>
      </w:r>
      <w:r w:rsidRPr="000D152F">
        <w:rPr>
          <w:rFonts w:ascii="Times New Roman" w:hAnsi="Times New Roman" w:cs="Times New Roman"/>
        </w:rPr>
        <w:t xml:space="preserve"> for Cicero. The vehemence with which he attacks the corrupt former governor Verres in his prosecutorial speeches</w:t>
      </w:r>
      <w:r w:rsidR="00121A5D" w:rsidRPr="000D152F">
        <w:rPr>
          <w:rFonts w:ascii="Times New Roman" w:hAnsi="Times New Roman" w:cs="Times New Roman"/>
        </w:rPr>
        <w:t xml:space="preserve"> is a testament to this. Verres</w:t>
      </w:r>
      <w:r w:rsidRPr="000D152F">
        <w:rPr>
          <w:rFonts w:ascii="Times New Roman" w:hAnsi="Times New Roman" w:cs="Times New Roman"/>
        </w:rPr>
        <w:t xml:space="preserve"> had </w:t>
      </w:r>
      <w:r w:rsidR="002B78E5" w:rsidRPr="000D152F">
        <w:rPr>
          <w:rFonts w:ascii="Times New Roman" w:hAnsi="Times New Roman" w:cs="Times New Roman"/>
        </w:rPr>
        <w:t xml:space="preserve">(amongst other offences) extorted and embezzled </w:t>
      </w:r>
      <w:r w:rsidR="002B78E5" w:rsidRPr="000D152F">
        <w:rPr>
          <w:rFonts w:ascii="Times New Roman" w:hAnsi="Times New Roman" w:cs="Times New Roman"/>
        </w:rPr>
        <w:lastRenderedPageBreak/>
        <w:t xml:space="preserve">from the province of Sicily during his governorship. In his second speech, Cicero </w:t>
      </w:r>
      <w:r w:rsidR="00D84B1E" w:rsidRPr="000D152F">
        <w:rPr>
          <w:rFonts w:ascii="Times New Roman" w:hAnsi="Times New Roman" w:cs="Times New Roman"/>
        </w:rPr>
        <w:t>stated</w:t>
      </w:r>
      <w:r w:rsidR="002B78E5" w:rsidRPr="000D152F">
        <w:rPr>
          <w:rFonts w:ascii="Times New Roman" w:hAnsi="Times New Roman" w:cs="Times New Roman"/>
        </w:rPr>
        <w:t>:</w:t>
      </w:r>
    </w:p>
    <w:p w14:paraId="17D8667D" w14:textId="77777777" w:rsidR="002B78E5" w:rsidRPr="000D152F" w:rsidRDefault="002B78E5"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377FB27D" w14:textId="4E23A7F1" w:rsidR="002B78E5" w:rsidRPr="000D152F" w:rsidRDefault="002B78E5"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7" w:right="567"/>
        <w:jc w:val="both"/>
        <w:rPr>
          <w:rFonts w:ascii="Times New Roman" w:hAnsi="Times New Roman" w:cs="Times New Roman"/>
        </w:rPr>
      </w:pPr>
      <w:r w:rsidRPr="000D152F">
        <w:rPr>
          <w:rFonts w:ascii="Times New Roman" w:hAnsi="Times New Roman" w:cs="Times New Roman"/>
        </w:rPr>
        <w:t xml:space="preserve">‘As governor, it never </w:t>
      </w:r>
      <w:r w:rsidR="00F420D7" w:rsidRPr="000D152F">
        <w:rPr>
          <w:rFonts w:ascii="Times New Roman" w:hAnsi="Times New Roman" w:cs="Times New Roman"/>
        </w:rPr>
        <w:t>occurred</w:t>
      </w:r>
      <w:r w:rsidRPr="000D152F">
        <w:rPr>
          <w:rFonts w:ascii="Times New Roman" w:hAnsi="Times New Roman" w:cs="Times New Roman"/>
        </w:rPr>
        <w:t xml:space="preserve"> to you that those rods and axes,</w:t>
      </w:r>
      <w:r w:rsidR="009F1019" w:rsidRPr="000D152F">
        <w:rPr>
          <w:rFonts w:ascii="Times New Roman" w:hAnsi="Times New Roman" w:cs="Times New Roman"/>
          <w:vertAlign w:val="superscript"/>
        </w:rPr>
        <w:t>[</w:t>
      </w:r>
      <w:r w:rsidR="009F1019" w:rsidRPr="000D152F">
        <w:rPr>
          <w:rStyle w:val="FootnoteReference"/>
          <w:rFonts w:ascii="Times New Roman" w:hAnsi="Times New Roman" w:cs="Times New Roman"/>
        </w:rPr>
        <w:footnoteReference w:id="91"/>
      </w:r>
      <w:r w:rsidR="009F1019" w:rsidRPr="000D152F">
        <w:rPr>
          <w:rFonts w:ascii="Times New Roman" w:hAnsi="Times New Roman" w:cs="Times New Roman"/>
          <w:vertAlign w:val="superscript"/>
        </w:rPr>
        <w:t>]</w:t>
      </w:r>
      <w:r w:rsidRPr="000D152F">
        <w:rPr>
          <w:rFonts w:ascii="Times New Roman" w:hAnsi="Times New Roman" w:cs="Times New Roman"/>
        </w:rPr>
        <w:t xml:space="preserve"> the absolute power of your office, and all those symbols of rank and prestige had not been given to you simply to allow you to break down every barrier of duty and restraint, to </w:t>
      </w:r>
      <w:r w:rsidR="00F420D7" w:rsidRPr="000D152F">
        <w:rPr>
          <w:rFonts w:ascii="Times New Roman" w:hAnsi="Times New Roman" w:cs="Times New Roman"/>
        </w:rPr>
        <w:t>v</w:t>
      </w:r>
      <w:r w:rsidRPr="000D152F">
        <w:rPr>
          <w:rFonts w:ascii="Times New Roman" w:hAnsi="Times New Roman" w:cs="Times New Roman"/>
        </w:rPr>
        <w:t xml:space="preserve">iew everybody’s property as plunder for yourself, and to make it </w:t>
      </w:r>
      <w:r w:rsidR="00F420D7" w:rsidRPr="000D152F">
        <w:rPr>
          <w:rFonts w:ascii="Times New Roman" w:hAnsi="Times New Roman" w:cs="Times New Roman"/>
        </w:rPr>
        <w:t>impossible</w:t>
      </w:r>
      <w:r w:rsidRPr="000D152F">
        <w:rPr>
          <w:rFonts w:ascii="Times New Roman" w:hAnsi="Times New Roman" w:cs="Times New Roman"/>
        </w:rPr>
        <w:t xml:space="preserve"> for anyone’s possessions to be safe, anyone’s home secure, </w:t>
      </w:r>
      <w:r w:rsidR="00F420D7" w:rsidRPr="000D152F">
        <w:rPr>
          <w:rFonts w:ascii="Times New Roman" w:hAnsi="Times New Roman" w:cs="Times New Roman"/>
        </w:rPr>
        <w:t>anyone’s life protected, or anyone’s chastity guarded against your greed and wickedness.’</w:t>
      </w:r>
      <w:bookmarkStart w:id="17" w:name="_Ref260653142"/>
      <w:r w:rsidR="00F420D7" w:rsidRPr="000D152F">
        <w:rPr>
          <w:rStyle w:val="FootnoteReference"/>
          <w:rFonts w:ascii="Times New Roman" w:hAnsi="Times New Roman" w:cs="Times New Roman"/>
        </w:rPr>
        <w:footnoteReference w:id="92"/>
      </w:r>
      <w:bookmarkEnd w:id="17"/>
    </w:p>
    <w:p w14:paraId="2031B4DC" w14:textId="77777777" w:rsidR="00302DA6" w:rsidRPr="000D152F" w:rsidRDefault="00302DA6"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577CDFAA" w14:textId="7D6FC2A7" w:rsidR="006F3BF1" w:rsidRPr="000D152F" w:rsidRDefault="006F3BF1"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We can see here, Cicero’s identifi</w:t>
      </w:r>
      <w:r w:rsidR="00FA189E" w:rsidRPr="000D152F">
        <w:rPr>
          <w:rFonts w:ascii="Times New Roman" w:hAnsi="Times New Roman" w:cs="Times New Roman"/>
        </w:rPr>
        <w:t>cation of the betrayal involved,</w:t>
      </w:r>
      <w:r w:rsidRPr="000D152F">
        <w:rPr>
          <w:rFonts w:ascii="Times New Roman" w:hAnsi="Times New Roman" w:cs="Times New Roman"/>
        </w:rPr>
        <w:t xml:space="preserve"> the elision of the public (that which is </w:t>
      </w:r>
      <w:r w:rsidR="001C2394" w:rsidRPr="000D152F">
        <w:rPr>
          <w:rFonts w:ascii="Times New Roman" w:hAnsi="Times New Roman" w:cs="Times New Roman"/>
        </w:rPr>
        <w:t xml:space="preserve">in the </w:t>
      </w:r>
      <w:r w:rsidRPr="000D152F">
        <w:rPr>
          <w:rFonts w:ascii="Times New Roman" w:hAnsi="Times New Roman" w:cs="Times New Roman"/>
        </w:rPr>
        <w:t xml:space="preserve">common </w:t>
      </w:r>
      <w:r w:rsidR="001C2394" w:rsidRPr="000D152F">
        <w:rPr>
          <w:rFonts w:ascii="Times New Roman" w:hAnsi="Times New Roman" w:cs="Times New Roman"/>
        </w:rPr>
        <w:t>interest</w:t>
      </w:r>
      <w:r w:rsidRPr="000D152F">
        <w:rPr>
          <w:rFonts w:ascii="Times New Roman" w:hAnsi="Times New Roman" w:cs="Times New Roman"/>
        </w:rPr>
        <w:t xml:space="preserve">) and the private (Verres’ own wealth and pleasure). </w:t>
      </w:r>
      <w:r w:rsidR="006006CC" w:rsidRPr="000D152F">
        <w:rPr>
          <w:rFonts w:ascii="Times New Roman" w:hAnsi="Times New Roman" w:cs="Times New Roman"/>
        </w:rPr>
        <w:t xml:space="preserve">In this way, </w:t>
      </w:r>
      <w:r w:rsidR="00BE6582" w:rsidRPr="000D152F">
        <w:rPr>
          <w:rFonts w:ascii="Times New Roman" w:hAnsi="Times New Roman" w:cs="Times New Roman"/>
        </w:rPr>
        <w:t>Cicero offers an approach to understanding the nature of the State and pub</w:t>
      </w:r>
      <w:r w:rsidR="001C2394" w:rsidRPr="000D152F">
        <w:rPr>
          <w:rFonts w:ascii="Times New Roman" w:hAnsi="Times New Roman" w:cs="Times New Roman"/>
        </w:rPr>
        <w:t>l</w:t>
      </w:r>
      <w:r w:rsidR="00BE6582" w:rsidRPr="000D152F">
        <w:rPr>
          <w:rFonts w:ascii="Times New Roman" w:hAnsi="Times New Roman" w:cs="Times New Roman"/>
        </w:rPr>
        <w:t>ic authority</w:t>
      </w:r>
      <w:r w:rsidR="00F528DA" w:rsidRPr="000D152F">
        <w:rPr>
          <w:rFonts w:ascii="Times New Roman" w:hAnsi="Times New Roman" w:cs="Times New Roman"/>
        </w:rPr>
        <w:t>, echoing Aristotle,</w:t>
      </w:r>
      <w:r w:rsidR="00BE6582" w:rsidRPr="000D152F">
        <w:rPr>
          <w:rFonts w:ascii="Times New Roman" w:hAnsi="Times New Roman" w:cs="Times New Roman"/>
        </w:rPr>
        <w:t xml:space="preserve"> in two key ways: the first is a teleological basis, identify the pursuit of the highest good as the aim</w:t>
      </w:r>
      <w:r w:rsidR="005F1833">
        <w:rPr>
          <w:rFonts w:ascii="Times New Roman" w:hAnsi="Times New Roman" w:cs="Times New Roman"/>
        </w:rPr>
        <w:t>;</w:t>
      </w:r>
      <w:r w:rsidR="00BE6582" w:rsidRPr="000D152F">
        <w:rPr>
          <w:rFonts w:ascii="Times New Roman" w:hAnsi="Times New Roman" w:cs="Times New Roman"/>
        </w:rPr>
        <w:t xml:space="preserve"> and </w:t>
      </w:r>
      <w:r w:rsidR="005F1833">
        <w:rPr>
          <w:rFonts w:ascii="Times New Roman" w:hAnsi="Times New Roman" w:cs="Times New Roman"/>
        </w:rPr>
        <w:t xml:space="preserve">second, </w:t>
      </w:r>
      <w:r w:rsidR="00BE6582" w:rsidRPr="000D152F">
        <w:rPr>
          <w:rFonts w:ascii="Times New Roman" w:hAnsi="Times New Roman" w:cs="Times New Roman"/>
        </w:rPr>
        <w:t>ensuring the distinction between the public and private as a way of supporting suc</w:t>
      </w:r>
      <w:r w:rsidR="00FA189E" w:rsidRPr="000D152F">
        <w:rPr>
          <w:rFonts w:ascii="Times New Roman" w:hAnsi="Times New Roman" w:cs="Times New Roman"/>
        </w:rPr>
        <w:t xml:space="preserve">h a pursuit (going so far as </w:t>
      </w:r>
      <w:r w:rsidR="00BE6582" w:rsidRPr="000D152F">
        <w:rPr>
          <w:rFonts w:ascii="Times New Roman" w:hAnsi="Times New Roman" w:cs="Times New Roman"/>
        </w:rPr>
        <w:t xml:space="preserve">tying it </w:t>
      </w:r>
      <w:r w:rsidR="00FA189E" w:rsidRPr="000D152F">
        <w:rPr>
          <w:rFonts w:ascii="Times New Roman" w:hAnsi="Times New Roman" w:cs="Times New Roman"/>
        </w:rPr>
        <w:t xml:space="preserve">to </w:t>
      </w:r>
      <w:r w:rsidR="00BE6582" w:rsidRPr="000D152F">
        <w:rPr>
          <w:rFonts w:ascii="Times New Roman" w:hAnsi="Times New Roman" w:cs="Times New Roman"/>
        </w:rPr>
        <w:t xml:space="preserve">the very concept of justice). </w:t>
      </w:r>
    </w:p>
    <w:p w14:paraId="72011390" w14:textId="77777777" w:rsidR="00BE6582" w:rsidRPr="000D152F" w:rsidRDefault="00BE6582"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16402CCC" w14:textId="59733699" w:rsidR="00554851" w:rsidRPr="000D152F" w:rsidRDefault="00744927"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What does this mean for examining the contours of the public-private relationship at the WTO? </w:t>
      </w:r>
      <w:r w:rsidR="00193DE8" w:rsidRPr="000D152F">
        <w:rPr>
          <w:rFonts w:ascii="Times New Roman" w:hAnsi="Times New Roman" w:cs="Times New Roman"/>
        </w:rPr>
        <w:t>The concerns over th</w:t>
      </w:r>
      <w:r w:rsidR="00C52FB0" w:rsidRPr="000D152F">
        <w:rPr>
          <w:rFonts w:ascii="Times New Roman" w:hAnsi="Times New Roman" w:cs="Times New Roman"/>
        </w:rPr>
        <w:t>e appropriate function</w:t>
      </w:r>
      <w:r w:rsidR="00193DE8" w:rsidRPr="000D152F">
        <w:rPr>
          <w:rFonts w:ascii="Times New Roman" w:hAnsi="Times New Roman" w:cs="Times New Roman"/>
        </w:rPr>
        <w:t xml:space="preserve"> of the </w:t>
      </w:r>
      <w:r w:rsidR="00F528DA" w:rsidRPr="000D152F">
        <w:rPr>
          <w:rFonts w:ascii="Times New Roman" w:hAnsi="Times New Roman" w:cs="Times New Roman"/>
        </w:rPr>
        <w:t xml:space="preserve">political association </w:t>
      </w:r>
      <w:r w:rsidR="00193DE8" w:rsidRPr="000D152F">
        <w:rPr>
          <w:rFonts w:ascii="Times New Roman" w:hAnsi="Times New Roman" w:cs="Times New Roman"/>
        </w:rPr>
        <w:t xml:space="preserve">speak to how we are to understand the public sphere – </w:t>
      </w:r>
      <w:r w:rsidR="00C9338B">
        <w:rPr>
          <w:rFonts w:ascii="Times New Roman" w:hAnsi="Times New Roman" w:cs="Times New Roman"/>
        </w:rPr>
        <w:t xml:space="preserve">those acts or institutions </w:t>
      </w:r>
      <w:r w:rsidR="00193DE8" w:rsidRPr="000D152F">
        <w:rPr>
          <w:rFonts w:ascii="Times New Roman" w:hAnsi="Times New Roman" w:cs="Times New Roman"/>
        </w:rPr>
        <w:t xml:space="preserve">which </w:t>
      </w:r>
      <w:r w:rsidR="00C9338B">
        <w:rPr>
          <w:rFonts w:ascii="Times New Roman" w:hAnsi="Times New Roman" w:cs="Times New Roman"/>
        </w:rPr>
        <w:t xml:space="preserve">pursue </w:t>
      </w:r>
      <w:r w:rsidR="00193DE8" w:rsidRPr="000D152F">
        <w:rPr>
          <w:rFonts w:ascii="Times New Roman" w:hAnsi="Times New Roman" w:cs="Times New Roman"/>
        </w:rPr>
        <w:t xml:space="preserve">the </w:t>
      </w:r>
      <w:r w:rsidR="00F528DA" w:rsidRPr="000D152F">
        <w:rPr>
          <w:rFonts w:ascii="Times New Roman" w:hAnsi="Times New Roman" w:cs="Times New Roman"/>
        </w:rPr>
        <w:t xml:space="preserve">aim of the political association, in the common interest, </w:t>
      </w:r>
      <w:r w:rsidR="00C9338B">
        <w:rPr>
          <w:rFonts w:ascii="Times New Roman" w:hAnsi="Times New Roman" w:cs="Times New Roman"/>
        </w:rPr>
        <w:t xml:space="preserve">are those we consider </w:t>
      </w:r>
      <w:r w:rsidR="00193DE8" w:rsidRPr="000D152F">
        <w:rPr>
          <w:rFonts w:ascii="Times New Roman" w:hAnsi="Times New Roman" w:cs="Times New Roman"/>
        </w:rPr>
        <w:t xml:space="preserve">public. We identify the </w:t>
      </w:r>
      <w:r w:rsidR="00FE04FF" w:rsidRPr="000D152F">
        <w:rPr>
          <w:rFonts w:ascii="Times New Roman" w:hAnsi="Times New Roman" w:cs="Times New Roman"/>
        </w:rPr>
        <w:t xml:space="preserve">aim </w:t>
      </w:r>
      <w:r w:rsidR="00193DE8" w:rsidRPr="000D152F">
        <w:rPr>
          <w:rFonts w:ascii="Times New Roman" w:hAnsi="Times New Roman" w:cs="Times New Roman"/>
        </w:rPr>
        <w:t xml:space="preserve">of our </w:t>
      </w:r>
      <w:r w:rsidR="00FE04FF" w:rsidRPr="000D152F">
        <w:rPr>
          <w:rFonts w:ascii="Times New Roman" w:hAnsi="Times New Roman" w:cs="Times New Roman"/>
        </w:rPr>
        <w:t xml:space="preserve">political association </w:t>
      </w:r>
      <w:r w:rsidR="00193DE8" w:rsidRPr="000D152F">
        <w:rPr>
          <w:rFonts w:ascii="Times New Roman" w:hAnsi="Times New Roman" w:cs="Times New Roman"/>
        </w:rPr>
        <w:t xml:space="preserve">and from this point identify what is the public (that which </w:t>
      </w:r>
      <w:r w:rsidR="00FE04FF" w:rsidRPr="000D152F">
        <w:rPr>
          <w:rFonts w:ascii="Times New Roman" w:hAnsi="Times New Roman" w:cs="Times New Roman"/>
        </w:rPr>
        <w:t>contributes</w:t>
      </w:r>
      <w:r w:rsidR="00193DE8" w:rsidRPr="000D152F">
        <w:rPr>
          <w:rFonts w:ascii="Times New Roman" w:hAnsi="Times New Roman" w:cs="Times New Roman"/>
        </w:rPr>
        <w:t xml:space="preserve">) or the private (that which does not). </w:t>
      </w:r>
    </w:p>
    <w:p w14:paraId="7D1573CC" w14:textId="77777777" w:rsidR="00FE04FF" w:rsidRPr="000D152F" w:rsidRDefault="00FE04FF"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5BDB55E4" w14:textId="1547BCBE" w:rsidR="00B102B8" w:rsidRPr="000D152F" w:rsidRDefault="00B102B8"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lastRenderedPageBreak/>
        <w:t xml:space="preserve">Taking a teleological approach </w:t>
      </w:r>
      <w:r w:rsidR="00FE04FF" w:rsidRPr="000D152F">
        <w:rPr>
          <w:rFonts w:ascii="Times New Roman" w:hAnsi="Times New Roman" w:cs="Times New Roman"/>
        </w:rPr>
        <w:t xml:space="preserve">is </w:t>
      </w:r>
      <w:r w:rsidRPr="000D152F">
        <w:rPr>
          <w:rFonts w:ascii="Times New Roman" w:hAnsi="Times New Roman" w:cs="Times New Roman"/>
        </w:rPr>
        <w:t>not new: John Finnis has argued strongly for an Aristotelian acknowledgement of the purpose of law in order to understand it (though he interprets Aristotle in a Scholastic vein</w:t>
      </w:r>
      <w:r w:rsidR="00772768" w:rsidRPr="000D152F">
        <w:rPr>
          <w:rFonts w:ascii="Times New Roman" w:hAnsi="Times New Roman" w:cs="Times New Roman"/>
        </w:rPr>
        <w:t xml:space="preserve"> which produces very different outcomes</w:t>
      </w:r>
      <w:r w:rsidRPr="000D152F">
        <w:rPr>
          <w:rFonts w:ascii="Times New Roman" w:hAnsi="Times New Roman" w:cs="Times New Roman"/>
        </w:rPr>
        <w:t>);</w:t>
      </w:r>
      <w:r w:rsidRPr="000D152F">
        <w:rPr>
          <w:rStyle w:val="FootnoteReference"/>
          <w:rFonts w:ascii="Times New Roman" w:hAnsi="Times New Roman" w:cs="Times New Roman"/>
        </w:rPr>
        <w:footnoteReference w:id="93"/>
      </w:r>
      <w:r w:rsidRPr="000D152F">
        <w:rPr>
          <w:rFonts w:ascii="Times New Roman" w:hAnsi="Times New Roman" w:cs="Times New Roman"/>
        </w:rPr>
        <w:t xml:space="preserve"> and Nick Barber has also identified elements of this approach in advocating the importance of an ‘ethical framework,’ which includes acknowledging the purpose of the State, in order to understand it.</w:t>
      </w:r>
      <w:r w:rsidRPr="000D152F">
        <w:rPr>
          <w:rStyle w:val="FootnoteReference"/>
          <w:rFonts w:ascii="Times New Roman" w:hAnsi="Times New Roman" w:cs="Times New Roman"/>
        </w:rPr>
        <w:footnoteReference w:id="94"/>
      </w:r>
      <w:r w:rsidRPr="000D152F">
        <w:rPr>
          <w:rFonts w:ascii="Times New Roman" w:hAnsi="Times New Roman" w:cs="Times New Roman"/>
        </w:rPr>
        <w:t xml:space="preserve"> One can </w:t>
      </w:r>
      <w:r w:rsidR="007A1B58" w:rsidRPr="000D152F">
        <w:rPr>
          <w:rFonts w:ascii="Times New Roman" w:hAnsi="Times New Roman" w:cs="Times New Roman"/>
        </w:rPr>
        <w:t xml:space="preserve">also </w:t>
      </w:r>
      <w:r w:rsidRPr="000D152F">
        <w:rPr>
          <w:rFonts w:ascii="Times New Roman" w:hAnsi="Times New Roman" w:cs="Times New Roman"/>
        </w:rPr>
        <w:t xml:space="preserve">find reflection within </w:t>
      </w:r>
      <w:r w:rsidR="007A1B58" w:rsidRPr="000D152F">
        <w:rPr>
          <w:rFonts w:ascii="Times New Roman" w:hAnsi="Times New Roman" w:cs="Times New Roman"/>
        </w:rPr>
        <w:t xml:space="preserve">international law itself. For example, </w:t>
      </w:r>
      <w:r w:rsidR="00772768" w:rsidRPr="000D152F">
        <w:rPr>
          <w:rFonts w:ascii="Times New Roman" w:hAnsi="Times New Roman" w:cs="Times New Roman"/>
        </w:rPr>
        <w:t xml:space="preserve">as discussed above, </w:t>
      </w:r>
      <w:r w:rsidRPr="000D152F">
        <w:rPr>
          <w:rFonts w:ascii="Times New Roman" w:hAnsi="Times New Roman" w:cs="Times New Roman"/>
        </w:rPr>
        <w:t>the Vienna Convent</w:t>
      </w:r>
      <w:r w:rsidR="006F06C8" w:rsidRPr="000D152F">
        <w:rPr>
          <w:rFonts w:ascii="Times New Roman" w:hAnsi="Times New Roman" w:cs="Times New Roman"/>
        </w:rPr>
        <w:t xml:space="preserve">ion on the Law of Treaties </w:t>
      </w:r>
      <w:r w:rsidR="007A1B58" w:rsidRPr="000D152F">
        <w:rPr>
          <w:rFonts w:ascii="Times New Roman" w:hAnsi="Times New Roman" w:cs="Times New Roman"/>
        </w:rPr>
        <w:t xml:space="preserve">encourages the identification of </w:t>
      </w:r>
      <w:r w:rsidRPr="000D152F">
        <w:rPr>
          <w:rFonts w:ascii="Times New Roman" w:hAnsi="Times New Roman" w:cs="Times New Roman"/>
        </w:rPr>
        <w:t xml:space="preserve">the object and purpose of </w:t>
      </w:r>
      <w:r w:rsidR="007A1B58" w:rsidRPr="000D152F">
        <w:rPr>
          <w:rFonts w:ascii="Times New Roman" w:hAnsi="Times New Roman" w:cs="Times New Roman"/>
        </w:rPr>
        <w:t xml:space="preserve">a </w:t>
      </w:r>
      <w:r w:rsidRPr="000D152F">
        <w:rPr>
          <w:rFonts w:ascii="Times New Roman" w:hAnsi="Times New Roman" w:cs="Times New Roman"/>
        </w:rPr>
        <w:t>treaty,</w:t>
      </w:r>
      <w:r w:rsidRPr="000D152F">
        <w:rPr>
          <w:rStyle w:val="FootnoteReference"/>
          <w:rFonts w:ascii="Times New Roman" w:hAnsi="Times New Roman" w:cs="Times New Roman"/>
        </w:rPr>
        <w:footnoteReference w:id="95"/>
      </w:r>
      <w:r w:rsidRPr="000D152F">
        <w:rPr>
          <w:rFonts w:ascii="Times New Roman" w:hAnsi="Times New Roman" w:cs="Times New Roman"/>
        </w:rPr>
        <w:t xml:space="preserve"> though the concern in that instance is more narrow as it examines the treaty itself, rather than the </w:t>
      </w:r>
      <w:r w:rsidR="006F06C8" w:rsidRPr="000D152F">
        <w:rPr>
          <w:rFonts w:ascii="Times New Roman" w:hAnsi="Times New Roman" w:cs="Times New Roman"/>
        </w:rPr>
        <w:t xml:space="preserve">political </w:t>
      </w:r>
      <w:r w:rsidRPr="000D152F">
        <w:rPr>
          <w:rFonts w:ascii="Times New Roman" w:hAnsi="Times New Roman" w:cs="Times New Roman"/>
        </w:rPr>
        <w:t xml:space="preserve">association </w:t>
      </w:r>
      <w:r w:rsidR="00EE0A16" w:rsidRPr="000D152F">
        <w:rPr>
          <w:rFonts w:ascii="Times New Roman" w:hAnsi="Times New Roman" w:cs="Times New Roman"/>
        </w:rPr>
        <w:t xml:space="preserve">it came </w:t>
      </w:r>
      <w:r w:rsidRPr="000D152F">
        <w:rPr>
          <w:rFonts w:ascii="Times New Roman" w:hAnsi="Times New Roman" w:cs="Times New Roman"/>
        </w:rPr>
        <w:t xml:space="preserve">from. </w:t>
      </w:r>
      <w:r w:rsidR="00AD1921" w:rsidRPr="000D152F">
        <w:rPr>
          <w:rFonts w:ascii="Times New Roman" w:hAnsi="Times New Roman" w:cs="Times New Roman"/>
        </w:rPr>
        <w:t xml:space="preserve">Indeed, this is a key difference: the VCLT encourages interpreting a term in light of the text within which it if found, looking outside only for subsidiary means, and always in light of the object or purpose </w:t>
      </w:r>
      <w:r w:rsidR="00AD1921" w:rsidRPr="001B06D9">
        <w:rPr>
          <w:rFonts w:ascii="Times New Roman" w:hAnsi="Times New Roman" w:cs="Times New Roman"/>
          <w:i/>
        </w:rPr>
        <w:t>of the</w:t>
      </w:r>
      <w:r w:rsidR="00AD1921" w:rsidRPr="000D152F">
        <w:rPr>
          <w:rFonts w:ascii="Times New Roman" w:hAnsi="Times New Roman" w:cs="Times New Roman"/>
        </w:rPr>
        <w:t xml:space="preserve"> </w:t>
      </w:r>
      <w:r w:rsidR="00AD1921" w:rsidRPr="000D152F">
        <w:rPr>
          <w:rFonts w:ascii="Times New Roman" w:hAnsi="Times New Roman" w:cs="Times New Roman"/>
          <w:i/>
        </w:rPr>
        <w:t>treaty</w:t>
      </w:r>
      <w:r w:rsidR="00AD1921" w:rsidRPr="000D152F">
        <w:rPr>
          <w:rFonts w:ascii="Times New Roman" w:hAnsi="Times New Roman" w:cs="Times New Roman"/>
        </w:rPr>
        <w:t xml:space="preserve">. The </w:t>
      </w:r>
      <w:r w:rsidR="006535A8" w:rsidRPr="000D152F">
        <w:rPr>
          <w:rFonts w:ascii="Times New Roman" w:hAnsi="Times New Roman" w:cs="Times New Roman"/>
        </w:rPr>
        <w:t xml:space="preserve">approach posited here is for the term (in our case, ‘public body’) to be interpreted in light of the </w:t>
      </w:r>
      <w:r w:rsidR="003D1263">
        <w:rPr>
          <w:rFonts w:ascii="Times New Roman" w:hAnsi="Times New Roman" w:cs="Times New Roman"/>
        </w:rPr>
        <w:t xml:space="preserve">object or purpose </w:t>
      </w:r>
      <w:r w:rsidR="006535A8" w:rsidRPr="001B06D9">
        <w:rPr>
          <w:rFonts w:ascii="Times New Roman" w:hAnsi="Times New Roman" w:cs="Times New Roman"/>
          <w:i/>
        </w:rPr>
        <w:t>of the political association</w:t>
      </w:r>
      <w:r w:rsidR="006535A8" w:rsidRPr="000D152F">
        <w:rPr>
          <w:rFonts w:ascii="Times New Roman" w:hAnsi="Times New Roman" w:cs="Times New Roman"/>
        </w:rPr>
        <w:t xml:space="preserve"> as this constitutes its meaning</w:t>
      </w:r>
      <w:r w:rsidR="003277C0">
        <w:rPr>
          <w:rFonts w:ascii="Times New Roman" w:hAnsi="Times New Roman" w:cs="Times New Roman"/>
        </w:rPr>
        <w:t xml:space="preserve"> (and thus, in VCLT terms, the ‘ordinary meaning’)</w:t>
      </w:r>
      <w:r w:rsidR="006535A8" w:rsidRPr="000D152F">
        <w:rPr>
          <w:rFonts w:ascii="Times New Roman" w:hAnsi="Times New Roman" w:cs="Times New Roman"/>
        </w:rPr>
        <w:t>.</w:t>
      </w:r>
    </w:p>
    <w:p w14:paraId="40086E62" w14:textId="77777777" w:rsidR="00AD1921" w:rsidRPr="000D152F" w:rsidRDefault="00AD1921"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1C75A5B5" w14:textId="235C7904" w:rsidR="00D63A95" w:rsidRPr="000D152F" w:rsidRDefault="00D63A95"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The following section applies </w:t>
      </w:r>
      <w:r w:rsidR="00C91B33" w:rsidRPr="000D152F">
        <w:rPr>
          <w:rFonts w:ascii="Times New Roman" w:hAnsi="Times New Roman" w:cs="Times New Roman"/>
        </w:rPr>
        <w:t xml:space="preserve">this rationale </w:t>
      </w:r>
      <w:r w:rsidRPr="000D152F">
        <w:rPr>
          <w:rFonts w:ascii="Times New Roman" w:hAnsi="Times New Roman" w:cs="Times New Roman"/>
        </w:rPr>
        <w:t xml:space="preserve">to the case of the WTO and the challenge of the ‘public body’ interpretation. </w:t>
      </w:r>
      <w:r w:rsidR="00C91B33" w:rsidRPr="000D152F">
        <w:rPr>
          <w:rFonts w:ascii="Times New Roman" w:hAnsi="Times New Roman" w:cs="Times New Roman"/>
        </w:rPr>
        <w:t xml:space="preserve">In it, it posits the WTO as a political association that </w:t>
      </w:r>
      <w:r w:rsidR="00B9593D">
        <w:rPr>
          <w:rFonts w:ascii="Times New Roman" w:hAnsi="Times New Roman" w:cs="Times New Roman"/>
        </w:rPr>
        <w:t xml:space="preserve">includes </w:t>
      </w:r>
      <w:r w:rsidR="00C91B33" w:rsidRPr="000D152F">
        <w:rPr>
          <w:rFonts w:ascii="Times New Roman" w:hAnsi="Times New Roman" w:cs="Times New Roman"/>
        </w:rPr>
        <w:t>States</w:t>
      </w:r>
      <w:r w:rsidR="00FC0AB4" w:rsidRPr="000D152F">
        <w:rPr>
          <w:rFonts w:ascii="Times New Roman" w:hAnsi="Times New Roman" w:cs="Times New Roman"/>
        </w:rPr>
        <w:t>.</w:t>
      </w:r>
      <w:r w:rsidR="00C91B33" w:rsidRPr="000D152F">
        <w:rPr>
          <w:rFonts w:ascii="Times New Roman" w:hAnsi="Times New Roman" w:cs="Times New Roman"/>
        </w:rPr>
        <w:t xml:space="preserve"> </w:t>
      </w:r>
      <w:r w:rsidR="00FC0AB4" w:rsidRPr="000D152F">
        <w:rPr>
          <w:rFonts w:ascii="Times New Roman" w:hAnsi="Times New Roman" w:cs="Times New Roman"/>
        </w:rPr>
        <w:t xml:space="preserve">It is argued that the WTO is no ‘mere alliance’ </w:t>
      </w:r>
      <w:r w:rsidR="002857AA" w:rsidRPr="000D152F">
        <w:rPr>
          <w:rFonts w:ascii="Times New Roman" w:hAnsi="Times New Roman" w:cs="Times New Roman"/>
        </w:rPr>
        <w:t xml:space="preserve">of </w:t>
      </w:r>
      <w:r w:rsidR="00181182" w:rsidRPr="000D152F">
        <w:rPr>
          <w:rFonts w:ascii="Times New Roman" w:hAnsi="Times New Roman" w:cs="Times New Roman"/>
        </w:rPr>
        <w:t xml:space="preserve">self-interested Members </w:t>
      </w:r>
      <w:r w:rsidR="00FC0AB4" w:rsidRPr="000D152F">
        <w:rPr>
          <w:rFonts w:ascii="Times New Roman" w:hAnsi="Times New Roman" w:cs="Times New Roman"/>
        </w:rPr>
        <w:t xml:space="preserve">but rather a part of a </w:t>
      </w:r>
      <w:r w:rsidR="00FC0AB4" w:rsidRPr="001B06D9">
        <w:rPr>
          <w:rFonts w:ascii="Times New Roman" w:hAnsi="Times New Roman" w:cs="Times New Roman"/>
          <w:i/>
        </w:rPr>
        <w:t>shared</w:t>
      </w:r>
      <w:r w:rsidR="00FC0AB4" w:rsidRPr="000D152F">
        <w:rPr>
          <w:rFonts w:ascii="Times New Roman" w:hAnsi="Times New Roman" w:cs="Times New Roman"/>
        </w:rPr>
        <w:t xml:space="preserve"> political association that allows the identification of commonalities in the objectives of individuals, societies and international organizations. </w:t>
      </w:r>
    </w:p>
    <w:p w14:paraId="5AB925A6" w14:textId="77777777" w:rsidR="00D24E9B" w:rsidRPr="000D152F" w:rsidRDefault="00D24E9B"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0CAFBEB1" w14:textId="2D9B46F3" w:rsidR="00857846" w:rsidRPr="000D152F" w:rsidRDefault="008F06D0"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b/>
        </w:rPr>
      </w:pPr>
      <w:r w:rsidRPr="000D152F">
        <w:rPr>
          <w:rFonts w:ascii="Times New Roman" w:hAnsi="Times New Roman" w:cs="Times New Roman"/>
          <w:b/>
          <w:i/>
        </w:rPr>
        <w:t xml:space="preserve">PART </w:t>
      </w:r>
      <w:r w:rsidR="00420E57" w:rsidRPr="000D152F">
        <w:rPr>
          <w:rFonts w:ascii="Times New Roman" w:hAnsi="Times New Roman" w:cs="Times New Roman"/>
          <w:b/>
          <w:i/>
        </w:rPr>
        <w:t>I</w:t>
      </w:r>
      <w:r w:rsidRPr="000D152F">
        <w:rPr>
          <w:rFonts w:ascii="Times New Roman" w:hAnsi="Times New Roman" w:cs="Times New Roman"/>
          <w:b/>
          <w:i/>
        </w:rPr>
        <w:t xml:space="preserve">V – </w:t>
      </w:r>
      <w:r w:rsidR="004F0C03" w:rsidRPr="000D152F">
        <w:rPr>
          <w:rFonts w:ascii="Times New Roman" w:hAnsi="Times New Roman" w:cs="Times New Roman"/>
          <w:b/>
          <w:i/>
        </w:rPr>
        <w:t xml:space="preserve">The WTO as </w:t>
      </w:r>
      <w:r w:rsidR="00745115">
        <w:rPr>
          <w:rFonts w:ascii="Times New Roman" w:hAnsi="Times New Roman" w:cs="Times New Roman"/>
          <w:b/>
          <w:i/>
        </w:rPr>
        <w:t xml:space="preserve">a </w:t>
      </w:r>
      <w:r w:rsidR="004F0C03" w:rsidRPr="000D152F">
        <w:rPr>
          <w:rFonts w:ascii="Times New Roman" w:hAnsi="Times New Roman" w:cs="Times New Roman"/>
          <w:b/>
          <w:i/>
        </w:rPr>
        <w:t>political association</w:t>
      </w:r>
    </w:p>
    <w:p w14:paraId="2C9BAB07" w14:textId="77777777" w:rsidR="00125238" w:rsidRPr="000D152F" w:rsidRDefault="00125238"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35F161BA" w14:textId="7767BD6A" w:rsidR="0014034C" w:rsidRPr="000D152F" w:rsidRDefault="00554851"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lastRenderedPageBreak/>
        <w:t xml:space="preserve">Our role then, in the context of the WTO is to identify </w:t>
      </w:r>
      <w:r w:rsidR="002F6C6F" w:rsidRPr="000D152F">
        <w:rPr>
          <w:rFonts w:ascii="Times New Roman" w:hAnsi="Times New Roman" w:cs="Times New Roman"/>
        </w:rPr>
        <w:t xml:space="preserve">what we mean by ‘public body’ which, as discussed above, requires identifying </w:t>
      </w:r>
      <w:r w:rsidR="00247F04" w:rsidRPr="000D152F">
        <w:rPr>
          <w:rFonts w:ascii="Times New Roman" w:hAnsi="Times New Roman" w:cs="Times New Roman"/>
        </w:rPr>
        <w:t>the</w:t>
      </w:r>
      <w:r w:rsidRPr="000D152F">
        <w:rPr>
          <w:rFonts w:ascii="Times New Roman" w:hAnsi="Times New Roman" w:cs="Times New Roman"/>
        </w:rPr>
        <w:t xml:space="preserve"> </w:t>
      </w:r>
      <w:r w:rsidRPr="000D152F">
        <w:rPr>
          <w:rFonts w:ascii="Times New Roman" w:hAnsi="Times New Roman" w:cs="Times New Roman"/>
          <w:i/>
        </w:rPr>
        <w:t>telos</w:t>
      </w:r>
      <w:r w:rsidR="00247F04" w:rsidRPr="000D152F">
        <w:rPr>
          <w:rFonts w:ascii="Times New Roman" w:hAnsi="Times New Roman" w:cs="Times New Roman"/>
          <w:i/>
        </w:rPr>
        <w:t xml:space="preserve"> </w:t>
      </w:r>
      <w:r w:rsidR="00247F04" w:rsidRPr="000D152F">
        <w:rPr>
          <w:rFonts w:ascii="Times New Roman" w:hAnsi="Times New Roman" w:cs="Times New Roman"/>
        </w:rPr>
        <w:t xml:space="preserve">of the </w:t>
      </w:r>
      <w:r w:rsidR="002F6C6F" w:rsidRPr="000D152F">
        <w:rPr>
          <w:rFonts w:ascii="Times New Roman" w:hAnsi="Times New Roman" w:cs="Times New Roman"/>
        </w:rPr>
        <w:t xml:space="preserve">political association </w:t>
      </w:r>
      <w:r w:rsidR="00247F04" w:rsidRPr="000D152F">
        <w:rPr>
          <w:rFonts w:ascii="Times New Roman" w:hAnsi="Times New Roman" w:cs="Times New Roman"/>
        </w:rPr>
        <w:t>in question</w:t>
      </w:r>
      <w:r w:rsidRPr="000D152F">
        <w:rPr>
          <w:rFonts w:ascii="Times New Roman" w:hAnsi="Times New Roman" w:cs="Times New Roman"/>
        </w:rPr>
        <w:t xml:space="preserve">. </w:t>
      </w:r>
      <w:r w:rsidR="00247F04" w:rsidRPr="000D152F">
        <w:rPr>
          <w:rFonts w:ascii="Times New Roman" w:hAnsi="Times New Roman" w:cs="Times New Roman"/>
        </w:rPr>
        <w:t>This presents particular challenges</w:t>
      </w:r>
      <w:r w:rsidR="00B32931" w:rsidRPr="000D152F">
        <w:rPr>
          <w:rFonts w:ascii="Times New Roman" w:hAnsi="Times New Roman" w:cs="Times New Roman"/>
        </w:rPr>
        <w:t xml:space="preserve"> for the WTO</w:t>
      </w:r>
      <w:r w:rsidR="00247F04" w:rsidRPr="000D152F">
        <w:rPr>
          <w:rFonts w:ascii="Times New Roman" w:hAnsi="Times New Roman" w:cs="Times New Roman"/>
        </w:rPr>
        <w:t xml:space="preserve">: to determine what is public, we must identify the </w:t>
      </w:r>
      <w:r w:rsidR="00B32931" w:rsidRPr="000D152F">
        <w:rPr>
          <w:rFonts w:ascii="Times New Roman" w:hAnsi="Times New Roman" w:cs="Times New Roman"/>
        </w:rPr>
        <w:t xml:space="preserve">aim or objective </w:t>
      </w:r>
      <w:r w:rsidR="00247F04" w:rsidRPr="000D152F">
        <w:rPr>
          <w:rFonts w:ascii="Times New Roman" w:hAnsi="Times New Roman" w:cs="Times New Roman"/>
        </w:rPr>
        <w:t xml:space="preserve">of the State. Further, as our preoccupation is the recognition of such a conception by a separate yet related </w:t>
      </w:r>
      <w:r w:rsidR="00B32931" w:rsidRPr="000D152F">
        <w:rPr>
          <w:rFonts w:ascii="Times New Roman" w:hAnsi="Times New Roman" w:cs="Times New Roman"/>
        </w:rPr>
        <w:t xml:space="preserve">institution </w:t>
      </w:r>
      <w:r w:rsidR="00247F04" w:rsidRPr="000D152F">
        <w:rPr>
          <w:rFonts w:ascii="Times New Roman" w:hAnsi="Times New Roman" w:cs="Times New Roman"/>
        </w:rPr>
        <w:t>(</w:t>
      </w:r>
      <w:r w:rsidR="00B32931" w:rsidRPr="000D152F">
        <w:rPr>
          <w:rFonts w:ascii="Times New Roman" w:hAnsi="Times New Roman" w:cs="Times New Roman"/>
        </w:rPr>
        <w:t>the WTO), m</w:t>
      </w:r>
      <w:r w:rsidR="00247F04" w:rsidRPr="000D152F">
        <w:rPr>
          <w:rFonts w:ascii="Times New Roman" w:hAnsi="Times New Roman" w:cs="Times New Roman"/>
        </w:rPr>
        <w:t xml:space="preserve">ust the </w:t>
      </w:r>
      <w:r w:rsidR="00B32931" w:rsidRPr="000D152F">
        <w:rPr>
          <w:rFonts w:ascii="Times New Roman" w:hAnsi="Times New Roman" w:cs="Times New Roman"/>
        </w:rPr>
        <w:t xml:space="preserve">aim </w:t>
      </w:r>
      <w:r w:rsidR="0014034C" w:rsidRPr="000D152F">
        <w:rPr>
          <w:rFonts w:ascii="Times New Roman" w:hAnsi="Times New Roman" w:cs="Times New Roman"/>
        </w:rPr>
        <w:t xml:space="preserve">of the State chime with the </w:t>
      </w:r>
      <w:r w:rsidR="00B32931" w:rsidRPr="000D152F">
        <w:rPr>
          <w:rFonts w:ascii="Times New Roman" w:hAnsi="Times New Roman" w:cs="Times New Roman"/>
        </w:rPr>
        <w:t xml:space="preserve">aim </w:t>
      </w:r>
      <w:r w:rsidR="0014034C" w:rsidRPr="000D152F">
        <w:rPr>
          <w:rFonts w:ascii="Times New Roman" w:hAnsi="Times New Roman" w:cs="Times New Roman"/>
        </w:rPr>
        <w:t xml:space="preserve">of the WTO? </w:t>
      </w:r>
      <w:r w:rsidR="00B32931" w:rsidRPr="000D152F">
        <w:rPr>
          <w:rFonts w:ascii="Times New Roman" w:hAnsi="Times New Roman" w:cs="Times New Roman"/>
        </w:rPr>
        <w:t xml:space="preserve">Or is there a relationship between these political associations? </w:t>
      </w:r>
      <w:r w:rsidR="005072E2" w:rsidRPr="000D152F">
        <w:rPr>
          <w:rFonts w:ascii="Times New Roman" w:hAnsi="Times New Roman" w:cs="Times New Roman"/>
        </w:rPr>
        <w:t>In part</w:t>
      </w:r>
      <w:r w:rsidR="0014034C" w:rsidRPr="000D152F">
        <w:rPr>
          <w:rFonts w:ascii="Times New Roman" w:hAnsi="Times New Roman" w:cs="Times New Roman"/>
        </w:rPr>
        <w:t>,</w:t>
      </w:r>
      <w:r w:rsidR="005072E2" w:rsidRPr="000D152F">
        <w:rPr>
          <w:rFonts w:ascii="Times New Roman" w:hAnsi="Times New Roman" w:cs="Times New Roman"/>
        </w:rPr>
        <w:t xml:space="preserve"> </w:t>
      </w:r>
      <w:r w:rsidR="0014034C" w:rsidRPr="000D152F">
        <w:rPr>
          <w:rFonts w:ascii="Times New Roman" w:hAnsi="Times New Roman" w:cs="Times New Roman"/>
        </w:rPr>
        <w:t xml:space="preserve">therefore, </w:t>
      </w:r>
      <w:r w:rsidR="005072E2" w:rsidRPr="000D152F">
        <w:rPr>
          <w:rFonts w:ascii="Times New Roman" w:hAnsi="Times New Roman" w:cs="Times New Roman"/>
        </w:rPr>
        <w:t xml:space="preserve">we are to ask: what is the purpose of the WTO? And, </w:t>
      </w:r>
      <w:r w:rsidR="00307FC6" w:rsidRPr="000D152F">
        <w:rPr>
          <w:rFonts w:ascii="Times New Roman" w:hAnsi="Times New Roman" w:cs="Times New Roman"/>
        </w:rPr>
        <w:t>more challenging still</w:t>
      </w:r>
      <w:r w:rsidR="005072E2" w:rsidRPr="000D152F">
        <w:rPr>
          <w:rFonts w:ascii="Times New Roman" w:hAnsi="Times New Roman" w:cs="Times New Roman"/>
        </w:rPr>
        <w:t xml:space="preserve">, what is the purpose </w:t>
      </w:r>
      <w:r w:rsidR="000A6D4F" w:rsidRPr="000D152F">
        <w:rPr>
          <w:rFonts w:ascii="Times New Roman" w:hAnsi="Times New Roman" w:cs="Times New Roman"/>
        </w:rPr>
        <w:t xml:space="preserve">of the </w:t>
      </w:r>
      <w:r w:rsidR="0014034C" w:rsidRPr="000D152F">
        <w:rPr>
          <w:rFonts w:ascii="Times New Roman" w:hAnsi="Times New Roman" w:cs="Times New Roman"/>
        </w:rPr>
        <w:t xml:space="preserve">State </w:t>
      </w:r>
      <w:r w:rsidR="00B32931" w:rsidRPr="000D152F">
        <w:rPr>
          <w:rFonts w:ascii="Times New Roman" w:hAnsi="Times New Roman" w:cs="Times New Roman"/>
        </w:rPr>
        <w:t xml:space="preserve">and </w:t>
      </w:r>
      <w:r w:rsidR="001F4667" w:rsidRPr="000D152F">
        <w:rPr>
          <w:rFonts w:ascii="Times New Roman" w:hAnsi="Times New Roman" w:cs="Times New Roman"/>
        </w:rPr>
        <w:t xml:space="preserve">how </w:t>
      </w:r>
      <w:r w:rsidR="00B32931" w:rsidRPr="000D152F">
        <w:rPr>
          <w:rFonts w:ascii="Times New Roman" w:hAnsi="Times New Roman" w:cs="Times New Roman"/>
        </w:rPr>
        <w:t xml:space="preserve">do they </w:t>
      </w:r>
      <w:r w:rsidR="001F4667" w:rsidRPr="000D152F">
        <w:rPr>
          <w:rFonts w:ascii="Times New Roman" w:hAnsi="Times New Roman" w:cs="Times New Roman"/>
        </w:rPr>
        <w:t>relate</w:t>
      </w:r>
      <w:r w:rsidR="000A6D4F" w:rsidRPr="000D152F">
        <w:rPr>
          <w:rFonts w:ascii="Times New Roman" w:hAnsi="Times New Roman" w:cs="Times New Roman"/>
        </w:rPr>
        <w:t>?</w:t>
      </w:r>
      <w:r w:rsidR="000254C1" w:rsidRPr="000D152F">
        <w:rPr>
          <w:rFonts w:ascii="Times New Roman" w:hAnsi="Times New Roman" w:cs="Times New Roman"/>
        </w:rPr>
        <w:t xml:space="preserve"> </w:t>
      </w:r>
    </w:p>
    <w:p w14:paraId="70078844" w14:textId="77777777" w:rsidR="0014034C" w:rsidRPr="000D152F" w:rsidRDefault="0014034C"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0979A3D6" w14:textId="49688904" w:rsidR="003A2AB3" w:rsidRPr="000D152F" w:rsidRDefault="003A2AB3" w:rsidP="00D25306">
      <w:pPr>
        <w:spacing w:line="480" w:lineRule="auto"/>
        <w:jc w:val="both"/>
        <w:rPr>
          <w:rFonts w:ascii="Times New Roman" w:hAnsi="Times New Roman" w:cs="Times New Roman"/>
        </w:rPr>
      </w:pPr>
      <w:r w:rsidRPr="000D152F">
        <w:rPr>
          <w:rFonts w:ascii="Times New Roman" w:hAnsi="Times New Roman" w:cs="Times New Roman"/>
        </w:rPr>
        <w:t>T</w:t>
      </w:r>
      <w:r w:rsidR="00307FC6" w:rsidRPr="000D152F">
        <w:rPr>
          <w:rFonts w:ascii="Times New Roman" w:hAnsi="Times New Roman" w:cs="Times New Roman"/>
        </w:rPr>
        <w:t>here are further difficulties. I</w:t>
      </w:r>
      <w:r w:rsidRPr="000D152F">
        <w:rPr>
          <w:rFonts w:ascii="Times New Roman" w:hAnsi="Times New Roman" w:cs="Times New Roman"/>
        </w:rPr>
        <w:t>f we are to suggest a</w:t>
      </w:r>
      <w:r w:rsidR="003A06EC" w:rsidRPr="000D152F">
        <w:rPr>
          <w:rFonts w:ascii="Times New Roman" w:hAnsi="Times New Roman" w:cs="Times New Roman"/>
        </w:rPr>
        <w:t xml:space="preserve"> </w:t>
      </w:r>
      <w:r w:rsidRPr="000D152F">
        <w:rPr>
          <w:rFonts w:ascii="Times New Roman" w:hAnsi="Times New Roman" w:cs="Times New Roman"/>
          <w:i/>
        </w:rPr>
        <w:t>telos</w:t>
      </w:r>
      <w:r w:rsidRPr="000D152F">
        <w:rPr>
          <w:rFonts w:ascii="Times New Roman" w:hAnsi="Times New Roman" w:cs="Times New Roman"/>
        </w:rPr>
        <w:t xml:space="preserve"> looking at (principally) the WTO, are we not making the old claim that the international is to take precedence over the domestic? That </w:t>
      </w:r>
      <w:r w:rsidR="00DA5AE4" w:rsidRPr="000D152F">
        <w:rPr>
          <w:rFonts w:ascii="Times New Roman" w:hAnsi="Times New Roman" w:cs="Times New Roman"/>
        </w:rPr>
        <w:t xml:space="preserve">the International Law Commission, General Assembly or Ministerial Conference, or worse, the abstractions of academics should replace any </w:t>
      </w:r>
      <w:r w:rsidRPr="000D152F">
        <w:rPr>
          <w:rFonts w:ascii="Times New Roman" w:hAnsi="Times New Roman" w:cs="Times New Roman"/>
        </w:rPr>
        <w:t>international consensus on what the ‘public’ is</w:t>
      </w:r>
      <w:r w:rsidR="003A06EC" w:rsidRPr="000D152F">
        <w:rPr>
          <w:rFonts w:ascii="Times New Roman" w:hAnsi="Times New Roman" w:cs="Times New Roman"/>
        </w:rPr>
        <w:t>?</w:t>
      </w:r>
      <w:r w:rsidRPr="000D152F">
        <w:rPr>
          <w:rFonts w:ascii="Times New Roman" w:hAnsi="Times New Roman" w:cs="Times New Roman"/>
        </w:rPr>
        <w:t xml:space="preserve"> In the case of conflict, are we then to prioritise the international? And if so, how does this not differ from a Kelsenian conception of Monism</w:t>
      </w:r>
      <w:r w:rsidR="003A06EC" w:rsidRPr="000D152F">
        <w:rPr>
          <w:rFonts w:ascii="Times New Roman" w:hAnsi="Times New Roman" w:cs="Times New Roman"/>
        </w:rPr>
        <w:t>?</w:t>
      </w:r>
      <w:r w:rsidRPr="000D152F">
        <w:rPr>
          <w:rStyle w:val="FootnoteReference"/>
          <w:rFonts w:ascii="Times New Roman" w:hAnsi="Times New Roman" w:cs="Times New Roman"/>
        </w:rPr>
        <w:footnoteReference w:id="96"/>
      </w:r>
      <w:r w:rsidRPr="000D152F">
        <w:rPr>
          <w:rFonts w:ascii="Times New Roman" w:hAnsi="Times New Roman" w:cs="Times New Roman"/>
        </w:rPr>
        <w:t xml:space="preserve"> Alternatively, should we </w:t>
      </w:r>
      <w:r w:rsidR="003A06EC" w:rsidRPr="000D152F">
        <w:rPr>
          <w:rFonts w:ascii="Times New Roman" w:hAnsi="Times New Roman" w:cs="Times New Roman"/>
        </w:rPr>
        <w:t xml:space="preserve">prioritise </w:t>
      </w:r>
      <w:r w:rsidRPr="000D152F">
        <w:rPr>
          <w:rFonts w:ascii="Times New Roman" w:hAnsi="Times New Roman" w:cs="Times New Roman"/>
        </w:rPr>
        <w:t xml:space="preserve">the </w:t>
      </w:r>
      <w:r w:rsidR="003A06EC" w:rsidRPr="000D152F">
        <w:rPr>
          <w:rFonts w:ascii="Times New Roman" w:hAnsi="Times New Roman" w:cs="Times New Roman"/>
        </w:rPr>
        <w:t xml:space="preserve">purpose </w:t>
      </w:r>
      <w:r w:rsidRPr="000D152F">
        <w:rPr>
          <w:rFonts w:ascii="Times New Roman" w:hAnsi="Times New Roman" w:cs="Times New Roman"/>
        </w:rPr>
        <w:t xml:space="preserve">of the State, </w:t>
      </w:r>
      <w:r w:rsidR="003A06EC" w:rsidRPr="000D152F">
        <w:rPr>
          <w:rFonts w:ascii="Times New Roman" w:hAnsi="Times New Roman" w:cs="Times New Roman"/>
        </w:rPr>
        <w:t xml:space="preserve">focussing on </w:t>
      </w:r>
      <w:r w:rsidRPr="000D152F">
        <w:rPr>
          <w:rFonts w:ascii="Times New Roman" w:hAnsi="Times New Roman" w:cs="Times New Roman"/>
        </w:rPr>
        <w:t>this over the others, granting States the sort of deference that some might find appealing when related to their own affairs, but less so when seeking to enforce their rights vis-à-vis others under the SCM Agreement.</w:t>
      </w:r>
      <w:r w:rsidR="004F3950" w:rsidRPr="000D152F">
        <w:rPr>
          <w:rStyle w:val="FootnoteReference"/>
          <w:rFonts w:ascii="Times New Roman" w:hAnsi="Times New Roman" w:cs="Times New Roman"/>
        </w:rPr>
        <w:footnoteReference w:id="97"/>
      </w:r>
    </w:p>
    <w:p w14:paraId="1C2D1B36" w14:textId="77777777" w:rsidR="003A2AB3" w:rsidRPr="000D152F" w:rsidRDefault="003A2AB3"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65E2C6A8" w14:textId="2D39D9EE" w:rsidR="00B26E4E" w:rsidRPr="000D152F" w:rsidRDefault="00561FBE"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The alternative, </w:t>
      </w:r>
      <w:r w:rsidR="00B26E4E" w:rsidRPr="000D152F">
        <w:rPr>
          <w:rFonts w:ascii="Times New Roman" w:hAnsi="Times New Roman" w:cs="Times New Roman"/>
        </w:rPr>
        <w:t xml:space="preserve">posited </w:t>
      </w:r>
      <w:r w:rsidRPr="000D152F">
        <w:rPr>
          <w:rFonts w:ascii="Times New Roman" w:hAnsi="Times New Roman" w:cs="Times New Roman"/>
        </w:rPr>
        <w:t xml:space="preserve">here, is to </w:t>
      </w:r>
      <w:r w:rsidR="00CB1075">
        <w:rPr>
          <w:rFonts w:ascii="Times New Roman" w:hAnsi="Times New Roman" w:cs="Times New Roman"/>
        </w:rPr>
        <w:t xml:space="preserve">acknowledge the shared space between the two </w:t>
      </w:r>
      <w:r w:rsidR="007D43A8">
        <w:rPr>
          <w:rFonts w:ascii="Times New Roman" w:hAnsi="Times New Roman" w:cs="Times New Roman"/>
          <w:i/>
        </w:rPr>
        <w:t xml:space="preserve">poleis: </w:t>
      </w:r>
      <w:r w:rsidR="007D43A8">
        <w:rPr>
          <w:rFonts w:ascii="Times New Roman" w:hAnsi="Times New Roman" w:cs="Times New Roman"/>
        </w:rPr>
        <w:t xml:space="preserve">the WTO and the State, identifying the </w:t>
      </w:r>
      <w:r w:rsidR="007D43A8">
        <w:rPr>
          <w:rFonts w:ascii="Times New Roman" w:hAnsi="Times New Roman" w:cs="Times New Roman"/>
          <w:i/>
        </w:rPr>
        <w:t>telos</w:t>
      </w:r>
      <w:r w:rsidR="007D43A8">
        <w:rPr>
          <w:rFonts w:ascii="Times New Roman" w:hAnsi="Times New Roman" w:cs="Times New Roman"/>
        </w:rPr>
        <w:t xml:space="preserve"> that they share</w:t>
      </w:r>
      <w:r w:rsidR="00E87848" w:rsidRPr="000D152F">
        <w:rPr>
          <w:rFonts w:ascii="Times New Roman" w:hAnsi="Times New Roman" w:cs="Times New Roman"/>
        </w:rPr>
        <w:t xml:space="preserve">. </w:t>
      </w:r>
      <w:r w:rsidR="00444E1B">
        <w:rPr>
          <w:rFonts w:ascii="Times New Roman" w:hAnsi="Times New Roman" w:cs="Times New Roman"/>
        </w:rPr>
        <w:t xml:space="preserve">The objective in all instances will </w:t>
      </w:r>
      <w:r w:rsidR="00444E1B">
        <w:rPr>
          <w:rFonts w:ascii="Times New Roman" w:hAnsi="Times New Roman" w:cs="Times New Roman"/>
        </w:rPr>
        <w:lastRenderedPageBreak/>
        <w:t xml:space="preserve">not always be identical (States have specific obligations to their citizens that are not owed to others, for example), though there is still an overlap. </w:t>
      </w:r>
      <w:r w:rsidR="00E87848" w:rsidRPr="000D152F">
        <w:rPr>
          <w:rFonts w:ascii="Times New Roman" w:hAnsi="Times New Roman" w:cs="Times New Roman"/>
        </w:rPr>
        <w:t>There is a consistency in such a position, as we must work on the premise that States intend to become Members of bodies that do not conflict with their fundamental aims.</w:t>
      </w:r>
      <w:r w:rsidR="00E87848" w:rsidRPr="000D152F">
        <w:rPr>
          <w:rStyle w:val="FootnoteReference"/>
          <w:rFonts w:ascii="Times New Roman" w:hAnsi="Times New Roman" w:cs="Times New Roman"/>
        </w:rPr>
        <w:footnoteReference w:id="98"/>
      </w:r>
    </w:p>
    <w:p w14:paraId="38639017" w14:textId="77777777" w:rsidR="00B26E4E" w:rsidRPr="000D152F" w:rsidRDefault="00B26E4E"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p>
    <w:p w14:paraId="3D2CAEFE" w14:textId="37B7090E" w:rsidR="000A6D4F" w:rsidRPr="000D152F" w:rsidRDefault="000254C1" w:rsidP="00D253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rFonts w:ascii="Times New Roman" w:hAnsi="Times New Roman" w:cs="Times New Roman"/>
        </w:rPr>
      </w:pPr>
      <w:r w:rsidRPr="000D152F">
        <w:rPr>
          <w:rFonts w:ascii="Times New Roman" w:hAnsi="Times New Roman" w:cs="Times New Roman"/>
        </w:rPr>
        <w:t xml:space="preserve">It is suggested that this is not as insurmountable </w:t>
      </w:r>
      <w:r w:rsidR="004E0293" w:rsidRPr="000D152F">
        <w:rPr>
          <w:rFonts w:ascii="Times New Roman" w:hAnsi="Times New Roman" w:cs="Times New Roman"/>
        </w:rPr>
        <w:t xml:space="preserve">a </w:t>
      </w:r>
      <w:r w:rsidRPr="000D152F">
        <w:rPr>
          <w:rFonts w:ascii="Times New Roman" w:hAnsi="Times New Roman" w:cs="Times New Roman"/>
        </w:rPr>
        <w:t xml:space="preserve">challenge as may appear: the Aristotelian and Ciceronian models share a sense of uniformity in social organization. </w:t>
      </w:r>
      <w:r w:rsidR="00A028C2" w:rsidRPr="000D152F">
        <w:rPr>
          <w:rFonts w:ascii="Times New Roman" w:hAnsi="Times New Roman" w:cs="Times New Roman"/>
        </w:rPr>
        <w:t xml:space="preserve">While Aristotle extrapolates the necessity of a </w:t>
      </w:r>
      <w:r w:rsidR="00A028C2" w:rsidRPr="000D152F">
        <w:rPr>
          <w:rFonts w:ascii="Times New Roman" w:hAnsi="Times New Roman" w:cs="Times New Roman"/>
          <w:i/>
        </w:rPr>
        <w:t>polis</w:t>
      </w:r>
      <w:r w:rsidR="00A028C2" w:rsidRPr="000D152F">
        <w:rPr>
          <w:rFonts w:ascii="Times New Roman" w:hAnsi="Times New Roman" w:cs="Times New Roman"/>
        </w:rPr>
        <w:t xml:space="preserve"> from the family unit</w:t>
      </w:r>
      <w:r w:rsidR="00906AD1" w:rsidRPr="000D152F">
        <w:rPr>
          <w:rFonts w:ascii="Times New Roman" w:hAnsi="Times New Roman" w:cs="Times New Roman"/>
        </w:rPr>
        <w:t xml:space="preserve"> through the individual</w:t>
      </w:r>
      <w:r w:rsidR="00A028C2" w:rsidRPr="000D152F">
        <w:rPr>
          <w:rFonts w:ascii="Times New Roman" w:hAnsi="Times New Roman" w:cs="Times New Roman"/>
        </w:rPr>
        <w:t>,</w:t>
      </w:r>
      <w:r w:rsidR="00A028C2" w:rsidRPr="000D152F">
        <w:rPr>
          <w:rStyle w:val="FootnoteReference"/>
          <w:rFonts w:ascii="Times New Roman" w:hAnsi="Times New Roman" w:cs="Times New Roman"/>
        </w:rPr>
        <w:footnoteReference w:id="99"/>
      </w:r>
      <w:r w:rsidR="00A028C2" w:rsidRPr="000D152F">
        <w:rPr>
          <w:rFonts w:ascii="Times New Roman" w:hAnsi="Times New Roman" w:cs="Times New Roman"/>
        </w:rPr>
        <w:t xml:space="preserve"> Cicero goes further and begins with a single individual.</w:t>
      </w:r>
      <w:r w:rsidR="00A028C2" w:rsidRPr="000D152F">
        <w:rPr>
          <w:rStyle w:val="FootnoteReference"/>
          <w:rFonts w:ascii="Times New Roman" w:hAnsi="Times New Roman" w:cs="Times New Roman"/>
        </w:rPr>
        <w:footnoteReference w:id="100"/>
      </w:r>
      <w:r w:rsidR="001D1C76" w:rsidRPr="000D152F">
        <w:rPr>
          <w:rFonts w:ascii="Times New Roman" w:hAnsi="Times New Roman" w:cs="Times New Roman"/>
        </w:rPr>
        <w:t xml:space="preserve"> In our </w:t>
      </w:r>
      <w:r w:rsidR="00213303" w:rsidRPr="000D152F">
        <w:rPr>
          <w:rFonts w:ascii="Times New Roman" w:hAnsi="Times New Roman" w:cs="Times New Roman"/>
        </w:rPr>
        <w:t>current situation</w:t>
      </w:r>
      <w:r w:rsidR="001D1C76" w:rsidRPr="000D152F">
        <w:rPr>
          <w:rFonts w:ascii="Times New Roman" w:hAnsi="Times New Roman" w:cs="Times New Roman"/>
        </w:rPr>
        <w:t xml:space="preserve"> this posits </w:t>
      </w:r>
      <w:r w:rsidR="00213303" w:rsidRPr="000D152F">
        <w:rPr>
          <w:rFonts w:ascii="Times New Roman" w:hAnsi="Times New Roman" w:cs="Times New Roman"/>
        </w:rPr>
        <w:t>the</w:t>
      </w:r>
      <w:r w:rsidR="001D1C76" w:rsidRPr="000D152F">
        <w:rPr>
          <w:rFonts w:ascii="Times New Roman" w:hAnsi="Times New Roman" w:cs="Times New Roman"/>
        </w:rPr>
        <w:t xml:space="preserve"> ability to identify commonalities across the domestic and international spheres, acknowledging an underlying </w:t>
      </w:r>
      <w:r w:rsidR="001D1C76" w:rsidRPr="000D152F">
        <w:rPr>
          <w:rFonts w:ascii="Times New Roman" w:hAnsi="Times New Roman" w:cs="Times New Roman"/>
          <w:i/>
        </w:rPr>
        <w:t>telos</w:t>
      </w:r>
      <w:r w:rsidR="001D1C76" w:rsidRPr="000D152F">
        <w:rPr>
          <w:rFonts w:ascii="Times New Roman" w:hAnsi="Times New Roman" w:cs="Times New Roman"/>
        </w:rPr>
        <w:t xml:space="preserve"> that is reflected in both State and WTO.</w:t>
      </w:r>
      <w:r w:rsidR="00450784" w:rsidRPr="000D152F">
        <w:rPr>
          <w:rFonts w:ascii="Times New Roman" w:hAnsi="Times New Roman" w:cs="Times New Roman"/>
        </w:rPr>
        <w:t xml:space="preserve"> It is a recognition that these are communities of human beings, that the social (and thus political) world is one constituted by people, and that at the heart of a</w:t>
      </w:r>
      <w:r w:rsidR="004E0293" w:rsidRPr="000D152F">
        <w:rPr>
          <w:rFonts w:ascii="Times New Roman" w:hAnsi="Times New Roman" w:cs="Times New Roman"/>
        </w:rPr>
        <w:t xml:space="preserve">ll of this, there is </w:t>
      </w:r>
      <w:r w:rsidR="00450784" w:rsidRPr="000D152F">
        <w:rPr>
          <w:rFonts w:ascii="Times New Roman" w:hAnsi="Times New Roman" w:cs="Times New Roman"/>
        </w:rPr>
        <w:t>an aim in mind: the</w:t>
      </w:r>
      <w:r w:rsidR="00E66D08" w:rsidRPr="000D152F">
        <w:rPr>
          <w:rFonts w:ascii="Times New Roman" w:hAnsi="Times New Roman" w:cs="Times New Roman"/>
        </w:rPr>
        <w:t xml:space="preserve"> pursuit of an objective </w:t>
      </w:r>
      <w:r w:rsidR="00450784" w:rsidRPr="000D152F">
        <w:rPr>
          <w:rFonts w:ascii="Times New Roman" w:hAnsi="Times New Roman" w:cs="Times New Roman"/>
        </w:rPr>
        <w:t xml:space="preserve">which serves </w:t>
      </w:r>
      <w:r w:rsidR="00B26E4E" w:rsidRPr="000D152F">
        <w:rPr>
          <w:rFonts w:ascii="Times New Roman" w:hAnsi="Times New Roman" w:cs="Times New Roman"/>
        </w:rPr>
        <w:t xml:space="preserve">the common interest </w:t>
      </w:r>
      <w:r w:rsidR="00450784" w:rsidRPr="000D152F">
        <w:rPr>
          <w:rFonts w:ascii="Times New Roman" w:hAnsi="Times New Roman" w:cs="Times New Roman"/>
        </w:rPr>
        <w:t xml:space="preserve">over </w:t>
      </w:r>
      <w:r w:rsidR="00B26E4E" w:rsidRPr="000D152F">
        <w:rPr>
          <w:rFonts w:ascii="Times New Roman" w:hAnsi="Times New Roman" w:cs="Times New Roman"/>
        </w:rPr>
        <w:t xml:space="preserve">individual </w:t>
      </w:r>
      <w:r w:rsidR="00450784" w:rsidRPr="000D152F">
        <w:rPr>
          <w:rFonts w:ascii="Times New Roman" w:hAnsi="Times New Roman" w:cs="Times New Roman"/>
        </w:rPr>
        <w:t>interests.</w:t>
      </w:r>
      <w:r w:rsidR="00B4432B" w:rsidRPr="000D152F">
        <w:rPr>
          <w:rStyle w:val="FootnoteReference"/>
          <w:rFonts w:ascii="Times New Roman" w:hAnsi="Times New Roman" w:cs="Times New Roman"/>
        </w:rPr>
        <w:footnoteReference w:id="101"/>
      </w:r>
      <w:r w:rsidR="00450784" w:rsidRPr="000D152F">
        <w:rPr>
          <w:rFonts w:ascii="Times New Roman" w:hAnsi="Times New Roman" w:cs="Times New Roman"/>
        </w:rPr>
        <w:t xml:space="preserve"> </w:t>
      </w:r>
    </w:p>
    <w:p w14:paraId="09580887" w14:textId="77777777" w:rsidR="00165320" w:rsidRPr="000D152F" w:rsidRDefault="00165320" w:rsidP="00D25306">
      <w:pPr>
        <w:spacing w:line="480" w:lineRule="auto"/>
        <w:jc w:val="both"/>
        <w:rPr>
          <w:rFonts w:ascii="Times New Roman" w:hAnsi="Times New Roman" w:cs="Times New Roman"/>
        </w:rPr>
      </w:pPr>
    </w:p>
    <w:p w14:paraId="206FAAA4" w14:textId="141B0A55" w:rsidR="00EE69EC" w:rsidRPr="000D152F" w:rsidRDefault="00721E5F" w:rsidP="00D25306">
      <w:pPr>
        <w:spacing w:line="480" w:lineRule="auto"/>
        <w:jc w:val="both"/>
        <w:rPr>
          <w:rFonts w:ascii="Times New Roman" w:hAnsi="Times New Roman" w:cs="Times New Roman"/>
        </w:rPr>
      </w:pPr>
      <w:r>
        <w:rPr>
          <w:rFonts w:ascii="Times New Roman" w:hAnsi="Times New Roman" w:cs="Times New Roman"/>
        </w:rPr>
        <w:t xml:space="preserve">Does the WTO then constitute a </w:t>
      </w:r>
      <w:r w:rsidRPr="001B06D9">
        <w:rPr>
          <w:rFonts w:ascii="Times New Roman" w:hAnsi="Times New Roman" w:cs="Times New Roman"/>
          <w:i/>
        </w:rPr>
        <w:t>polis</w:t>
      </w:r>
      <w:r w:rsidR="00EE69EC" w:rsidRPr="000D152F">
        <w:rPr>
          <w:rFonts w:ascii="Times New Roman" w:hAnsi="Times New Roman" w:cs="Times New Roman"/>
        </w:rPr>
        <w:t xml:space="preserve">? There are many forms of association that need not have the higher aim of </w:t>
      </w:r>
      <w:r w:rsidR="00751764" w:rsidRPr="000D152F">
        <w:rPr>
          <w:rFonts w:ascii="Times New Roman" w:hAnsi="Times New Roman" w:cs="Times New Roman"/>
        </w:rPr>
        <w:t xml:space="preserve">encouraging goodness as in </w:t>
      </w:r>
      <w:r w:rsidR="00EE69EC" w:rsidRPr="000D152F">
        <w:rPr>
          <w:rFonts w:ascii="Times New Roman" w:hAnsi="Times New Roman" w:cs="Times New Roman"/>
        </w:rPr>
        <w:t xml:space="preserve">the </w:t>
      </w:r>
      <w:r w:rsidR="00EE69EC" w:rsidRPr="000D152F">
        <w:rPr>
          <w:rFonts w:ascii="Times New Roman" w:hAnsi="Times New Roman" w:cs="Times New Roman"/>
          <w:i/>
        </w:rPr>
        <w:t>polis</w:t>
      </w:r>
      <w:r w:rsidR="00751764" w:rsidRPr="000D152F">
        <w:rPr>
          <w:rFonts w:ascii="Times New Roman" w:hAnsi="Times New Roman" w:cs="Times New Roman"/>
          <w:i/>
        </w:rPr>
        <w:t xml:space="preserve">. </w:t>
      </w:r>
      <w:r w:rsidR="00751764" w:rsidRPr="000D152F">
        <w:rPr>
          <w:rFonts w:ascii="Times New Roman" w:hAnsi="Times New Roman" w:cs="Times New Roman"/>
        </w:rPr>
        <w:t xml:space="preserve">Aristotle identifies </w:t>
      </w:r>
      <w:r w:rsidR="001F14DC" w:rsidRPr="000D152F">
        <w:rPr>
          <w:rFonts w:ascii="Times New Roman" w:hAnsi="Times New Roman" w:cs="Times New Roman"/>
        </w:rPr>
        <w:t xml:space="preserve">other forms of association or relationship which do not rise to the level of a </w:t>
      </w:r>
      <w:r w:rsidR="001F14DC" w:rsidRPr="000D152F">
        <w:rPr>
          <w:rFonts w:ascii="Times New Roman" w:hAnsi="Times New Roman" w:cs="Times New Roman"/>
          <w:i/>
        </w:rPr>
        <w:t xml:space="preserve">polis: </w:t>
      </w:r>
      <w:r w:rsidR="001F14DC" w:rsidRPr="000D152F">
        <w:rPr>
          <w:rFonts w:ascii="Times New Roman" w:hAnsi="Times New Roman" w:cs="Times New Roman"/>
        </w:rPr>
        <w:t xml:space="preserve">only the city-State (in his view) is </w:t>
      </w:r>
      <w:r w:rsidR="00E66D08" w:rsidRPr="000D152F">
        <w:rPr>
          <w:rFonts w:ascii="Times New Roman" w:hAnsi="Times New Roman" w:cs="Times New Roman"/>
        </w:rPr>
        <w:t>capable of achieving</w:t>
      </w:r>
      <w:r w:rsidR="001F14DC" w:rsidRPr="000D152F">
        <w:rPr>
          <w:rFonts w:ascii="Times New Roman" w:hAnsi="Times New Roman" w:cs="Times New Roman"/>
        </w:rPr>
        <w:t xml:space="preserve"> the </w:t>
      </w:r>
      <w:r w:rsidR="00E66D08" w:rsidRPr="000D152F">
        <w:rPr>
          <w:rFonts w:ascii="Times New Roman" w:hAnsi="Times New Roman" w:cs="Times New Roman"/>
        </w:rPr>
        <w:t xml:space="preserve">goal </w:t>
      </w:r>
      <w:r w:rsidR="001F14DC" w:rsidRPr="000D152F">
        <w:rPr>
          <w:rFonts w:ascii="Times New Roman" w:hAnsi="Times New Roman" w:cs="Times New Roman"/>
        </w:rPr>
        <w:t xml:space="preserve">of encouraging goodness. For this reason he argues: </w:t>
      </w:r>
    </w:p>
    <w:p w14:paraId="37B1C6F0" w14:textId="77777777" w:rsidR="001F14DC" w:rsidRPr="000D152F" w:rsidRDefault="001F14DC" w:rsidP="00D25306">
      <w:pPr>
        <w:spacing w:line="480" w:lineRule="auto"/>
        <w:jc w:val="both"/>
        <w:rPr>
          <w:rFonts w:ascii="Times New Roman" w:hAnsi="Times New Roman" w:cs="Times New Roman"/>
        </w:rPr>
      </w:pPr>
    </w:p>
    <w:p w14:paraId="6F6F9741" w14:textId="740E7793" w:rsidR="001F14DC" w:rsidRPr="000D152F" w:rsidRDefault="001F14DC" w:rsidP="00D25306">
      <w:pPr>
        <w:spacing w:line="480" w:lineRule="auto"/>
        <w:ind w:left="567" w:right="567"/>
        <w:jc w:val="both"/>
        <w:rPr>
          <w:rFonts w:ascii="Times New Roman" w:hAnsi="Times New Roman" w:cs="Times New Roman"/>
        </w:rPr>
      </w:pPr>
      <w:r w:rsidRPr="000D152F">
        <w:rPr>
          <w:rFonts w:ascii="Times New Roman" w:hAnsi="Times New Roman" w:cs="Times New Roman"/>
        </w:rPr>
        <w:lastRenderedPageBreak/>
        <w:t>‘…it is not the end of the city-State to provide an alliance for mutual defence against all injury, nor does it exist for the purpose of exchange or [commercial] dealing. If that had been the end, the Etruscans and the Carthaginians would be in the position of belonging to a single city-State; and the same would be true to all peoples who have commercial treaties with one another. It is true that such peoples have agreements about imports; treaties to ensure just conduct; and written terms of alliance for mutual defence.</w:t>
      </w:r>
      <w:r w:rsidR="00A51BE9" w:rsidRPr="000D152F">
        <w:rPr>
          <w:rFonts w:ascii="Times New Roman" w:hAnsi="Times New Roman" w:cs="Times New Roman"/>
        </w:rPr>
        <w:t xml:space="preserve"> On the other hand, they have no common offices to deal with these matters: each, on the contrary, has its own offices, confined to itself.</w:t>
      </w:r>
      <w:r w:rsidRPr="000D152F">
        <w:rPr>
          <w:rFonts w:ascii="Times New Roman" w:hAnsi="Times New Roman" w:cs="Times New Roman"/>
        </w:rPr>
        <w:t>’</w:t>
      </w:r>
      <w:r w:rsidRPr="000D152F">
        <w:rPr>
          <w:rStyle w:val="FootnoteReference"/>
          <w:rFonts w:ascii="Times New Roman" w:hAnsi="Times New Roman" w:cs="Times New Roman"/>
        </w:rPr>
        <w:footnoteReference w:id="102"/>
      </w:r>
    </w:p>
    <w:p w14:paraId="2BC60B3C" w14:textId="77777777" w:rsidR="001F14DC" w:rsidRPr="000D152F" w:rsidRDefault="001F14DC" w:rsidP="00D25306">
      <w:pPr>
        <w:spacing w:line="480" w:lineRule="auto"/>
        <w:jc w:val="both"/>
        <w:rPr>
          <w:rFonts w:ascii="Times New Roman" w:hAnsi="Times New Roman" w:cs="Times New Roman"/>
        </w:rPr>
      </w:pPr>
    </w:p>
    <w:p w14:paraId="6165D576" w14:textId="474DFB9B" w:rsidR="00977140" w:rsidRPr="000D152F" w:rsidRDefault="00977140" w:rsidP="00D25306">
      <w:pPr>
        <w:spacing w:line="480" w:lineRule="auto"/>
        <w:jc w:val="both"/>
        <w:rPr>
          <w:rFonts w:ascii="Times New Roman" w:hAnsi="Times New Roman" w:cs="Times New Roman"/>
        </w:rPr>
      </w:pPr>
      <w:r w:rsidRPr="000D152F">
        <w:rPr>
          <w:rFonts w:ascii="Times New Roman" w:hAnsi="Times New Roman" w:cs="Times New Roman"/>
        </w:rPr>
        <w:t xml:space="preserve">He does not accept that the existence of these international arrangements might constitute the sort of political association that </w:t>
      </w:r>
      <w:r w:rsidR="00A51BE9" w:rsidRPr="000D152F">
        <w:rPr>
          <w:rFonts w:ascii="Times New Roman" w:hAnsi="Times New Roman" w:cs="Times New Roman"/>
        </w:rPr>
        <w:t>the State constitutes. We can note, however, that exactly the sort of common offices or institut</w:t>
      </w:r>
      <w:r w:rsidR="00B16D15" w:rsidRPr="000D152F">
        <w:rPr>
          <w:rFonts w:ascii="Times New Roman" w:hAnsi="Times New Roman" w:cs="Times New Roman"/>
        </w:rPr>
        <w:t xml:space="preserve">ions referred to do </w:t>
      </w:r>
      <w:r w:rsidR="00A51BE9" w:rsidRPr="000D152F">
        <w:rPr>
          <w:rFonts w:ascii="Times New Roman" w:hAnsi="Times New Roman" w:cs="Times New Roman"/>
        </w:rPr>
        <w:t>exist. Furthermore, if we take into account the WTO’s concern for development,</w:t>
      </w:r>
      <w:r w:rsidR="00906F8B" w:rsidRPr="000D152F">
        <w:rPr>
          <w:rStyle w:val="FootnoteReference"/>
          <w:rFonts w:ascii="Times New Roman" w:hAnsi="Times New Roman" w:cs="Times New Roman"/>
        </w:rPr>
        <w:footnoteReference w:id="103"/>
      </w:r>
      <w:r w:rsidR="00A51BE9" w:rsidRPr="000D152F">
        <w:rPr>
          <w:rFonts w:ascii="Times New Roman" w:hAnsi="Times New Roman" w:cs="Times New Roman"/>
        </w:rPr>
        <w:t xml:space="preserve"> its interest in a system that encourages compliance and the rule of law amongst all members</w:t>
      </w:r>
      <w:r w:rsidR="00906F8B" w:rsidRPr="000D152F">
        <w:rPr>
          <w:rFonts w:ascii="Times New Roman" w:hAnsi="Times New Roman" w:cs="Times New Roman"/>
        </w:rPr>
        <w:t>,</w:t>
      </w:r>
      <w:bookmarkStart w:id="18" w:name="_Ref260653250"/>
      <w:r w:rsidR="006E3362" w:rsidRPr="000D152F">
        <w:rPr>
          <w:rStyle w:val="FootnoteReference"/>
          <w:rFonts w:ascii="Times New Roman" w:hAnsi="Times New Roman" w:cs="Times New Roman"/>
        </w:rPr>
        <w:footnoteReference w:id="104"/>
      </w:r>
      <w:bookmarkEnd w:id="18"/>
      <w:r w:rsidR="00A51BE9" w:rsidRPr="000D152F">
        <w:rPr>
          <w:rFonts w:ascii="Times New Roman" w:hAnsi="Times New Roman" w:cs="Times New Roman"/>
        </w:rPr>
        <w:t xml:space="preserve"> and its concern for the wellbeing of the membership </w:t>
      </w:r>
      <w:r w:rsidR="00A51BE9" w:rsidRPr="000D152F">
        <w:rPr>
          <w:rFonts w:ascii="Times New Roman" w:hAnsi="Times New Roman" w:cs="Times New Roman"/>
          <w:i/>
        </w:rPr>
        <w:t>as a whole</w:t>
      </w:r>
      <w:r w:rsidR="00A51BE9" w:rsidRPr="000D152F">
        <w:rPr>
          <w:rFonts w:ascii="Times New Roman" w:hAnsi="Times New Roman" w:cs="Times New Roman"/>
        </w:rPr>
        <w:t>,</w:t>
      </w:r>
      <w:r w:rsidR="00A51BE9" w:rsidRPr="000D152F">
        <w:rPr>
          <w:rStyle w:val="FootnoteReference"/>
          <w:rFonts w:ascii="Times New Roman" w:hAnsi="Times New Roman" w:cs="Times New Roman"/>
        </w:rPr>
        <w:footnoteReference w:id="105"/>
      </w:r>
      <w:r w:rsidR="00A51BE9" w:rsidRPr="000D152F">
        <w:rPr>
          <w:rFonts w:ascii="Times New Roman" w:hAnsi="Times New Roman" w:cs="Times New Roman"/>
        </w:rPr>
        <w:t xml:space="preserve"> </w:t>
      </w:r>
      <w:r w:rsidR="00213303" w:rsidRPr="000D152F">
        <w:rPr>
          <w:rFonts w:ascii="Times New Roman" w:hAnsi="Times New Roman" w:cs="Times New Roman"/>
        </w:rPr>
        <w:t xml:space="preserve">his further points seem inapplicable: </w:t>
      </w:r>
    </w:p>
    <w:p w14:paraId="35D5F562" w14:textId="77777777" w:rsidR="00213303" w:rsidRPr="000D152F" w:rsidRDefault="00213303" w:rsidP="00D25306">
      <w:pPr>
        <w:spacing w:line="480" w:lineRule="auto"/>
        <w:jc w:val="both"/>
        <w:rPr>
          <w:rFonts w:ascii="Times New Roman" w:hAnsi="Times New Roman" w:cs="Times New Roman"/>
        </w:rPr>
      </w:pPr>
    </w:p>
    <w:p w14:paraId="0E6478F8" w14:textId="66B3FCD5" w:rsidR="00213303" w:rsidRPr="000D152F" w:rsidRDefault="00213303" w:rsidP="00D25306">
      <w:pPr>
        <w:spacing w:line="480" w:lineRule="auto"/>
        <w:ind w:left="567" w:right="567"/>
        <w:jc w:val="both"/>
        <w:rPr>
          <w:rFonts w:ascii="Times New Roman" w:hAnsi="Times New Roman" w:cs="Times New Roman"/>
        </w:rPr>
      </w:pPr>
      <w:r w:rsidRPr="000D152F">
        <w:rPr>
          <w:rFonts w:ascii="Times New Roman" w:hAnsi="Times New Roman" w:cs="Times New Roman"/>
        </w:rPr>
        <w:t xml:space="preserve">‘Neither party concerns itself to ensure a proper quality of character among the members of the other; neither of them seeks to ensure that all who are included in the scope of the treaties are just and free from any form of vice; and they do not </w:t>
      </w:r>
      <w:r w:rsidRPr="000D152F">
        <w:rPr>
          <w:rFonts w:ascii="Times New Roman" w:hAnsi="Times New Roman" w:cs="Times New Roman"/>
        </w:rPr>
        <w:lastRenderedPageBreak/>
        <w:t>go beyond the aim of preventing their own members from committing injustice against one another.’</w:t>
      </w:r>
      <w:r w:rsidR="00720350" w:rsidRPr="000D152F">
        <w:rPr>
          <w:rStyle w:val="FootnoteReference"/>
          <w:rFonts w:ascii="Times New Roman" w:hAnsi="Times New Roman" w:cs="Times New Roman"/>
        </w:rPr>
        <w:footnoteReference w:id="106"/>
      </w:r>
    </w:p>
    <w:p w14:paraId="1988AA2F" w14:textId="77777777" w:rsidR="00213303" w:rsidRPr="000D152F" w:rsidRDefault="00213303" w:rsidP="00D25306">
      <w:pPr>
        <w:spacing w:line="480" w:lineRule="auto"/>
        <w:jc w:val="both"/>
        <w:rPr>
          <w:rFonts w:ascii="Times New Roman" w:hAnsi="Times New Roman" w:cs="Times New Roman"/>
        </w:rPr>
      </w:pPr>
    </w:p>
    <w:p w14:paraId="5EE0271E" w14:textId="46BE8F4C" w:rsidR="0014034C" w:rsidRPr="001B06D9" w:rsidRDefault="00501089" w:rsidP="00D25306">
      <w:pPr>
        <w:spacing w:line="480" w:lineRule="auto"/>
        <w:jc w:val="both"/>
        <w:rPr>
          <w:rFonts w:ascii="Times New Roman" w:hAnsi="Times New Roman" w:cs="Times New Roman"/>
        </w:rPr>
      </w:pPr>
      <w:r w:rsidRPr="000D152F">
        <w:rPr>
          <w:rFonts w:ascii="Times New Roman" w:hAnsi="Times New Roman" w:cs="Times New Roman"/>
        </w:rPr>
        <w:t xml:space="preserve">The rejection of a political association forming beyond the city-State (in his view) no longer seems tenable. This is especially the case where we identify the motivation for the very existence of the </w:t>
      </w:r>
      <w:r w:rsidRPr="000D152F">
        <w:rPr>
          <w:rFonts w:ascii="Times New Roman" w:hAnsi="Times New Roman" w:cs="Times New Roman"/>
          <w:i/>
        </w:rPr>
        <w:t>polis</w:t>
      </w:r>
      <w:r w:rsidRPr="000D152F">
        <w:rPr>
          <w:rFonts w:ascii="Times New Roman" w:hAnsi="Times New Roman" w:cs="Times New Roman"/>
        </w:rPr>
        <w:t xml:space="preserve"> in Aristotle’s view. Though a city-State may offer mutual protection</w:t>
      </w:r>
      <w:r w:rsidR="00F95AB2" w:rsidRPr="000D152F">
        <w:rPr>
          <w:rFonts w:ascii="Times New Roman" w:hAnsi="Times New Roman" w:cs="Times New Roman"/>
        </w:rPr>
        <w:t xml:space="preserve"> and a site on which to live, these are ‘conditions which must be present before a city-State can exist; but the presence of all these conditions is not enough, in itself, to constitute a city-State.’</w:t>
      </w:r>
      <w:r w:rsidR="00F95AB2" w:rsidRPr="000D152F">
        <w:rPr>
          <w:rStyle w:val="FootnoteReference"/>
          <w:rFonts w:ascii="Times New Roman" w:hAnsi="Times New Roman" w:cs="Times New Roman"/>
        </w:rPr>
        <w:footnoteReference w:id="107"/>
      </w:r>
      <w:r w:rsidR="00F95AB2" w:rsidRPr="000D152F">
        <w:rPr>
          <w:rFonts w:ascii="Times New Roman" w:hAnsi="Times New Roman" w:cs="Times New Roman"/>
        </w:rPr>
        <w:t xml:space="preserve"> The true basis of the </w:t>
      </w:r>
      <w:r w:rsidR="00F95AB2" w:rsidRPr="000D152F">
        <w:rPr>
          <w:rFonts w:ascii="Times New Roman" w:hAnsi="Times New Roman" w:cs="Times New Roman"/>
          <w:i/>
        </w:rPr>
        <w:t xml:space="preserve">polis, </w:t>
      </w:r>
      <w:r w:rsidR="00F95AB2" w:rsidRPr="000D152F">
        <w:rPr>
          <w:rFonts w:ascii="Times New Roman" w:hAnsi="Times New Roman" w:cs="Times New Roman"/>
        </w:rPr>
        <w:t>is the pursuit of the good life, ‘for the sake of attaining a perfect and self-sufficing existence.’</w:t>
      </w:r>
      <w:r w:rsidR="00F95AB2" w:rsidRPr="000D152F">
        <w:rPr>
          <w:rStyle w:val="FootnoteReference"/>
          <w:rFonts w:ascii="Times New Roman" w:hAnsi="Times New Roman" w:cs="Times New Roman"/>
        </w:rPr>
        <w:footnoteReference w:id="108"/>
      </w:r>
      <w:r w:rsidR="003844DF" w:rsidRPr="000D152F">
        <w:rPr>
          <w:rFonts w:ascii="Times New Roman" w:hAnsi="Times New Roman" w:cs="Times New Roman"/>
        </w:rPr>
        <w:t>Such an existence is</w:t>
      </w:r>
      <w:r w:rsidR="00C45F2F">
        <w:rPr>
          <w:rFonts w:ascii="Times New Roman" w:hAnsi="Times New Roman" w:cs="Times New Roman"/>
        </w:rPr>
        <w:t>, if not</w:t>
      </w:r>
      <w:r w:rsidR="003844DF" w:rsidRPr="000D152F">
        <w:rPr>
          <w:rFonts w:ascii="Times New Roman" w:hAnsi="Times New Roman" w:cs="Times New Roman"/>
        </w:rPr>
        <w:t xml:space="preserve"> </w:t>
      </w:r>
      <w:r w:rsidR="00C45F2F">
        <w:rPr>
          <w:rFonts w:ascii="Times New Roman" w:hAnsi="Times New Roman" w:cs="Times New Roman"/>
        </w:rPr>
        <w:t xml:space="preserve">impossible </w:t>
      </w:r>
      <w:r w:rsidR="003844DF" w:rsidRPr="000D152F">
        <w:rPr>
          <w:rFonts w:ascii="Times New Roman" w:hAnsi="Times New Roman" w:cs="Times New Roman"/>
        </w:rPr>
        <w:t>without international coordination and action</w:t>
      </w:r>
      <w:r w:rsidR="00C45F2F">
        <w:rPr>
          <w:rFonts w:ascii="Times New Roman" w:hAnsi="Times New Roman" w:cs="Times New Roman"/>
        </w:rPr>
        <w:t>, certainly more achievable with</w:t>
      </w:r>
      <w:r w:rsidR="003844DF" w:rsidRPr="000D152F">
        <w:rPr>
          <w:rFonts w:ascii="Times New Roman" w:hAnsi="Times New Roman" w:cs="Times New Roman"/>
        </w:rPr>
        <w:t>.</w:t>
      </w:r>
      <w:r w:rsidR="005B70E1" w:rsidRPr="000D152F">
        <w:rPr>
          <w:rStyle w:val="FootnoteReference"/>
          <w:rFonts w:ascii="Times New Roman" w:hAnsi="Times New Roman" w:cs="Times New Roman"/>
        </w:rPr>
        <w:footnoteReference w:id="109"/>
      </w:r>
      <w:r w:rsidR="003844DF" w:rsidRPr="000D152F">
        <w:rPr>
          <w:rFonts w:ascii="Times New Roman" w:hAnsi="Times New Roman" w:cs="Times New Roman"/>
        </w:rPr>
        <w:t xml:space="preserve"> The origins of international law are often traced to the need to respond to challenges that States are otherwise incapable of resolving themselves.</w:t>
      </w:r>
      <w:bookmarkStart w:id="19" w:name="_Ref260653214"/>
      <w:r w:rsidR="003844DF" w:rsidRPr="000D152F">
        <w:rPr>
          <w:rStyle w:val="FootnoteReference"/>
          <w:rFonts w:ascii="Times New Roman" w:hAnsi="Times New Roman" w:cs="Times New Roman"/>
        </w:rPr>
        <w:footnoteReference w:id="110"/>
      </w:r>
      <w:bookmarkEnd w:id="19"/>
      <w:r w:rsidR="003844DF" w:rsidRPr="000D152F">
        <w:rPr>
          <w:rFonts w:ascii="Times New Roman" w:hAnsi="Times New Roman" w:cs="Times New Roman"/>
        </w:rPr>
        <w:t xml:space="preserve"> </w:t>
      </w:r>
      <w:r w:rsidR="006807D4">
        <w:rPr>
          <w:rFonts w:ascii="Times New Roman" w:hAnsi="Times New Roman" w:cs="Times New Roman"/>
        </w:rPr>
        <w:t xml:space="preserve">The State as an association thus overlaps with the WTO, both </w:t>
      </w:r>
      <w:r w:rsidR="005D4F2E">
        <w:rPr>
          <w:rFonts w:ascii="Times New Roman" w:hAnsi="Times New Roman" w:cs="Times New Roman"/>
        </w:rPr>
        <w:t xml:space="preserve">institutions </w:t>
      </w:r>
      <w:r w:rsidR="006807D4">
        <w:rPr>
          <w:rFonts w:ascii="Times New Roman" w:hAnsi="Times New Roman" w:cs="Times New Roman"/>
        </w:rPr>
        <w:t xml:space="preserve">seeking to </w:t>
      </w:r>
      <w:r w:rsidR="005D4F2E">
        <w:rPr>
          <w:rFonts w:ascii="Times New Roman" w:hAnsi="Times New Roman" w:cs="Times New Roman"/>
        </w:rPr>
        <w:t xml:space="preserve">permit the fulfilment of the </w:t>
      </w:r>
      <w:r w:rsidR="006807D4">
        <w:rPr>
          <w:rFonts w:ascii="Times New Roman" w:hAnsi="Times New Roman" w:cs="Times New Roman"/>
        </w:rPr>
        <w:t>good life</w:t>
      </w:r>
      <w:r w:rsidR="005D4F2E">
        <w:rPr>
          <w:rFonts w:ascii="Times New Roman" w:hAnsi="Times New Roman" w:cs="Times New Roman"/>
        </w:rPr>
        <w:t>.</w:t>
      </w:r>
      <w:r w:rsidR="006807D4">
        <w:rPr>
          <w:rFonts w:ascii="Times New Roman" w:hAnsi="Times New Roman" w:cs="Times New Roman"/>
        </w:rPr>
        <w:t xml:space="preserve"> </w:t>
      </w:r>
      <w:r w:rsidR="005D4F2E">
        <w:rPr>
          <w:rFonts w:ascii="Times New Roman" w:hAnsi="Times New Roman" w:cs="Times New Roman"/>
        </w:rPr>
        <w:t>T</w:t>
      </w:r>
      <w:r w:rsidR="006807D4">
        <w:rPr>
          <w:rFonts w:ascii="Times New Roman" w:hAnsi="Times New Roman" w:cs="Times New Roman"/>
        </w:rPr>
        <w:t xml:space="preserve">hose acts </w:t>
      </w:r>
      <w:r w:rsidR="005D4F2E">
        <w:rPr>
          <w:rFonts w:ascii="Times New Roman" w:hAnsi="Times New Roman" w:cs="Times New Roman"/>
        </w:rPr>
        <w:t xml:space="preserve">or bodies </w:t>
      </w:r>
      <w:r w:rsidR="006807D4">
        <w:rPr>
          <w:rFonts w:ascii="Times New Roman" w:hAnsi="Times New Roman" w:cs="Times New Roman"/>
        </w:rPr>
        <w:t>in the pursuit of such an objective are those we consider ‘public</w:t>
      </w:r>
      <w:r w:rsidR="006B6D13">
        <w:rPr>
          <w:rFonts w:ascii="Times New Roman" w:hAnsi="Times New Roman" w:cs="Times New Roman"/>
        </w:rPr>
        <w:t>.</w:t>
      </w:r>
      <w:r w:rsidR="006807D4">
        <w:rPr>
          <w:rFonts w:ascii="Times New Roman" w:hAnsi="Times New Roman" w:cs="Times New Roman"/>
        </w:rPr>
        <w:t>’</w:t>
      </w:r>
      <w:r w:rsidR="00BE5B5F" w:rsidRPr="000D152F">
        <w:rPr>
          <w:rStyle w:val="FootnoteReference"/>
          <w:rFonts w:ascii="Times New Roman" w:hAnsi="Times New Roman" w:cs="Times New Roman"/>
        </w:rPr>
        <w:footnoteReference w:id="111"/>
      </w:r>
      <w:r w:rsidR="00BE5B5F" w:rsidRPr="000D152F">
        <w:rPr>
          <w:rFonts w:ascii="Times New Roman" w:hAnsi="Times New Roman" w:cs="Times New Roman"/>
        </w:rPr>
        <w:t xml:space="preserve"> </w:t>
      </w:r>
    </w:p>
    <w:p w14:paraId="746A6B97" w14:textId="77777777" w:rsidR="00DD08EF" w:rsidRPr="000D152F" w:rsidRDefault="00DD08EF" w:rsidP="00D25306">
      <w:pPr>
        <w:spacing w:line="480" w:lineRule="auto"/>
        <w:jc w:val="both"/>
        <w:rPr>
          <w:rFonts w:ascii="Times New Roman" w:hAnsi="Times New Roman" w:cs="Times New Roman"/>
        </w:rPr>
      </w:pPr>
    </w:p>
    <w:p w14:paraId="7FA7D7F6" w14:textId="5D1A4030" w:rsidR="00097710" w:rsidRPr="000D152F" w:rsidRDefault="00420E57" w:rsidP="00D25306">
      <w:pPr>
        <w:spacing w:line="480" w:lineRule="auto"/>
        <w:jc w:val="both"/>
        <w:rPr>
          <w:rFonts w:ascii="Times New Roman" w:hAnsi="Times New Roman" w:cs="Times New Roman"/>
          <w:b/>
          <w:i/>
        </w:rPr>
      </w:pPr>
      <w:r w:rsidRPr="000D152F">
        <w:rPr>
          <w:rFonts w:ascii="Times New Roman" w:hAnsi="Times New Roman" w:cs="Times New Roman"/>
          <w:b/>
          <w:i/>
        </w:rPr>
        <w:t>Part V</w:t>
      </w:r>
      <w:r w:rsidR="00517E41" w:rsidRPr="000D152F">
        <w:rPr>
          <w:rFonts w:ascii="Times New Roman" w:hAnsi="Times New Roman" w:cs="Times New Roman"/>
          <w:b/>
          <w:i/>
        </w:rPr>
        <w:t xml:space="preserve"> </w:t>
      </w:r>
      <w:r w:rsidR="00213ED3" w:rsidRPr="000D152F">
        <w:rPr>
          <w:rFonts w:ascii="Times New Roman" w:hAnsi="Times New Roman" w:cs="Times New Roman"/>
          <w:b/>
          <w:i/>
        </w:rPr>
        <w:t>–</w:t>
      </w:r>
      <w:r w:rsidR="00517E41" w:rsidRPr="000D152F">
        <w:rPr>
          <w:rFonts w:ascii="Times New Roman" w:hAnsi="Times New Roman" w:cs="Times New Roman"/>
          <w:b/>
          <w:i/>
        </w:rPr>
        <w:t xml:space="preserve"> </w:t>
      </w:r>
      <w:r w:rsidR="007D6F60" w:rsidRPr="000D152F">
        <w:rPr>
          <w:rFonts w:ascii="Times New Roman" w:hAnsi="Times New Roman" w:cs="Times New Roman"/>
          <w:b/>
          <w:i/>
        </w:rPr>
        <w:t>Public Bodies:</w:t>
      </w:r>
      <w:r w:rsidR="009431E8" w:rsidRPr="000D152F">
        <w:rPr>
          <w:rFonts w:ascii="Times New Roman" w:hAnsi="Times New Roman" w:cs="Times New Roman"/>
          <w:b/>
          <w:i/>
        </w:rPr>
        <w:t xml:space="preserve"> the pursuit of</w:t>
      </w:r>
      <w:r w:rsidR="00B427AB" w:rsidRPr="000D152F">
        <w:rPr>
          <w:rFonts w:ascii="Times New Roman" w:hAnsi="Times New Roman" w:cs="Times New Roman"/>
          <w:b/>
          <w:i/>
        </w:rPr>
        <w:t xml:space="preserve"> </w:t>
      </w:r>
      <w:r w:rsidR="002C0BB0" w:rsidRPr="000D152F">
        <w:rPr>
          <w:rFonts w:ascii="Times New Roman" w:hAnsi="Times New Roman" w:cs="Times New Roman"/>
          <w:b/>
          <w:i/>
        </w:rPr>
        <w:t xml:space="preserve">the </w:t>
      </w:r>
      <w:r w:rsidR="007D6F60" w:rsidRPr="000D152F">
        <w:rPr>
          <w:rFonts w:ascii="Times New Roman" w:hAnsi="Times New Roman" w:cs="Times New Roman"/>
          <w:b/>
          <w:i/>
        </w:rPr>
        <w:t xml:space="preserve">common </w:t>
      </w:r>
      <w:r w:rsidR="002C0BB0" w:rsidRPr="000D152F">
        <w:rPr>
          <w:rFonts w:ascii="Times New Roman" w:hAnsi="Times New Roman" w:cs="Times New Roman"/>
          <w:b/>
          <w:i/>
        </w:rPr>
        <w:t>good</w:t>
      </w:r>
      <w:r w:rsidR="007D6F60" w:rsidRPr="000D152F">
        <w:rPr>
          <w:rFonts w:ascii="Times New Roman" w:hAnsi="Times New Roman" w:cs="Times New Roman"/>
          <w:b/>
          <w:i/>
        </w:rPr>
        <w:t xml:space="preserve"> in the common interest</w:t>
      </w:r>
    </w:p>
    <w:p w14:paraId="6514FC04" w14:textId="77777777" w:rsidR="00097710" w:rsidRPr="000D152F" w:rsidRDefault="00097710" w:rsidP="00D25306">
      <w:pPr>
        <w:spacing w:line="480" w:lineRule="auto"/>
        <w:jc w:val="both"/>
        <w:rPr>
          <w:rFonts w:ascii="Times New Roman" w:hAnsi="Times New Roman" w:cs="Times New Roman"/>
        </w:rPr>
      </w:pPr>
    </w:p>
    <w:p w14:paraId="7235D83D" w14:textId="770EEA40" w:rsidR="00AC230D" w:rsidRPr="000D152F" w:rsidRDefault="00E83F45" w:rsidP="00D25306">
      <w:pPr>
        <w:spacing w:line="480" w:lineRule="auto"/>
        <w:jc w:val="both"/>
        <w:rPr>
          <w:rFonts w:ascii="Times New Roman" w:hAnsi="Times New Roman" w:cs="Times New Roman"/>
        </w:rPr>
      </w:pPr>
      <w:r w:rsidRPr="000D152F">
        <w:rPr>
          <w:rFonts w:ascii="Times New Roman" w:hAnsi="Times New Roman" w:cs="Times New Roman"/>
        </w:rPr>
        <w:lastRenderedPageBreak/>
        <w:t>The discussion thus far has avoided developing the exact co</w:t>
      </w:r>
      <w:r w:rsidR="00047662" w:rsidRPr="000D152F">
        <w:rPr>
          <w:rFonts w:ascii="Times New Roman" w:hAnsi="Times New Roman" w:cs="Times New Roman"/>
        </w:rPr>
        <w:t>ntent of the test outlined</w:t>
      </w:r>
      <w:r w:rsidR="00E149BD" w:rsidRPr="000D152F">
        <w:rPr>
          <w:rFonts w:ascii="Times New Roman" w:hAnsi="Times New Roman" w:cs="Times New Roman"/>
        </w:rPr>
        <w:t xml:space="preserve">. </w:t>
      </w:r>
      <w:r w:rsidR="008C3511" w:rsidRPr="000D152F">
        <w:rPr>
          <w:rFonts w:ascii="Times New Roman" w:hAnsi="Times New Roman" w:cs="Times New Roman"/>
        </w:rPr>
        <w:t xml:space="preserve">The primary </w:t>
      </w:r>
      <w:r w:rsidRPr="000D152F">
        <w:rPr>
          <w:rFonts w:ascii="Times New Roman" w:hAnsi="Times New Roman" w:cs="Times New Roman"/>
        </w:rPr>
        <w:t xml:space="preserve">purpose of this paper </w:t>
      </w:r>
      <w:r w:rsidR="008C3511" w:rsidRPr="000D152F">
        <w:rPr>
          <w:rFonts w:ascii="Times New Roman" w:hAnsi="Times New Roman" w:cs="Times New Roman"/>
        </w:rPr>
        <w:t xml:space="preserve">has been </w:t>
      </w:r>
      <w:r w:rsidRPr="000D152F">
        <w:rPr>
          <w:rFonts w:ascii="Times New Roman" w:hAnsi="Times New Roman" w:cs="Times New Roman"/>
        </w:rPr>
        <w:t xml:space="preserve">to draw attention to alternative methodologies to </w:t>
      </w:r>
      <w:r w:rsidR="004A2792" w:rsidRPr="000D152F">
        <w:rPr>
          <w:rFonts w:ascii="Times New Roman" w:hAnsi="Times New Roman" w:cs="Times New Roman"/>
        </w:rPr>
        <w:t xml:space="preserve">reframe </w:t>
      </w:r>
      <w:r w:rsidRPr="000D152F">
        <w:rPr>
          <w:rFonts w:ascii="Times New Roman" w:hAnsi="Times New Roman" w:cs="Times New Roman"/>
        </w:rPr>
        <w:t>an issue that</w:t>
      </w:r>
      <w:r w:rsidR="008C3511" w:rsidRPr="000D152F">
        <w:rPr>
          <w:rFonts w:ascii="Times New Roman" w:hAnsi="Times New Roman" w:cs="Times New Roman"/>
        </w:rPr>
        <w:t>, it is argued,</w:t>
      </w:r>
      <w:r w:rsidRPr="000D152F">
        <w:rPr>
          <w:rFonts w:ascii="Times New Roman" w:hAnsi="Times New Roman" w:cs="Times New Roman"/>
        </w:rPr>
        <w:t xml:space="preserve"> has yet to be </w:t>
      </w:r>
      <w:r w:rsidR="008C3511" w:rsidRPr="000D152F">
        <w:rPr>
          <w:rFonts w:ascii="Times New Roman" w:hAnsi="Times New Roman" w:cs="Times New Roman"/>
        </w:rPr>
        <w:t xml:space="preserve">fully and properly </w:t>
      </w:r>
      <w:r w:rsidRPr="000D152F">
        <w:rPr>
          <w:rFonts w:ascii="Times New Roman" w:hAnsi="Times New Roman" w:cs="Times New Roman"/>
        </w:rPr>
        <w:t>confronted. In t</w:t>
      </w:r>
      <w:r w:rsidR="00047662" w:rsidRPr="000D152F">
        <w:rPr>
          <w:rFonts w:ascii="Times New Roman" w:hAnsi="Times New Roman" w:cs="Times New Roman"/>
        </w:rPr>
        <w:t>his way, rather than offering a complete</w:t>
      </w:r>
      <w:r w:rsidR="00812CCC" w:rsidRPr="000D152F">
        <w:rPr>
          <w:rFonts w:ascii="Times New Roman" w:hAnsi="Times New Roman" w:cs="Times New Roman"/>
        </w:rPr>
        <w:t xml:space="preserve"> answer, the aim has been to problematize</w:t>
      </w:r>
      <w:r w:rsidRPr="000D152F">
        <w:rPr>
          <w:rFonts w:ascii="Times New Roman" w:hAnsi="Times New Roman" w:cs="Times New Roman"/>
        </w:rPr>
        <w:t xml:space="preserve"> as a means of drawing attention to what is considered to be a</w:t>
      </w:r>
      <w:r w:rsidR="00D131B2" w:rsidRPr="000D152F">
        <w:rPr>
          <w:rFonts w:ascii="Times New Roman" w:hAnsi="Times New Roman" w:cs="Times New Roman"/>
        </w:rPr>
        <w:t>n</w:t>
      </w:r>
      <w:r w:rsidRPr="000D152F">
        <w:rPr>
          <w:rFonts w:ascii="Times New Roman" w:hAnsi="Times New Roman" w:cs="Times New Roman"/>
        </w:rPr>
        <w:t xml:space="preserve"> </w:t>
      </w:r>
      <w:r w:rsidR="00D131B2" w:rsidRPr="000D152F">
        <w:rPr>
          <w:rFonts w:ascii="Times New Roman" w:hAnsi="Times New Roman" w:cs="Times New Roman"/>
        </w:rPr>
        <w:t xml:space="preserve">unwillingness to think </w:t>
      </w:r>
      <w:r w:rsidR="0028613D" w:rsidRPr="000D152F">
        <w:rPr>
          <w:rFonts w:ascii="Times New Roman" w:hAnsi="Times New Roman" w:cs="Times New Roman"/>
        </w:rPr>
        <w:t>about the core terms underpinning WTO law (and indeed, international law more generally).</w:t>
      </w:r>
      <w:r w:rsidR="000B5006" w:rsidRPr="000D152F">
        <w:rPr>
          <w:rStyle w:val="FootnoteReference"/>
          <w:rFonts w:ascii="Times New Roman" w:hAnsi="Times New Roman" w:cs="Times New Roman"/>
        </w:rPr>
        <w:footnoteReference w:id="112"/>
      </w:r>
      <w:r w:rsidR="0028613D" w:rsidRPr="000D152F">
        <w:rPr>
          <w:rFonts w:ascii="Times New Roman" w:hAnsi="Times New Roman" w:cs="Times New Roman"/>
        </w:rPr>
        <w:t xml:space="preserve"> </w:t>
      </w:r>
    </w:p>
    <w:p w14:paraId="3095D51B" w14:textId="77777777" w:rsidR="00047662" w:rsidRPr="000D152F" w:rsidRDefault="00047662" w:rsidP="00D25306">
      <w:pPr>
        <w:spacing w:line="480" w:lineRule="auto"/>
        <w:jc w:val="both"/>
        <w:rPr>
          <w:rFonts w:ascii="Times New Roman" w:hAnsi="Times New Roman" w:cs="Times New Roman"/>
        </w:rPr>
      </w:pPr>
    </w:p>
    <w:p w14:paraId="73060C29" w14:textId="0EE0F298" w:rsidR="00DD246F" w:rsidRDefault="008C3511" w:rsidP="00D25306">
      <w:pPr>
        <w:spacing w:line="480" w:lineRule="auto"/>
        <w:jc w:val="both"/>
        <w:rPr>
          <w:rFonts w:ascii="Times New Roman" w:hAnsi="Times New Roman" w:cs="Times New Roman"/>
        </w:rPr>
      </w:pPr>
      <w:r w:rsidRPr="000D152F">
        <w:rPr>
          <w:rFonts w:ascii="Times New Roman" w:hAnsi="Times New Roman" w:cs="Times New Roman"/>
        </w:rPr>
        <w:t>Nonetheless</w:t>
      </w:r>
      <w:r w:rsidR="00047662" w:rsidRPr="000D152F">
        <w:rPr>
          <w:rFonts w:ascii="Times New Roman" w:hAnsi="Times New Roman" w:cs="Times New Roman"/>
        </w:rPr>
        <w:t xml:space="preserve">, what follows is a </w:t>
      </w:r>
      <w:r w:rsidRPr="000D152F">
        <w:rPr>
          <w:rFonts w:ascii="Times New Roman" w:hAnsi="Times New Roman" w:cs="Times New Roman"/>
        </w:rPr>
        <w:t xml:space="preserve">possible </w:t>
      </w:r>
      <w:r w:rsidR="008077E4" w:rsidRPr="000D152F">
        <w:rPr>
          <w:rFonts w:ascii="Times New Roman" w:hAnsi="Times New Roman" w:cs="Times New Roman"/>
        </w:rPr>
        <w:t>suggestion</w:t>
      </w:r>
      <w:r w:rsidR="00047662" w:rsidRPr="000D152F">
        <w:rPr>
          <w:rFonts w:ascii="Times New Roman" w:hAnsi="Times New Roman" w:cs="Times New Roman"/>
        </w:rPr>
        <w:t xml:space="preserve"> </w:t>
      </w:r>
      <w:r w:rsidR="00986DBF" w:rsidRPr="000D152F">
        <w:rPr>
          <w:rFonts w:ascii="Times New Roman" w:hAnsi="Times New Roman" w:cs="Times New Roman"/>
        </w:rPr>
        <w:t>based on an alternative analysis</w:t>
      </w:r>
      <w:r w:rsidR="00E21BC8">
        <w:rPr>
          <w:rFonts w:ascii="Times New Roman" w:hAnsi="Times New Roman" w:cs="Times New Roman"/>
        </w:rPr>
        <w:t xml:space="preserve"> based on aims or objectives of the political association</w:t>
      </w:r>
      <w:r w:rsidR="00B47B55">
        <w:rPr>
          <w:rFonts w:ascii="Times New Roman" w:hAnsi="Times New Roman" w:cs="Times New Roman"/>
        </w:rPr>
        <w:t xml:space="preserve"> and bodies’ contribution to this</w:t>
      </w:r>
      <w:r w:rsidR="00E21BC8">
        <w:rPr>
          <w:rFonts w:ascii="Times New Roman" w:hAnsi="Times New Roman" w:cs="Times New Roman"/>
        </w:rPr>
        <w:t xml:space="preserve">, rather than </w:t>
      </w:r>
      <w:r w:rsidR="00EC3A20">
        <w:rPr>
          <w:rFonts w:ascii="Times New Roman" w:hAnsi="Times New Roman" w:cs="Times New Roman"/>
        </w:rPr>
        <w:t>on the basis of other tests such as control</w:t>
      </w:r>
      <w:r w:rsidR="00B47B55">
        <w:rPr>
          <w:rFonts w:ascii="Times New Roman" w:hAnsi="Times New Roman" w:cs="Times New Roman"/>
        </w:rPr>
        <w:t xml:space="preserve"> or direction</w:t>
      </w:r>
      <w:r w:rsidR="00047662" w:rsidRPr="000D152F">
        <w:rPr>
          <w:rFonts w:ascii="Times New Roman" w:hAnsi="Times New Roman" w:cs="Times New Roman"/>
        </w:rPr>
        <w:t xml:space="preserve">. </w:t>
      </w:r>
      <w:r w:rsidR="000030B8" w:rsidRPr="000D152F">
        <w:rPr>
          <w:rFonts w:ascii="Times New Roman" w:hAnsi="Times New Roman" w:cs="Times New Roman"/>
        </w:rPr>
        <w:t xml:space="preserve">To return to the </w:t>
      </w:r>
      <w:r w:rsidR="000030B8" w:rsidRPr="000D152F">
        <w:rPr>
          <w:rFonts w:ascii="Times New Roman" w:hAnsi="Times New Roman" w:cs="Times New Roman"/>
          <w:i/>
        </w:rPr>
        <w:t>US – China AV/CVD</w:t>
      </w:r>
      <w:r w:rsidR="000030B8" w:rsidRPr="000D152F">
        <w:rPr>
          <w:rFonts w:ascii="Times New Roman" w:hAnsi="Times New Roman" w:cs="Times New Roman"/>
        </w:rPr>
        <w:t xml:space="preserve"> dispute as an example, </w:t>
      </w:r>
      <w:r w:rsidR="00D13CCA" w:rsidRPr="000D152F">
        <w:rPr>
          <w:rFonts w:ascii="Times New Roman" w:hAnsi="Times New Roman" w:cs="Times New Roman"/>
        </w:rPr>
        <w:t xml:space="preserve">rather than examining the level of control or oversight exercised by a government, or the nature of the function exercised by the SOE or SOCB, </w:t>
      </w:r>
      <w:r w:rsidR="000030B8" w:rsidRPr="000D152F">
        <w:rPr>
          <w:rFonts w:ascii="Times New Roman" w:hAnsi="Times New Roman" w:cs="Times New Roman"/>
        </w:rPr>
        <w:t>i</w:t>
      </w:r>
      <w:r w:rsidR="00047662" w:rsidRPr="000D152F">
        <w:rPr>
          <w:rFonts w:ascii="Times New Roman" w:hAnsi="Times New Roman" w:cs="Times New Roman"/>
        </w:rPr>
        <w:t xml:space="preserve">t is argued </w:t>
      </w:r>
      <w:r w:rsidR="000030B8" w:rsidRPr="000D152F">
        <w:rPr>
          <w:rFonts w:ascii="Times New Roman" w:hAnsi="Times New Roman" w:cs="Times New Roman"/>
        </w:rPr>
        <w:t xml:space="preserve">that to answer whether SOEs or SOCBs constitute a ‘public body’ the following </w:t>
      </w:r>
      <w:r w:rsidR="00E71B2C" w:rsidRPr="000D152F">
        <w:rPr>
          <w:rFonts w:ascii="Times New Roman" w:hAnsi="Times New Roman" w:cs="Times New Roman"/>
        </w:rPr>
        <w:t>questions must be asked</w:t>
      </w:r>
      <w:r w:rsidR="00DD246F">
        <w:rPr>
          <w:rFonts w:ascii="Times New Roman" w:hAnsi="Times New Roman" w:cs="Times New Roman"/>
        </w:rPr>
        <w:t>.</w:t>
      </w:r>
      <w:r w:rsidR="00E71B2C" w:rsidRPr="000D152F">
        <w:rPr>
          <w:rFonts w:ascii="Times New Roman" w:hAnsi="Times New Roman" w:cs="Times New Roman"/>
        </w:rPr>
        <w:t xml:space="preserve"> </w:t>
      </w:r>
      <w:r w:rsidR="00DD246F">
        <w:rPr>
          <w:rFonts w:ascii="Times New Roman" w:hAnsi="Times New Roman" w:cs="Times New Roman"/>
        </w:rPr>
        <w:t>F</w:t>
      </w:r>
      <w:r w:rsidR="00E71B2C" w:rsidRPr="000D152F">
        <w:rPr>
          <w:rFonts w:ascii="Times New Roman" w:hAnsi="Times New Roman" w:cs="Times New Roman"/>
        </w:rPr>
        <w:t xml:space="preserve">irst, what is the aim or objective of the </w:t>
      </w:r>
      <w:r w:rsidR="00721295">
        <w:rPr>
          <w:rFonts w:ascii="Times New Roman" w:hAnsi="Times New Roman" w:cs="Times New Roman"/>
        </w:rPr>
        <w:t xml:space="preserve">political </w:t>
      </w:r>
      <w:r w:rsidR="00E71B2C" w:rsidRPr="000D152F">
        <w:rPr>
          <w:rFonts w:ascii="Times New Roman" w:hAnsi="Times New Roman" w:cs="Times New Roman"/>
        </w:rPr>
        <w:t xml:space="preserve">association </w:t>
      </w:r>
      <w:r w:rsidR="00721295">
        <w:rPr>
          <w:rFonts w:ascii="Times New Roman" w:hAnsi="Times New Roman" w:cs="Times New Roman"/>
        </w:rPr>
        <w:t xml:space="preserve">(that encompasses both </w:t>
      </w:r>
      <w:r w:rsidR="00E71B2C" w:rsidRPr="000D152F">
        <w:rPr>
          <w:rFonts w:ascii="Times New Roman" w:hAnsi="Times New Roman" w:cs="Times New Roman"/>
        </w:rPr>
        <w:t>State and WTO</w:t>
      </w:r>
      <w:r w:rsidR="00721295">
        <w:rPr>
          <w:rFonts w:ascii="Times New Roman" w:hAnsi="Times New Roman" w:cs="Times New Roman"/>
        </w:rPr>
        <w:t>)</w:t>
      </w:r>
      <w:r w:rsidR="00E71B2C" w:rsidRPr="000D152F">
        <w:rPr>
          <w:rFonts w:ascii="Times New Roman" w:hAnsi="Times New Roman" w:cs="Times New Roman"/>
        </w:rPr>
        <w:t xml:space="preserve">? </w:t>
      </w:r>
      <w:r w:rsidR="00DD246F">
        <w:rPr>
          <w:rFonts w:ascii="Times New Roman" w:hAnsi="Times New Roman" w:cs="Times New Roman"/>
        </w:rPr>
        <w:t xml:space="preserve">Second, does the </w:t>
      </w:r>
      <w:r w:rsidR="0004378A">
        <w:rPr>
          <w:rFonts w:ascii="Times New Roman" w:hAnsi="Times New Roman" w:cs="Times New Roman"/>
        </w:rPr>
        <w:t xml:space="preserve">SOE or SOCB </w:t>
      </w:r>
      <w:r w:rsidR="00DD246F">
        <w:rPr>
          <w:rFonts w:ascii="Times New Roman" w:hAnsi="Times New Roman" w:cs="Times New Roman"/>
        </w:rPr>
        <w:t xml:space="preserve">seek to pursue </w:t>
      </w:r>
      <w:r w:rsidR="00326068">
        <w:rPr>
          <w:rFonts w:ascii="Times New Roman" w:hAnsi="Times New Roman" w:cs="Times New Roman"/>
        </w:rPr>
        <w:t>this</w:t>
      </w:r>
      <w:r w:rsidR="00DD246F">
        <w:rPr>
          <w:rFonts w:ascii="Times New Roman" w:hAnsi="Times New Roman" w:cs="Times New Roman"/>
        </w:rPr>
        <w:t xml:space="preserve"> aim or objective? </w:t>
      </w:r>
      <w:r w:rsidR="001C0258">
        <w:rPr>
          <w:rFonts w:ascii="Times New Roman" w:hAnsi="Times New Roman" w:cs="Times New Roman"/>
        </w:rPr>
        <w:t>Third</w:t>
      </w:r>
      <w:r w:rsidR="00DD246F">
        <w:rPr>
          <w:rFonts w:ascii="Times New Roman" w:hAnsi="Times New Roman" w:cs="Times New Roman"/>
        </w:rPr>
        <w:t xml:space="preserve">, in doing so, does it seek to prefer </w:t>
      </w:r>
      <w:r w:rsidR="0048786C">
        <w:rPr>
          <w:rFonts w:ascii="Times New Roman" w:hAnsi="Times New Roman" w:cs="Times New Roman"/>
        </w:rPr>
        <w:t>private</w:t>
      </w:r>
      <w:r w:rsidR="00DD246F">
        <w:rPr>
          <w:rFonts w:ascii="Times New Roman" w:hAnsi="Times New Roman" w:cs="Times New Roman"/>
        </w:rPr>
        <w:t xml:space="preserve"> or common interests? </w:t>
      </w:r>
      <w:r w:rsidR="0048786C">
        <w:rPr>
          <w:rFonts w:ascii="Times New Roman" w:hAnsi="Times New Roman" w:cs="Times New Roman"/>
        </w:rPr>
        <w:t>These tests require elaboration.</w:t>
      </w:r>
    </w:p>
    <w:p w14:paraId="005B4DA6" w14:textId="77777777" w:rsidR="00DD246F" w:rsidRDefault="00DD246F" w:rsidP="00D25306">
      <w:pPr>
        <w:spacing w:line="480" w:lineRule="auto"/>
        <w:jc w:val="both"/>
        <w:rPr>
          <w:rFonts w:ascii="Times New Roman" w:hAnsi="Times New Roman" w:cs="Times New Roman"/>
        </w:rPr>
      </w:pPr>
    </w:p>
    <w:p w14:paraId="280371B7" w14:textId="66C76A3D" w:rsidR="00681C56" w:rsidRPr="000D152F" w:rsidRDefault="00E71B2C" w:rsidP="00D25306">
      <w:pPr>
        <w:spacing w:line="480" w:lineRule="auto"/>
        <w:jc w:val="both"/>
        <w:rPr>
          <w:rFonts w:ascii="Times New Roman" w:hAnsi="Times New Roman" w:cs="Times New Roman"/>
        </w:rPr>
      </w:pPr>
      <w:r w:rsidRPr="000D152F">
        <w:rPr>
          <w:rFonts w:ascii="Times New Roman" w:hAnsi="Times New Roman" w:cs="Times New Roman"/>
        </w:rPr>
        <w:t xml:space="preserve">At its heart, </w:t>
      </w:r>
      <w:r w:rsidR="00DD246F">
        <w:rPr>
          <w:rFonts w:ascii="Times New Roman" w:hAnsi="Times New Roman" w:cs="Times New Roman"/>
        </w:rPr>
        <w:t xml:space="preserve">the first </w:t>
      </w:r>
      <w:r w:rsidRPr="000D152F">
        <w:rPr>
          <w:rFonts w:ascii="Times New Roman" w:hAnsi="Times New Roman" w:cs="Times New Roman"/>
        </w:rPr>
        <w:t>question relates to the reason why the association exists</w:t>
      </w:r>
      <w:r w:rsidR="00247B8E" w:rsidRPr="000D152F">
        <w:rPr>
          <w:rFonts w:ascii="Times New Roman" w:hAnsi="Times New Roman" w:cs="Times New Roman"/>
        </w:rPr>
        <w:t>.</w:t>
      </w:r>
      <w:r w:rsidRPr="000D152F">
        <w:rPr>
          <w:rStyle w:val="FootnoteReference"/>
          <w:rFonts w:ascii="Times New Roman" w:hAnsi="Times New Roman" w:cs="Times New Roman"/>
        </w:rPr>
        <w:footnoteReference w:id="113"/>
      </w:r>
      <w:r w:rsidR="00247B8E" w:rsidRPr="000D152F">
        <w:rPr>
          <w:rFonts w:ascii="Times New Roman" w:hAnsi="Times New Roman" w:cs="Times New Roman"/>
        </w:rPr>
        <w:t xml:space="preserve"> The necessity of international interaction for the fulfilment of a political community’s promise was identified above.</w:t>
      </w:r>
      <w:r w:rsidR="0094591B" w:rsidRPr="000D152F">
        <w:rPr>
          <w:rStyle w:val="FootnoteReference"/>
          <w:rFonts w:ascii="Times New Roman" w:hAnsi="Times New Roman" w:cs="Times New Roman"/>
        </w:rPr>
        <w:footnoteReference w:id="114"/>
      </w:r>
      <w:r w:rsidR="00247B8E" w:rsidRPr="000D152F">
        <w:rPr>
          <w:rFonts w:ascii="Times New Roman" w:hAnsi="Times New Roman" w:cs="Times New Roman"/>
        </w:rPr>
        <w:t xml:space="preserve"> In the context of trade </w:t>
      </w:r>
      <w:r w:rsidR="00257E3D" w:rsidRPr="000D152F">
        <w:rPr>
          <w:rFonts w:ascii="Times New Roman" w:hAnsi="Times New Roman" w:cs="Times New Roman"/>
        </w:rPr>
        <w:t xml:space="preserve">this </w:t>
      </w:r>
      <w:r w:rsidR="00247B8E" w:rsidRPr="000D152F">
        <w:rPr>
          <w:rFonts w:ascii="Times New Roman" w:hAnsi="Times New Roman" w:cs="Times New Roman"/>
        </w:rPr>
        <w:t xml:space="preserve">is especially apposite. </w:t>
      </w:r>
      <w:r w:rsidR="00B8703B" w:rsidRPr="000D152F">
        <w:rPr>
          <w:rFonts w:ascii="Times New Roman" w:hAnsi="Times New Roman" w:cs="Times New Roman"/>
        </w:rPr>
        <w:t>One suggestion is that ‘t</w:t>
      </w:r>
      <w:r w:rsidR="00247B8E" w:rsidRPr="000D152F">
        <w:rPr>
          <w:rFonts w:ascii="Times New Roman" w:hAnsi="Times New Roman" w:cs="Times New Roman"/>
        </w:rPr>
        <w:t xml:space="preserve">he point or common good of such an all-round association… [is] the securing of a whole ensemble of material and other conditions that tend to favour the realization, by each </w:t>
      </w:r>
      <w:r w:rsidR="00247B8E" w:rsidRPr="000D152F">
        <w:rPr>
          <w:rFonts w:ascii="Times New Roman" w:hAnsi="Times New Roman" w:cs="Times New Roman"/>
        </w:rPr>
        <w:lastRenderedPageBreak/>
        <w:t>individual in the community, of his or her personal development.’</w:t>
      </w:r>
      <w:r w:rsidR="00247B8E" w:rsidRPr="000D152F">
        <w:rPr>
          <w:rStyle w:val="FootnoteReference"/>
          <w:rFonts w:ascii="Times New Roman" w:hAnsi="Times New Roman" w:cs="Times New Roman"/>
        </w:rPr>
        <w:footnoteReference w:id="115"/>
      </w:r>
      <w:r w:rsidR="00681C56" w:rsidRPr="000D152F">
        <w:rPr>
          <w:rFonts w:ascii="Times New Roman" w:hAnsi="Times New Roman" w:cs="Times New Roman"/>
        </w:rPr>
        <w:t xml:space="preserve"> Such an objective is intimately tied to the need for trade and th</w:t>
      </w:r>
      <w:r w:rsidR="00257E3D" w:rsidRPr="000D152F">
        <w:rPr>
          <w:rFonts w:ascii="Times New Roman" w:hAnsi="Times New Roman" w:cs="Times New Roman"/>
        </w:rPr>
        <w:t>e international need for trade</w:t>
      </w:r>
      <w:r w:rsidR="00681C56" w:rsidRPr="000D152F">
        <w:rPr>
          <w:rFonts w:ascii="Times New Roman" w:hAnsi="Times New Roman" w:cs="Times New Roman"/>
        </w:rPr>
        <w:t xml:space="preserve"> regulation.</w:t>
      </w:r>
    </w:p>
    <w:p w14:paraId="32515B3C" w14:textId="77777777" w:rsidR="00681C56" w:rsidRPr="000D152F" w:rsidRDefault="00681C56" w:rsidP="00D25306">
      <w:pPr>
        <w:spacing w:line="480" w:lineRule="auto"/>
        <w:jc w:val="both"/>
        <w:rPr>
          <w:rFonts w:ascii="Times New Roman" w:hAnsi="Times New Roman" w:cs="Times New Roman"/>
        </w:rPr>
      </w:pPr>
    </w:p>
    <w:p w14:paraId="5C244DEB" w14:textId="0B4388C5" w:rsidR="000548EF" w:rsidRPr="000D152F" w:rsidRDefault="00E71B2C" w:rsidP="00D25306">
      <w:pPr>
        <w:spacing w:line="480" w:lineRule="auto"/>
        <w:jc w:val="both"/>
        <w:rPr>
          <w:rFonts w:ascii="Times New Roman" w:hAnsi="Times New Roman" w:cs="Times New Roman"/>
        </w:rPr>
      </w:pPr>
      <w:r w:rsidRPr="000D152F">
        <w:rPr>
          <w:rFonts w:ascii="Times New Roman" w:hAnsi="Times New Roman" w:cs="Times New Roman"/>
        </w:rPr>
        <w:t>The rationale for trade has long been that it offer</w:t>
      </w:r>
      <w:r w:rsidR="00613A0A" w:rsidRPr="000D152F">
        <w:rPr>
          <w:rFonts w:ascii="Times New Roman" w:hAnsi="Times New Roman" w:cs="Times New Roman"/>
        </w:rPr>
        <w:t xml:space="preserve">s great benefits to </w:t>
      </w:r>
      <w:r w:rsidR="00BD5A7E">
        <w:rPr>
          <w:rFonts w:ascii="Times New Roman" w:hAnsi="Times New Roman" w:cs="Times New Roman"/>
        </w:rPr>
        <w:t xml:space="preserve">society </w:t>
      </w:r>
      <w:r w:rsidR="00AB023C">
        <w:rPr>
          <w:rFonts w:ascii="Times New Roman" w:hAnsi="Times New Roman" w:cs="Times New Roman"/>
        </w:rPr>
        <w:t>(</w:t>
      </w:r>
      <w:r w:rsidR="00BD5A7E">
        <w:rPr>
          <w:rFonts w:ascii="Times New Roman" w:hAnsi="Times New Roman" w:cs="Times New Roman"/>
        </w:rPr>
        <w:t>as a whole</w:t>
      </w:r>
      <w:r w:rsidR="00AB023C">
        <w:rPr>
          <w:rFonts w:ascii="Times New Roman" w:hAnsi="Times New Roman" w:cs="Times New Roman"/>
        </w:rPr>
        <w:t>)</w:t>
      </w:r>
      <w:r w:rsidR="00613A0A" w:rsidRPr="000D152F">
        <w:rPr>
          <w:rFonts w:ascii="Times New Roman" w:hAnsi="Times New Roman" w:cs="Times New Roman"/>
        </w:rPr>
        <w:t>.</w:t>
      </w:r>
      <w:r w:rsidRPr="000D152F">
        <w:rPr>
          <w:rFonts w:ascii="Times New Roman" w:hAnsi="Times New Roman" w:cs="Times New Roman"/>
        </w:rPr>
        <w:t xml:space="preserve"> </w:t>
      </w:r>
      <w:r w:rsidR="00613A0A" w:rsidRPr="000D152F">
        <w:rPr>
          <w:rFonts w:ascii="Times New Roman" w:hAnsi="Times New Roman" w:cs="Times New Roman"/>
        </w:rPr>
        <w:t xml:space="preserve">It is not necessary to repeat here </w:t>
      </w:r>
      <w:r w:rsidR="000548EF" w:rsidRPr="000D152F">
        <w:rPr>
          <w:rFonts w:ascii="Times New Roman" w:hAnsi="Times New Roman" w:cs="Times New Roman"/>
        </w:rPr>
        <w:t xml:space="preserve">the extensively </w:t>
      </w:r>
      <w:r w:rsidR="001A09FE" w:rsidRPr="000D152F">
        <w:rPr>
          <w:rFonts w:ascii="Times New Roman" w:hAnsi="Times New Roman" w:cs="Times New Roman"/>
        </w:rPr>
        <w:t>re</w:t>
      </w:r>
      <w:r w:rsidR="000548EF" w:rsidRPr="000D152F">
        <w:rPr>
          <w:rFonts w:ascii="Times New Roman" w:hAnsi="Times New Roman" w:cs="Times New Roman"/>
        </w:rPr>
        <w:t xml:space="preserve">produced arguments </w:t>
      </w:r>
      <w:r w:rsidR="00257E3D" w:rsidRPr="000D152F">
        <w:rPr>
          <w:rFonts w:ascii="Times New Roman" w:hAnsi="Times New Roman" w:cs="Times New Roman"/>
        </w:rPr>
        <w:t xml:space="preserve">that introduce </w:t>
      </w:r>
      <w:r w:rsidR="000548EF" w:rsidRPr="000D152F">
        <w:rPr>
          <w:rFonts w:ascii="Times New Roman" w:hAnsi="Times New Roman" w:cs="Times New Roman"/>
        </w:rPr>
        <w:t xml:space="preserve">numerous </w:t>
      </w:r>
      <w:r w:rsidR="00F532B7">
        <w:rPr>
          <w:rFonts w:ascii="Times New Roman" w:hAnsi="Times New Roman" w:cs="Times New Roman"/>
        </w:rPr>
        <w:t>texts</w:t>
      </w:r>
      <w:r w:rsidR="00F532B7" w:rsidRPr="000D152F">
        <w:rPr>
          <w:rFonts w:ascii="Times New Roman" w:hAnsi="Times New Roman" w:cs="Times New Roman"/>
        </w:rPr>
        <w:t xml:space="preserve"> </w:t>
      </w:r>
      <w:r w:rsidR="000548EF" w:rsidRPr="000D152F">
        <w:rPr>
          <w:rFonts w:ascii="Times New Roman" w:hAnsi="Times New Roman" w:cs="Times New Roman"/>
        </w:rPr>
        <w:t xml:space="preserve">on </w:t>
      </w:r>
      <w:r w:rsidR="001A09FE" w:rsidRPr="000D152F">
        <w:rPr>
          <w:rFonts w:ascii="Times New Roman" w:hAnsi="Times New Roman" w:cs="Times New Roman"/>
        </w:rPr>
        <w:t xml:space="preserve">WTO law relating to </w:t>
      </w:r>
      <w:r w:rsidR="000548EF" w:rsidRPr="000D152F">
        <w:rPr>
          <w:rFonts w:ascii="Times New Roman" w:hAnsi="Times New Roman" w:cs="Times New Roman"/>
        </w:rPr>
        <w:t>the potential</w:t>
      </w:r>
      <w:r w:rsidR="001A09FE" w:rsidRPr="000D152F">
        <w:rPr>
          <w:rFonts w:ascii="Times New Roman" w:hAnsi="Times New Roman" w:cs="Times New Roman"/>
        </w:rPr>
        <w:t xml:space="preserve"> benefits of trade:</w:t>
      </w:r>
      <w:r w:rsidR="000548EF" w:rsidRPr="000D152F">
        <w:rPr>
          <w:rFonts w:ascii="Times New Roman" w:hAnsi="Times New Roman" w:cs="Times New Roman"/>
        </w:rPr>
        <w:t xml:space="preserve"> increasing</w:t>
      </w:r>
      <w:r w:rsidR="00613A0A" w:rsidRPr="000D152F">
        <w:rPr>
          <w:rFonts w:ascii="Times New Roman" w:hAnsi="Times New Roman" w:cs="Times New Roman"/>
        </w:rPr>
        <w:t xml:space="preserve"> standards of living</w:t>
      </w:r>
      <w:r w:rsidRPr="000D152F">
        <w:rPr>
          <w:rFonts w:ascii="Times New Roman" w:hAnsi="Times New Roman" w:cs="Times New Roman"/>
        </w:rPr>
        <w:t xml:space="preserve">, </w:t>
      </w:r>
      <w:r w:rsidR="000548EF" w:rsidRPr="000D152F">
        <w:rPr>
          <w:rFonts w:ascii="Times New Roman" w:hAnsi="Times New Roman" w:cs="Times New Roman"/>
        </w:rPr>
        <w:t>improving</w:t>
      </w:r>
      <w:r w:rsidR="00613A0A" w:rsidRPr="000D152F">
        <w:rPr>
          <w:rFonts w:ascii="Times New Roman" w:hAnsi="Times New Roman" w:cs="Times New Roman"/>
        </w:rPr>
        <w:t xml:space="preserve"> </w:t>
      </w:r>
      <w:r w:rsidRPr="000D152F">
        <w:rPr>
          <w:rFonts w:ascii="Times New Roman" w:hAnsi="Times New Roman" w:cs="Times New Roman"/>
        </w:rPr>
        <w:t xml:space="preserve">health </w:t>
      </w:r>
      <w:r w:rsidR="00613A0A" w:rsidRPr="000D152F">
        <w:rPr>
          <w:rFonts w:ascii="Times New Roman" w:hAnsi="Times New Roman" w:cs="Times New Roman"/>
        </w:rPr>
        <w:t xml:space="preserve">indicators </w:t>
      </w:r>
      <w:r w:rsidRPr="000D152F">
        <w:rPr>
          <w:rFonts w:ascii="Times New Roman" w:hAnsi="Times New Roman" w:cs="Times New Roman"/>
        </w:rPr>
        <w:t xml:space="preserve">and </w:t>
      </w:r>
      <w:r w:rsidR="00613A0A" w:rsidRPr="000D152F">
        <w:rPr>
          <w:rFonts w:ascii="Times New Roman" w:hAnsi="Times New Roman" w:cs="Times New Roman"/>
        </w:rPr>
        <w:t>reduce mortality rates</w:t>
      </w:r>
      <w:r w:rsidR="001A09FE" w:rsidRPr="000D152F">
        <w:rPr>
          <w:rFonts w:ascii="Times New Roman" w:hAnsi="Times New Roman" w:cs="Times New Roman"/>
        </w:rPr>
        <w:t>,</w:t>
      </w:r>
      <w:r w:rsidR="000548EF" w:rsidRPr="000D152F">
        <w:rPr>
          <w:rStyle w:val="FootnoteReference"/>
          <w:rFonts w:ascii="Times New Roman" w:hAnsi="Times New Roman" w:cs="Times New Roman"/>
        </w:rPr>
        <w:footnoteReference w:id="116"/>
      </w:r>
      <w:r w:rsidRPr="000D152F">
        <w:rPr>
          <w:rFonts w:ascii="Times New Roman" w:hAnsi="Times New Roman" w:cs="Times New Roman"/>
        </w:rPr>
        <w:t xml:space="preserve"> </w:t>
      </w:r>
      <w:r w:rsidR="001A09FE" w:rsidRPr="000D152F">
        <w:rPr>
          <w:rFonts w:ascii="Times New Roman" w:hAnsi="Times New Roman" w:cs="Times New Roman"/>
        </w:rPr>
        <w:t>and encouraging</w:t>
      </w:r>
      <w:r w:rsidRPr="000D152F">
        <w:rPr>
          <w:rFonts w:ascii="Times New Roman" w:hAnsi="Times New Roman" w:cs="Times New Roman"/>
        </w:rPr>
        <w:t xml:space="preserve"> interdependence that in turn </w:t>
      </w:r>
      <w:r w:rsidR="001A09FE" w:rsidRPr="000D152F">
        <w:rPr>
          <w:rFonts w:ascii="Times New Roman" w:hAnsi="Times New Roman" w:cs="Times New Roman"/>
        </w:rPr>
        <w:t>may prevent</w:t>
      </w:r>
      <w:r w:rsidRPr="000D152F">
        <w:rPr>
          <w:rFonts w:ascii="Times New Roman" w:hAnsi="Times New Roman" w:cs="Times New Roman"/>
        </w:rPr>
        <w:t xml:space="preserve"> conflict or strife.</w:t>
      </w:r>
      <w:r w:rsidRPr="000D152F">
        <w:rPr>
          <w:rStyle w:val="FootnoteReference"/>
          <w:rFonts w:ascii="Times New Roman" w:hAnsi="Times New Roman" w:cs="Times New Roman"/>
        </w:rPr>
        <w:footnoteReference w:id="117"/>
      </w:r>
      <w:r w:rsidRPr="000D152F">
        <w:rPr>
          <w:rFonts w:ascii="Times New Roman" w:hAnsi="Times New Roman" w:cs="Times New Roman"/>
        </w:rPr>
        <w:t xml:space="preserve"> </w:t>
      </w:r>
      <w:r w:rsidR="000548EF" w:rsidRPr="000D152F">
        <w:rPr>
          <w:rFonts w:ascii="Times New Roman" w:hAnsi="Times New Roman" w:cs="Times New Roman"/>
        </w:rPr>
        <w:t>The legal texts of the WTO similarly set out such objectives,</w:t>
      </w:r>
      <w:r w:rsidR="000548EF" w:rsidRPr="000D152F">
        <w:rPr>
          <w:rStyle w:val="FootnoteReference"/>
          <w:rFonts w:ascii="Times New Roman" w:hAnsi="Times New Roman" w:cs="Times New Roman"/>
        </w:rPr>
        <w:footnoteReference w:id="118"/>
      </w:r>
      <w:r w:rsidR="000548EF" w:rsidRPr="000D152F">
        <w:rPr>
          <w:rFonts w:ascii="Times New Roman" w:hAnsi="Times New Roman" w:cs="Times New Roman"/>
        </w:rPr>
        <w:t xml:space="preserve"> </w:t>
      </w:r>
      <w:r w:rsidR="00D17E31" w:rsidRPr="000D152F">
        <w:rPr>
          <w:rFonts w:ascii="Times New Roman" w:hAnsi="Times New Roman" w:cs="Times New Roman"/>
        </w:rPr>
        <w:t xml:space="preserve">while policy-makers </w:t>
      </w:r>
      <w:r w:rsidR="00237418" w:rsidRPr="000D152F">
        <w:rPr>
          <w:rFonts w:ascii="Times New Roman" w:hAnsi="Times New Roman" w:cs="Times New Roman"/>
        </w:rPr>
        <w:t>at the national</w:t>
      </w:r>
      <w:r w:rsidR="00237418" w:rsidRPr="000D152F">
        <w:rPr>
          <w:rStyle w:val="FootnoteReference"/>
          <w:rFonts w:ascii="Times New Roman" w:hAnsi="Times New Roman" w:cs="Times New Roman"/>
        </w:rPr>
        <w:footnoteReference w:id="119"/>
      </w:r>
      <w:r w:rsidR="00237418" w:rsidRPr="000D152F">
        <w:rPr>
          <w:rFonts w:ascii="Times New Roman" w:hAnsi="Times New Roman" w:cs="Times New Roman"/>
        </w:rPr>
        <w:t xml:space="preserve"> and international</w:t>
      </w:r>
      <w:r w:rsidR="00237418" w:rsidRPr="000D152F">
        <w:rPr>
          <w:rStyle w:val="FootnoteReference"/>
          <w:rFonts w:ascii="Times New Roman" w:hAnsi="Times New Roman" w:cs="Times New Roman"/>
        </w:rPr>
        <w:footnoteReference w:id="120"/>
      </w:r>
      <w:r w:rsidR="00257E3D" w:rsidRPr="000D152F">
        <w:rPr>
          <w:rFonts w:ascii="Times New Roman" w:hAnsi="Times New Roman" w:cs="Times New Roman"/>
        </w:rPr>
        <w:t xml:space="preserve"> levels also i</w:t>
      </w:r>
      <w:r w:rsidR="00237418" w:rsidRPr="000D152F">
        <w:rPr>
          <w:rFonts w:ascii="Times New Roman" w:hAnsi="Times New Roman" w:cs="Times New Roman"/>
        </w:rPr>
        <w:t>dent</w:t>
      </w:r>
      <w:r w:rsidR="00257E3D" w:rsidRPr="000D152F">
        <w:rPr>
          <w:rFonts w:ascii="Times New Roman" w:hAnsi="Times New Roman" w:cs="Times New Roman"/>
        </w:rPr>
        <w:t xml:space="preserve">ify the benefits </w:t>
      </w:r>
      <w:r w:rsidR="00237418" w:rsidRPr="000D152F">
        <w:rPr>
          <w:rFonts w:ascii="Times New Roman" w:hAnsi="Times New Roman" w:cs="Times New Roman"/>
        </w:rPr>
        <w:t>of trade.</w:t>
      </w:r>
    </w:p>
    <w:p w14:paraId="05DF7BDC" w14:textId="77777777" w:rsidR="00D17E31" w:rsidRPr="000D152F" w:rsidRDefault="00D17E31" w:rsidP="00D25306">
      <w:pPr>
        <w:spacing w:line="480" w:lineRule="auto"/>
        <w:jc w:val="both"/>
        <w:rPr>
          <w:rFonts w:ascii="Times New Roman" w:hAnsi="Times New Roman" w:cs="Times New Roman"/>
        </w:rPr>
      </w:pPr>
    </w:p>
    <w:p w14:paraId="6A38012E" w14:textId="6394255E" w:rsidR="00946A0A" w:rsidRPr="000D152F" w:rsidRDefault="00E71B2C" w:rsidP="00D25306">
      <w:pPr>
        <w:spacing w:line="480" w:lineRule="auto"/>
        <w:jc w:val="both"/>
        <w:rPr>
          <w:rFonts w:ascii="Times New Roman" w:hAnsi="Times New Roman" w:cs="Times New Roman"/>
        </w:rPr>
      </w:pPr>
      <w:r w:rsidRPr="000D152F">
        <w:rPr>
          <w:rFonts w:ascii="Times New Roman" w:hAnsi="Times New Roman" w:cs="Times New Roman"/>
        </w:rPr>
        <w:t>None of these benefits are ends, however</w:t>
      </w:r>
      <w:r w:rsidR="005C0CA9" w:rsidRPr="000D152F">
        <w:rPr>
          <w:rFonts w:ascii="Times New Roman" w:hAnsi="Times New Roman" w:cs="Times New Roman"/>
        </w:rPr>
        <w:t>.</w:t>
      </w:r>
      <w:r w:rsidRPr="000D152F">
        <w:rPr>
          <w:rFonts w:ascii="Times New Roman" w:hAnsi="Times New Roman" w:cs="Times New Roman"/>
        </w:rPr>
        <w:t xml:space="preserve"> </w:t>
      </w:r>
      <w:r w:rsidR="005C0CA9" w:rsidRPr="000D152F">
        <w:rPr>
          <w:rFonts w:ascii="Times New Roman" w:hAnsi="Times New Roman" w:cs="Times New Roman"/>
        </w:rPr>
        <w:t>The benefits of trade are twinned to conceptions of human flourishing and opportunity. Note, for example, then D</w:t>
      </w:r>
      <w:r w:rsidR="00C26434" w:rsidRPr="000D152F">
        <w:rPr>
          <w:rFonts w:ascii="Times New Roman" w:hAnsi="Times New Roman" w:cs="Times New Roman"/>
        </w:rPr>
        <w:t xml:space="preserve">irector </w:t>
      </w:r>
      <w:r w:rsidR="005C0CA9" w:rsidRPr="000D152F">
        <w:rPr>
          <w:rFonts w:ascii="Times New Roman" w:hAnsi="Times New Roman" w:cs="Times New Roman"/>
        </w:rPr>
        <w:t>G</w:t>
      </w:r>
      <w:r w:rsidR="00C26434" w:rsidRPr="000D152F">
        <w:rPr>
          <w:rFonts w:ascii="Times New Roman" w:hAnsi="Times New Roman" w:cs="Times New Roman"/>
        </w:rPr>
        <w:t>eneral</w:t>
      </w:r>
      <w:r w:rsidR="005C0CA9" w:rsidRPr="000D152F">
        <w:rPr>
          <w:rFonts w:ascii="Times New Roman" w:hAnsi="Times New Roman" w:cs="Times New Roman"/>
        </w:rPr>
        <w:t xml:space="preserve"> Lamy’s concern over ‘how to ensure trade benefits are shared more fairly among nations… [and] how to ensure a better distribution of the benefits stemming from trade within a nation.’</w:t>
      </w:r>
      <w:r w:rsidR="005C0CA9" w:rsidRPr="000D152F">
        <w:rPr>
          <w:rStyle w:val="FootnoteReference"/>
          <w:rFonts w:ascii="Times New Roman" w:hAnsi="Times New Roman" w:cs="Times New Roman"/>
        </w:rPr>
        <w:footnoteReference w:id="121"/>
      </w:r>
      <w:r w:rsidR="005C0CA9" w:rsidRPr="000D152F">
        <w:rPr>
          <w:rFonts w:ascii="Times New Roman" w:hAnsi="Times New Roman" w:cs="Times New Roman"/>
        </w:rPr>
        <w:t xml:space="preserve"> </w:t>
      </w:r>
      <w:r w:rsidR="00946A0A" w:rsidRPr="000D152F">
        <w:rPr>
          <w:rFonts w:ascii="Times New Roman" w:hAnsi="Times New Roman" w:cs="Times New Roman"/>
        </w:rPr>
        <w:t>This concern</w:t>
      </w:r>
      <w:r w:rsidR="00946A0A" w:rsidRPr="000D152F">
        <w:rPr>
          <w:rStyle w:val="FootnoteReference"/>
          <w:rFonts w:ascii="Times New Roman" w:hAnsi="Times New Roman" w:cs="Times New Roman"/>
        </w:rPr>
        <w:footnoteReference w:id="122"/>
      </w:r>
      <w:r w:rsidR="00946A0A" w:rsidRPr="000D152F">
        <w:rPr>
          <w:rFonts w:ascii="Times New Roman" w:hAnsi="Times New Roman" w:cs="Times New Roman"/>
        </w:rPr>
        <w:t xml:space="preserve"> reflects the utility of the benefits from trade for individuals, otherwise there would </w:t>
      </w:r>
      <w:r w:rsidR="00946A0A" w:rsidRPr="000D152F">
        <w:rPr>
          <w:rFonts w:ascii="Times New Roman" w:hAnsi="Times New Roman" w:cs="Times New Roman"/>
        </w:rPr>
        <w:lastRenderedPageBreak/>
        <w:t xml:space="preserve">be no disquiet with aggregate gains that are unevenly distributed. These benefits </w:t>
      </w:r>
      <w:r w:rsidRPr="000D152F">
        <w:rPr>
          <w:rFonts w:ascii="Times New Roman" w:hAnsi="Times New Roman" w:cs="Times New Roman"/>
        </w:rPr>
        <w:t xml:space="preserve">provide </w:t>
      </w:r>
      <w:r w:rsidR="00946A0A" w:rsidRPr="000D152F">
        <w:rPr>
          <w:rFonts w:ascii="Times New Roman" w:hAnsi="Times New Roman" w:cs="Times New Roman"/>
        </w:rPr>
        <w:t xml:space="preserve">the </w:t>
      </w:r>
      <w:r w:rsidRPr="000D152F">
        <w:rPr>
          <w:rFonts w:ascii="Times New Roman" w:hAnsi="Times New Roman" w:cs="Times New Roman"/>
        </w:rPr>
        <w:t xml:space="preserve">conditions for </w:t>
      </w:r>
      <w:r w:rsidR="00681C56" w:rsidRPr="000D152F">
        <w:rPr>
          <w:rFonts w:ascii="Times New Roman" w:hAnsi="Times New Roman" w:cs="Times New Roman"/>
        </w:rPr>
        <w:t xml:space="preserve">individuals to realise their lives as they might wish and </w:t>
      </w:r>
      <w:r w:rsidR="00257E3D" w:rsidRPr="000D152F">
        <w:rPr>
          <w:rFonts w:ascii="Times New Roman" w:hAnsi="Times New Roman" w:cs="Times New Roman"/>
        </w:rPr>
        <w:t xml:space="preserve">thus </w:t>
      </w:r>
      <w:r w:rsidR="00681C56" w:rsidRPr="000D152F">
        <w:rPr>
          <w:rFonts w:ascii="Times New Roman" w:hAnsi="Times New Roman" w:cs="Times New Roman"/>
        </w:rPr>
        <w:t xml:space="preserve">to pursue a good life. </w:t>
      </w:r>
    </w:p>
    <w:p w14:paraId="323F0212" w14:textId="77777777" w:rsidR="00EF03BA" w:rsidRPr="000D152F" w:rsidRDefault="00EF03BA" w:rsidP="00D25306">
      <w:pPr>
        <w:spacing w:line="480" w:lineRule="auto"/>
        <w:jc w:val="both"/>
        <w:rPr>
          <w:rFonts w:ascii="Times New Roman" w:hAnsi="Times New Roman" w:cs="Times New Roman"/>
        </w:rPr>
      </w:pPr>
    </w:p>
    <w:p w14:paraId="45CB5F79" w14:textId="38E2A28B" w:rsidR="007C63FE" w:rsidRPr="000D152F" w:rsidRDefault="00EF03BA" w:rsidP="00D25306">
      <w:pPr>
        <w:spacing w:line="480" w:lineRule="auto"/>
        <w:jc w:val="both"/>
        <w:rPr>
          <w:rFonts w:ascii="Times New Roman" w:hAnsi="Times New Roman" w:cs="Times New Roman"/>
        </w:rPr>
      </w:pPr>
      <w:r w:rsidRPr="000D152F">
        <w:rPr>
          <w:rFonts w:ascii="Times New Roman" w:hAnsi="Times New Roman" w:cs="Times New Roman"/>
        </w:rPr>
        <w:t>This leads us to the second question: does the provision of inputs</w:t>
      </w:r>
      <w:r w:rsidR="00257E3D" w:rsidRPr="000D152F">
        <w:rPr>
          <w:rFonts w:ascii="Times New Roman" w:hAnsi="Times New Roman" w:cs="Times New Roman"/>
        </w:rPr>
        <w:t xml:space="preserve"> by SOEs or loans by SOCBs</w:t>
      </w:r>
      <w:r w:rsidR="00326068">
        <w:rPr>
          <w:rFonts w:ascii="Times New Roman" w:hAnsi="Times New Roman" w:cs="Times New Roman"/>
        </w:rPr>
        <w:t>, for example,</w:t>
      </w:r>
      <w:r w:rsidR="00257E3D" w:rsidRPr="000D152F">
        <w:rPr>
          <w:rFonts w:ascii="Times New Roman" w:hAnsi="Times New Roman" w:cs="Times New Roman"/>
        </w:rPr>
        <w:t xml:space="preserve"> </w:t>
      </w:r>
      <w:r w:rsidR="00640897">
        <w:rPr>
          <w:rFonts w:ascii="Times New Roman" w:hAnsi="Times New Roman" w:cs="Times New Roman"/>
        </w:rPr>
        <w:t xml:space="preserve">seek to </w:t>
      </w:r>
      <w:r w:rsidRPr="000D152F">
        <w:rPr>
          <w:rFonts w:ascii="Times New Roman" w:hAnsi="Times New Roman" w:cs="Times New Roman"/>
        </w:rPr>
        <w:t xml:space="preserve">contribute to the common good? </w:t>
      </w:r>
      <w:r w:rsidR="00E821FF" w:rsidRPr="000D152F">
        <w:rPr>
          <w:rFonts w:ascii="Times New Roman" w:hAnsi="Times New Roman" w:cs="Times New Roman"/>
        </w:rPr>
        <w:t xml:space="preserve">To answer this question we </w:t>
      </w:r>
      <w:r w:rsidR="00912339" w:rsidRPr="000D152F">
        <w:rPr>
          <w:rFonts w:ascii="Times New Roman" w:hAnsi="Times New Roman" w:cs="Times New Roman"/>
        </w:rPr>
        <w:t xml:space="preserve">must </w:t>
      </w:r>
      <w:r w:rsidR="00E821FF" w:rsidRPr="000D152F">
        <w:rPr>
          <w:rFonts w:ascii="Times New Roman" w:hAnsi="Times New Roman" w:cs="Times New Roman"/>
        </w:rPr>
        <w:t>examine, not the nature of the authority exercised by the SOE or SOCB, nor who holds controlling shares</w:t>
      </w:r>
      <w:r w:rsidR="007C63FE" w:rsidRPr="000D152F">
        <w:rPr>
          <w:rFonts w:ascii="Times New Roman" w:hAnsi="Times New Roman" w:cs="Times New Roman"/>
        </w:rPr>
        <w:t xml:space="preserve"> (which it has been argued are arbitrarily determined at a static point in time),</w:t>
      </w:r>
      <w:r w:rsidR="00E821FF" w:rsidRPr="000D152F">
        <w:rPr>
          <w:rFonts w:ascii="Times New Roman" w:hAnsi="Times New Roman" w:cs="Times New Roman"/>
        </w:rPr>
        <w:t xml:space="preserve"> but instead the extent to which their objective is </w:t>
      </w:r>
      <w:r w:rsidR="00E71B2C" w:rsidRPr="000D152F">
        <w:rPr>
          <w:rFonts w:ascii="Times New Roman" w:hAnsi="Times New Roman" w:cs="Times New Roman"/>
        </w:rPr>
        <w:t xml:space="preserve">to </w:t>
      </w:r>
      <w:r w:rsidR="00E821FF" w:rsidRPr="000D152F">
        <w:rPr>
          <w:rFonts w:ascii="Times New Roman" w:hAnsi="Times New Roman" w:cs="Times New Roman"/>
        </w:rPr>
        <w:t xml:space="preserve">facilitate the </w:t>
      </w:r>
      <w:r w:rsidR="006438FC">
        <w:rPr>
          <w:rFonts w:ascii="Times New Roman" w:hAnsi="Times New Roman" w:cs="Times New Roman"/>
        </w:rPr>
        <w:t>pursuit of the good life</w:t>
      </w:r>
      <w:r w:rsidR="00E821FF" w:rsidRPr="000D152F">
        <w:rPr>
          <w:rFonts w:ascii="Times New Roman" w:hAnsi="Times New Roman" w:cs="Times New Roman"/>
        </w:rPr>
        <w:t>.</w:t>
      </w:r>
      <w:r w:rsidR="00E71B2C" w:rsidRPr="000D152F">
        <w:rPr>
          <w:rFonts w:ascii="Times New Roman" w:hAnsi="Times New Roman" w:cs="Times New Roman"/>
        </w:rPr>
        <w:t xml:space="preserve"> </w:t>
      </w:r>
    </w:p>
    <w:p w14:paraId="5FD2DD0D" w14:textId="77777777" w:rsidR="007C63FE" w:rsidRPr="000D152F" w:rsidRDefault="007C63FE" w:rsidP="00D25306">
      <w:pPr>
        <w:spacing w:line="480" w:lineRule="auto"/>
        <w:jc w:val="both"/>
        <w:rPr>
          <w:rFonts w:ascii="Times New Roman" w:hAnsi="Times New Roman" w:cs="Times New Roman"/>
        </w:rPr>
      </w:pPr>
    </w:p>
    <w:p w14:paraId="1B5AD744" w14:textId="69827214" w:rsidR="00315FFE" w:rsidRPr="000D152F" w:rsidRDefault="00E821FF" w:rsidP="00D25306">
      <w:pPr>
        <w:spacing w:line="480" w:lineRule="auto"/>
        <w:jc w:val="both"/>
        <w:rPr>
          <w:rFonts w:ascii="Times New Roman" w:hAnsi="Times New Roman" w:cs="Times New Roman"/>
        </w:rPr>
      </w:pPr>
      <w:r w:rsidRPr="000D152F">
        <w:rPr>
          <w:rFonts w:ascii="Times New Roman" w:hAnsi="Times New Roman" w:cs="Times New Roman"/>
        </w:rPr>
        <w:t>If we accept that the benefits from trade can be widespread and necessary for the common good, does this not elide the distinction be</w:t>
      </w:r>
      <w:r w:rsidR="007C63FE" w:rsidRPr="000D152F">
        <w:rPr>
          <w:rFonts w:ascii="Times New Roman" w:hAnsi="Times New Roman" w:cs="Times New Roman"/>
        </w:rPr>
        <w:t>tween public and private? In a</w:t>
      </w:r>
      <w:r w:rsidRPr="000D152F">
        <w:rPr>
          <w:rFonts w:ascii="Times New Roman" w:hAnsi="Times New Roman" w:cs="Times New Roman"/>
        </w:rPr>
        <w:t xml:space="preserve"> large part, individuals trade, not States, and if encouraging trade is a part of the aims of the State and WTO, does all economic activity not then contribute to the aims of the political association? A bank lends money to a business, receives a good return on its investment, and this business, in turn, increases its productivity and profitability – does this not then contribute to the potential flourishing of individuals who would be in a materially stronger position to pursue a good life? It is at this point that we return to the distinction between the pursuit of the </w:t>
      </w:r>
      <w:r w:rsidR="00BE7FCF" w:rsidRPr="000D152F">
        <w:rPr>
          <w:rFonts w:ascii="Times New Roman" w:hAnsi="Times New Roman" w:cs="Times New Roman"/>
        </w:rPr>
        <w:t xml:space="preserve">common </w:t>
      </w:r>
      <w:r w:rsidRPr="000D152F">
        <w:rPr>
          <w:rFonts w:ascii="Times New Roman" w:hAnsi="Times New Roman" w:cs="Times New Roman"/>
        </w:rPr>
        <w:t>good in the common interest as opposed to private interest</w:t>
      </w:r>
      <w:r w:rsidR="0048786C">
        <w:rPr>
          <w:rFonts w:ascii="Times New Roman" w:hAnsi="Times New Roman" w:cs="Times New Roman"/>
        </w:rPr>
        <w:t>,</w:t>
      </w:r>
      <w:r w:rsidR="00315FFE" w:rsidRPr="000D152F">
        <w:rPr>
          <w:rStyle w:val="FootnoteReference"/>
          <w:rFonts w:ascii="Times New Roman" w:hAnsi="Times New Roman" w:cs="Times New Roman"/>
        </w:rPr>
        <w:footnoteReference w:id="123"/>
      </w:r>
      <w:r w:rsidR="0048786C">
        <w:rPr>
          <w:rFonts w:ascii="Times New Roman" w:hAnsi="Times New Roman" w:cs="Times New Roman"/>
        </w:rPr>
        <w:t xml:space="preserve"> and the third question: does the SOE or SOCB seek to privilege private interests or common interests?</w:t>
      </w:r>
    </w:p>
    <w:p w14:paraId="1A71D090" w14:textId="77777777" w:rsidR="00315FFE" w:rsidRPr="000D152F" w:rsidRDefault="00315FFE" w:rsidP="00D25306">
      <w:pPr>
        <w:spacing w:line="480" w:lineRule="auto"/>
        <w:jc w:val="both"/>
        <w:rPr>
          <w:rFonts w:ascii="Times New Roman" w:hAnsi="Times New Roman" w:cs="Times New Roman"/>
        </w:rPr>
      </w:pPr>
    </w:p>
    <w:p w14:paraId="21DD4900" w14:textId="02723CE0" w:rsidR="005947F1" w:rsidRPr="000D152F" w:rsidRDefault="00E821FF" w:rsidP="00D25306">
      <w:pPr>
        <w:spacing w:line="480" w:lineRule="auto"/>
        <w:jc w:val="both"/>
        <w:rPr>
          <w:rFonts w:ascii="Times New Roman" w:hAnsi="Times New Roman" w:cs="Times New Roman"/>
        </w:rPr>
      </w:pPr>
      <w:r w:rsidRPr="000D152F">
        <w:rPr>
          <w:rFonts w:ascii="Times New Roman" w:hAnsi="Times New Roman" w:cs="Times New Roman"/>
        </w:rPr>
        <w:lastRenderedPageBreak/>
        <w:t xml:space="preserve">There will be instances where acts are in the common interest and nonetheless </w:t>
      </w:r>
      <w:r w:rsidR="00912339" w:rsidRPr="000D152F">
        <w:rPr>
          <w:rFonts w:ascii="Times New Roman" w:hAnsi="Times New Roman" w:cs="Times New Roman"/>
        </w:rPr>
        <w:t>benefit an individual privately</w:t>
      </w:r>
      <w:r w:rsidR="004A1E60">
        <w:rPr>
          <w:rFonts w:ascii="Times New Roman" w:hAnsi="Times New Roman" w:cs="Times New Roman"/>
        </w:rPr>
        <w:t>.</w:t>
      </w:r>
      <w:r w:rsidRPr="000D152F">
        <w:rPr>
          <w:rFonts w:ascii="Times New Roman" w:hAnsi="Times New Roman" w:cs="Times New Roman"/>
        </w:rPr>
        <w:t xml:space="preserve"> </w:t>
      </w:r>
      <w:r w:rsidR="004A1E60">
        <w:rPr>
          <w:rFonts w:ascii="Times New Roman" w:hAnsi="Times New Roman" w:cs="Times New Roman"/>
        </w:rPr>
        <w:t>T</w:t>
      </w:r>
      <w:r w:rsidR="00BE7FCF" w:rsidRPr="000D152F">
        <w:rPr>
          <w:rFonts w:ascii="Times New Roman" w:hAnsi="Times New Roman" w:cs="Times New Roman"/>
        </w:rPr>
        <w:t xml:space="preserve">he difference is in the </w:t>
      </w:r>
      <w:r w:rsidR="00BE7FCF" w:rsidRPr="001B06D9">
        <w:rPr>
          <w:rFonts w:ascii="Times New Roman" w:hAnsi="Times New Roman" w:cs="Times New Roman"/>
          <w:i/>
        </w:rPr>
        <w:t>objective</w:t>
      </w:r>
      <w:r w:rsidR="00BE7FCF" w:rsidRPr="000D152F">
        <w:rPr>
          <w:rFonts w:ascii="Times New Roman" w:hAnsi="Times New Roman" w:cs="Times New Roman"/>
        </w:rPr>
        <w:t xml:space="preserve">: is the aim </w:t>
      </w:r>
      <w:r w:rsidR="00326068">
        <w:rPr>
          <w:rFonts w:ascii="Times New Roman" w:hAnsi="Times New Roman" w:cs="Times New Roman"/>
        </w:rPr>
        <w:t xml:space="preserve">to </w:t>
      </w:r>
      <w:r w:rsidRPr="000D152F">
        <w:rPr>
          <w:rFonts w:ascii="Times New Roman" w:hAnsi="Times New Roman" w:cs="Times New Roman"/>
        </w:rPr>
        <w:t xml:space="preserve">act  in the common interest? Or is this a separate and perhaps unintentional result (as would be the case with our example </w:t>
      </w:r>
      <w:r w:rsidR="00326068">
        <w:rPr>
          <w:rFonts w:ascii="Times New Roman" w:hAnsi="Times New Roman" w:cs="Times New Roman"/>
        </w:rPr>
        <w:t xml:space="preserve">of the lender </w:t>
      </w:r>
      <w:r w:rsidRPr="000D152F">
        <w:rPr>
          <w:rFonts w:ascii="Times New Roman" w:hAnsi="Times New Roman" w:cs="Times New Roman"/>
        </w:rPr>
        <w:t xml:space="preserve">in the previous </w:t>
      </w:r>
      <w:r w:rsidR="00CA5626" w:rsidRPr="000D152F">
        <w:rPr>
          <w:rFonts w:ascii="Times New Roman" w:hAnsi="Times New Roman" w:cs="Times New Roman"/>
        </w:rPr>
        <w:t>paragraph)? If the objective of the act is in the pursuit of the common good and in the common interest, then we have an understanding of what it is that we mean by naming something a ‘public body’.</w:t>
      </w:r>
      <w:r w:rsidR="00315FFE" w:rsidRPr="000D152F">
        <w:rPr>
          <w:rFonts w:ascii="Times New Roman" w:hAnsi="Times New Roman" w:cs="Times New Roman"/>
        </w:rPr>
        <w:t xml:space="preserve"> </w:t>
      </w:r>
      <w:r w:rsidR="00BE6E56" w:rsidRPr="000D152F">
        <w:rPr>
          <w:rFonts w:ascii="Times New Roman" w:hAnsi="Times New Roman" w:cs="Times New Roman"/>
        </w:rPr>
        <w:t xml:space="preserve">The outcomes may </w:t>
      </w:r>
      <w:r w:rsidR="00315FFE" w:rsidRPr="000D152F">
        <w:rPr>
          <w:rFonts w:ascii="Times New Roman" w:hAnsi="Times New Roman" w:cs="Times New Roman"/>
        </w:rPr>
        <w:t xml:space="preserve">also </w:t>
      </w:r>
      <w:r w:rsidR="00BE6E56" w:rsidRPr="000D152F">
        <w:rPr>
          <w:rFonts w:ascii="Times New Roman" w:hAnsi="Times New Roman" w:cs="Times New Roman"/>
        </w:rPr>
        <w:t>give us an indication of this answer. We may ask, t</w:t>
      </w:r>
      <w:r w:rsidR="00A022E6" w:rsidRPr="000D152F">
        <w:rPr>
          <w:rFonts w:ascii="Times New Roman" w:hAnsi="Times New Roman" w:cs="Times New Roman"/>
        </w:rPr>
        <w:t xml:space="preserve">o </w:t>
      </w:r>
      <w:r w:rsidR="00D17C30" w:rsidRPr="000D152F">
        <w:rPr>
          <w:rFonts w:ascii="Times New Roman" w:hAnsi="Times New Roman" w:cs="Times New Roman"/>
        </w:rPr>
        <w:t>what extent were benefits (if any) felt by those who were intended to benefit from them?</w:t>
      </w:r>
      <w:r w:rsidR="00BE6E56" w:rsidRPr="000D152F">
        <w:rPr>
          <w:rFonts w:ascii="Times New Roman" w:hAnsi="Times New Roman" w:cs="Times New Roman"/>
        </w:rPr>
        <w:t xml:space="preserve"> And t</w:t>
      </w:r>
      <w:r w:rsidR="00A022E6" w:rsidRPr="000D152F">
        <w:rPr>
          <w:rFonts w:ascii="Times New Roman" w:hAnsi="Times New Roman" w:cs="Times New Roman"/>
        </w:rPr>
        <w:t xml:space="preserve">o what extent did the provision of materials by SOEs or loans by SOCBs benefit private </w:t>
      </w:r>
      <w:r w:rsidR="00850EFA" w:rsidRPr="000D152F">
        <w:rPr>
          <w:rFonts w:ascii="Times New Roman" w:hAnsi="Times New Roman" w:cs="Times New Roman"/>
        </w:rPr>
        <w:t xml:space="preserve">interests </w:t>
      </w:r>
      <w:r w:rsidR="00850EFA" w:rsidRPr="000D152F">
        <w:rPr>
          <w:rFonts w:ascii="Times New Roman" w:hAnsi="Times New Roman" w:cs="Times New Roman"/>
          <w:i/>
        </w:rPr>
        <w:t>over</w:t>
      </w:r>
      <w:r w:rsidR="00850EFA" w:rsidRPr="000D152F">
        <w:rPr>
          <w:rFonts w:ascii="Times New Roman" w:hAnsi="Times New Roman" w:cs="Times New Roman"/>
        </w:rPr>
        <w:t xml:space="preserve"> common interests?</w:t>
      </w:r>
      <w:r w:rsidR="00231DC8">
        <w:rPr>
          <w:rStyle w:val="FootnoteReference"/>
          <w:rFonts w:ascii="Times New Roman" w:hAnsi="Times New Roman" w:cs="Times New Roman"/>
        </w:rPr>
        <w:footnoteReference w:id="124"/>
      </w:r>
      <w:r w:rsidR="00CC6B5E">
        <w:rPr>
          <w:rFonts w:ascii="Times New Roman" w:hAnsi="Times New Roman" w:cs="Times New Roman"/>
        </w:rPr>
        <w:t xml:space="preserve"> Yet this helps us identify aims or objectives not effects – the determination of whether a benefit is </w:t>
      </w:r>
      <w:r w:rsidR="005B3835">
        <w:rPr>
          <w:rFonts w:ascii="Times New Roman" w:hAnsi="Times New Roman" w:cs="Times New Roman"/>
        </w:rPr>
        <w:t xml:space="preserve">actually </w:t>
      </w:r>
      <w:r w:rsidR="00CC6B5E">
        <w:rPr>
          <w:rFonts w:ascii="Times New Roman" w:hAnsi="Times New Roman" w:cs="Times New Roman"/>
        </w:rPr>
        <w:t xml:space="preserve">conferred is a separate exercise under Article </w:t>
      </w:r>
      <w:r w:rsidR="003B241E">
        <w:rPr>
          <w:rFonts w:ascii="Times New Roman" w:hAnsi="Times New Roman" w:cs="Times New Roman"/>
        </w:rPr>
        <w:t>1</w:t>
      </w:r>
      <w:r w:rsidR="00CC6B5E">
        <w:rPr>
          <w:rFonts w:ascii="Times New Roman" w:hAnsi="Times New Roman" w:cs="Times New Roman"/>
        </w:rPr>
        <w:t xml:space="preserve">.1(b). </w:t>
      </w:r>
    </w:p>
    <w:p w14:paraId="68DC8D43" w14:textId="77777777" w:rsidR="007C63FE" w:rsidRDefault="007C63FE" w:rsidP="00D25306">
      <w:pPr>
        <w:spacing w:line="480" w:lineRule="auto"/>
        <w:jc w:val="both"/>
        <w:rPr>
          <w:rFonts w:ascii="Times New Roman" w:hAnsi="Times New Roman" w:cs="Times New Roman"/>
        </w:rPr>
      </w:pPr>
    </w:p>
    <w:p w14:paraId="7D7AAFCE" w14:textId="701AF701" w:rsidR="00B9660E" w:rsidRPr="001B06D9" w:rsidRDefault="006C1E95" w:rsidP="00D25306">
      <w:pPr>
        <w:spacing w:line="480" w:lineRule="auto"/>
        <w:jc w:val="both"/>
        <w:rPr>
          <w:rFonts w:ascii="Times New Roman" w:hAnsi="Times New Roman" w:cs="Times New Roman"/>
          <w:lang w:val="en-US"/>
        </w:rPr>
      </w:pPr>
      <w:r>
        <w:rPr>
          <w:rFonts w:ascii="Times New Roman" w:hAnsi="Times New Roman" w:cs="Times New Roman"/>
        </w:rPr>
        <w:t xml:space="preserve">Another </w:t>
      </w:r>
      <w:r w:rsidR="00B9660E">
        <w:rPr>
          <w:rFonts w:ascii="Times New Roman" w:hAnsi="Times New Roman" w:cs="Times New Roman"/>
        </w:rPr>
        <w:t xml:space="preserve">example </w:t>
      </w:r>
      <w:r>
        <w:rPr>
          <w:rFonts w:ascii="Times New Roman" w:hAnsi="Times New Roman" w:cs="Times New Roman"/>
        </w:rPr>
        <w:t xml:space="preserve">can further help illustrate how this three-limbed test might function. In </w:t>
      </w:r>
      <w:r w:rsidR="00B9660E">
        <w:rPr>
          <w:rFonts w:ascii="Times New Roman" w:hAnsi="Times New Roman" w:cs="Times New Roman"/>
        </w:rPr>
        <w:t xml:space="preserve">a recent dispute </w:t>
      </w:r>
      <w:r w:rsidR="002317FD">
        <w:rPr>
          <w:rFonts w:ascii="Times New Roman" w:hAnsi="Times New Roman" w:cs="Times New Roman"/>
        </w:rPr>
        <w:t xml:space="preserve">over </w:t>
      </w:r>
      <w:r w:rsidR="00FE78E3">
        <w:rPr>
          <w:rFonts w:ascii="Times New Roman" w:hAnsi="Times New Roman" w:cs="Times New Roman"/>
        </w:rPr>
        <w:t xml:space="preserve">US countervailing duties on </w:t>
      </w:r>
      <w:r w:rsidR="002317FD">
        <w:rPr>
          <w:rFonts w:ascii="Times New Roman" w:hAnsi="Times New Roman" w:cs="Times New Roman"/>
        </w:rPr>
        <w:t xml:space="preserve">a number of </w:t>
      </w:r>
      <w:r w:rsidR="00FE78E3">
        <w:rPr>
          <w:rFonts w:ascii="Times New Roman" w:hAnsi="Times New Roman" w:cs="Times New Roman"/>
        </w:rPr>
        <w:t>Chinese goods in response to alleged subsidisation,</w:t>
      </w:r>
      <w:r w:rsidR="00FE78E3" w:rsidRPr="00FE78E3">
        <w:rPr>
          <w:rStyle w:val="FootnoteReference"/>
          <w:rFonts w:ascii="Times New Roman" w:hAnsi="Times New Roman" w:cs="Times New Roman"/>
        </w:rPr>
        <w:t xml:space="preserve"> </w:t>
      </w:r>
      <w:r w:rsidR="00FE78E3" w:rsidRPr="000D152F">
        <w:rPr>
          <w:rStyle w:val="FootnoteReference"/>
          <w:rFonts w:ascii="Times New Roman" w:hAnsi="Times New Roman" w:cs="Times New Roman"/>
        </w:rPr>
        <w:footnoteReference w:id="125"/>
      </w:r>
      <w:r w:rsidR="00FE78E3">
        <w:rPr>
          <w:rFonts w:ascii="Times New Roman" w:hAnsi="Times New Roman" w:cs="Times New Roman"/>
        </w:rPr>
        <w:t xml:space="preserve"> the US claimed that </w:t>
      </w:r>
      <w:r w:rsidR="002D0B41">
        <w:rPr>
          <w:rFonts w:ascii="Times New Roman" w:hAnsi="Times New Roman" w:cs="Times New Roman"/>
        </w:rPr>
        <w:t xml:space="preserve">Chinese solar panel manufacturers were subsidised by Chinese SOEs through the provision of polysilicon for ‘less then adequate remuneration’, i.e. that the </w:t>
      </w:r>
      <w:r w:rsidR="00FE78E3">
        <w:rPr>
          <w:rFonts w:ascii="Times New Roman" w:hAnsi="Times New Roman" w:cs="Times New Roman"/>
        </w:rPr>
        <w:t xml:space="preserve">Government of China </w:t>
      </w:r>
      <w:r w:rsidR="002D0B41">
        <w:rPr>
          <w:rFonts w:ascii="Times New Roman" w:hAnsi="Times New Roman" w:cs="Times New Roman"/>
        </w:rPr>
        <w:t xml:space="preserve">(through an SOE) provided materials at less than market value to its solar panel </w:t>
      </w:r>
      <w:r w:rsidR="0054411A">
        <w:rPr>
          <w:rFonts w:ascii="Times New Roman" w:hAnsi="Times New Roman" w:cs="Times New Roman"/>
        </w:rPr>
        <w:t>manufacturers</w:t>
      </w:r>
      <w:r w:rsidR="002D0B41">
        <w:rPr>
          <w:rFonts w:ascii="Times New Roman" w:hAnsi="Times New Roman" w:cs="Times New Roman"/>
        </w:rPr>
        <w:t>.</w:t>
      </w:r>
      <w:r w:rsidR="002D0B41">
        <w:rPr>
          <w:rStyle w:val="FootnoteReference"/>
          <w:rFonts w:ascii="Times New Roman" w:hAnsi="Times New Roman" w:cs="Times New Roman"/>
        </w:rPr>
        <w:footnoteReference w:id="126"/>
      </w:r>
      <w:r w:rsidR="0054411A">
        <w:rPr>
          <w:rFonts w:ascii="Times New Roman" w:hAnsi="Times New Roman" w:cs="Times New Roman"/>
        </w:rPr>
        <w:t xml:space="preserve"> During the dispute at the WTO, the US and China repeated many of their claims from previous </w:t>
      </w:r>
      <w:r w:rsidR="002317FD">
        <w:rPr>
          <w:rFonts w:ascii="Times New Roman" w:hAnsi="Times New Roman" w:cs="Times New Roman"/>
        </w:rPr>
        <w:t>disputes</w:t>
      </w:r>
      <w:r>
        <w:rPr>
          <w:rFonts w:ascii="Times New Roman" w:hAnsi="Times New Roman" w:cs="Times New Roman"/>
        </w:rPr>
        <w:t>.I</w:t>
      </w:r>
      <w:r w:rsidR="0054411A">
        <w:rPr>
          <w:rFonts w:ascii="Times New Roman" w:hAnsi="Times New Roman" w:cs="Times New Roman"/>
        </w:rPr>
        <w:t>n the US</w:t>
      </w:r>
      <w:r>
        <w:rPr>
          <w:rFonts w:ascii="Times New Roman" w:hAnsi="Times New Roman" w:cs="Times New Roman"/>
        </w:rPr>
        <w:t>’</w:t>
      </w:r>
      <w:r w:rsidR="0054411A">
        <w:rPr>
          <w:rFonts w:ascii="Times New Roman" w:hAnsi="Times New Roman" w:cs="Times New Roman"/>
        </w:rPr>
        <w:t xml:space="preserve"> case</w:t>
      </w:r>
      <w:r w:rsidR="00050E16">
        <w:rPr>
          <w:rFonts w:ascii="Times New Roman" w:hAnsi="Times New Roman" w:cs="Times New Roman"/>
        </w:rPr>
        <w:t>,</w:t>
      </w:r>
      <w:r w:rsidR="0054411A">
        <w:rPr>
          <w:rFonts w:ascii="Times New Roman" w:hAnsi="Times New Roman" w:cs="Times New Roman"/>
        </w:rPr>
        <w:t xml:space="preserve"> that control </w:t>
      </w:r>
      <w:r w:rsidR="00050E16">
        <w:rPr>
          <w:rFonts w:ascii="Times New Roman" w:hAnsi="Times New Roman" w:cs="Times New Roman"/>
        </w:rPr>
        <w:t xml:space="preserve">(understood widely as including majority-ownership) </w:t>
      </w:r>
      <w:r w:rsidR="0054411A">
        <w:rPr>
          <w:rFonts w:ascii="Times New Roman" w:hAnsi="Times New Roman" w:cs="Times New Roman"/>
        </w:rPr>
        <w:t xml:space="preserve">was a better determinant of whether an SOE was a ‘public body’ </w:t>
      </w:r>
      <w:r>
        <w:rPr>
          <w:rFonts w:ascii="Times New Roman" w:hAnsi="Times New Roman" w:cs="Times New Roman"/>
        </w:rPr>
        <w:t xml:space="preserve">while </w:t>
      </w:r>
      <w:r w:rsidR="0054411A">
        <w:rPr>
          <w:rFonts w:ascii="Times New Roman" w:hAnsi="Times New Roman" w:cs="Times New Roman"/>
        </w:rPr>
        <w:t>China argu</w:t>
      </w:r>
      <w:r>
        <w:rPr>
          <w:rFonts w:ascii="Times New Roman" w:hAnsi="Times New Roman" w:cs="Times New Roman"/>
        </w:rPr>
        <w:t>ed</w:t>
      </w:r>
      <w:r w:rsidR="0054411A">
        <w:rPr>
          <w:rFonts w:ascii="Times New Roman" w:hAnsi="Times New Roman" w:cs="Times New Roman"/>
        </w:rPr>
        <w:t xml:space="preserve"> that it was necessary to identify </w:t>
      </w:r>
      <w:r w:rsidR="00B4014E">
        <w:rPr>
          <w:rFonts w:ascii="Times New Roman" w:hAnsi="Times New Roman" w:cs="Times New Roman"/>
        </w:rPr>
        <w:t xml:space="preserve">whether the </w:t>
      </w:r>
      <w:r w:rsidR="00B4014E">
        <w:rPr>
          <w:rFonts w:ascii="Times New Roman" w:hAnsi="Times New Roman" w:cs="Times New Roman"/>
        </w:rPr>
        <w:lastRenderedPageBreak/>
        <w:t>SOE had been ‘</w:t>
      </w:r>
      <w:r w:rsidR="00B4014E" w:rsidRPr="00B4014E">
        <w:rPr>
          <w:rFonts w:ascii="Times New Roman" w:hAnsi="Times New Roman" w:cs="Times New Roman"/>
          <w:lang w:val="en-US"/>
        </w:rPr>
        <w:t>vested with, and exercising, authority to perform governmental functions</w:t>
      </w:r>
      <w:r w:rsidR="00B4014E">
        <w:rPr>
          <w:rFonts w:ascii="Times New Roman" w:hAnsi="Times New Roman" w:cs="Times New Roman"/>
          <w:lang w:val="en-US"/>
        </w:rPr>
        <w:t>’.</w:t>
      </w:r>
      <w:r w:rsidR="00DC1ACA" w:rsidRPr="000D152F">
        <w:rPr>
          <w:rStyle w:val="FootnoteReference"/>
          <w:rFonts w:ascii="Times New Roman" w:hAnsi="Times New Roman" w:cs="Times New Roman"/>
        </w:rPr>
        <w:footnoteReference w:id="127"/>
      </w:r>
      <w:r w:rsidR="00050E16">
        <w:rPr>
          <w:rFonts w:ascii="Times New Roman" w:hAnsi="Times New Roman" w:cs="Times New Roman"/>
          <w:lang w:val="en-US"/>
        </w:rPr>
        <w:t xml:space="preserve"> The panel responded by repeating the analysis of the Appellate Body in </w:t>
      </w:r>
      <w:r w:rsidR="00EB3E88" w:rsidRPr="000D152F">
        <w:rPr>
          <w:rFonts w:ascii="Times New Roman" w:hAnsi="Times New Roman" w:cs="Times New Roman"/>
          <w:i/>
        </w:rPr>
        <w:t>US – AD/CVDs (China)</w:t>
      </w:r>
      <w:r w:rsidR="00EB3E88">
        <w:rPr>
          <w:rFonts w:ascii="Times New Roman" w:hAnsi="Times New Roman" w:cs="Times New Roman"/>
        </w:rPr>
        <w:t>, finding that while China had erred in suggesting that ‘authority to perform governmental functions’ was to be understood in strict legal terms (i.e. a specific grant of legal authority) the US had nonetheless failed to investigate sufficiently the nature of the SOEs, resting on their majority-ownership.</w:t>
      </w:r>
      <w:r w:rsidR="00EB3E88" w:rsidRPr="000D152F">
        <w:rPr>
          <w:rStyle w:val="FootnoteReference"/>
          <w:rFonts w:ascii="Times New Roman" w:hAnsi="Times New Roman" w:cs="Times New Roman"/>
        </w:rPr>
        <w:footnoteReference w:id="128"/>
      </w:r>
    </w:p>
    <w:p w14:paraId="491D4423" w14:textId="77777777" w:rsidR="00F32558" w:rsidRDefault="00F32558" w:rsidP="00D25306">
      <w:pPr>
        <w:spacing w:line="480" w:lineRule="auto"/>
        <w:jc w:val="both"/>
        <w:rPr>
          <w:rFonts w:ascii="Times New Roman" w:hAnsi="Times New Roman" w:cs="Times New Roman"/>
        </w:rPr>
      </w:pPr>
    </w:p>
    <w:p w14:paraId="58208C98" w14:textId="2EAA01FF" w:rsidR="00100A07" w:rsidRDefault="00100A07" w:rsidP="00D25306">
      <w:pPr>
        <w:spacing w:line="480" w:lineRule="auto"/>
        <w:jc w:val="both"/>
        <w:rPr>
          <w:rFonts w:ascii="Times New Roman" w:hAnsi="Times New Roman" w:cs="Times New Roman"/>
        </w:rPr>
      </w:pPr>
      <w:r>
        <w:rPr>
          <w:rFonts w:ascii="Times New Roman" w:hAnsi="Times New Roman" w:cs="Times New Roman"/>
        </w:rPr>
        <w:t>None of these options are doctrinally appealing</w:t>
      </w:r>
      <w:r w:rsidR="003B10FC">
        <w:rPr>
          <w:rFonts w:ascii="Times New Roman" w:hAnsi="Times New Roman" w:cs="Times New Roman"/>
        </w:rPr>
        <w:t>.</w:t>
      </w:r>
      <w:r w:rsidR="003B241E">
        <w:rPr>
          <w:rFonts w:ascii="Times New Roman" w:hAnsi="Times New Roman" w:cs="Times New Roman"/>
        </w:rPr>
        <w:t xml:space="preserve"> </w:t>
      </w:r>
      <w:r w:rsidR="003B10FC">
        <w:rPr>
          <w:rFonts w:ascii="Times New Roman" w:hAnsi="Times New Roman" w:cs="Times New Roman"/>
        </w:rPr>
        <w:t>N</w:t>
      </w:r>
      <w:r>
        <w:rPr>
          <w:rFonts w:ascii="Times New Roman" w:hAnsi="Times New Roman" w:cs="Times New Roman"/>
        </w:rPr>
        <w:t>ote how the Chinese position seeks to elide ‘government or any public body’ into a single term, ignoring the difference placed on them in the text</w:t>
      </w:r>
      <w:r w:rsidR="003B10FC">
        <w:rPr>
          <w:rFonts w:ascii="Times New Roman" w:hAnsi="Times New Roman" w:cs="Times New Roman"/>
        </w:rPr>
        <w:t>.</w:t>
      </w:r>
      <w:r>
        <w:rPr>
          <w:rFonts w:ascii="Times New Roman" w:hAnsi="Times New Roman" w:cs="Times New Roman"/>
        </w:rPr>
        <w:t xml:space="preserve"> </w:t>
      </w:r>
      <w:r w:rsidR="003B10FC">
        <w:rPr>
          <w:rFonts w:ascii="Times New Roman" w:hAnsi="Times New Roman" w:cs="Times New Roman"/>
        </w:rPr>
        <w:t xml:space="preserve">Meanwhile, </w:t>
      </w:r>
      <w:r>
        <w:rPr>
          <w:rFonts w:ascii="Times New Roman" w:hAnsi="Times New Roman" w:cs="Times New Roman"/>
        </w:rPr>
        <w:t>the US</w:t>
      </w:r>
      <w:r w:rsidR="002B6A47">
        <w:rPr>
          <w:rFonts w:ascii="Times New Roman" w:hAnsi="Times New Roman" w:cs="Times New Roman"/>
        </w:rPr>
        <w:t>’</w:t>
      </w:r>
      <w:r>
        <w:rPr>
          <w:rFonts w:ascii="Times New Roman" w:hAnsi="Times New Roman" w:cs="Times New Roman"/>
        </w:rPr>
        <w:t xml:space="preserve"> position either broadens the meaning of ‘public body’ so </w:t>
      </w:r>
      <w:r w:rsidR="00AF32DB">
        <w:rPr>
          <w:rFonts w:ascii="Times New Roman" w:hAnsi="Times New Roman" w:cs="Times New Roman"/>
        </w:rPr>
        <w:t xml:space="preserve">extensively </w:t>
      </w:r>
      <w:r>
        <w:rPr>
          <w:rFonts w:ascii="Times New Roman" w:hAnsi="Times New Roman" w:cs="Times New Roman"/>
        </w:rPr>
        <w:t>th</w:t>
      </w:r>
      <w:r w:rsidR="00AF32DB">
        <w:rPr>
          <w:rFonts w:ascii="Times New Roman" w:hAnsi="Times New Roman" w:cs="Times New Roman"/>
        </w:rPr>
        <w:t>r</w:t>
      </w:r>
      <w:r>
        <w:rPr>
          <w:rFonts w:ascii="Times New Roman" w:hAnsi="Times New Roman" w:cs="Times New Roman"/>
        </w:rPr>
        <w:t xml:space="preserve">ough simple majority-ownership that it would catch a far wider number of bodies than intended, or if expressed in its control variant, would undermine the </w:t>
      </w:r>
      <w:r w:rsidR="005350B8">
        <w:rPr>
          <w:rFonts w:ascii="Times New Roman" w:hAnsi="Times New Roman" w:cs="Times New Roman"/>
        </w:rPr>
        <w:t xml:space="preserve">meaning </w:t>
      </w:r>
      <w:r>
        <w:rPr>
          <w:rFonts w:ascii="Times New Roman" w:hAnsi="Times New Roman" w:cs="Times New Roman"/>
        </w:rPr>
        <w:t>of the ‘entrusts or directs’ provis</w:t>
      </w:r>
      <w:r w:rsidR="00D55439">
        <w:rPr>
          <w:rFonts w:ascii="Times New Roman" w:hAnsi="Times New Roman" w:cs="Times New Roman"/>
        </w:rPr>
        <w:t>ion under Article I.1(1)(a)(iv).</w:t>
      </w:r>
      <w:r w:rsidR="002B6A47">
        <w:rPr>
          <w:rFonts w:ascii="Times New Roman" w:hAnsi="Times New Roman" w:cs="Times New Roman"/>
        </w:rPr>
        <w:t xml:space="preserve"> </w:t>
      </w:r>
      <w:r w:rsidR="00D55439">
        <w:rPr>
          <w:rFonts w:ascii="Times New Roman" w:hAnsi="Times New Roman" w:cs="Times New Roman"/>
        </w:rPr>
        <w:t>T</w:t>
      </w:r>
      <w:r w:rsidR="002B6A47">
        <w:rPr>
          <w:rFonts w:ascii="Times New Roman" w:hAnsi="Times New Roman" w:cs="Times New Roman"/>
        </w:rPr>
        <w:t xml:space="preserve">he panel’s recitation of the Appellate Body test that public bodies are those ‘vested with… governmental functions’ does not give any tool to know what the governmental function </w:t>
      </w:r>
      <w:r w:rsidR="002B6A47" w:rsidRPr="001B06D9">
        <w:rPr>
          <w:rFonts w:ascii="Times New Roman" w:hAnsi="Times New Roman" w:cs="Times New Roman"/>
          <w:i/>
        </w:rPr>
        <w:t>is</w:t>
      </w:r>
      <w:r w:rsidR="002B6A47" w:rsidRPr="001B06D9">
        <w:rPr>
          <w:rFonts w:ascii="Times New Roman" w:hAnsi="Times New Roman" w:cs="Times New Roman"/>
        </w:rPr>
        <w:t>.</w:t>
      </w:r>
      <w:r w:rsidR="0009071E">
        <w:rPr>
          <w:rStyle w:val="FootnoteReference"/>
          <w:rFonts w:ascii="Times New Roman" w:hAnsi="Times New Roman" w:cs="Times New Roman"/>
        </w:rPr>
        <w:footnoteReference w:id="129"/>
      </w:r>
    </w:p>
    <w:p w14:paraId="3ECA2EF6" w14:textId="77777777" w:rsidR="00050E16" w:rsidRPr="000D152F" w:rsidRDefault="00050E16" w:rsidP="00D25306">
      <w:pPr>
        <w:spacing w:line="480" w:lineRule="auto"/>
        <w:jc w:val="both"/>
        <w:rPr>
          <w:rFonts w:ascii="Times New Roman" w:hAnsi="Times New Roman" w:cs="Times New Roman"/>
        </w:rPr>
      </w:pPr>
    </w:p>
    <w:p w14:paraId="63AD0DE1" w14:textId="16B5EC2B" w:rsidR="00656986" w:rsidRDefault="00442C86" w:rsidP="00D25306">
      <w:pPr>
        <w:spacing w:line="480" w:lineRule="auto"/>
        <w:jc w:val="both"/>
        <w:rPr>
          <w:rFonts w:ascii="Times New Roman" w:hAnsi="Times New Roman" w:cs="Times New Roman"/>
        </w:rPr>
      </w:pPr>
      <w:r>
        <w:rPr>
          <w:rFonts w:ascii="Times New Roman" w:hAnsi="Times New Roman" w:cs="Times New Roman"/>
        </w:rPr>
        <w:t xml:space="preserve">The test proposed here would be different. </w:t>
      </w:r>
      <w:r w:rsidR="0028578B">
        <w:rPr>
          <w:rFonts w:ascii="Times New Roman" w:hAnsi="Times New Roman" w:cs="Times New Roman"/>
        </w:rPr>
        <w:t>What is the relevant objective of the State and WTO in this instance and t</w:t>
      </w:r>
      <w:r>
        <w:rPr>
          <w:rFonts w:ascii="Times New Roman" w:hAnsi="Times New Roman" w:cs="Times New Roman"/>
        </w:rPr>
        <w:t xml:space="preserve">o what extent </w:t>
      </w:r>
      <w:r w:rsidR="00656986">
        <w:rPr>
          <w:rFonts w:ascii="Times New Roman" w:hAnsi="Times New Roman" w:cs="Times New Roman"/>
        </w:rPr>
        <w:t xml:space="preserve">do </w:t>
      </w:r>
      <w:r>
        <w:rPr>
          <w:rFonts w:ascii="Times New Roman" w:hAnsi="Times New Roman" w:cs="Times New Roman"/>
        </w:rPr>
        <w:t xml:space="preserve">the SOEs in question (i.e. those that have supplied the polysilicate) </w:t>
      </w:r>
      <w:r w:rsidR="0028578B">
        <w:rPr>
          <w:rFonts w:ascii="Times New Roman" w:hAnsi="Times New Roman" w:cs="Times New Roman"/>
        </w:rPr>
        <w:t xml:space="preserve">seek to </w:t>
      </w:r>
      <w:r>
        <w:rPr>
          <w:rFonts w:ascii="Times New Roman" w:hAnsi="Times New Roman" w:cs="Times New Roman"/>
        </w:rPr>
        <w:t xml:space="preserve">contribute to </w:t>
      </w:r>
      <w:r w:rsidR="0028578B">
        <w:rPr>
          <w:rFonts w:ascii="Times New Roman" w:hAnsi="Times New Roman" w:cs="Times New Roman"/>
        </w:rPr>
        <w:t>them</w:t>
      </w:r>
      <w:r w:rsidR="00656986">
        <w:rPr>
          <w:rFonts w:ascii="Times New Roman" w:hAnsi="Times New Roman" w:cs="Times New Roman"/>
        </w:rPr>
        <w:t xml:space="preserve">? It may seem clear that they do not, and are thus not to be a ‘public body’ for the purposes of the SCM Agreement. The onus would then be on the US to demonstrate entrustment or direction of a private body under Article </w:t>
      </w:r>
      <w:r w:rsidR="004B4068">
        <w:rPr>
          <w:rFonts w:ascii="Times New Roman" w:hAnsi="Times New Roman" w:cs="Times New Roman"/>
        </w:rPr>
        <w:t>1</w:t>
      </w:r>
      <w:r w:rsidR="00656986">
        <w:rPr>
          <w:rFonts w:ascii="Times New Roman" w:hAnsi="Times New Roman" w:cs="Times New Roman"/>
        </w:rPr>
        <w:t xml:space="preserve">.1(1)(a)(iv), which is exactly the situation </w:t>
      </w:r>
      <w:r w:rsidR="009E6362">
        <w:rPr>
          <w:rFonts w:ascii="Times New Roman" w:hAnsi="Times New Roman" w:cs="Times New Roman"/>
        </w:rPr>
        <w:t xml:space="preserve">that </w:t>
      </w:r>
      <w:r w:rsidR="00656986">
        <w:rPr>
          <w:rFonts w:ascii="Times New Roman" w:hAnsi="Times New Roman" w:cs="Times New Roman"/>
        </w:rPr>
        <w:t xml:space="preserve">provision was meant to address. </w:t>
      </w:r>
      <w:r w:rsidR="00494086">
        <w:rPr>
          <w:rFonts w:ascii="Times New Roman" w:hAnsi="Times New Roman" w:cs="Times New Roman"/>
        </w:rPr>
        <w:t>However, s</w:t>
      </w:r>
      <w:r w:rsidR="00656986">
        <w:rPr>
          <w:rFonts w:ascii="Times New Roman" w:hAnsi="Times New Roman" w:cs="Times New Roman"/>
        </w:rPr>
        <w:t xml:space="preserve">olar panels offer an interesting example as we may consider their role in encouraging the use </w:t>
      </w:r>
      <w:r w:rsidR="00656986">
        <w:rPr>
          <w:rFonts w:ascii="Times New Roman" w:hAnsi="Times New Roman" w:cs="Times New Roman"/>
        </w:rPr>
        <w:lastRenderedPageBreak/>
        <w:t>of renewable technologies (and potentially sustainable development) fitting more neatly with objectives of the State, which also find expression at the WTO.</w:t>
      </w:r>
      <w:r w:rsidR="003E39CF">
        <w:rPr>
          <w:rStyle w:val="FootnoteReference"/>
          <w:rFonts w:ascii="Times New Roman" w:hAnsi="Times New Roman" w:cs="Times New Roman"/>
        </w:rPr>
        <w:footnoteReference w:id="130"/>
      </w:r>
      <w:r w:rsidR="00D0594E">
        <w:rPr>
          <w:rFonts w:ascii="Times New Roman" w:hAnsi="Times New Roman" w:cs="Times New Roman"/>
        </w:rPr>
        <w:t xml:space="preserve"> Where such a determination were made, the</w:t>
      </w:r>
      <w:r w:rsidR="00722B5C">
        <w:rPr>
          <w:rFonts w:ascii="Times New Roman" w:hAnsi="Times New Roman" w:cs="Times New Roman"/>
        </w:rPr>
        <w:t xml:space="preserve"> </w:t>
      </w:r>
      <w:r w:rsidR="0028578B">
        <w:rPr>
          <w:rFonts w:ascii="Times New Roman" w:hAnsi="Times New Roman" w:cs="Times New Roman"/>
        </w:rPr>
        <w:t xml:space="preserve">third </w:t>
      </w:r>
      <w:r w:rsidR="00722B5C">
        <w:rPr>
          <w:rFonts w:ascii="Times New Roman" w:hAnsi="Times New Roman" w:cs="Times New Roman"/>
        </w:rPr>
        <w:t>limb of the test (</w:t>
      </w:r>
      <w:r w:rsidR="00CC6B5E">
        <w:rPr>
          <w:rFonts w:ascii="Times New Roman" w:hAnsi="Times New Roman" w:cs="Times New Roman"/>
        </w:rPr>
        <w:t xml:space="preserve">identifying the privileging of </w:t>
      </w:r>
      <w:r w:rsidR="00722B5C">
        <w:rPr>
          <w:rFonts w:ascii="Times New Roman" w:hAnsi="Times New Roman" w:cs="Times New Roman"/>
        </w:rPr>
        <w:t xml:space="preserve">private </w:t>
      </w:r>
      <w:r w:rsidR="00CC6B5E">
        <w:rPr>
          <w:rFonts w:ascii="Times New Roman" w:hAnsi="Times New Roman" w:cs="Times New Roman"/>
        </w:rPr>
        <w:t xml:space="preserve">over </w:t>
      </w:r>
      <w:r w:rsidR="00722B5C">
        <w:rPr>
          <w:rFonts w:ascii="Times New Roman" w:hAnsi="Times New Roman" w:cs="Times New Roman"/>
        </w:rPr>
        <w:t>common</w:t>
      </w:r>
      <w:r w:rsidR="00D0594E">
        <w:rPr>
          <w:rFonts w:ascii="Times New Roman" w:hAnsi="Times New Roman" w:cs="Times New Roman"/>
        </w:rPr>
        <w:t xml:space="preserve"> </w:t>
      </w:r>
      <w:r w:rsidR="00722B5C">
        <w:rPr>
          <w:rFonts w:ascii="Times New Roman" w:hAnsi="Times New Roman" w:cs="Times New Roman"/>
        </w:rPr>
        <w:t>interests</w:t>
      </w:r>
      <w:r w:rsidR="00CC6B5E">
        <w:rPr>
          <w:rFonts w:ascii="Times New Roman" w:hAnsi="Times New Roman" w:cs="Times New Roman"/>
        </w:rPr>
        <w:t xml:space="preserve"> or not</w:t>
      </w:r>
      <w:r w:rsidR="00722B5C">
        <w:rPr>
          <w:rFonts w:ascii="Times New Roman" w:hAnsi="Times New Roman" w:cs="Times New Roman"/>
        </w:rPr>
        <w:t xml:space="preserve">) would enable the </w:t>
      </w:r>
      <w:r w:rsidR="00D0594E">
        <w:rPr>
          <w:rFonts w:ascii="Times New Roman" w:hAnsi="Times New Roman" w:cs="Times New Roman"/>
        </w:rPr>
        <w:t xml:space="preserve">SCM Agreement </w:t>
      </w:r>
      <w:r w:rsidR="00722B5C">
        <w:rPr>
          <w:rFonts w:ascii="Times New Roman" w:hAnsi="Times New Roman" w:cs="Times New Roman"/>
        </w:rPr>
        <w:t xml:space="preserve">to </w:t>
      </w:r>
      <w:r w:rsidR="00D0594E">
        <w:rPr>
          <w:rFonts w:ascii="Times New Roman" w:hAnsi="Times New Roman" w:cs="Times New Roman"/>
        </w:rPr>
        <w:t xml:space="preserve">ensure that the provision of these goods </w:t>
      </w:r>
      <w:r w:rsidR="0028578B">
        <w:rPr>
          <w:rFonts w:ascii="Times New Roman" w:hAnsi="Times New Roman" w:cs="Times New Roman"/>
        </w:rPr>
        <w:t>was in the common interest and not merely a façade</w:t>
      </w:r>
      <w:r w:rsidR="00D0594E">
        <w:rPr>
          <w:rFonts w:ascii="Times New Roman" w:hAnsi="Times New Roman" w:cs="Times New Roman"/>
        </w:rPr>
        <w:t xml:space="preserve">. </w:t>
      </w:r>
    </w:p>
    <w:p w14:paraId="18438D79" w14:textId="77777777" w:rsidR="00655E4C" w:rsidRPr="000D152F" w:rsidRDefault="00655E4C" w:rsidP="00D25306">
      <w:pPr>
        <w:spacing w:line="480" w:lineRule="auto"/>
        <w:jc w:val="both"/>
        <w:rPr>
          <w:rFonts w:ascii="Times New Roman" w:hAnsi="Times New Roman" w:cs="Times New Roman"/>
        </w:rPr>
      </w:pPr>
    </w:p>
    <w:p w14:paraId="2D5746FA" w14:textId="77777777" w:rsidR="00AE51BE" w:rsidRDefault="00011F85" w:rsidP="00011F85">
      <w:pPr>
        <w:spacing w:line="480" w:lineRule="auto"/>
        <w:jc w:val="both"/>
        <w:rPr>
          <w:rFonts w:ascii="Times New Roman" w:hAnsi="Times New Roman" w:cs="Times New Roman"/>
        </w:rPr>
      </w:pPr>
      <w:r>
        <w:rPr>
          <w:rFonts w:ascii="Times New Roman" w:hAnsi="Times New Roman" w:cs="Times New Roman"/>
        </w:rPr>
        <w:t xml:space="preserve">Such an </w:t>
      </w:r>
      <w:r w:rsidR="0028578B">
        <w:rPr>
          <w:rFonts w:ascii="Times New Roman" w:hAnsi="Times New Roman" w:cs="Times New Roman"/>
        </w:rPr>
        <w:t xml:space="preserve">approach would limit the scope of what constitutes a ‘public body’ but it would not necessarily limit the application of the SCM Agreement. Note, that </w:t>
      </w:r>
      <w:r w:rsidR="0013035E">
        <w:rPr>
          <w:rFonts w:ascii="Times New Roman" w:hAnsi="Times New Roman" w:cs="Times New Roman"/>
        </w:rPr>
        <w:t xml:space="preserve">‘government’ </w:t>
      </w:r>
      <w:r w:rsidR="0028578B">
        <w:rPr>
          <w:rFonts w:ascii="Times New Roman" w:hAnsi="Times New Roman" w:cs="Times New Roman"/>
        </w:rPr>
        <w:t xml:space="preserve">(in the narrow sense) </w:t>
      </w:r>
      <w:r w:rsidR="0013035E">
        <w:rPr>
          <w:rFonts w:ascii="Times New Roman" w:hAnsi="Times New Roman" w:cs="Times New Roman"/>
        </w:rPr>
        <w:t xml:space="preserve">is still covered, as are </w:t>
      </w:r>
      <w:r w:rsidR="0028578B">
        <w:rPr>
          <w:rFonts w:ascii="Times New Roman" w:hAnsi="Times New Roman" w:cs="Times New Roman"/>
        </w:rPr>
        <w:t xml:space="preserve">private bodies </w:t>
      </w:r>
      <w:r w:rsidR="0013035E">
        <w:rPr>
          <w:rFonts w:ascii="Times New Roman" w:hAnsi="Times New Roman" w:cs="Times New Roman"/>
        </w:rPr>
        <w:t xml:space="preserve">that have been </w:t>
      </w:r>
      <w:r w:rsidR="0028578B">
        <w:rPr>
          <w:rFonts w:ascii="Times New Roman" w:hAnsi="Times New Roman" w:cs="Times New Roman"/>
        </w:rPr>
        <w:t>‘entrust[ed] or direct[ed]’.</w:t>
      </w:r>
      <w:r w:rsidR="0028578B">
        <w:rPr>
          <w:rStyle w:val="FootnoteReference"/>
          <w:rFonts w:ascii="Times New Roman" w:hAnsi="Times New Roman" w:cs="Times New Roman"/>
        </w:rPr>
        <w:footnoteReference w:id="131"/>
      </w:r>
      <w:r w:rsidR="0013035E">
        <w:rPr>
          <w:rFonts w:ascii="Times New Roman" w:hAnsi="Times New Roman" w:cs="Times New Roman"/>
        </w:rPr>
        <w:t xml:space="preserve"> </w:t>
      </w:r>
      <w:r w:rsidR="00AE51BE">
        <w:rPr>
          <w:rFonts w:ascii="Times New Roman" w:hAnsi="Times New Roman" w:cs="Times New Roman"/>
        </w:rPr>
        <w:t xml:space="preserve">What it would do is clarify the limited application of the SCM Agreement to bodies which are public yet non-governmental unless they acted in a way which we think of as truly </w:t>
      </w:r>
      <w:r w:rsidR="00AE51BE" w:rsidRPr="00E75322">
        <w:rPr>
          <w:rFonts w:ascii="Times New Roman" w:hAnsi="Times New Roman" w:cs="Times New Roman"/>
          <w:i/>
        </w:rPr>
        <w:t>public</w:t>
      </w:r>
      <w:r w:rsidR="00AE51BE">
        <w:rPr>
          <w:rFonts w:ascii="Times New Roman" w:hAnsi="Times New Roman" w:cs="Times New Roman"/>
          <w:i/>
        </w:rPr>
        <w:t xml:space="preserve"> </w:t>
      </w:r>
      <w:r w:rsidR="00AE51BE">
        <w:rPr>
          <w:rFonts w:ascii="Times New Roman" w:hAnsi="Times New Roman" w:cs="Times New Roman"/>
        </w:rPr>
        <w:t xml:space="preserve">– that is, for the common good in the common interest. </w:t>
      </w:r>
    </w:p>
    <w:p w14:paraId="31EC5FD5" w14:textId="77777777" w:rsidR="00AE51BE" w:rsidRDefault="00AE51BE" w:rsidP="00011F85">
      <w:pPr>
        <w:spacing w:line="480" w:lineRule="auto"/>
        <w:jc w:val="both"/>
        <w:rPr>
          <w:rFonts w:ascii="Times New Roman" w:hAnsi="Times New Roman" w:cs="Times New Roman"/>
        </w:rPr>
      </w:pPr>
    </w:p>
    <w:p w14:paraId="46D008ED" w14:textId="595E181D" w:rsidR="009824F7" w:rsidRDefault="0013035E" w:rsidP="00011F85">
      <w:pPr>
        <w:spacing w:line="480" w:lineRule="auto"/>
        <w:jc w:val="both"/>
        <w:rPr>
          <w:rFonts w:ascii="Times New Roman" w:hAnsi="Times New Roman" w:cs="Times New Roman"/>
        </w:rPr>
      </w:pPr>
      <w:r>
        <w:rPr>
          <w:rFonts w:ascii="Times New Roman" w:hAnsi="Times New Roman" w:cs="Times New Roman"/>
        </w:rPr>
        <w:t xml:space="preserve">Nor would this approach undermine the </w:t>
      </w:r>
      <w:r w:rsidR="00BF02FA" w:rsidRPr="000D152F">
        <w:rPr>
          <w:rFonts w:ascii="Times New Roman" w:hAnsi="Times New Roman" w:cs="Times New Roman"/>
        </w:rPr>
        <w:t>SCM Agreement</w:t>
      </w:r>
      <w:r w:rsidR="00011F85">
        <w:rPr>
          <w:rFonts w:ascii="Times New Roman" w:hAnsi="Times New Roman" w:cs="Times New Roman"/>
        </w:rPr>
        <w:t xml:space="preserve">. While the Agreement </w:t>
      </w:r>
      <w:r w:rsidR="00BC53E4">
        <w:rPr>
          <w:rFonts w:ascii="Times New Roman" w:hAnsi="Times New Roman" w:cs="Times New Roman"/>
        </w:rPr>
        <w:t xml:space="preserve">seeks to regulate </w:t>
      </w:r>
      <w:r w:rsidR="00BF02FA" w:rsidRPr="000D152F">
        <w:rPr>
          <w:rFonts w:ascii="Times New Roman" w:hAnsi="Times New Roman" w:cs="Times New Roman"/>
        </w:rPr>
        <w:t xml:space="preserve">those bodies with a public dimension </w:t>
      </w:r>
      <w:r w:rsidR="00AE51BE" w:rsidRPr="000D152F">
        <w:rPr>
          <w:rFonts w:ascii="Times New Roman" w:hAnsi="Times New Roman" w:cs="Times New Roman"/>
        </w:rPr>
        <w:t>to</w:t>
      </w:r>
      <w:r w:rsidR="00BF02FA" w:rsidRPr="000D152F">
        <w:rPr>
          <w:rFonts w:ascii="Times New Roman" w:hAnsi="Times New Roman" w:cs="Times New Roman"/>
        </w:rPr>
        <w:t xml:space="preserve"> limit their impact on trade</w:t>
      </w:r>
      <w:r w:rsidR="00011F85">
        <w:rPr>
          <w:rFonts w:ascii="Times New Roman" w:hAnsi="Times New Roman" w:cs="Times New Roman"/>
        </w:rPr>
        <w:t>,</w:t>
      </w:r>
      <w:r w:rsidR="00BC53E4" w:rsidRPr="000D152F">
        <w:rPr>
          <w:rStyle w:val="FootnoteReference"/>
          <w:rFonts w:ascii="Times New Roman" w:hAnsi="Times New Roman" w:cs="Times New Roman"/>
        </w:rPr>
        <w:footnoteReference w:id="132"/>
      </w:r>
      <w:r w:rsidR="00BF02FA" w:rsidRPr="000D152F">
        <w:rPr>
          <w:rFonts w:ascii="Times New Roman" w:hAnsi="Times New Roman" w:cs="Times New Roman"/>
        </w:rPr>
        <w:t xml:space="preserve"> </w:t>
      </w:r>
      <w:r w:rsidR="004C79AD" w:rsidRPr="000D152F">
        <w:rPr>
          <w:rFonts w:ascii="Times New Roman" w:hAnsi="Times New Roman" w:cs="Times New Roman"/>
        </w:rPr>
        <w:t>the idea of interference in the market place (which underpins the SCM Agreement) does not relate directly to governmental involvement in private economic action.</w:t>
      </w:r>
      <w:r w:rsidR="001B1B71">
        <w:rPr>
          <w:rStyle w:val="FootnoteReference"/>
          <w:rFonts w:ascii="Times New Roman" w:hAnsi="Times New Roman" w:cs="Times New Roman"/>
        </w:rPr>
        <w:footnoteReference w:id="133"/>
      </w:r>
      <w:r w:rsidR="004C79AD" w:rsidRPr="000D152F">
        <w:rPr>
          <w:rFonts w:ascii="Times New Roman" w:hAnsi="Times New Roman" w:cs="Times New Roman"/>
        </w:rPr>
        <w:t xml:space="preserve"> This is part of the issue but it approaches the dynamic between public and privat</w:t>
      </w:r>
      <w:r w:rsidR="00D30306" w:rsidRPr="000D152F">
        <w:rPr>
          <w:rFonts w:ascii="Times New Roman" w:hAnsi="Times New Roman" w:cs="Times New Roman"/>
        </w:rPr>
        <w:t>e in instrumental terms which</w:t>
      </w:r>
      <w:r w:rsidR="004C79AD" w:rsidRPr="000D152F">
        <w:rPr>
          <w:rFonts w:ascii="Times New Roman" w:hAnsi="Times New Roman" w:cs="Times New Roman"/>
        </w:rPr>
        <w:t xml:space="preserve">, in turn, </w:t>
      </w:r>
      <w:r w:rsidR="00D30306" w:rsidRPr="000D152F">
        <w:rPr>
          <w:rFonts w:ascii="Times New Roman" w:hAnsi="Times New Roman" w:cs="Times New Roman"/>
        </w:rPr>
        <w:t xml:space="preserve">is </w:t>
      </w:r>
      <w:r w:rsidR="004C79AD" w:rsidRPr="000D152F">
        <w:rPr>
          <w:rFonts w:ascii="Times New Roman" w:hAnsi="Times New Roman" w:cs="Times New Roman"/>
        </w:rPr>
        <w:t>premised on determined conceptions of the public and private which underpin the previously identified ‘functional’ and ‘source’ approaches.</w:t>
      </w:r>
      <w:r w:rsidR="00B66253">
        <w:rPr>
          <w:rStyle w:val="FootnoteReference"/>
          <w:rFonts w:ascii="Times New Roman" w:hAnsi="Times New Roman" w:cs="Times New Roman"/>
        </w:rPr>
        <w:footnoteReference w:id="134"/>
      </w:r>
      <w:r w:rsidR="004C79AD" w:rsidRPr="000D152F">
        <w:rPr>
          <w:rFonts w:ascii="Times New Roman" w:hAnsi="Times New Roman" w:cs="Times New Roman"/>
        </w:rPr>
        <w:t xml:space="preserve"> </w:t>
      </w:r>
      <w:r w:rsidR="00011F85">
        <w:rPr>
          <w:rFonts w:ascii="Times New Roman" w:hAnsi="Times New Roman" w:cs="Times New Roman"/>
        </w:rPr>
        <w:t xml:space="preserve">Instead, it is the aims of </w:t>
      </w:r>
      <w:r w:rsidR="004C79AD" w:rsidRPr="000D152F">
        <w:rPr>
          <w:rFonts w:ascii="Times New Roman" w:hAnsi="Times New Roman" w:cs="Times New Roman"/>
        </w:rPr>
        <w:lastRenderedPageBreak/>
        <w:t>government involvement in the market</w:t>
      </w:r>
      <w:r w:rsidR="00011F85">
        <w:rPr>
          <w:rFonts w:ascii="Times New Roman" w:hAnsi="Times New Roman" w:cs="Times New Roman"/>
        </w:rPr>
        <w:t xml:space="preserve"> that are key</w:t>
      </w:r>
      <w:r w:rsidR="004C79AD" w:rsidRPr="000D152F">
        <w:rPr>
          <w:rFonts w:ascii="Times New Roman" w:hAnsi="Times New Roman" w:cs="Times New Roman"/>
        </w:rPr>
        <w:t xml:space="preserve">: action taken for the common good in the common interest should not </w:t>
      </w:r>
      <w:r w:rsidR="00F748C4">
        <w:rPr>
          <w:rFonts w:ascii="Times New Roman" w:hAnsi="Times New Roman" w:cs="Times New Roman"/>
        </w:rPr>
        <w:t xml:space="preserve">seek to </w:t>
      </w:r>
      <w:r w:rsidR="00D06EDD" w:rsidRPr="000D152F">
        <w:rPr>
          <w:rFonts w:ascii="Times New Roman" w:hAnsi="Times New Roman" w:cs="Times New Roman"/>
        </w:rPr>
        <w:t>advantage</w:t>
      </w:r>
      <w:r w:rsidR="00D06EDD" w:rsidRPr="000D152F">
        <w:rPr>
          <w:rStyle w:val="FootnoteReference"/>
          <w:rFonts w:ascii="Times New Roman" w:hAnsi="Times New Roman" w:cs="Times New Roman"/>
        </w:rPr>
        <w:footnoteReference w:id="135"/>
      </w:r>
      <w:r w:rsidR="00D06EDD" w:rsidRPr="000D152F">
        <w:rPr>
          <w:rFonts w:ascii="Times New Roman" w:hAnsi="Times New Roman" w:cs="Times New Roman"/>
        </w:rPr>
        <w:t xml:space="preserve"> some actors over others.</w:t>
      </w:r>
      <w:r w:rsidR="00D06EDD" w:rsidRPr="000D152F">
        <w:rPr>
          <w:rStyle w:val="FootnoteReference"/>
          <w:rFonts w:ascii="Times New Roman" w:hAnsi="Times New Roman" w:cs="Times New Roman"/>
        </w:rPr>
        <w:footnoteReference w:id="136"/>
      </w:r>
      <w:r w:rsidR="00CF05F3">
        <w:rPr>
          <w:rFonts w:ascii="Times New Roman" w:hAnsi="Times New Roman" w:cs="Times New Roman"/>
        </w:rPr>
        <w:t xml:space="preserve"> </w:t>
      </w:r>
    </w:p>
    <w:p w14:paraId="50D4999A" w14:textId="77777777" w:rsidR="009824F7" w:rsidRDefault="009824F7" w:rsidP="00011F85">
      <w:pPr>
        <w:spacing w:line="480" w:lineRule="auto"/>
        <w:jc w:val="both"/>
        <w:rPr>
          <w:rFonts w:ascii="Times New Roman" w:hAnsi="Times New Roman" w:cs="Times New Roman"/>
        </w:rPr>
      </w:pPr>
    </w:p>
    <w:p w14:paraId="6535E31D" w14:textId="07A45EF5" w:rsidR="00655E4C" w:rsidRDefault="00CE278C" w:rsidP="00011F85">
      <w:pPr>
        <w:spacing w:line="480" w:lineRule="auto"/>
        <w:jc w:val="both"/>
        <w:rPr>
          <w:rFonts w:ascii="Times New Roman" w:hAnsi="Times New Roman" w:cs="Times New Roman"/>
        </w:rPr>
      </w:pPr>
      <w:r>
        <w:rPr>
          <w:rFonts w:ascii="Times New Roman" w:hAnsi="Times New Roman" w:cs="Times New Roman"/>
        </w:rPr>
        <w:t>Further, we recall that t</w:t>
      </w:r>
      <w:r w:rsidR="0017105F">
        <w:rPr>
          <w:rFonts w:ascii="Times New Roman" w:hAnsi="Times New Roman" w:cs="Times New Roman"/>
        </w:rPr>
        <w:t xml:space="preserve">he ‘public body’ </w:t>
      </w:r>
      <w:r>
        <w:rPr>
          <w:rFonts w:ascii="Times New Roman" w:hAnsi="Times New Roman" w:cs="Times New Roman"/>
        </w:rPr>
        <w:t xml:space="preserve">(or government or private body) </w:t>
      </w:r>
      <w:r w:rsidR="0017105F">
        <w:rPr>
          <w:rFonts w:ascii="Times New Roman" w:hAnsi="Times New Roman" w:cs="Times New Roman"/>
        </w:rPr>
        <w:t xml:space="preserve">criterion </w:t>
      </w:r>
      <w:r w:rsidR="00B73F30">
        <w:rPr>
          <w:rFonts w:ascii="Times New Roman" w:hAnsi="Times New Roman" w:cs="Times New Roman"/>
        </w:rPr>
        <w:t xml:space="preserve">alone </w:t>
      </w:r>
      <w:r w:rsidR="001A41DE">
        <w:rPr>
          <w:rFonts w:ascii="Times New Roman" w:hAnsi="Times New Roman" w:cs="Times New Roman"/>
        </w:rPr>
        <w:t>does not determine whether or not a subsidy exists; the requirement</w:t>
      </w:r>
      <w:r w:rsidR="00CA4E2F">
        <w:rPr>
          <w:rFonts w:ascii="Times New Roman" w:hAnsi="Times New Roman" w:cs="Times New Roman"/>
        </w:rPr>
        <w:t>s</w:t>
      </w:r>
      <w:r w:rsidR="001A41DE">
        <w:rPr>
          <w:rFonts w:ascii="Times New Roman" w:hAnsi="Times New Roman" w:cs="Times New Roman"/>
        </w:rPr>
        <w:t xml:space="preserve"> that a benefit be conferred and (in the case of actionable</w:t>
      </w:r>
      <w:r w:rsidR="00CA4E2F">
        <w:rPr>
          <w:rFonts w:ascii="Times New Roman" w:hAnsi="Times New Roman" w:cs="Times New Roman"/>
        </w:rPr>
        <w:t xml:space="preserve"> subsidies)</w:t>
      </w:r>
      <w:r w:rsidR="001A41DE">
        <w:rPr>
          <w:rFonts w:ascii="Times New Roman" w:hAnsi="Times New Roman" w:cs="Times New Roman"/>
        </w:rPr>
        <w:t xml:space="preserve"> the subsidy be sp</w:t>
      </w:r>
      <w:r w:rsidR="00CA4E2F">
        <w:rPr>
          <w:rFonts w:ascii="Times New Roman" w:hAnsi="Times New Roman" w:cs="Times New Roman"/>
        </w:rPr>
        <w:t>ecific to an industry or region ensure that the ‘public body’ analysis is only one part of the examination.</w:t>
      </w:r>
      <w:r w:rsidR="00D6073B">
        <w:rPr>
          <w:rStyle w:val="FootnoteReference"/>
          <w:rFonts w:ascii="Times New Roman" w:hAnsi="Times New Roman" w:cs="Times New Roman"/>
        </w:rPr>
        <w:footnoteReference w:id="137"/>
      </w:r>
      <w:r w:rsidR="00CA4E2F">
        <w:rPr>
          <w:rFonts w:ascii="Times New Roman" w:hAnsi="Times New Roman" w:cs="Times New Roman"/>
        </w:rPr>
        <w:t xml:space="preserve"> It does, however, set out the key defining features of what constitutes a public body (and thus a</w:t>
      </w:r>
      <w:r>
        <w:rPr>
          <w:rFonts w:ascii="Times New Roman" w:hAnsi="Times New Roman" w:cs="Times New Roman"/>
        </w:rPr>
        <w:t xml:space="preserve"> </w:t>
      </w:r>
      <w:r w:rsidR="00CA4E2F">
        <w:rPr>
          <w:rFonts w:ascii="Times New Roman" w:hAnsi="Times New Roman" w:cs="Times New Roman"/>
        </w:rPr>
        <w:t>n</w:t>
      </w:r>
      <w:r>
        <w:rPr>
          <w:rFonts w:ascii="Times New Roman" w:hAnsi="Times New Roman" w:cs="Times New Roman"/>
        </w:rPr>
        <w:t>on-</w:t>
      </w:r>
      <w:r w:rsidR="00133E98">
        <w:rPr>
          <w:rFonts w:ascii="Times New Roman" w:hAnsi="Times New Roman" w:cs="Times New Roman"/>
        </w:rPr>
        <w:t>governmental</w:t>
      </w:r>
      <w:r w:rsidR="00CA4E2F">
        <w:rPr>
          <w:rFonts w:ascii="Times New Roman" w:hAnsi="Times New Roman" w:cs="Times New Roman"/>
        </w:rPr>
        <w:t xml:space="preserve"> entity that may be subject to </w:t>
      </w:r>
      <w:r>
        <w:rPr>
          <w:rFonts w:ascii="Times New Roman" w:hAnsi="Times New Roman" w:cs="Times New Roman"/>
        </w:rPr>
        <w:t xml:space="preserve">WTO </w:t>
      </w:r>
      <w:r w:rsidR="00CA4E2F">
        <w:rPr>
          <w:rFonts w:ascii="Times New Roman" w:hAnsi="Times New Roman" w:cs="Times New Roman"/>
        </w:rPr>
        <w:t>regulation). The public nature of the entity is determined not by the arbitrary classification of the functions it carries out, nor by whether it is owned by government, but by its objectives</w:t>
      </w:r>
      <w:r w:rsidR="00133E98">
        <w:rPr>
          <w:rFonts w:ascii="Times New Roman" w:hAnsi="Times New Roman" w:cs="Times New Roman"/>
        </w:rPr>
        <w:t xml:space="preserve"> and the extent to which they are shared by the wider </w:t>
      </w:r>
      <w:r w:rsidR="00133E98" w:rsidRPr="00E75322">
        <w:rPr>
          <w:rFonts w:ascii="Times New Roman" w:hAnsi="Times New Roman" w:cs="Times New Roman"/>
          <w:i/>
        </w:rPr>
        <w:t>polis</w:t>
      </w:r>
      <w:r w:rsidR="00CA4E2F">
        <w:rPr>
          <w:rFonts w:ascii="Times New Roman" w:hAnsi="Times New Roman" w:cs="Times New Roman"/>
        </w:rPr>
        <w:t>.</w:t>
      </w:r>
      <w:r w:rsidR="00CA4E2F">
        <w:rPr>
          <w:rStyle w:val="FootnoteReference"/>
          <w:rFonts w:ascii="Times New Roman" w:hAnsi="Times New Roman" w:cs="Times New Roman"/>
        </w:rPr>
        <w:footnoteReference w:id="138"/>
      </w:r>
      <w:r w:rsidR="00CA4E2F">
        <w:rPr>
          <w:rFonts w:ascii="Times New Roman" w:hAnsi="Times New Roman" w:cs="Times New Roman"/>
        </w:rPr>
        <w:t xml:space="preserve"> </w:t>
      </w:r>
    </w:p>
    <w:p w14:paraId="2703C3F1" w14:textId="77777777" w:rsidR="00CA4E2F" w:rsidRDefault="00CA4E2F" w:rsidP="00D25306">
      <w:pPr>
        <w:spacing w:line="480" w:lineRule="auto"/>
        <w:jc w:val="both"/>
        <w:rPr>
          <w:rFonts w:ascii="Times New Roman" w:hAnsi="Times New Roman" w:cs="Times New Roman"/>
        </w:rPr>
      </w:pPr>
    </w:p>
    <w:p w14:paraId="6E5C7E39" w14:textId="5229F17E" w:rsidR="008705C4" w:rsidRPr="000D152F" w:rsidRDefault="008705C4" w:rsidP="00D25306">
      <w:pPr>
        <w:spacing w:line="480" w:lineRule="auto"/>
        <w:jc w:val="both"/>
        <w:rPr>
          <w:rFonts w:ascii="Times New Roman" w:hAnsi="Times New Roman" w:cs="Times New Roman"/>
        </w:rPr>
      </w:pPr>
      <w:r>
        <w:rPr>
          <w:rFonts w:ascii="Times New Roman" w:hAnsi="Times New Roman" w:cs="Times New Roman"/>
        </w:rPr>
        <w:t xml:space="preserve">Such a suggestion is far from problematic, with the most notable question left begging: who decides what the common good in the common interest is? A legal perspective may well instinctively seek a legal source: judges (or panellists or Appellate Body members) as the arbiters of such questions. If they are to do so, do we not then run the risk of a prioritised interpretation? One skewed, perhaps unconsciously, towards the interests of an elite that </w:t>
      </w:r>
      <w:r w:rsidR="00DE3F1D">
        <w:rPr>
          <w:rFonts w:ascii="Times New Roman" w:hAnsi="Times New Roman" w:cs="Times New Roman"/>
        </w:rPr>
        <w:t>claims to speak for the ‘common</w:t>
      </w:r>
      <w:r>
        <w:rPr>
          <w:rFonts w:ascii="Times New Roman" w:hAnsi="Times New Roman" w:cs="Times New Roman"/>
        </w:rPr>
        <w:t xml:space="preserve">’ </w:t>
      </w:r>
      <w:r w:rsidR="00DE3F1D">
        <w:rPr>
          <w:rFonts w:ascii="Times New Roman" w:hAnsi="Times New Roman" w:cs="Times New Roman"/>
        </w:rPr>
        <w:t xml:space="preserve">or at least, to a world view that is built on certain political </w:t>
      </w:r>
      <w:r w:rsidR="00DE3F1D">
        <w:rPr>
          <w:rFonts w:ascii="Times New Roman" w:hAnsi="Times New Roman" w:cs="Times New Roman"/>
        </w:rPr>
        <w:lastRenderedPageBreak/>
        <w:t>presumptions.</w:t>
      </w:r>
      <w:r w:rsidR="00DE3F1D">
        <w:rPr>
          <w:rStyle w:val="FootnoteReference"/>
          <w:rFonts w:ascii="Times New Roman" w:hAnsi="Times New Roman" w:cs="Times New Roman"/>
        </w:rPr>
        <w:footnoteReference w:id="139"/>
      </w:r>
      <w:r w:rsidR="00DE3F1D">
        <w:rPr>
          <w:rFonts w:ascii="Times New Roman" w:hAnsi="Times New Roman" w:cs="Times New Roman"/>
        </w:rPr>
        <w:t xml:space="preserve"> </w:t>
      </w:r>
      <w:r>
        <w:rPr>
          <w:rFonts w:ascii="Times New Roman" w:hAnsi="Times New Roman" w:cs="Times New Roman"/>
        </w:rPr>
        <w:t xml:space="preserve">This need not be the case, however. There are other options, expressions of the </w:t>
      </w:r>
      <w:r>
        <w:rPr>
          <w:rFonts w:ascii="Times New Roman" w:hAnsi="Times New Roman" w:cs="Times New Roman"/>
          <w:i/>
        </w:rPr>
        <w:t>polis</w:t>
      </w:r>
      <w:r>
        <w:rPr>
          <w:rFonts w:ascii="Times New Roman" w:hAnsi="Times New Roman" w:cs="Times New Roman"/>
        </w:rPr>
        <w:t xml:space="preserve"> communicated through common institutional forums (the Ministerial Conference or General Assembly), though we may well ask how we are to ensure that the ‘common’ is not supplanted by the majority (as cautioned earlier). </w:t>
      </w:r>
      <w:r w:rsidR="006339D5">
        <w:rPr>
          <w:rFonts w:ascii="Times New Roman" w:hAnsi="Times New Roman" w:cs="Times New Roman"/>
        </w:rPr>
        <w:t xml:space="preserve">Yet in spite of these challenges, there is hope that solutions may be well be found. </w:t>
      </w:r>
    </w:p>
    <w:p w14:paraId="7D9AC459" w14:textId="77777777" w:rsidR="00FF118D" w:rsidRPr="000D152F" w:rsidRDefault="00FF118D" w:rsidP="00D25306">
      <w:pPr>
        <w:spacing w:line="480" w:lineRule="auto"/>
        <w:jc w:val="both"/>
        <w:rPr>
          <w:rFonts w:ascii="Times New Roman" w:hAnsi="Times New Roman" w:cs="Times New Roman"/>
        </w:rPr>
      </w:pPr>
    </w:p>
    <w:p w14:paraId="0C898892" w14:textId="1C7C922B" w:rsidR="00024E84" w:rsidRPr="000D152F" w:rsidRDefault="00024E84" w:rsidP="00D25306">
      <w:pPr>
        <w:spacing w:line="480" w:lineRule="auto"/>
        <w:jc w:val="both"/>
        <w:rPr>
          <w:rFonts w:ascii="Times New Roman" w:hAnsi="Times New Roman" w:cs="Times New Roman"/>
          <w:b/>
          <w:i/>
        </w:rPr>
      </w:pPr>
      <w:r w:rsidRPr="000D152F">
        <w:rPr>
          <w:rFonts w:ascii="Times New Roman" w:hAnsi="Times New Roman" w:cs="Times New Roman"/>
          <w:b/>
          <w:i/>
        </w:rPr>
        <w:t>Conclusion</w:t>
      </w:r>
    </w:p>
    <w:p w14:paraId="1348F1E1" w14:textId="77777777" w:rsidR="00024E84" w:rsidRPr="000D152F" w:rsidRDefault="00024E84" w:rsidP="00D25306">
      <w:pPr>
        <w:spacing w:line="480" w:lineRule="auto"/>
        <w:jc w:val="both"/>
        <w:rPr>
          <w:rFonts w:ascii="Times New Roman" w:hAnsi="Times New Roman" w:cs="Times New Roman"/>
        </w:rPr>
      </w:pPr>
    </w:p>
    <w:p w14:paraId="56705ADD" w14:textId="7A5FFF5B" w:rsidR="00024E84" w:rsidRPr="000D152F" w:rsidRDefault="00F156B8" w:rsidP="00D25306">
      <w:pPr>
        <w:spacing w:line="480" w:lineRule="auto"/>
        <w:jc w:val="both"/>
        <w:rPr>
          <w:rFonts w:ascii="Times New Roman" w:hAnsi="Times New Roman" w:cs="Times New Roman"/>
        </w:rPr>
      </w:pPr>
      <w:r>
        <w:rPr>
          <w:rFonts w:ascii="Times New Roman" w:hAnsi="Times New Roman" w:cs="Times New Roman"/>
        </w:rPr>
        <w:t>I</w:t>
      </w:r>
      <w:r w:rsidR="00CC7C47" w:rsidRPr="000D152F">
        <w:rPr>
          <w:rFonts w:ascii="Times New Roman" w:hAnsi="Times New Roman" w:cs="Times New Roman"/>
        </w:rPr>
        <w:t xml:space="preserve">nternational law and WTO law in particular has paid insufficient attention to the underlying content of some of its key terms. Attention has been drawn to one such term, ‘public body’ though in doing so other conceptually related terms such as ‘governmental authority’ have also been identified. The approaches taken in interpreting these terms have produced superficially acceptable results, built on conceptually unstable grounds. It has been </w:t>
      </w:r>
      <w:r w:rsidR="000A2BD7" w:rsidRPr="000D152F">
        <w:rPr>
          <w:rFonts w:ascii="Times New Roman" w:hAnsi="Times New Roman" w:cs="Times New Roman"/>
        </w:rPr>
        <w:t xml:space="preserve">argued here that </w:t>
      </w:r>
      <w:r w:rsidR="00CC7C47" w:rsidRPr="000D152F">
        <w:rPr>
          <w:rFonts w:ascii="Times New Roman" w:hAnsi="Times New Roman" w:cs="Times New Roman"/>
        </w:rPr>
        <w:t>genuine engagement with the core of what we mean by ‘public’ and ‘governmental’ in international</w:t>
      </w:r>
      <w:r w:rsidR="00914C0B" w:rsidRPr="000D152F">
        <w:rPr>
          <w:rFonts w:ascii="Times New Roman" w:hAnsi="Times New Roman" w:cs="Times New Roman"/>
        </w:rPr>
        <w:t xml:space="preserve"> law</w:t>
      </w:r>
      <w:r w:rsidR="000A2BD7" w:rsidRPr="000D152F">
        <w:rPr>
          <w:rFonts w:ascii="Times New Roman" w:hAnsi="Times New Roman" w:cs="Times New Roman"/>
        </w:rPr>
        <w:t xml:space="preserve"> must take place</w:t>
      </w:r>
      <w:r w:rsidR="00914C0B" w:rsidRPr="000D152F">
        <w:rPr>
          <w:rFonts w:ascii="Times New Roman" w:hAnsi="Times New Roman" w:cs="Times New Roman"/>
        </w:rPr>
        <w:t xml:space="preserve">. The increasing scope of international governance and changing nature of State </w:t>
      </w:r>
      <w:r w:rsidR="00BD37E3" w:rsidRPr="000D152F">
        <w:rPr>
          <w:rFonts w:ascii="Times New Roman" w:hAnsi="Times New Roman" w:cs="Times New Roman"/>
        </w:rPr>
        <w:t>structures</w:t>
      </w:r>
      <w:r w:rsidR="00914C0B" w:rsidRPr="000D152F">
        <w:rPr>
          <w:rFonts w:ascii="Times New Roman" w:hAnsi="Times New Roman" w:cs="Times New Roman"/>
        </w:rPr>
        <w:t xml:space="preserve"> is set to challenge our ossified understanding of the traditional State with ‘typical’ governmental functions or relationship to the market. </w:t>
      </w:r>
    </w:p>
    <w:p w14:paraId="6DF9D1D2" w14:textId="77777777" w:rsidR="00CC7C47" w:rsidRPr="000D152F" w:rsidRDefault="00CC7C47" w:rsidP="00D25306">
      <w:pPr>
        <w:spacing w:line="480" w:lineRule="auto"/>
        <w:jc w:val="both"/>
        <w:rPr>
          <w:rFonts w:ascii="Times New Roman" w:hAnsi="Times New Roman" w:cs="Times New Roman"/>
        </w:rPr>
      </w:pPr>
    </w:p>
    <w:p w14:paraId="2A7088FC" w14:textId="2E16A5A1" w:rsidR="00F156B8" w:rsidRDefault="00914C0B" w:rsidP="00D25306">
      <w:pPr>
        <w:spacing w:line="480" w:lineRule="auto"/>
        <w:jc w:val="both"/>
        <w:rPr>
          <w:rFonts w:ascii="Times New Roman" w:hAnsi="Times New Roman" w:cs="Times New Roman"/>
        </w:rPr>
      </w:pPr>
      <w:r w:rsidRPr="000D152F">
        <w:rPr>
          <w:rFonts w:ascii="Times New Roman" w:hAnsi="Times New Roman" w:cs="Times New Roman"/>
        </w:rPr>
        <w:t xml:space="preserve">The </w:t>
      </w:r>
      <w:r w:rsidR="00F156B8">
        <w:rPr>
          <w:rFonts w:ascii="Times New Roman" w:hAnsi="Times New Roman" w:cs="Times New Roman"/>
        </w:rPr>
        <w:t xml:space="preserve">alternative proposed seeks to remedy both the doctrinal and philosophical problems identified with the panels’ Appellate Body’s interpretations thus far. By focussing on the </w:t>
      </w:r>
      <w:r w:rsidR="000C18FA">
        <w:rPr>
          <w:rFonts w:ascii="Times New Roman" w:hAnsi="Times New Roman" w:cs="Times New Roman"/>
        </w:rPr>
        <w:t>aims of the body in question, and whether they correspond to those of the State and WTO, we are free to both give the structure of Article 1 SCM Agreement meaning, as well as clarify the purpose of the world trade system and its objectives. This final point clearly has normative aspirations.</w:t>
      </w:r>
    </w:p>
    <w:p w14:paraId="08157D40" w14:textId="35DCD3A7" w:rsidR="008705C4" w:rsidRPr="000D152F" w:rsidRDefault="00914C0B" w:rsidP="00D25306">
      <w:pPr>
        <w:spacing w:line="480" w:lineRule="auto"/>
        <w:jc w:val="both"/>
        <w:rPr>
          <w:rFonts w:ascii="Times New Roman" w:hAnsi="Times New Roman" w:cs="Times New Roman"/>
        </w:rPr>
      </w:pPr>
      <w:r w:rsidRPr="000D152F">
        <w:rPr>
          <w:rFonts w:ascii="Times New Roman" w:hAnsi="Times New Roman" w:cs="Times New Roman"/>
        </w:rPr>
        <w:lastRenderedPageBreak/>
        <w:t xml:space="preserve"> </w:t>
      </w:r>
    </w:p>
    <w:p w14:paraId="293561CB" w14:textId="4F60743E" w:rsidR="00F93015" w:rsidRPr="000D152F" w:rsidRDefault="005A2F7B" w:rsidP="00D25306">
      <w:pPr>
        <w:spacing w:line="480" w:lineRule="auto"/>
        <w:jc w:val="both"/>
        <w:rPr>
          <w:rFonts w:ascii="Times New Roman" w:hAnsi="Times New Roman" w:cs="Times New Roman"/>
        </w:rPr>
      </w:pPr>
      <w:r w:rsidRPr="000D152F">
        <w:rPr>
          <w:rFonts w:ascii="Times New Roman" w:hAnsi="Times New Roman" w:cs="Times New Roman"/>
        </w:rPr>
        <w:t xml:space="preserve">Terms which have conceptually complex roots cannot be understood simply by </w:t>
      </w:r>
      <w:r w:rsidR="00B649EA" w:rsidRPr="000D152F">
        <w:rPr>
          <w:rFonts w:ascii="Times New Roman" w:hAnsi="Times New Roman" w:cs="Times New Roman"/>
        </w:rPr>
        <w:t>applying the rules of treaty interpr</w:t>
      </w:r>
      <w:r w:rsidR="00D42F62" w:rsidRPr="000D152F">
        <w:rPr>
          <w:rFonts w:ascii="Times New Roman" w:hAnsi="Times New Roman" w:cs="Times New Roman"/>
        </w:rPr>
        <w:t>etation as currently understood,</w:t>
      </w:r>
      <w:r w:rsidR="00B649EA" w:rsidRPr="000D152F">
        <w:rPr>
          <w:rFonts w:ascii="Times New Roman" w:hAnsi="Times New Roman" w:cs="Times New Roman"/>
        </w:rPr>
        <w:t xml:space="preserve"> nor is there a requirement to</w:t>
      </w:r>
      <w:r w:rsidR="00912339" w:rsidRPr="000D152F">
        <w:rPr>
          <w:rFonts w:ascii="Times New Roman" w:hAnsi="Times New Roman" w:cs="Times New Roman"/>
        </w:rPr>
        <w:t xml:space="preserve"> do so</w:t>
      </w:r>
      <w:r w:rsidR="00B649EA" w:rsidRPr="000D152F">
        <w:rPr>
          <w:rFonts w:ascii="Times New Roman" w:hAnsi="Times New Roman" w:cs="Times New Roman"/>
        </w:rPr>
        <w:t xml:space="preserve">. </w:t>
      </w:r>
      <w:r w:rsidR="00790800" w:rsidRPr="000D152F">
        <w:rPr>
          <w:rFonts w:ascii="Times New Roman" w:hAnsi="Times New Roman" w:cs="Times New Roman"/>
        </w:rPr>
        <w:t xml:space="preserve">There </w:t>
      </w:r>
      <w:r w:rsidR="00B649EA" w:rsidRPr="000D152F">
        <w:rPr>
          <w:rFonts w:ascii="Times New Roman" w:hAnsi="Times New Roman" w:cs="Times New Roman"/>
        </w:rPr>
        <w:t xml:space="preserve">is a prior analysis, </w:t>
      </w:r>
      <w:r w:rsidR="00790800" w:rsidRPr="000D152F">
        <w:rPr>
          <w:rFonts w:ascii="Times New Roman" w:hAnsi="Times New Roman" w:cs="Times New Roman"/>
        </w:rPr>
        <w:t xml:space="preserve">the determination </w:t>
      </w:r>
      <w:r w:rsidR="00B649EA" w:rsidRPr="000D152F">
        <w:rPr>
          <w:rFonts w:ascii="Times New Roman" w:hAnsi="Times New Roman" w:cs="Times New Roman"/>
        </w:rPr>
        <w:t xml:space="preserve">of a term </w:t>
      </w:r>
      <w:r w:rsidR="00B649EA" w:rsidRPr="000D152F">
        <w:rPr>
          <w:rFonts w:ascii="Times New Roman" w:hAnsi="Times New Roman" w:cs="Times New Roman"/>
          <w:i/>
        </w:rPr>
        <w:t>before</w:t>
      </w:r>
      <w:r w:rsidR="00B649EA" w:rsidRPr="000D152F">
        <w:rPr>
          <w:rFonts w:ascii="Times New Roman" w:hAnsi="Times New Roman" w:cs="Times New Roman"/>
        </w:rPr>
        <w:t xml:space="preserve"> it is necessarily subject to </w:t>
      </w:r>
      <w:r w:rsidR="00790800" w:rsidRPr="000D152F">
        <w:rPr>
          <w:rFonts w:ascii="Times New Roman" w:hAnsi="Times New Roman" w:cs="Times New Roman"/>
        </w:rPr>
        <w:t>treaty interpretation as understood in international law</w:t>
      </w:r>
      <w:r w:rsidR="00B649EA" w:rsidRPr="000D152F">
        <w:rPr>
          <w:rFonts w:ascii="Times New Roman" w:hAnsi="Times New Roman" w:cs="Times New Roman"/>
        </w:rPr>
        <w:t xml:space="preserve">. Indeed, the suggestion here is that if this type of exercise were concluded more thoroughly and more often, such debates would be less </w:t>
      </w:r>
      <w:r w:rsidR="006F5739" w:rsidRPr="000D152F">
        <w:rPr>
          <w:rFonts w:ascii="Times New Roman" w:hAnsi="Times New Roman" w:cs="Times New Roman"/>
        </w:rPr>
        <w:t>commonplace</w:t>
      </w:r>
      <w:r w:rsidR="00B649EA" w:rsidRPr="000D152F">
        <w:rPr>
          <w:rFonts w:ascii="Times New Roman" w:hAnsi="Times New Roman" w:cs="Times New Roman"/>
        </w:rPr>
        <w:t xml:space="preserve"> at the international level and</w:t>
      </w:r>
      <w:r w:rsidR="002A5D82" w:rsidRPr="000D152F">
        <w:rPr>
          <w:rFonts w:ascii="Times New Roman" w:hAnsi="Times New Roman" w:cs="Times New Roman"/>
        </w:rPr>
        <w:t xml:space="preserve"> </w:t>
      </w:r>
      <w:r w:rsidR="00023C17" w:rsidRPr="000D152F">
        <w:rPr>
          <w:rFonts w:ascii="Times New Roman" w:hAnsi="Times New Roman" w:cs="Times New Roman"/>
        </w:rPr>
        <w:t xml:space="preserve">possibly </w:t>
      </w:r>
      <w:r w:rsidR="00B649EA" w:rsidRPr="000D152F">
        <w:rPr>
          <w:rFonts w:ascii="Times New Roman" w:hAnsi="Times New Roman" w:cs="Times New Roman"/>
        </w:rPr>
        <w:t>present fewer challenges.</w:t>
      </w:r>
    </w:p>
    <w:sectPr w:rsidR="00F93015" w:rsidRPr="000D152F" w:rsidSect="00E3340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B7043" w14:textId="77777777" w:rsidR="008E5181" w:rsidRDefault="008E5181" w:rsidP="00CC7859">
      <w:r>
        <w:separator/>
      </w:r>
    </w:p>
  </w:endnote>
  <w:endnote w:type="continuationSeparator" w:id="0">
    <w:p w14:paraId="2921F08E" w14:textId="77777777" w:rsidR="008E5181" w:rsidRDefault="008E5181" w:rsidP="00CC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oundrySterling-Book">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79EB4" w14:textId="77777777" w:rsidR="009824F7" w:rsidRDefault="009824F7" w:rsidP="008327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700510" w14:textId="77777777" w:rsidR="009824F7" w:rsidRDefault="009824F7" w:rsidP="008327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03483" w14:textId="77777777" w:rsidR="009824F7" w:rsidRPr="00A30DFD" w:rsidRDefault="009824F7" w:rsidP="008327C7">
    <w:pPr>
      <w:pStyle w:val="Footer"/>
      <w:framePr w:wrap="around" w:vAnchor="text" w:hAnchor="margin" w:xAlign="right" w:y="1"/>
      <w:rPr>
        <w:rStyle w:val="PageNumber"/>
        <w:rFonts w:ascii="Times New Roman" w:hAnsi="Times New Roman" w:cs="Times New Roman"/>
        <w:sz w:val="20"/>
        <w:szCs w:val="20"/>
      </w:rPr>
    </w:pPr>
    <w:r w:rsidRPr="00A30DFD">
      <w:rPr>
        <w:rStyle w:val="PageNumber"/>
        <w:rFonts w:ascii="Times New Roman" w:hAnsi="Times New Roman" w:cs="Times New Roman"/>
        <w:sz w:val="20"/>
        <w:szCs w:val="20"/>
      </w:rPr>
      <w:fldChar w:fldCharType="begin"/>
    </w:r>
    <w:r w:rsidRPr="00A30DFD">
      <w:rPr>
        <w:rStyle w:val="PageNumber"/>
        <w:rFonts w:ascii="Times New Roman" w:hAnsi="Times New Roman" w:cs="Times New Roman"/>
        <w:sz w:val="20"/>
        <w:szCs w:val="20"/>
      </w:rPr>
      <w:instrText xml:space="preserve">PAGE  </w:instrText>
    </w:r>
    <w:r w:rsidRPr="00A30DFD">
      <w:rPr>
        <w:rStyle w:val="PageNumber"/>
        <w:rFonts w:ascii="Times New Roman" w:hAnsi="Times New Roman" w:cs="Times New Roman"/>
        <w:sz w:val="20"/>
        <w:szCs w:val="20"/>
      </w:rPr>
      <w:fldChar w:fldCharType="separate"/>
    </w:r>
    <w:r w:rsidR="000524D8">
      <w:rPr>
        <w:rStyle w:val="PageNumber"/>
        <w:rFonts w:ascii="Times New Roman" w:hAnsi="Times New Roman" w:cs="Times New Roman"/>
        <w:noProof/>
        <w:sz w:val="20"/>
        <w:szCs w:val="20"/>
      </w:rPr>
      <w:t>1</w:t>
    </w:r>
    <w:r w:rsidRPr="00A30DFD">
      <w:rPr>
        <w:rStyle w:val="PageNumber"/>
        <w:rFonts w:ascii="Times New Roman" w:hAnsi="Times New Roman" w:cs="Times New Roman"/>
        <w:sz w:val="20"/>
        <w:szCs w:val="20"/>
      </w:rPr>
      <w:fldChar w:fldCharType="end"/>
    </w:r>
  </w:p>
  <w:p w14:paraId="6C3B567E" w14:textId="77777777" w:rsidR="009824F7" w:rsidRPr="00A30DFD" w:rsidRDefault="009824F7" w:rsidP="00A30DFD">
    <w:pPr>
      <w:pStyle w:val="Footer"/>
      <w:ind w:right="360"/>
      <w:jc w:val="right"/>
      <w:rPr>
        <w:rFonts w:ascii="Times New Roman" w:hAnsi="Times New Roman" w:cs="Times New Roman"/>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8C0EA" w14:textId="77777777" w:rsidR="009824F7" w:rsidRDefault="009824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FABCC" w14:textId="77777777" w:rsidR="008E5181" w:rsidRDefault="008E5181" w:rsidP="00CC7859">
      <w:r>
        <w:separator/>
      </w:r>
    </w:p>
  </w:footnote>
  <w:footnote w:type="continuationSeparator" w:id="0">
    <w:p w14:paraId="2B6FD606" w14:textId="77777777" w:rsidR="008E5181" w:rsidRDefault="008E5181" w:rsidP="00CC7859">
      <w:r>
        <w:continuationSeparator/>
      </w:r>
    </w:p>
  </w:footnote>
  <w:footnote w:id="1">
    <w:p w14:paraId="0B45BD8A" w14:textId="1F7A3F91"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In particular: </w:t>
      </w:r>
      <w:r w:rsidRPr="000524D8">
        <w:rPr>
          <w:rFonts w:ascii="Times New Roman" w:hAnsi="Times New Roman" w:cs="Times New Roman"/>
          <w:i/>
          <w:sz w:val="20"/>
          <w:szCs w:val="20"/>
        </w:rPr>
        <w:t>United States – Definitive Anti-Dumping and Countervailing Duties on Certain Products from China</w:t>
      </w:r>
      <w:r w:rsidRPr="000524D8">
        <w:rPr>
          <w:rFonts w:ascii="Times New Roman" w:hAnsi="Times New Roman" w:cs="Times New Roman"/>
          <w:sz w:val="20"/>
          <w:szCs w:val="20"/>
        </w:rPr>
        <w:t xml:space="preserve">, Panel Report (22 October 2010) WT/DS379/R; </w:t>
      </w:r>
      <w:r w:rsidRPr="000524D8">
        <w:rPr>
          <w:rFonts w:ascii="Times New Roman" w:hAnsi="Times New Roman" w:cs="Times New Roman"/>
          <w:bCs/>
          <w:i/>
          <w:sz w:val="20"/>
          <w:szCs w:val="20"/>
          <w:lang w:val="en-US"/>
        </w:rPr>
        <w:t>United States — Countervailing Measures on Certain Hot-Rolled Carbon Steel Flat Products from India</w:t>
      </w:r>
      <w:r w:rsidRPr="000524D8">
        <w:rPr>
          <w:rFonts w:ascii="Times New Roman" w:hAnsi="Times New Roman" w:cs="Times New Roman"/>
          <w:bCs/>
          <w:sz w:val="20"/>
          <w:szCs w:val="20"/>
          <w:lang w:val="en-US"/>
        </w:rPr>
        <w:t>, Panel Report (14 July 2014) WT/DS436/R.</w:t>
      </w:r>
    </w:p>
  </w:footnote>
  <w:footnote w:id="2">
    <w:p w14:paraId="414DB6C9" w14:textId="3D691C17" w:rsidR="009824F7" w:rsidRPr="000524D8" w:rsidRDefault="009824F7" w:rsidP="008327C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In particular: </w:t>
      </w:r>
      <w:r w:rsidRPr="000524D8">
        <w:rPr>
          <w:rFonts w:ascii="Times New Roman" w:hAnsi="Times New Roman" w:cs="Times New Roman"/>
          <w:i/>
          <w:sz w:val="20"/>
          <w:szCs w:val="20"/>
        </w:rPr>
        <w:t>United States – Definitive Anti-Dumping and Countervailing Duties on Certain Products from China</w:t>
      </w:r>
      <w:r w:rsidRPr="000524D8">
        <w:rPr>
          <w:rFonts w:ascii="Times New Roman" w:hAnsi="Times New Roman" w:cs="Times New Roman"/>
          <w:sz w:val="20"/>
          <w:szCs w:val="20"/>
        </w:rPr>
        <w:t>, Report of the Appellate Body (11 March 2011) WT/DS379/AB/R;</w:t>
      </w:r>
      <w:r w:rsidRPr="000524D8">
        <w:rPr>
          <w:rFonts w:ascii="Times New Roman" w:hAnsi="Times New Roman" w:cs="Times New Roman"/>
          <w:bCs/>
          <w:i/>
          <w:sz w:val="20"/>
          <w:szCs w:val="20"/>
          <w:lang w:val="en-US"/>
        </w:rPr>
        <w:t xml:space="preserve"> United States — Countervailing Measures on Certain Hot-Rolled Carbon Steel Flat Products from India</w:t>
      </w:r>
      <w:r w:rsidRPr="000524D8">
        <w:rPr>
          <w:rFonts w:ascii="Times New Roman" w:hAnsi="Times New Roman" w:cs="Times New Roman"/>
          <w:bCs/>
          <w:sz w:val="20"/>
          <w:szCs w:val="20"/>
          <w:lang w:val="en-US"/>
        </w:rPr>
        <w:t>, Report of the Appellate Body (8 December 2014) WT/DS436/AB/R.</w:t>
      </w:r>
    </w:p>
  </w:footnote>
  <w:footnote w:id="3">
    <w:p w14:paraId="49551996" w14:textId="4258418B"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How far this may change is open to discussion, such as the case of private standard setting bodies (see n</w:t>
      </w:r>
      <w:r w:rsidRPr="000524D8">
        <w:rPr>
          <w:rFonts w:ascii="Times New Roman" w:hAnsi="Times New Roman" w:cs="Times New Roman"/>
          <w:sz w:val="20"/>
          <w:szCs w:val="20"/>
          <w:lang w:val="en-US"/>
        </w:rPr>
        <w:fldChar w:fldCharType="begin"/>
      </w:r>
      <w:r w:rsidRPr="000524D8">
        <w:rPr>
          <w:rFonts w:ascii="Times New Roman" w:hAnsi="Times New Roman" w:cs="Times New Roman"/>
          <w:sz w:val="20"/>
          <w:szCs w:val="20"/>
          <w:lang w:val="en-US"/>
        </w:rPr>
        <w:instrText xml:space="preserve"> NOTEREF _Ref425494835 \h  \* MERGEFORMAT </w:instrText>
      </w:r>
      <w:r w:rsidRPr="000524D8">
        <w:rPr>
          <w:rFonts w:ascii="Times New Roman" w:hAnsi="Times New Roman" w:cs="Times New Roman"/>
          <w:sz w:val="20"/>
          <w:szCs w:val="20"/>
          <w:lang w:val="en-US"/>
        </w:rPr>
      </w:r>
      <w:r w:rsidRPr="000524D8">
        <w:rPr>
          <w:rFonts w:ascii="Times New Roman" w:hAnsi="Times New Roman" w:cs="Times New Roman"/>
          <w:sz w:val="20"/>
          <w:szCs w:val="20"/>
          <w:lang w:val="en-US"/>
        </w:rPr>
        <w:fldChar w:fldCharType="separate"/>
      </w:r>
      <w:r w:rsidR="005506F3" w:rsidRPr="000524D8">
        <w:rPr>
          <w:rFonts w:ascii="Times New Roman" w:hAnsi="Times New Roman" w:cs="Times New Roman"/>
          <w:sz w:val="20"/>
          <w:szCs w:val="20"/>
          <w:lang w:val="en-US"/>
        </w:rPr>
        <w:t>8</w:t>
      </w:r>
      <w:r w:rsidRPr="000524D8">
        <w:rPr>
          <w:rFonts w:ascii="Times New Roman" w:hAnsi="Times New Roman" w:cs="Times New Roman"/>
          <w:sz w:val="20"/>
          <w:szCs w:val="20"/>
          <w:lang w:val="en-US"/>
        </w:rPr>
        <w:fldChar w:fldCharType="end"/>
      </w:r>
      <w:r w:rsidRPr="000524D8">
        <w:rPr>
          <w:rFonts w:ascii="Times New Roman" w:hAnsi="Times New Roman" w:cs="Times New Roman"/>
          <w:sz w:val="20"/>
          <w:szCs w:val="20"/>
          <w:lang w:val="en-US"/>
        </w:rPr>
        <w:t xml:space="preserve">). </w:t>
      </w:r>
    </w:p>
  </w:footnote>
  <w:footnote w:id="4">
    <w:p w14:paraId="5829AA33" w14:textId="50993F21"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For a general overview: P Van den Bossche &amp; W Zdouc, </w:t>
      </w:r>
      <w:r w:rsidRPr="000524D8">
        <w:rPr>
          <w:rFonts w:ascii="Times New Roman" w:hAnsi="Times New Roman" w:cs="Times New Roman"/>
          <w:bCs/>
          <w:i/>
          <w:sz w:val="20"/>
          <w:szCs w:val="20"/>
          <w:lang w:val="en-US"/>
        </w:rPr>
        <w:t>The Law and Policy of the World Trade Organization</w:t>
      </w:r>
      <w:r w:rsidRPr="000524D8">
        <w:rPr>
          <w:rFonts w:ascii="Times New Roman" w:hAnsi="Times New Roman" w:cs="Times New Roman"/>
          <w:bCs/>
          <w:sz w:val="20"/>
          <w:szCs w:val="20"/>
          <w:lang w:val="en-US"/>
        </w:rPr>
        <w:t xml:space="preserve"> (CUP 3</w:t>
      </w:r>
      <w:r w:rsidRPr="000524D8">
        <w:rPr>
          <w:rFonts w:ascii="Times New Roman" w:hAnsi="Times New Roman" w:cs="Times New Roman"/>
          <w:bCs/>
          <w:sz w:val="20"/>
          <w:szCs w:val="20"/>
          <w:vertAlign w:val="superscript"/>
          <w:lang w:val="en-US"/>
        </w:rPr>
        <w:t>rd</w:t>
      </w:r>
      <w:r w:rsidRPr="000524D8">
        <w:rPr>
          <w:rFonts w:ascii="Times New Roman" w:hAnsi="Times New Roman" w:cs="Times New Roman"/>
          <w:bCs/>
          <w:sz w:val="20"/>
          <w:szCs w:val="20"/>
          <w:lang w:val="en-US"/>
        </w:rPr>
        <w:t xml:space="preserve"> ed 2013).</w:t>
      </w:r>
    </w:p>
  </w:footnote>
  <w:footnote w:id="5">
    <w:p w14:paraId="1B8F2399" w14:textId="77777777" w:rsidR="009824F7" w:rsidRPr="000524D8" w:rsidRDefault="009824F7" w:rsidP="00A07D0C">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There is an increasing interest in the public-private distinction at an international or, more commonly, transnational level: M de Bellis, ‘Public law and private regulators in the global legal space’ 9 </w:t>
      </w:r>
      <w:r w:rsidRPr="000524D8">
        <w:rPr>
          <w:rFonts w:ascii="Times New Roman" w:hAnsi="Times New Roman" w:cs="Times New Roman"/>
          <w:i/>
          <w:sz w:val="20"/>
          <w:szCs w:val="20"/>
        </w:rPr>
        <w:t>ICON</w:t>
      </w:r>
      <w:r w:rsidRPr="000524D8">
        <w:rPr>
          <w:rFonts w:ascii="Times New Roman" w:hAnsi="Times New Roman" w:cs="Times New Roman"/>
          <w:sz w:val="20"/>
          <w:szCs w:val="20"/>
        </w:rPr>
        <w:t xml:space="preserve"> 2 (2011) 425; A Supiot, ‘The public-private relation in the context of today’s refeudalization’ 11 </w:t>
      </w:r>
      <w:r w:rsidRPr="000524D8">
        <w:rPr>
          <w:rFonts w:ascii="Times New Roman" w:hAnsi="Times New Roman" w:cs="Times New Roman"/>
          <w:i/>
          <w:sz w:val="20"/>
          <w:szCs w:val="20"/>
        </w:rPr>
        <w:t>ICON</w:t>
      </w:r>
      <w:r w:rsidRPr="000524D8">
        <w:rPr>
          <w:rFonts w:ascii="Times New Roman" w:hAnsi="Times New Roman" w:cs="Times New Roman"/>
          <w:sz w:val="20"/>
          <w:szCs w:val="20"/>
        </w:rPr>
        <w:t xml:space="preserve"> 1 (2013) 129; M Goldmann, ‘A Matter of Perspective: Global Governance and the Distinction between Public and Private Authority (and Not Law)’ (November 4, 2013) available at &lt;http://ssrn.com/abstract=2260293&gt;</w:t>
      </w:r>
    </w:p>
  </w:footnote>
  <w:footnote w:id="6">
    <w:p w14:paraId="47071FBA" w14:textId="399ABC65" w:rsidR="009824F7" w:rsidRPr="000524D8" w:rsidRDefault="009824F7" w:rsidP="00A27A4F">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Most notably through Public-Private Partnerships and Private Finance Initiatives, though for other discussions: M Rosenfeld, ‘Rethinking the boundaries between public law and private law for the twenty first century: An introduction’, 11 </w:t>
      </w:r>
      <w:r w:rsidRPr="000524D8">
        <w:rPr>
          <w:rFonts w:ascii="Times New Roman" w:hAnsi="Times New Roman" w:cs="Times New Roman"/>
          <w:i/>
          <w:sz w:val="20"/>
          <w:szCs w:val="20"/>
        </w:rPr>
        <w:t>ICON</w:t>
      </w:r>
      <w:r w:rsidRPr="000524D8">
        <w:rPr>
          <w:rFonts w:ascii="Times New Roman" w:hAnsi="Times New Roman" w:cs="Times New Roman"/>
          <w:sz w:val="20"/>
          <w:szCs w:val="20"/>
        </w:rPr>
        <w:t xml:space="preserve"> 1 (2013) 125, J Resnik, ‘Globalization(s), privatization(s), constitutionalization, and statization: Icons and experiences of sovereignty in the 21</w:t>
      </w:r>
      <w:r w:rsidRPr="000524D8">
        <w:rPr>
          <w:rFonts w:ascii="Times New Roman" w:hAnsi="Times New Roman" w:cs="Times New Roman"/>
          <w:sz w:val="20"/>
          <w:szCs w:val="20"/>
          <w:vertAlign w:val="superscript"/>
        </w:rPr>
        <w:t>st</w:t>
      </w:r>
      <w:r w:rsidRPr="000524D8">
        <w:rPr>
          <w:rFonts w:ascii="Times New Roman" w:hAnsi="Times New Roman" w:cs="Times New Roman"/>
          <w:sz w:val="20"/>
          <w:szCs w:val="20"/>
        </w:rPr>
        <w:t xml:space="preserve"> century’, 11 </w:t>
      </w:r>
      <w:r w:rsidRPr="000524D8">
        <w:rPr>
          <w:rFonts w:ascii="Times New Roman" w:hAnsi="Times New Roman" w:cs="Times New Roman"/>
          <w:i/>
          <w:sz w:val="20"/>
          <w:szCs w:val="20"/>
        </w:rPr>
        <w:t>ICON</w:t>
      </w:r>
      <w:r w:rsidRPr="000524D8">
        <w:rPr>
          <w:rFonts w:ascii="Times New Roman" w:hAnsi="Times New Roman" w:cs="Times New Roman"/>
          <w:sz w:val="20"/>
          <w:szCs w:val="20"/>
        </w:rPr>
        <w:t xml:space="preserve"> 1 (2013) 162.</w:t>
      </w:r>
    </w:p>
  </w:footnote>
  <w:footnote w:id="7">
    <w:p w14:paraId="7758FF67" w14:textId="7FD54D6A" w:rsidR="009824F7" w:rsidRPr="000524D8" w:rsidRDefault="009824F7" w:rsidP="00A27A4F">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Various different frameworks speak to this development such as transnational legal process, the </w:t>
      </w:r>
      <w:r w:rsidRPr="000524D8">
        <w:rPr>
          <w:rFonts w:ascii="Times New Roman" w:hAnsi="Times New Roman" w:cs="Times New Roman"/>
          <w:i/>
          <w:sz w:val="20"/>
          <w:szCs w:val="20"/>
        </w:rPr>
        <w:t>lex mercatoria</w:t>
      </w:r>
      <w:r w:rsidRPr="000524D8">
        <w:rPr>
          <w:rFonts w:ascii="Times New Roman" w:hAnsi="Times New Roman" w:cs="Times New Roman"/>
          <w:sz w:val="20"/>
          <w:szCs w:val="20"/>
        </w:rPr>
        <w:t xml:space="preserve">, International Public Authority, and Global Administrative Law. See, for example: </w:t>
      </w:r>
      <w:r w:rsidRPr="000524D8">
        <w:rPr>
          <w:rFonts w:ascii="Times New Roman" w:hAnsi="Times New Roman" w:cs="Times New Roman"/>
          <w:sz w:val="20"/>
          <w:szCs w:val="20"/>
          <w:lang w:val="en-US"/>
        </w:rPr>
        <w:t xml:space="preserve">H Koh ‘Transnational Legal Process’, 75 </w:t>
      </w:r>
      <w:r w:rsidRPr="000524D8">
        <w:rPr>
          <w:rFonts w:ascii="Times New Roman" w:hAnsi="Times New Roman" w:cs="Times New Roman"/>
          <w:i/>
          <w:sz w:val="20"/>
          <w:szCs w:val="20"/>
          <w:lang w:val="en-US"/>
        </w:rPr>
        <w:t>Nebraska Law Review</w:t>
      </w:r>
      <w:r w:rsidRPr="000524D8">
        <w:rPr>
          <w:rFonts w:ascii="Times New Roman" w:hAnsi="Times New Roman" w:cs="Times New Roman"/>
          <w:sz w:val="20"/>
          <w:szCs w:val="20"/>
          <w:lang w:val="en-US"/>
        </w:rPr>
        <w:t xml:space="preserve"> (1996) 181; A von Bogdandy &amp; I Venzke, </w:t>
      </w:r>
      <w:r w:rsidRPr="000524D8">
        <w:rPr>
          <w:rFonts w:ascii="Times New Roman" w:hAnsi="Times New Roman" w:cs="Times New Roman"/>
          <w:i/>
          <w:sz w:val="20"/>
          <w:szCs w:val="20"/>
          <w:lang w:val="en-US"/>
        </w:rPr>
        <w:t xml:space="preserve">In Whose Name? A Public Law Theory of International Adjudication </w:t>
      </w:r>
      <w:r w:rsidRPr="000524D8">
        <w:rPr>
          <w:rFonts w:ascii="Times New Roman" w:hAnsi="Times New Roman" w:cs="Times New Roman"/>
          <w:sz w:val="20"/>
          <w:szCs w:val="20"/>
          <w:lang w:val="en-US"/>
        </w:rPr>
        <w:t xml:space="preserve">(OUP 2014); B Kingsbury ‘The Concept of “Law” in Global Administrative Law’, 20 </w:t>
      </w:r>
      <w:r w:rsidRPr="000524D8">
        <w:rPr>
          <w:rFonts w:ascii="Times New Roman" w:hAnsi="Times New Roman" w:cs="Times New Roman"/>
          <w:i/>
          <w:sz w:val="20"/>
          <w:szCs w:val="20"/>
          <w:lang w:val="en-US"/>
        </w:rPr>
        <w:t>European Journal of International Law</w:t>
      </w:r>
      <w:r w:rsidRPr="000524D8">
        <w:rPr>
          <w:rFonts w:ascii="Times New Roman" w:hAnsi="Times New Roman" w:cs="Times New Roman"/>
          <w:sz w:val="20"/>
          <w:szCs w:val="20"/>
          <w:lang w:val="en-US"/>
        </w:rPr>
        <w:t xml:space="preserve"> 1 (2009) 23.</w:t>
      </w:r>
    </w:p>
  </w:footnote>
  <w:footnote w:id="8">
    <w:p w14:paraId="061063D9" w14:textId="02B505D6"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See: Note by the Secretariat, ‘Proposed Working Definition On SPS-Related Private Standards’ (6 March 2012) G/SPS/W/265; A Arcuri, ‘The TBT Agreement and private standards’, in M Trebilcock &amp; T Epps (eds) </w:t>
      </w:r>
      <w:r w:rsidRPr="000524D8">
        <w:rPr>
          <w:rFonts w:ascii="Times New Roman" w:hAnsi="Times New Roman" w:cs="Times New Roman"/>
          <w:i/>
          <w:sz w:val="20"/>
          <w:szCs w:val="20"/>
          <w:lang w:val="en-US"/>
        </w:rPr>
        <w:t>Research Handbook on the TBT Agreement</w:t>
      </w:r>
      <w:r w:rsidRPr="000524D8">
        <w:rPr>
          <w:rFonts w:ascii="Times New Roman" w:hAnsi="Times New Roman" w:cs="Times New Roman"/>
          <w:sz w:val="20"/>
          <w:szCs w:val="20"/>
          <w:lang w:val="en-US"/>
        </w:rPr>
        <w:t xml:space="preserve"> (Edward Elgar 2013).</w:t>
      </w:r>
    </w:p>
  </w:footnote>
  <w:footnote w:id="9">
    <w:p w14:paraId="3200DAD8" w14:textId="4ED7553A"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See below at n</w:t>
      </w:r>
      <w:r w:rsidRPr="000524D8">
        <w:rPr>
          <w:rFonts w:ascii="Times New Roman" w:hAnsi="Times New Roman" w:cs="Times New Roman"/>
          <w:sz w:val="20"/>
          <w:szCs w:val="20"/>
          <w:lang w:val="en-US"/>
        </w:rPr>
        <w:fldChar w:fldCharType="begin"/>
      </w:r>
      <w:r w:rsidRPr="000524D8">
        <w:rPr>
          <w:rFonts w:ascii="Times New Roman" w:hAnsi="Times New Roman" w:cs="Times New Roman"/>
          <w:sz w:val="20"/>
          <w:szCs w:val="20"/>
          <w:lang w:val="en-US"/>
        </w:rPr>
        <w:instrText xml:space="preserve"> NOTEREF _Ref260651815  \* MERGEFORMAT </w:instrText>
      </w:r>
      <w:r w:rsidRPr="000524D8">
        <w:rPr>
          <w:rFonts w:ascii="Times New Roman" w:hAnsi="Times New Roman" w:cs="Times New Roman"/>
          <w:sz w:val="20"/>
          <w:szCs w:val="20"/>
          <w:lang w:val="en-US"/>
        </w:rPr>
        <w:fldChar w:fldCharType="separate"/>
      </w:r>
      <w:r w:rsidR="005506F3" w:rsidRPr="000524D8">
        <w:rPr>
          <w:rFonts w:ascii="Times New Roman" w:hAnsi="Times New Roman" w:cs="Times New Roman"/>
          <w:sz w:val="20"/>
          <w:szCs w:val="20"/>
          <w:lang w:val="en-US"/>
        </w:rPr>
        <w:t>14</w:t>
      </w:r>
      <w:r w:rsidRPr="000524D8">
        <w:rPr>
          <w:rFonts w:ascii="Times New Roman" w:hAnsi="Times New Roman" w:cs="Times New Roman"/>
          <w:sz w:val="20"/>
          <w:szCs w:val="20"/>
          <w:lang w:val="en-US"/>
        </w:rPr>
        <w:fldChar w:fldCharType="end"/>
      </w:r>
      <w:r w:rsidRPr="000524D8">
        <w:rPr>
          <w:rFonts w:ascii="Times New Roman" w:hAnsi="Times New Roman" w:cs="Times New Roman"/>
          <w:sz w:val="20"/>
          <w:szCs w:val="20"/>
          <w:lang w:val="en-US"/>
        </w:rPr>
        <w:t xml:space="preserve">, regarding discussions relating to the definition of a ‘public authority’ for the purposes of the UK Human Rights Act 1998, </w:t>
      </w:r>
    </w:p>
  </w:footnote>
  <w:footnote w:id="10">
    <w:p w14:paraId="414348B7" w14:textId="35F857DA"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For example: E-U Petersmann, ‘Time for a United Nations “Global Compact” for Integrating Human Rights into the Law of Worldwide Organizations: Lessons from European Integration’, 13 </w:t>
      </w:r>
      <w:r w:rsidRPr="000524D8">
        <w:rPr>
          <w:rFonts w:ascii="Times New Roman" w:hAnsi="Times New Roman" w:cs="Times New Roman"/>
          <w:i/>
          <w:sz w:val="20"/>
          <w:szCs w:val="20"/>
        </w:rPr>
        <w:t>EJIL</w:t>
      </w:r>
      <w:r w:rsidRPr="000524D8">
        <w:rPr>
          <w:rFonts w:ascii="Times New Roman" w:hAnsi="Times New Roman" w:cs="Times New Roman"/>
          <w:sz w:val="20"/>
          <w:szCs w:val="20"/>
        </w:rPr>
        <w:t xml:space="preserve"> (2002) 621, P Alston, ‘Resisting the Merger and Acquisition of Human Rights by Trade Law: A Reply to Petersmann’, 13 </w:t>
      </w:r>
      <w:r w:rsidRPr="000524D8">
        <w:rPr>
          <w:rFonts w:ascii="Times New Roman" w:hAnsi="Times New Roman" w:cs="Times New Roman"/>
          <w:i/>
          <w:sz w:val="20"/>
          <w:szCs w:val="20"/>
        </w:rPr>
        <w:t>EJIL</w:t>
      </w:r>
      <w:r w:rsidRPr="000524D8">
        <w:rPr>
          <w:rFonts w:ascii="Times New Roman" w:hAnsi="Times New Roman" w:cs="Times New Roman"/>
          <w:sz w:val="20"/>
          <w:szCs w:val="20"/>
        </w:rPr>
        <w:t xml:space="preserve"> (2002) 815</w:t>
      </w:r>
    </w:p>
  </w:footnote>
  <w:footnote w:id="11">
    <w:p w14:paraId="4BA33D78" w14:textId="77777777" w:rsidR="009824F7" w:rsidRPr="000524D8" w:rsidRDefault="009824F7" w:rsidP="000D45F9">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Art 1.1(a)(1) SCM Agreement.</w:t>
      </w:r>
    </w:p>
  </w:footnote>
  <w:footnote w:id="12">
    <w:p w14:paraId="3D68A064" w14:textId="0C93F8A1" w:rsidR="009824F7" w:rsidRPr="000524D8" w:rsidRDefault="009824F7" w:rsidP="00555E10">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Similar difficulties arise in relation to the status of Sovereign Wealth Funds and their status within domestic legal orders:</w:t>
      </w:r>
      <w:r w:rsidRPr="000524D8">
        <w:rPr>
          <w:rFonts w:ascii="Times New Roman" w:hAnsi="Times New Roman" w:cs="Times New Roman"/>
          <w:i/>
          <w:sz w:val="20"/>
          <w:szCs w:val="20"/>
        </w:rPr>
        <w:t xml:space="preserve"> </w:t>
      </w:r>
      <w:r w:rsidRPr="000524D8">
        <w:rPr>
          <w:rFonts w:ascii="Times New Roman" w:hAnsi="Times New Roman" w:cs="Times New Roman"/>
          <w:bCs/>
          <w:i/>
          <w:sz w:val="20"/>
          <w:szCs w:val="20"/>
        </w:rPr>
        <w:t>AIG Capital Partners Inc &amp; Anr v Kazakhstan &amp; Ors</w:t>
      </w:r>
      <w:r w:rsidRPr="000524D8">
        <w:rPr>
          <w:rFonts w:ascii="Times New Roman" w:hAnsi="Times New Roman" w:cs="Times New Roman"/>
          <w:b/>
          <w:bCs/>
          <w:sz w:val="20"/>
          <w:szCs w:val="20"/>
        </w:rPr>
        <w:t xml:space="preserve"> </w:t>
      </w:r>
      <w:r w:rsidRPr="000524D8">
        <w:rPr>
          <w:rFonts w:ascii="Times New Roman" w:hAnsi="Times New Roman" w:cs="Times New Roman"/>
          <w:sz w:val="20"/>
          <w:szCs w:val="20"/>
        </w:rPr>
        <w:t>[2005] APP.L.R. 10/20.</w:t>
      </w:r>
    </w:p>
  </w:footnote>
  <w:footnote w:id="13">
    <w:p w14:paraId="4AF297F9" w14:textId="77777777" w:rsidR="009824F7" w:rsidRPr="000524D8" w:rsidRDefault="009824F7" w:rsidP="00A011F9">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For example, the particularly prescient article: C Chinkin, ‘A Critique of the Public/Private Dimension’, 10 </w:t>
      </w:r>
      <w:r w:rsidRPr="000524D8">
        <w:rPr>
          <w:rFonts w:ascii="Times New Roman" w:hAnsi="Times New Roman" w:cs="Times New Roman"/>
          <w:i/>
          <w:sz w:val="20"/>
          <w:szCs w:val="20"/>
        </w:rPr>
        <w:t>European Journal of International Law</w:t>
      </w:r>
      <w:r w:rsidRPr="000524D8">
        <w:rPr>
          <w:rFonts w:ascii="Times New Roman" w:hAnsi="Times New Roman" w:cs="Times New Roman"/>
          <w:sz w:val="20"/>
          <w:szCs w:val="20"/>
        </w:rPr>
        <w:t xml:space="preserve"> 2 (1999) 387</w:t>
      </w:r>
    </w:p>
  </w:footnote>
  <w:footnote w:id="14">
    <w:p w14:paraId="3F3278F2" w14:textId="65A061CD"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Specifically, within the law of state immunity the appropriate application of a restrictive approach to immunities and the distinction between </w:t>
      </w:r>
      <w:r w:rsidRPr="000524D8">
        <w:rPr>
          <w:rFonts w:ascii="Times New Roman" w:hAnsi="Times New Roman" w:cs="Times New Roman"/>
          <w:i/>
          <w:sz w:val="20"/>
          <w:szCs w:val="20"/>
        </w:rPr>
        <w:t xml:space="preserve">acta jure imperii </w:t>
      </w:r>
      <w:r w:rsidRPr="000524D8">
        <w:rPr>
          <w:rFonts w:ascii="Times New Roman" w:hAnsi="Times New Roman" w:cs="Times New Roman"/>
          <w:sz w:val="20"/>
          <w:szCs w:val="20"/>
        </w:rPr>
        <w:t xml:space="preserve">and </w:t>
      </w:r>
      <w:r w:rsidRPr="000524D8">
        <w:rPr>
          <w:rFonts w:ascii="Times New Roman" w:hAnsi="Times New Roman" w:cs="Times New Roman"/>
          <w:i/>
          <w:sz w:val="20"/>
          <w:szCs w:val="20"/>
        </w:rPr>
        <w:t>acta jure gestionis</w:t>
      </w:r>
      <w:r w:rsidRPr="000524D8">
        <w:rPr>
          <w:rFonts w:ascii="Times New Roman" w:hAnsi="Times New Roman" w:cs="Times New Roman"/>
          <w:sz w:val="20"/>
          <w:szCs w:val="20"/>
        </w:rPr>
        <w:t xml:space="preserve">. See: J Crawford, ‘International Law and Foreign Sovereigns: Distinguishing Imune Transactions’, 53 </w:t>
      </w:r>
      <w:r w:rsidRPr="000524D8">
        <w:rPr>
          <w:rFonts w:ascii="Times New Roman" w:hAnsi="Times New Roman" w:cs="Times New Roman"/>
          <w:i/>
          <w:sz w:val="20"/>
          <w:szCs w:val="20"/>
        </w:rPr>
        <w:t>British Yearbook of International Law</w:t>
      </w:r>
      <w:r w:rsidRPr="000524D8">
        <w:rPr>
          <w:rFonts w:ascii="Times New Roman" w:hAnsi="Times New Roman" w:cs="Times New Roman"/>
          <w:sz w:val="20"/>
          <w:szCs w:val="20"/>
        </w:rPr>
        <w:t xml:space="preserve"> 2 (1982) 75, H Fox and P Webb, </w:t>
      </w:r>
      <w:r w:rsidRPr="000524D8">
        <w:rPr>
          <w:rFonts w:ascii="Times New Roman" w:hAnsi="Times New Roman" w:cs="Times New Roman"/>
          <w:i/>
          <w:sz w:val="20"/>
          <w:szCs w:val="20"/>
        </w:rPr>
        <w:t>The Law of State Immunity</w:t>
      </w:r>
      <w:r w:rsidRPr="000524D8">
        <w:rPr>
          <w:rFonts w:ascii="Times New Roman" w:hAnsi="Times New Roman" w:cs="Times New Roman"/>
          <w:sz w:val="20"/>
          <w:szCs w:val="20"/>
        </w:rPr>
        <w:t xml:space="preserve"> (3</w:t>
      </w:r>
      <w:r w:rsidRPr="000524D8">
        <w:rPr>
          <w:rFonts w:ascii="Times New Roman" w:hAnsi="Times New Roman" w:cs="Times New Roman"/>
          <w:sz w:val="20"/>
          <w:szCs w:val="20"/>
          <w:vertAlign w:val="superscript"/>
        </w:rPr>
        <w:t>rd</w:t>
      </w:r>
      <w:r w:rsidRPr="000524D8">
        <w:rPr>
          <w:rFonts w:ascii="Times New Roman" w:hAnsi="Times New Roman" w:cs="Times New Roman"/>
          <w:sz w:val="20"/>
          <w:szCs w:val="20"/>
        </w:rPr>
        <w:t xml:space="preserve"> ed, OUP 2013), chapter 13. There are also reflections of this debate within the application of Convention Rights within the English legal system. See: </w:t>
      </w:r>
      <w:r w:rsidRPr="000524D8">
        <w:rPr>
          <w:rFonts w:ascii="Times New Roman" w:hAnsi="Times New Roman" w:cs="Times New Roman"/>
          <w:sz w:val="20"/>
          <w:szCs w:val="20"/>
          <w:lang w:val="en-US"/>
        </w:rPr>
        <w:t>House of Lords &amp; House of Commons, Joint Committee on Human Rights,</w:t>
      </w:r>
      <w:r w:rsidRPr="000524D8">
        <w:rPr>
          <w:rFonts w:ascii="Times New Roman" w:hAnsi="Times New Roman" w:cs="Times New Roman"/>
          <w:bCs/>
          <w:sz w:val="20"/>
          <w:szCs w:val="20"/>
          <w:lang w:val="en-US"/>
        </w:rPr>
        <w:t>‘The Meaning of Public Authority under the Human Rights Act’</w:t>
      </w:r>
      <w:r w:rsidRPr="000524D8">
        <w:rPr>
          <w:rFonts w:ascii="Times New Roman" w:hAnsi="Times New Roman" w:cs="Times New Roman"/>
          <w:sz w:val="20"/>
          <w:szCs w:val="20"/>
          <w:lang w:val="en-US"/>
        </w:rPr>
        <w:t xml:space="preserve">, </w:t>
      </w:r>
      <w:r w:rsidRPr="000524D8">
        <w:rPr>
          <w:rFonts w:ascii="Times New Roman" w:hAnsi="Times New Roman" w:cs="Times New Roman"/>
          <w:bCs/>
          <w:sz w:val="20"/>
          <w:szCs w:val="20"/>
          <w:lang w:val="en-US"/>
        </w:rPr>
        <w:t>Seventh Report of Session 2003–04</w:t>
      </w:r>
      <w:r w:rsidRPr="000524D8">
        <w:rPr>
          <w:rFonts w:ascii="Times New Roman" w:hAnsi="Times New Roman" w:cs="Times New Roman"/>
          <w:sz w:val="20"/>
          <w:szCs w:val="20"/>
          <w:lang w:val="en-US"/>
        </w:rPr>
        <w:t xml:space="preserve">, </w:t>
      </w:r>
      <w:r w:rsidRPr="000524D8">
        <w:rPr>
          <w:rFonts w:ascii="Times New Roman" w:hAnsi="Times New Roman" w:cs="Times New Roman"/>
          <w:bCs/>
          <w:sz w:val="20"/>
          <w:szCs w:val="20"/>
          <w:lang w:val="en-US"/>
        </w:rPr>
        <w:t>HL Paper 39 HC 382</w:t>
      </w:r>
      <w:r w:rsidRPr="000524D8">
        <w:rPr>
          <w:rFonts w:ascii="Times New Roman" w:hAnsi="Times New Roman" w:cs="Times New Roman"/>
          <w:sz w:val="20"/>
          <w:szCs w:val="20"/>
          <w:lang w:val="en-US"/>
        </w:rPr>
        <w:t xml:space="preserve">, </w:t>
      </w:r>
      <w:r w:rsidRPr="000524D8">
        <w:rPr>
          <w:rFonts w:ascii="Times New Roman" w:hAnsi="Times New Roman" w:cs="Times New Roman"/>
          <w:sz w:val="20"/>
          <w:szCs w:val="20"/>
        </w:rPr>
        <w:t>3 March 2004, D Oliver, ‘</w:t>
      </w:r>
      <w:r w:rsidRPr="000524D8">
        <w:rPr>
          <w:rFonts w:ascii="Times New Roman" w:hAnsi="Times New Roman" w:cs="Times New Roman"/>
          <w:bCs/>
          <w:sz w:val="20"/>
          <w:szCs w:val="20"/>
          <w:lang w:val="en-US"/>
        </w:rPr>
        <w:t xml:space="preserve">The frontiers of the State: public authorities and public functions under the Human Rights Act’, </w:t>
      </w:r>
      <w:r w:rsidRPr="000524D8">
        <w:rPr>
          <w:rFonts w:ascii="Times New Roman" w:hAnsi="Times New Roman" w:cs="Times New Roman"/>
          <w:bCs/>
          <w:i/>
          <w:sz w:val="20"/>
          <w:szCs w:val="20"/>
          <w:lang w:val="en-US"/>
        </w:rPr>
        <w:t xml:space="preserve">Public Law </w:t>
      </w:r>
      <w:r w:rsidRPr="000524D8">
        <w:rPr>
          <w:rFonts w:ascii="Times New Roman" w:hAnsi="Times New Roman" w:cs="Times New Roman"/>
          <w:bCs/>
          <w:sz w:val="20"/>
          <w:szCs w:val="20"/>
          <w:lang w:val="en-US"/>
        </w:rPr>
        <w:t>(2000) 476</w:t>
      </w:r>
    </w:p>
  </w:footnote>
  <w:footnote w:id="15">
    <w:p w14:paraId="002FC83E" w14:textId="72345812"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Cf., respectively: </w:t>
      </w:r>
      <w:r w:rsidRPr="000524D8">
        <w:rPr>
          <w:rFonts w:ascii="Times New Roman" w:hAnsi="Times New Roman" w:cs="Times New Roman"/>
          <w:i/>
          <w:sz w:val="20"/>
          <w:szCs w:val="20"/>
          <w:lang w:val="en-US"/>
        </w:rPr>
        <w:t>Oil Platforms (Islamic Republic of Iran v United States of America)</w:t>
      </w:r>
      <w:r w:rsidRPr="000524D8">
        <w:rPr>
          <w:rFonts w:ascii="Times New Roman" w:hAnsi="Times New Roman" w:cs="Times New Roman"/>
          <w:sz w:val="20"/>
          <w:szCs w:val="20"/>
          <w:lang w:val="en-US"/>
        </w:rPr>
        <w:t xml:space="preserve"> (Judgment) [2003] ICJ Rep 161, Separate Opinion of Judge Owada, paras 41–52; </w:t>
      </w:r>
      <w:r w:rsidRPr="000524D8">
        <w:rPr>
          <w:rFonts w:ascii="Times New Roman" w:hAnsi="Times New Roman" w:cs="Times New Roman"/>
          <w:i/>
          <w:sz w:val="20"/>
          <w:szCs w:val="20"/>
          <w:lang w:val="en-US"/>
        </w:rPr>
        <w:t>Military and Paramilitary Activities in and against Nicaragua (Nicaragua v United States of America)</w:t>
      </w:r>
      <w:r w:rsidRPr="000524D8">
        <w:rPr>
          <w:rFonts w:ascii="Times New Roman" w:hAnsi="Times New Roman" w:cs="Times New Roman"/>
          <w:sz w:val="20"/>
          <w:szCs w:val="20"/>
          <w:lang w:val="en-US"/>
        </w:rPr>
        <w:t xml:space="preserve"> [1984] ICJ Rep 392.</w:t>
      </w:r>
    </w:p>
  </w:footnote>
  <w:footnote w:id="16">
    <w:p w14:paraId="7A8BDF12" w14:textId="47DB8F5B" w:rsidR="009824F7" w:rsidRPr="000524D8" w:rsidRDefault="009824F7" w:rsidP="007265EF">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n</w:t>
      </w:r>
      <w:r w:rsidRPr="000524D8">
        <w:rPr>
          <w:rFonts w:ascii="Times New Roman" w:hAnsi="Times New Roman" w:cs="Times New Roman"/>
          <w:sz w:val="20"/>
          <w:szCs w:val="20"/>
        </w:rPr>
        <w:fldChar w:fldCharType="begin"/>
      </w:r>
      <w:r w:rsidRPr="000524D8">
        <w:rPr>
          <w:rFonts w:ascii="Times New Roman" w:hAnsi="Times New Roman" w:cs="Times New Roman"/>
          <w:sz w:val="20"/>
          <w:szCs w:val="20"/>
        </w:rPr>
        <w:instrText xml:space="preserve"> NOTEREF _Ref425494835 \f \h  \* MERGEFORMAT </w:instrText>
      </w:r>
      <w:r w:rsidRPr="000524D8">
        <w:rPr>
          <w:rFonts w:ascii="Times New Roman" w:hAnsi="Times New Roman" w:cs="Times New Roman"/>
          <w:sz w:val="20"/>
          <w:szCs w:val="20"/>
        </w:rPr>
      </w:r>
      <w:r w:rsidRPr="000524D8">
        <w:rPr>
          <w:rFonts w:ascii="Times New Roman" w:hAnsi="Times New Roman" w:cs="Times New Roman"/>
          <w:sz w:val="20"/>
          <w:szCs w:val="20"/>
        </w:rPr>
        <w:fldChar w:fldCharType="separate"/>
      </w:r>
      <w:r w:rsidR="005506F3" w:rsidRPr="000524D8">
        <w:rPr>
          <w:rStyle w:val="FootnoteReference"/>
          <w:rFonts w:ascii="Times New Roman" w:hAnsi="Times New Roman" w:cs="Times New Roman"/>
          <w:sz w:val="20"/>
          <w:szCs w:val="20"/>
          <w:vertAlign w:val="baseline"/>
        </w:rPr>
        <w:t>8</w:t>
      </w:r>
      <w:r w:rsidRPr="000524D8">
        <w:rPr>
          <w:rFonts w:ascii="Times New Roman" w:hAnsi="Times New Roman" w:cs="Times New Roman"/>
          <w:sz w:val="20"/>
          <w:szCs w:val="20"/>
        </w:rPr>
        <w:fldChar w:fldCharType="end"/>
      </w:r>
      <w:r w:rsidRPr="000524D8">
        <w:rPr>
          <w:rFonts w:ascii="Times New Roman" w:hAnsi="Times New Roman" w:cs="Times New Roman"/>
          <w:sz w:val="20"/>
          <w:szCs w:val="20"/>
        </w:rPr>
        <w:t xml:space="preserve"> and accompanying text.</w:t>
      </w:r>
    </w:p>
  </w:footnote>
  <w:footnote w:id="17">
    <w:p w14:paraId="40D2EB7C" w14:textId="6A86B6E0" w:rsidR="009824F7" w:rsidRPr="000524D8" w:rsidRDefault="009824F7" w:rsidP="007C5230">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United States – Countervailing Duties on Certain Corrosion-Resistant Carbon Steel Flat Products from Germany</w:t>
      </w:r>
      <w:r w:rsidRPr="000524D8">
        <w:rPr>
          <w:rFonts w:ascii="Times New Roman" w:hAnsi="Times New Roman" w:cs="Times New Roman"/>
          <w:sz w:val="20"/>
          <w:szCs w:val="20"/>
        </w:rPr>
        <w:t>, Report of the Appellate Body (28 November 2002) WT/DS213/AB/R, para 74.</w:t>
      </w:r>
    </w:p>
  </w:footnote>
  <w:footnote w:id="18">
    <w:p w14:paraId="1E08ECDA" w14:textId="6947B078"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In particular: </w:t>
      </w:r>
      <w:r w:rsidRPr="000524D8">
        <w:rPr>
          <w:rFonts w:ascii="Times New Roman" w:hAnsi="Times New Roman" w:cs="Times New Roman"/>
          <w:i/>
          <w:sz w:val="20"/>
          <w:szCs w:val="20"/>
        </w:rPr>
        <w:t>Canada – Measures Affecting the Importation of Milk and the Exportation of Dairy Products</w:t>
      </w:r>
      <w:r w:rsidRPr="000524D8">
        <w:rPr>
          <w:rFonts w:ascii="Times New Roman" w:hAnsi="Times New Roman" w:cs="Times New Roman"/>
          <w:sz w:val="20"/>
          <w:szCs w:val="20"/>
        </w:rPr>
        <w:t>, Report of the Appellate Body (13 October 1999) WT/DS103-113/AB/R.</w:t>
      </w:r>
    </w:p>
  </w:footnote>
  <w:footnote w:id="19">
    <w:p w14:paraId="00C0CAB2" w14:textId="7E49ECC4"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Ibid</w:t>
      </w:r>
      <w:r w:rsidRPr="000524D8">
        <w:rPr>
          <w:rFonts w:ascii="Times New Roman" w:hAnsi="Times New Roman" w:cs="Times New Roman"/>
          <w:sz w:val="20"/>
          <w:szCs w:val="20"/>
        </w:rPr>
        <w:t>. para.98.</w:t>
      </w:r>
    </w:p>
  </w:footnote>
  <w:footnote w:id="20">
    <w:p w14:paraId="52EE778F" w14:textId="750D2119"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Canada – Measures Affecting the Importation of Milk and the Exportation of Dairy Products</w:t>
      </w:r>
      <w:r w:rsidRPr="000524D8">
        <w:rPr>
          <w:rFonts w:ascii="Times New Roman" w:hAnsi="Times New Roman" w:cs="Times New Roman"/>
          <w:sz w:val="20"/>
          <w:szCs w:val="20"/>
        </w:rPr>
        <w:t>, panel report (17 May 1999) WT/DS103-113/R, para.7.76.</w:t>
      </w:r>
    </w:p>
  </w:footnote>
  <w:footnote w:id="21">
    <w:p w14:paraId="3D105186" w14:textId="117A1306" w:rsidR="005B7860" w:rsidRPr="000524D8" w:rsidRDefault="005B7860">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Save limited circumstances: </w:t>
      </w:r>
      <w:r w:rsidRPr="000524D8">
        <w:rPr>
          <w:rFonts w:ascii="Times New Roman" w:hAnsi="Times New Roman" w:cs="Times New Roman"/>
          <w:i/>
          <w:sz w:val="20"/>
          <w:szCs w:val="20"/>
        </w:rPr>
        <w:t>R v Panel on Take-overs and Mergers, ex p Datafin plc</w:t>
      </w:r>
      <w:r w:rsidRPr="000524D8">
        <w:rPr>
          <w:rFonts w:ascii="Times New Roman" w:hAnsi="Times New Roman" w:cs="Times New Roman"/>
          <w:sz w:val="20"/>
          <w:szCs w:val="20"/>
        </w:rPr>
        <w:t xml:space="preserve"> [1987] QB 815 </w:t>
      </w:r>
    </w:p>
  </w:footnote>
  <w:footnote w:id="22">
    <w:p w14:paraId="5419488C" w14:textId="6B97B8BF"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Canada – Measures Affecting the Importation of Milk and the Exportation of Dairy Products</w:t>
      </w:r>
      <w:r w:rsidRPr="000524D8">
        <w:rPr>
          <w:rFonts w:ascii="Times New Roman" w:hAnsi="Times New Roman" w:cs="Times New Roman"/>
          <w:sz w:val="20"/>
          <w:szCs w:val="20"/>
        </w:rPr>
        <w:t>, Report of the Appellate Body (13 October 1999) WT/DS103-113/AB/R, para.97.</w:t>
      </w:r>
    </w:p>
  </w:footnote>
  <w:footnote w:id="23">
    <w:p w14:paraId="7621AF0C" w14:textId="35ED62D8"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The opposite is also the case: an absence of authority to direct private actors does not </w:t>
      </w:r>
      <w:r w:rsidRPr="000524D8">
        <w:rPr>
          <w:rFonts w:ascii="Times New Roman" w:hAnsi="Times New Roman" w:cs="Times New Roman"/>
          <w:i/>
          <w:sz w:val="20"/>
          <w:szCs w:val="20"/>
        </w:rPr>
        <w:t>necessarily</w:t>
      </w:r>
      <w:r w:rsidRPr="000524D8">
        <w:rPr>
          <w:rFonts w:ascii="Times New Roman" w:hAnsi="Times New Roman" w:cs="Times New Roman"/>
          <w:sz w:val="20"/>
          <w:szCs w:val="20"/>
        </w:rPr>
        <w:t xml:space="preserve"> exclude these bodies from being considered governmental: see the arguments of the US in </w:t>
      </w:r>
      <w:r w:rsidRPr="000524D8">
        <w:rPr>
          <w:rFonts w:ascii="Times New Roman" w:hAnsi="Times New Roman" w:cs="Times New Roman"/>
          <w:bCs/>
          <w:i/>
          <w:sz w:val="20"/>
          <w:szCs w:val="20"/>
          <w:lang w:val="en-US"/>
        </w:rPr>
        <w:t>United States — Countervailing Measures on Certain Hot-Rolled Carbon Steel Flat Products from India</w:t>
      </w:r>
      <w:r w:rsidRPr="000524D8">
        <w:rPr>
          <w:rFonts w:ascii="Times New Roman" w:hAnsi="Times New Roman" w:cs="Times New Roman"/>
          <w:bCs/>
          <w:sz w:val="20"/>
          <w:szCs w:val="20"/>
          <w:lang w:val="en-US"/>
        </w:rPr>
        <w:t>, Report of the Appellate Body (8 December 2014) WT/DS436/AB/R,</w:t>
      </w:r>
      <w:r w:rsidRPr="000524D8">
        <w:rPr>
          <w:rFonts w:ascii="Times New Roman" w:hAnsi="Times New Roman" w:cs="Times New Roman"/>
          <w:sz w:val="20"/>
          <w:szCs w:val="20"/>
          <w:lang w:val="en-US"/>
        </w:rPr>
        <w:t xml:space="preserve"> para. 4.23.</w:t>
      </w:r>
    </w:p>
  </w:footnote>
  <w:footnote w:id="24">
    <w:p w14:paraId="507C3FA3" w14:textId="13FA2676"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lang w:val="en-US"/>
        </w:rPr>
        <w:t>Korea – Measures Affecting Trade in Commercial Vessels</w:t>
      </w:r>
      <w:r w:rsidRPr="000524D8">
        <w:rPr>
          <w:rFonts w:ascii="Times New Roman" w:hAnsi="Times New Roman" w:cs="Times New Roman"/>
          <w:sz w:val="20"/>
          <w:szCs w:val="20"/>
          <w:lang w:val="en-US"/>
        </w:rPr>
        <w:t>, Panel Report (7 March 2005) WT/DS273/R, para.7.50.</w:t>
      </w:r>
    </w:p>
  </w:footnote>
  <w:footnote w:id="25">
    <w:p w14:paraId="229D2762" w14:textId="1BEB4F5B"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lang w:val="en-US"/>
        </w:rPr>
        <w:t>European Communities and Certain Member States – Measures Affecting Trade in Large Civil Aircraft</w:t>
      </w:r>
      <w:r w:rsidRPr="000524D8">
        <w:rPr>
          <w:rFonts w:ascii="Times New Roman" w:hAnsi="Times New Roman" w:cs="Times New Roman"/>
          <w:sz w:val="20"/>
          <w:szCs w:val="20"/>
          <w:lang w:val="en-US"/>
        </w:rPr>
        <w:t xml:space="preserve"> (30 June 2010) WT/DS316/R, para.7.1359.</w:t>
      </w:r>
    </w:p>
  </w:footnote>
  <w:footnote w:id="26">
    <w:p w14:paraId="3B3782F4" w14:textId="0248A750"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The </w:t>
      </w:r>
      <w:r w:rsidRPr="000524D8">
        <w:rPr>
          <w:rFonts w:ascii="Times New Roman" w:hAnsi="Times New Roman" w:cs="Times New Roman"/>
          <w:i/>
          <w:sz w:val="20"/>
          <w:szCs w:val="20"/>
          <w:lang w:val="en-US"/>
        </w:rPr>
        <w:t xml:space="preserve">US – Carbon Steel (India) </w:t>
      </w:r>
      <w:r w:rsidRPr="000524D8">
        <w:rPr>
          <w:rFonts w:ascii="Times New Roman" w:hAnsi="Times New Roman" w:cs="Times New Roman"/>
          <w:sz w:val="20"/>
          <w:szCs w:val="20"/>
          <w:lang w:val="en-US"/>
        </w:rPr>
        <w:t xml:space="preserve">dispute is also discussed though the work of the panel and Appellate Body in this case built on the Appellate Body report in </w:t>
      </w:r>
      <w:r w:rsidRPr="000524D8">
        <w:rPr>
          <w:rFonts w:ascii="Times New Roman" w:hAnsi="Times New Roman" w:cs="Times New Roman"/>
          <w:i/>
          <w:sz w:val="20"/>
          <w:szCs w:val="20"/>
        </w:rPr>
        <w:t>US – AD/CVDs (China)</w:t>
      </w:r>
      <w:r w:rsidRPr="000524D8">
        <w:rPr>
          <w:rFonts w:ascii="Times New Roman" w:hAnsi="Times New Roman" w:cs="Times New Roman"/>
          <w:sz w:val="20"/>
          <w:szCs w:val="20"/>
        </w:rPr>
        <w:t>.</w:t>
      </w:r>
    </w:p>
  </w:footnote>
  <w:footnote w:id="27">
    <w:p w14:paraId="34F2B211" w14:textId="508AAF6F"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United States – Definitive Anti-Dumping and Countervailing Duties on Certain Products from China</w:t>
      </w:r>
      <w:r w:rsidRPr="000524D8">
        <w:rPr>
          <w:rFonts w:ascii="Times New Roman" w:hAnsi="Times New Roman" w:cs="Times New Roman"/>
          <w:sz w:val="20"/>
          <w:szCs w:val="20"/>
        </w:rPr>
        <w:t>, Panel Report (22 October 2010) WT/DS379/R, para.8.59.</w:t>
      </w:r>
    </w:p>
  </w:footnote>
  <w:footnote w:id="28">
    <w:p w14:paraId="38FEBEAA" w14:textId="214F58E4"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Ibid.</w:t>
      </w:r>
      <w:r w:rsidRPr="000524D8">
        <w:rPr>
          <w:rFonts w:ascii="Times New Roman" w:hAnsi="Times New Roman" w:cs="Times New Roman"/>
          <w:sz w:val="20"/>
          <w:szCs w:val="20"/>
        </w:rPr>
        <w:t xml:space="preserve"> at para.8.60. The panel also examined municipal law of numerous jurisdictions including Scots law and the law of Quebec.</w:t>
      </w:r>
    </w:p>
  </w:footnote>
  <w:footnote w:id="29">
    <w:p w14:paraId="7F75888C" w14:textId="5FBF36AD"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Ibid</w:t>
      </w:r>
      <w:r w:rsidRPr="000524D8">
        <w:rPr>
          <w:rFonts w:ascii="Times New Roman" w:hAnsi="Times New Roman" w:cs="Times New Roman"/>
          <w:sz w:val="20"/>
          <w:szCs w:val="20"/>
        </w:rPr>
        <w:t>. at para.8.68.</w:t>
      </w:r>
    </w:p>
  </w:footnote>
  <w:footnote w:id="30">
    <w:p w14:paraId="270110E9" w14:textId="63780835" w:rsidR="009824F7" w:rsidRPr="000524D8" w:rsidRDefault="009824F7" w:rsidP="00D93672">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Ibid</w:t>
      </w:r>
      <w:r w:rsidRPr="000524D8">
        <w:rPr>
          <w:rFonts w:ascii="Times New Roman" w:hAnsi="Times New Roman" w:cs="Times New Roman"/>
          <w:sz w:val="20"/>
          <w:szCs w:val="20"/>
        </w:rPr>
        <w:t>. at para.8.69, asserting that ‘[t]his is fully in keeping with the everyday notions of "private" meaning unrelated to the government, and "public" meaning governmental in some sense.’</w:t>
      </w:r>
    </w:p>
  </w:footnote>
  <w:footnote w:id="31">
    <w:p w14:paraId="08FBAB17" w14:textId="3D365F90"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Ibid</w:t>
      </w:r>
      <w:r w:rsidRPr="000524D8">
        <w:rPr>
          <w:rFonts w:ascii="Times New Roman" w:hAnsi="Times New Roman" w:cs="Times New Roman"/>
          <w:sz w:val="20"/>
          <w:szCs w:val="20"/>
        </w:rPr>
        <w:t>. at para.8.94.</w:t>
      </w:r>
    </w:p>
  </w:footnote>
  <w:footnote w:id="32">
    <w:p w14:paraId="1E8DE4AA" w14:textId="10F95F6C"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United States – Definitive Anti-Dumping and Countervailing Duties on Certain Products from China</w:t>
      </w:r>
      <w:r w:rsidRPr="000524D8">
        <w:rPr>
          <w:rFonts w:ascii="Times New Roman" w:hAnsi="Times New Roman" w:cs="Times New Roman"/>
          <w:sz w:val="20"/>
          <w:szCs w:val="20"/>
        </w:rPr>
        <w:t>, Report of the Appellate Body (11 March 2011) WT/DS379/AB/R, para.318.</w:t>
      </w:r>
    </w:p>
  </w:footnote>
  <w:footnote w:id="33">
    <w:p w14:paraId="08CF549D" w14:textId="6760D2E4"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Reaffirmed in </w:t>
      </w:r>
      <w:r w:rsidRPr="000524D8">
        <w:rPr>
          <w:rFonts w:ascii="Times New Roman" w:hAnsi="Times New Roman" w:cs="Times New Roman"/>
          <w:bCs/>
          <w:i/>
          <w:sz w:val="20"/>
          <w:szCs w:val="20"/>
          <w:lang w:val="en-US"/>
        </w:rPr>
        <w:t>United States — Countervailing Measures on Certain Hot-Rolled Carbon Steel Flat Products from India</w:t>
      </w:r>
      <w:r w:rsidRPr="000524D8">
        <w:rPr>
          <w:rFonts w:ascii="Times New Roman" w:hAnsi="Times New Roman" w:cs="Times New Roman"/>
          <w:bCs/>
          <w:sz w:val="20"/>
          <w:szCs w:val="20"/>
          <w:lang w:val="en-US"/>
        </w:rPr>
        <w:t>, Report of the Appellate Body (8 December 2014) WT/DS436/AB/R,</w:t>
      </w:r>
      <w:r w:rsidRPr="000524D8">
        <w:rPr>
          <w:rFonts w:ascii="Times New Roman" w:hAnsi="Times New Roman" w:cs="Times New Roman"/>
          <w:sz w:val="20"/>
          <w:szCs w:val="20"/>
          <w:lang w:val="en-US"/>
        </w:rPr>
        <w:t xml:space="preserve"> para.4.37.</w:t>
      </w:r>
    </w:p>
  </w:footnote>
  <w:footnote w:id="34">
    <w:p w14:paraId="78300980" w14:textId="49CE5980"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United States – Definitive Anti-Dumping and Countervailing Duties on Certain Products from China</w:t>
      </w:r>
      <w:r w:rsidRPr="000524D8">
        <w:rPr>
          <w:rFonts w:ascii="Times New Roman" w:hAnsi="Times New Roman" w:cs="Times New Roman"/>
          <w:sz w:val="20"/>
          <w:szCs w:val="20"/>
        </w:rPr>
        <w:t>, Report of the Appellate Body (11 March 2011) WT/DS379/AB/R, para.285.</w:t>
      </w:r>
    </w:p>
  </w:footnote>
  <w:footnote w:id="35">
    <w:p w14:paraId="0860B612" w14:textId="02E7C83C"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Ibid.</w:t>
      </w:r>
      <w:r w:rsidRPr="000524D8">
        <w:rPr>
          <w:rFonts w:ascii="Times New Roman" w:hAnsi="Times New Roman" w:cs="Times New Roman"/>
          <w:sz w:val="20"/>
          <w:szCs w:val="20"/>
        </w:rPr>
        <w:t xml:space="preserve"> at para.317.</w:t>
      </w:r>
    </w:p>
  </w:footnote>
  <w:footnote w:id="36">
    <w:p w14:paraId="2AB14550" w14:textId="4A9C9F63"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Note the US request for clarity on this test and its relation to the ‘control’ criterion: </w:t>
      </w:r>
      <w:r w:rsidRPr="000524D8">
        <w:rPr>
          <w:rFonts w:ascii="Times New Roman" w:hAnsi="Times New Roman" w:cs="Times New Roman"/>
          <w:bCs/>
          <w:i/>
          <w:sz w:val="20"/>
          <w:szCs w:val="20"/>
          <w:lang w:val="en-US"/>
        </w:rPr>
        <w:t>United States — Countervailing Measures on Certain Hot-Rolled Carbon Steel Flat Products from India</w:t>
      </w:r>
      <w:r w:rsidRPr="000524D8">
        <w:rPr>
          <w:rFonts w:ascii="Times New Roman" w:hAnsi="Times New Roman" w:cs="Times New Roman"/>
          <w:bCs/>
          <w:sz w:val="20"/>
          <w:szCs w:val="20"/>
          <w:lang w:val="en-US"/>
        </w:rPr>
        <w:t>, Report of the Appellate Body (8 December 2014) WT/DS436/AB/R,</w:t>
      </w:r>
      <w:r w:rsidRPr="000524D8">
        <w:rPr>
          <w:rFonts w:ascii="Times New Roman" w:hAnsi="Times New Roman" w:cs="Times New Roman"/>
          <w:sz w:val="20"/>
          <w:szCs w:val="20"/>
          <w:lang w:val="en-US"/>
        </w:rPr>
        <w:t xml:space="preserve"> para.4.6.</w:t>
      </w:r>
    </w:p>
  </w:footnote>
  <w:footnote w:id="37">
    <w:p w14:paraId="7E3654E7" w14:textId="69E2AE11"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United States – Definitive Anti-Dumping and Countervailing Duties on Certain Products from China</w:t>
      </w:r>
      <w:r w:rsidRPr="000524D8">
        <w:rPr>
          <w:rFonts w:ascii="Times New Roman" w:hAnsi="Times New Roman" w:cs="Times New Roman"/>
          <w:sz w:val="20"/>
          <w:szCs w:val="20"/>
        </w:rPr>
        <w:t>, Report of the Appellate Body (11 March 2011) WT/DS379/AB/R, para.310</w:t>
      </w:r>
    </w:p>
  </w:footnote>
  <w:footnote w:id="38">
    <w:p w14:paraId="746E82A0" w14:textId="759B7307" w:rsidR="009824F7" w:rsidRPr="000524D8" w:rsidRDefault="009824F7" w:rsidP="004B6EDE">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Articles on Responsibility of States of Internationally Wrongful Acts (2001) GAOR 56</w:t>
      </w:r>
      <w:r w:rsidRPr="000524D8">
        <w:rPr>
          <w:rFonts w:ascii="Times New Roman" w:hAnsi="Times New Roman" w:cs="Times New Roman"/>
          <w:sz w:val="20"/>
          <w:szCs w:val="20"/>
          <w:vertAlign w:val="superscript"/>
        </w:rPr>
        <w:t>th</w:t>
      </w:r>
      <w:r w:rsidRPr="000524D8">
        <w:rPr>
          <w:rFonts w:ascii="Times New Roman" w:hAnsi="Times New Roman" w:cs="Times New Roman"/>
          <w:sz w:val="20"/>
          <w:szCs w:val="20"/>
        </w:rPr>
        <w:t xml:space="preserve"> Session Supp 10, 43. For a short comment on the Appellate Body’s use of the ASR in the </w:t>
      </w:r>
      <w:r w:rsidRPr="000524D8">
        <w:rPr>
          <w:rFonts w:ascii="Times New Roman" w:hAnsi="Times New Roman" w:cs="Times New Roman"/>
          <w:i/>
          <w:sz w:val="20"/>
          <w:szCs w:val="20"/>
        </w:rPr>
        <w:t>US – AD/CVDs (China)</w:t>
      </w:r>
      <w:r w:rsidRPr="000524D8">
        <w:rPr>
          <w:rFonts w:ascii="Times New Roman" w:hAnsi="Times New Roman" w:cs="Times New Roman"/>
          <w:sz w:val="20"/>
          <w:szCs w:val="20"/>
        </w:rPr>
        <w:t xml:space="preserve"> dispute: J Pauwelyn, ‘Treaty Interpretation or Activism? Comment on the AB Report on </w:t>
      </w:r>
      <w:r w:rsidRPr="000524D8">
        <w:rPr>
          <w:rFonts w:ascii="Times New Roman" w:hAnsi="Times New Roman" w:cs="Times New Roman"/>
          <w:i/>
          <w:sz w:val="20"/>
          <w:szCs w:val="20"/>
        </w:rPr>
        <w:t>United States – ADs and CVDs on Certain Products from China</w:t>
      </w:r>
      <w:r w:rsidRPr="000524D8">
        <w:rPr>
          <w:rFonts w:ascii="Times New Roman" w:hAnsi="Times New Roman" w:cs="Times New Roman"/>
          <w:sz w:val="20"/>
          <w:szCs w:val="20"/>
        </w:rPr>
        <w:t xml:space="preserve">’, 12 </w:t>
      </w:r>
      <w:r w:rsidRPr="000524D8">
        <w:rPr>
          <w:rFonts w:ascii="Times New Roman" w:hAnsi="Times New Roman" w:cs="Times New Roman"/>
          <w:i/>
          <w:sz w:val="20"/>
          <w:szCs w:val="20"/>
        </w:rPr>
        <w:t>World Trade Review</w:t>
      </w:r>
      <w:r w:rsidRPr="000524D8">
        <w:rPr>
          <w:rFonts w:ascii="Times New Roman" w:hAnsi="Times New Roman" w:cs="Times New Roman"/>
          <w:sz w:val="20"/>
          <w:szCs w:val="20"/>
        </w:rPr>
        <w:t xml:space="preserve"> 2 (2013) 235, 235-237.</w:t>
      </w:r>
    </w:p>
  </w:footnote>
  <w:footnote w:id="39">
    <w:p w14:paraId="09A09910" w14:textId="4256DAE0"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‘The conduct of a person or entity which is not an organ of the State under article 4 but which is empowered by the law of that State to exercise elements of the governmental authority shall be considered an act of the State under international law, provided the person or entity is acting in that capacity in the particular instance.’</w:t>
      </w:r>
    </w:p>
  </w:footnote>
  <w:footnote w:id="40">
    <w:p w14:paraId="0E4017F0" w14:textId="4D17724B" w:rsidR="009824F7" w:rsidRPr="000524D8" w:rsidRDefault="009824F7" w:rsidP="00AE50AB">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J Pauwelyn n</w:t>
      </w:r>
      <w:r w:rsidRPr="000524D8">
        <w:rPr>
          <w:rFonts w:ascii="Times New Roman" w:hAnsi="Times New Roman" w:cs="Times New Roman"/>
          <w:sz w:val="20"/>
          <w:szCs w:val="20"/>
        </w:rPr>
        <w:fldChar w:fldCharType="begin"/>
      </w:r>
      <w:r w:rsidRPr="000524D8">
        <w:rPr>
          <w:rFonts w:ascii="Times New Roman" w:hAnsi="Times New Roman" w:cs="Times New Roman"/>
          <w:sz w:val="20"/>
          <w:szCs w:val="20"/>
        </w:rPr>
        <w:instrText xml:space="preserve"> NOTEREF _Ref280527444  \* MERGEFORMAT </w:instrText>
      </w:r>
      <w:r w:rsidRPr="000524D8">
        <w:rPr>
          <w:rFonts w:ascii="Times New Roman" w:hAnsi="Times New Roman" w:cs="Times New Roman"/>
          <w:sz w:val="20"/>
          <w:szCs w:val="20"/>
        </w:rPr>
        <w:fldChar w:fldCharType="separate"/>
      </w:r>
      <w:r w:rsidR="005506F3" w:rsidRPr="000524D8">
        <w:rPr>
          <w:rFonts w:ascii="Times New Roman" w:hAnsi="Times New Roman" w:cs="Times New Roman"/>
          <w:sz w:val="20"/>
          <w:szCs w:val="20"/>
        </w:rPr>
        <w:t>38</w:t>
      </w:r>
      <w:r w:rsidRPr="000524D8">
        <w:rPr>
          <w:rFonts w:ascii="Times New Roman" w:hAnsi="Times New Roman" w:cs="Times New Roman"/>
          <w:sz w:val="20"/>
          <w:szCs w:val="20"/>
        </w:rPr>
        <w:fldChar w:fldCharType="end"/>
      </w:r>
      <w:r w:rsidRPr="000524D8">
        <w:rPr>
          <w:rFonts w:ascii="Times New Roman" w:hAnsi="Times New Roman" w:cs="Times New Roman"/>
          <w:sz w:val="20"/>
          <w:szCs w:val="20"/>
        </w:rPr>
        <w:t>.</w:t>
      </w:r>
    </w:p>
  </w:footnote>
  <w:footnote w:id="41">
    <w:p w14:paraId="75FFB71E" w14:textId="288D4600"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Though they nonetheless may inspire domestic judicial reasoning: </w:t>
      </w:r>
      <w:r w:rsidRPr="000524D8">
        <w:rPr>
          <w:rFonts w:ascii="Times New Roman" w:hAnsi="Times New Roman" w:cs="Times New Roman"/>
          <w:bCs/>
          <w:i/>
          <w:sz w:val="20"/>
          <w:szCs w:val="20"/>
          <w:lang w:val="en-US"/>
        </w:rPr>
        <w:t xml:space="preserve">La Générale des Carrières et des Mines </w:t>
      </w:r>
      <w:r w:rsidRPr="000524D8">
        <w:rPr>
          <w:rFonts w:ascii="Times New Roman" w:hAnsi="Times New Roman" w:cs="Times New Roman"/>
          <w:bCs/>
          <w:i/>
          <w:iCs/>
          <w:sz w:val="20"/>
          <w:szCs w:val="20"/>
          <w:lang w:val="en-US"/>
        </w:rPr>
        <w:t>v</w:t>
      </w:r>
      <w:r w:rsidRPr="000524D8">
        <w:rPr>
          <w:rFonts w:ascii="Times New Roman" w:hAnsi="Times New Roman" w:cs="Times New Roman"/>
          <w:bCs/>
          <w:i/>
          <w:sz w:val="20"/>
          <w:szCs w:val="20"/>
          <w:lang w:val="en-US"/>
        </w:rPr>
        <w:t xml:space="preserve"> F.G. Hemisphere Associates LLC</w:t>
      </w:r>
      <w:r w:rsidRPr="000524D8">
        <w:rPr>
          <w:rFonts w:ascii="Times New Roman" w:hAnsi="Times New Roman" w:cs="Times New Roman"/>
          <w:bCs/>
          <w:sz w:val="20"/>
          <w:szCs w:val="20"/>
          <w:lang w:val="en-US"/>
        </w:rPr>
        <w:t>, [2012] UKPC 27.</w:t>
      </w:r>
    </w:p>
  </w:footnote>
  <w:footnote w:id="42">
    <w:p w14:paraId="6B3892F3" w14:textId="4EC34285"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General commentary to Articles on Responsibility of States of Internationally Wrongful Acts (2001), p.43.</w:t>
      </w:r>
    </w:p>
  </w:footnote>
  <w:footnote w:id="43">
    <w:p w14:paraId="446E383D" w14:textId="66783F0B" w:rsidR="009824F7" w:rsidRPr="000524D8" w:rsidRDefault="009824F7" w:rsidP="00523753">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Ibid., p.42.</w:t>
      </w:r>
    </w:p>
  </w:footnote>
  <w:footnote w:id="44">
    <w:p w14:paraId="13BDFCBD" w14:textId="113252AC"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The relevant test at this point then concerning itself with the level of control of the State over the entity under Article 8, Articles of State Responsibility. </w:t>
      </w:r>
    </w:p>
  </w:footnote>
  <w:footnote w:id="45">
    <w:p w14:paraId="57B13769" w14:textId="6C645904"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On the fiction: </w:t>
      </w:r>
      <w:r w:rsidRPr="000524D8">
        <w:rPr>
          <w:rFonts w:ascii="Times New Roman" w:hAnsi="Times New Roman" w:cs="Times New Roman"/>
          <w:sz w:val="20"/>
          <w:szCs w:val="20"/>
          <w:lang w:val="en-US"/>
        </w:rPr>
        <w:t xml:space="preserve">A Osiander, ‘Sovereignty, International Relations, and the Westphalian Myth’ 55 </w:t>
      </w:r>
      <w:r w:rsidRPr="000524D8">
        <w:rPr>
          <w:rFonts w:ascii="Times New Roman" w:hAnsi="Times New Roman" w:cs="Times New Roman"/>
          <w:i/>
          <w:sz w:val="20"/>
          <w:szCs w:val="20"/>
          <w:lang w:val="en-US"/>
        </w:rPr>
        <w:t xml:space="preserve">International Organization </w:t>
      </w:r>
      <w:r w:rsidRPr="000524D8">
        <w:rPr>
          <w:rFonts w:ascii="Times New Roman" w:hAnsi="Times New Roman" w:cs="Times New Roman"/>
          <w:sz w:val="20"/>
          <w:szCs w:val="20"/>
          <w:lang w:val="en-US"/>
        </w:rPr>
        <w:t>2 (2001) 251.</w:t>
      </w:r>
    </w:p>
  </w:footnote>
  <w:footnote w:id="46">
    <w:p w14:paraId="1DA3A0D4" w14:textId="4F0E8A1D"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Each corresponding to ‘epochal’ moments: the end of the Thirty Years War, the end of the Second World War, and the end of the Cold War respectively.</w:t>
      </w:r>
    </w:p>
  </w:footnote>
  <w:footnote w:id="47">
    <w:p w14:paraId="39B0166D" w14:textId="60C7A624" w:rsidR="009824F7" w:rsidRPr="000524D8" w:rsidRDefault="009824F7" w:rsidP="00076A90">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In doing so, depriving a provision of the Agreement meaning.</w:t>
      </w:r>
    </w:p>
  </w:footnote>
  <w:footnote w:id="48">
    <w:p w14:paraId="3D3BDF54" w14:textId="5BE0956E" w:rsidR="009824F7" w:rsidRPr="000524D8" w:rsidRDefault="009824F7" w:rsidP="00076A90">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US — Countervailing Duty Investigation on DRAMS from Korea</w:t>
      </w:r>
      <w:r w:rsidRPr="000524D8">
        <w:rPr>
          <w:rFonts w:ascii="Times New Roman" w:hAnsi="Times New Roman" w:cs="Times New Roman"/>
          <w:sz w:val="20"/>
          <w:szCs w:val="20"/>
        </w:rPr>
        <w:t>, Report of the Appellate Body (27 June 2005) WT/DS296/AB/R, para. 113.</w:t>
      </w:r>
    </w:p>
  </w:footnote>
  <w:footnote w:id="49">
    <w:p w14:paraId="5A05E08E" w14:textId="17889817" w:rsidR="009824F7" w:rsidRPr="000524D8" w:rsidRDefault="009824F7" w:rsidP="00EF0E13">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n</w:t>
      </w:r>
      <w:r w:rsidRPr="000524D8">
        <w:rPr>
          <w:rFonts w:ascii="Times New Roman" w:hAnsi="Times New Roman" w:cs="Times New Roman"/>
          <w:sz w:val="20"/>
          <w:szCs w:val="20"/>
        </w:rPr>
        <w:fldChar w:fldCharType="begin"/>
      </w:r>
      <w:r w:rsidRPr="000524D8">
        <w:rPr>
          <w:rFonts w:ascii="Times New Roman" w:hAnsi="Times New Roman" w:cs="Times New Roman"/>
          <w:sz w:val="20"/>
          <w:szCs w:val="20"/>
        </w:rPr>
        <w:instrText xml:space="preserve"> NOTEREF _Ref425504408 \h  \* MERGEFORMAT </w:instrText>
      </w:r>
      <w:r w:rsidRPr="000524D8">
        <w:rPr>
          <w:rFonts w:ascii="Times New Roman" w:hAnsi="Times New Roman" w:cs="Times New Roman"/>
          <w:sz w:val="20"/>
          <w:szCs w:val="20"/>
        </w:rPr>
      </w:r>
      <w:r w:rsidRPr="000524D8">
        <w:rPr>
          <w:rFonts w:ascii="Times New Roman" w:hAnsi="Times New Roman" w:cs="Times New Roman"/>
          <w:sz w:val="20"/>
          <w:szCs w:val="20"/>
        </w:rPr>
        <w:fldChar w:fldCharType="separate"/>
      </w:r>
      <w:r w:rsidR="005506F3" w:rsidRPr="000524D8">
        <w:rPr>
          <w:rFonts w:ascii="Times New Roman" w:hAnsi="Times New Roman" w:cs="Times New Roman"/>
          <w:sz w:val="20"/>
          <w:szCs w:val="20"/>
        </w:rPr>
        <w:t>26</w:t>
      </w:r>
      <w:r w:rsidRPr="000524D8">
        <w:rPr>
          <w:rFonts w:ascii="Times New Roman" w:hAnsi="Times New Roman" w:cs="Times New Roman"/>
          <w:sz w:val="20"/>
          <w:szCs w:val="20"/>
        </w:rPr>
        <w:fldChar w:fldCharType="end"/>
      </w:r>
      <w:r w:rsidRPr="000524D8">
        <w:rPr>
          <w:rFonts w:ascii="Times New Roman" w:hAnsi="Times New Roman" w:cs="Times New Roman"/>
          <w:sz w:val="20"/>
          <w:szCs w:val="20"/>
        </w:rPr>
        <w:t>.</w:t>
      </w:r>
    </w:p>
  </w:footnote>
  <w:footnote w:id="50">
    <w:p w14:paraId="7A8B5D31" w14:textId="237B0E14" w:rsidR="009824F7" w:rsidRPr="000524D8" w:rsidRDefault="009824F7" w:rsidP="0008077D">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Ibid and accompanying text.</w:t>
      </w:r>
    </w:p>
  </w:footnote>
  <w:footnote w:id="51">
    <w:p w14:paraId="21C41945" w14:textId="489B95A2"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There has been detailed consideration of the alternatives posited thus far, see for example, Ming Du, ‘China’s State Capitalism and World Trade Law’, 63 </w:t>
      </w:r>
      <w:r w:rsidRPr="000524D8">
        <w:rPr>
          <w:rFonts w:ascii="Times New Roman" w:hAnsi="Times New Roman" w:cs="Times New Roman"/>
          <w:i/>
          <w:sz w:val="20"/>
          <w:szCs w:val="20"/>
          <w:lang w:val="en-US"/>
        </w:rPr>
        <w:t>ICLQ</w:t>
      </w:r>
      <w:r w:rsidRPr="000524D8">
        <w:rPr>
          <w:rFonts w:ascii="Times New Roman" w:hAnsi="Times New Roman" w:cs="Times New Roman"/>
          <w:sz w:val="20"/>
          <w:szCs w:val="20"/>
          <w:lang w:val="en-US"/>
        </w:rPr>
        <w:t xml:space="preserve"> 2 (2014) 409.</w:t>
      </w:r>
    </w:p>
  </w:footnote>
  <w:footnote w:id="52">
    <w:p w14:paraId="4EADFC06" w14:textId="7B40E7E3"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For a fuller discussion of this issue: R Becroft, </w:t>
      </w:r>
      <w:r w:rsidRPr="000524D8">
        <w:rPr>
          <w:rFonts w:ascii="Times New Roman" w:hAnsi="Times New Roman" w:cs="Times New Roman"/>
          <w:i/>
          <w:sz w:val="20"/>
          <w:szCs w:val="20"/>
        </w:rPr>
        <w:t>The Standard of Review in WTO Dispute Settlement: Critique and Development</w:t>
      </w:r>
      <w:r w:rsidRPr="000524D8">
        <w:rPr>
          <w:rFonts w:ascii="Times New Roman" w:hAnsi="Times New Roman" w:cs="Times New Roman"/>
          <w:sz w:val="20"/>
          <w:szCs w:val="20"/>
        </w:rPr>
        <w:t xml:space="preserve"> (Edward Elgar 2012).</w:t>
      </w:r>
    </w:p>
  </w:footnote>
  <w:footnote w:id="53">
    <w:p w14:paraId="35C354DD" w14:textId="7EC097FE"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As the panel and Appellate Body had done in the </w:t>
      </w:r>
      <w:r w:rsidRPr="000524D8">
        <w:rPr>
          <w:rFonts w:ascii="Times New Roman" w:hAnsi="Times New Roman" w:cs="Times New Roman"/>
          <w:i/>
          <w:sz w:val="20"/>
          <w:szCs w:val="20"/>
          <w:lang w:val="en-US"/>
        </w:rPr>
        <w:t xml:space="preserve">US – AD/CVDs (China) </w:t>
      </w:r>
      <w:r w:rsidRPr="000524D8">
        <w:rPr>
          <w:rFonts w:ascii="Times New Roman" w:hAnsi="Times New Roman" w:cs="Times New Roman"/>
          <w:sz w:val="20"/>
          <w:szCs w:val="20"/>
          <w:lang w:val="en-US"/>
        </w:rPr>
        <w:t>dispute.</w:t>
      </w:r>
    </w:p>
  </w:footnote>
  <w:footnote w:id="54">
    <w:p w14:paraId="05783E28" w14:textId="4A3EC297"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Unwisely </w:t>
      </w:r>
      <w:r w:rsidRPr="000524D8">
        <w:rPr>
          <w:rFonts w:ascii="Times New Roman" w:hAnsi="Times New Roman" w:cs="Times New Roman"/>
          <w:sz w:val="20"/>
          <w:szCs w:val="20"/>
          <w:lang w:val="en-US"/>
        </w:rPr>
        <w:t xml:space="preserve">succumbing to the temptation warned of by Lord Bingham: ‘…there is no single test of universal application to determine whether a function is of a public nature. A number of factors may be relevant, but none is likely to be determinative on its own and the weight of different factors will vary from case to case. Tempting as it is to try and formulate a general test applicable to all cases which may arise, I think there are serious dangers in doing so.’ </w:t>
      </w:r>
      <w:r w:rsidRPr="000524D8">
        <w:rPr>
          <w:rFonts w:ascii="Times New Roman" w:hAnsi="Times New Roman" w:cs="Times New Roman"/>
          <w:bCs/>
          <w:i/>
          <w:sz w:val="20"/>
          <w:szCs w:val="20"/>
          <w:lang w:val="en-US"/>
        </w:rPr>
        <w:t xml:space="preserve">YL (by her litigation friend the Official Solicitor) (FC) (Appellant) </w:t>
      </w:r>
      <w:r w:rsidRPr="000524D8">
        <w:rPr>
          <w:rFonts w:ascii="Times New Roman" w:hAnsi="Times New Roman" w:cs="Times New Roman"/>
          <w:bCs/>
          <w:i/>
          <w:iCs/>
          <w:sz w:val="20"/>
          <w:szCs w:val="20"/>
          <w:lang w:val="en-US"/>
        </w:rPr>
        <w:t xml:space="preserve">v. </w:t>
      </w:r>
      <w:r w:rsidRPr="000524D8">
        <w:rPr>
          <w:rFonts w:ascii="Times New Roman" w:hAnsi="Times New Roman" w:cs="Times New Roman"/>
          <w:bCs/>
          <w:i/>
          <w:sz w:val="20"/>
          <w:szCs w:val="20"/>
          <w:lang w:val="en-US"/>
        </w:rPr>
        <w:t>Birmingham City Council and others (Respondents)</w:t>
      </w:r>
      <w:r w:rsidRPr="000524D8">
        <w:rPr>
          <w:rFonts w:ascii="Times New Roman" w:hAnsi="Times New Roman" w:cs="Times New Roman"/>
          <w:sz w:val="20"/>
          <w:szCs w:val="20"/>
          <w:lang w:val="en-US"/>
        </w:rPr>
        <w:t xml:space="preserve"> </w:t>
      </w:r>
      <w:r w:rsidRPr="000524D8">
        <w:rPr>
          <w:rFonts w:ascii="Times New Roman" w:hAnsi="Times New Roman" w:cs="Times New Roman"/>
          <w:bCs/>
          <w:sz w:val="20"/>
          <w:szCs w:val="20"/>
          <w:lang w:val="en-US"/>
        </w:rPr>
        <w:t>[2007] UKHL 27, para. 5.</w:t>
      </w:r>
    </w:p>
  </w:footnote>
  <w:footnote w:id="55">
    <w:p w14:paraId="3F0FAF4E" w14:textId="552E5B45"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For an alternative approach: M Goldmann, n</w:t>
      </w:r>
      <w:r w:rsidRPr="000524D8">
        <w:rPr>
          <w:rFonts w:ascii="Times New Roman" w:hAnsi="Times New Roman" w:cs="Times New Roman"/>
          <w:sz w:val="20"/>
          <w:szCs w:val="20"/>
        </w:rPr>
        <w:fldChar w:fldCharType="begin"/>
      </w:r>
      <w:r w:rsidRPr="000524D8">
        <w:rPr>
          <w:rFonts w:ascii="Times New Roman" w:hAnsi="Times New Roman" w:cs="Times New Roman"/>
          <w:sz w:val="20"/>
          <w:szCs w:val="20"/>
        </w:rPr>
        <w:instrText xml:space="preserve"> NOTEREF _Ref280528304 \h  \* MERGEFORMAT </w:instrText>
      </w:r>
      <w:r w:rsidRPr="000524D8">
        <w:rPr>
          <w:rFonts w:ascii="Times New Roman" w:hAnsi="Times New Roman" w:cs="Times New Roman"/>
          <w:sz w:val="20"/>
          <w:szCs w:val="20"/>
        </w:rPr>
      </w:r>
      <w:r w:rsidRPr="000524D8">
        <w:rPr>
          <w:rFonts w:ascii="Times New Roman" w:hAnsi="Times New Roman" w:cs="Times New Roman"/>
          <w:sz w:val="20"/>
          <w:szCs w:val="20"/>
        </w:rPr>
        <w:fldChar w:fldCharType="separate"/>
      </w:r>
      <w:r w:rsidR="005506F3" w:rsidRPr="000524D8">
        <w:rPr>
          <w:rFonts w:ascii="Times New Roman" w:hAnsi="Times New Roman" w:cs="Times New Roman"/>
          <w:sz w:val="20"/>
          <w:szCs w:val="20"/>
        </w:rPr>
        <w:t>5</w:t>
      </w:r>
      <w:r w:rsidRPr="000524D8">
        <w:rPr>
          <w:rFonts w:ascii="Times New Roman" w:hAnsi="Times New Roman" w:cs="Times New Roman"/>
          <w:sz w:val="20"/>
          <w:szCs w:val="20"/>
        </w:rPr>
        <w:fldChar w:fldCharType="end"/>
      </w:r>
      <w:r w:rsidRPr="000524D8">
        <w:rPr>
          <w:rFonts w:ascii="Times New Roman" w:hAnsi="Times New Roman" w:cs="Times New Roman"/>
          <w:sz w:val="20"/>
          <w:szCs w:val="20"/>
        </w:rPr>
        <w:t>.</w:t>
      </w:r>
    </w:p>
  </w:footnote>
  <w:footnote w:id="56">
    <w:p w14:paraId="0CCFCDF4" w14:textId="200719EB"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E.g., </w:t>
      </w:r>
      <w:r w:rsidRPr="000524D8">
        <w:rPr>
          <w:rFonts w:ascii="Times New Roman" w:hAnsi="Times New Roman" w:cs="Times New Roman"/>
          <w:i/>
          <w:sz w:val="20"/>
          <w:szCs w:val="20"/>
        </w:rPr>
        <w:t>United States – Definitive Anti-Dumping and Countervailing Duties on Certain Products from China</w:t>
      </w:r>
      <w:r w:rsidRPr="000524D8">
        <w:rPr>
          <w:rFonts w:ascii="Times New Roman" w:hAnsi="Times New Roman" w:cs="Times New Roman"/>
          <w:sz w:val="20"/>
          <w:szCs w:val="20"/>
        </w:rPr>
        <w:t>, Panel Report (22 October 2010) WT/DS379/R, para.8.94.</w:t>
      </w:r>
    </w:p>
  </w:footnote>
  <w:footnote w:id="57">
    <w:p w14:paraId="18377189" w14:textId="55852312" w:rsidR="009824F7" w:rsidRPr="000524D8" w:rsidRDefault="009824F7" w:rsidP="00772768">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UNTS, vol. 1155, p. 331 (‘VCLT’). </w:t>
      </w:r>
      <w:r w:rsidRPr="000524D8">
        <w:rPr>
          <w:rFonts w:ascii="Times New Roman" w:hAnsi="Times New Roman" w:cs="Times New Roman"/>
          <w:i/>
          <w:iCs/>
          <w:sz w:val="20"/>
          <w:szCs w:val="20"/>
          <w:lang w:val="en-US"/>
        </w:rPr>
        <w:t>United States – Standards for Reformulated and Conventional Gasoline</w:t>
      </w:r>
      <w:r w:rsidRPr="000524D8">
        <w:rPr>
          <w:rFonts w:ascii="Times New Roman" w:hAnsi="Times New Roman" w:cs="Times New Roman"/>
          <w:sz w:val="20"/>
          <w:szCs w:val="20"/>
          <w:lang w:val="en-US"/>
        </w:rPr>
        <w:t>, Report of the Appellate Body (29 April 1996) WT/DS2/AB/R, 17.</w:t>
      </w:r>
    </w:p>
  </w:footnote>
  <w:footnote w:id="58">
    <w:p w14:paraId="2E91FC20" w14:textId="168243FC" w:rsidR="009824F7" w:rsidRPr="000524D8" w:rsidRDefault="009824F7" w:rsidP="00A25C8C">
      <w:pPr>
        <w:pStyle w:val="FootnoteText"/>
        <w:rPr>
          <w:rFonts w:ascii="Times New Roman" w:hAnsi="Times New Roman" w:cs="Times New Roman"/>
          <w:sz w:val="20"/>
          <w:szCs w:val="20"/>
          <w:u w:val="single"/>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The translations of the principal texts used here are: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xml:space="preserve"> (tr. E Barker, ed. R F Stalley, OUP 2009), Cicero,</w:t>
      </w:r>
      <w:r w:rsidRPr="000524D8">
        <w:rPr>
          <w:rFonts w:ascii="Times New Roman" w:hAnsi="Times New Roman" w:cs="Times New Roman"/>
          <w:i/>
          <w:sz w:val="20"/>
          <w:szCs w:val="20"/>
        </w:rPr>
        <w:t xml:space="preserve"> The Republic </w:t>
      </w:r>
      <w:r w:rsidRPr="000524D8">
        <w:rPr>
          <w:rFonts w:ascii="Times New Roman" w:hAnsi="Times New Roman" w:cs="Times New Roman"/>
          <w:sz w:val="20"/>
          <w:szCs w:val="20"/>
        </w:rPr>
        <w:t>and</w:t>
      </w:r>
      <w:r w:rsidRPr="000524D8">
        <w:rPr>
          <w:rFonts w:ascii="Times New Roman" w:hAnsi="Times New Roman" w:cs="Times New Roman"/>
          <w:i/>
          <w:sz w:val="20"/>
          <w:szCs w:val="20"/>
        </w:rPr>
        <w:t xml:space="preserve"> The Laws</w:t>
      </w:r>
      <w:r w:rsidRPr="000524D8">
        <w:rPr>
          <w:rFonts w:ascii="Times New Roman" w:hAnsi="Times New Roman" w:cs="Times New Roman"/>
          <w:sz w:val="20"/>
          <w:szCs w:val="20"/>
        </w:rPr>
        <w:t xml:space="preserve"> (tr. N Rudd, OUP 2008), Cicero, </w:t>
      </w:r>
      <w:r w:rsidRPr="000524D8">
        <w:rPr>
          <w:rFonts w:ascii="Times New Roman" w:hAnsi="Times New Roman" w:cs="Times New Roman"/>
          <w:i/>
          <w:sz w:val="20"/>
          <w:szCs w:val="20"/>
        </w:rPr>
        <w:t>On Obligations</w:t>
      </w:r>
      <w:r w:rsidRPr="000524D8">
        <w:rPr>
          <w:rFonts w:ascii="Times New Roman" w:hAnsi="Times New Roman" w:cs="Times New Roman"/>
          <w:sz w:val="20"/>
          <w:szCs w:val="20"/>
        </w:rPr>
        <w:t xml:space="preserve"> (tr. P.G Walsh, OUP 2000).</w:t>
      </w:r>
    </w:p>
  </w:footnote>
  <w:footnote w:id="59">
    <w:p w14:paraId="4F38E53F" w14:textId="78E98709"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Though writing later, Cicero was keenly influenced by Greek scholarship by virtue of having studied at Athens. He was noted for his fluency in Greek and support for Stoic philosophical traditions within Rome. See: J.G.F Powell (ed.), </w:t>
      </w:r>
      <w:r w:rsidRPr="000524D8">
        <w:rPr>
          <w:rFonts w:ascii="Times New Roman" w:hAnsi="Times New Roman" w:cs="Times New Roman"/>
          <w:i/>
          <w:sz w:val="20"/>
          <w:szCs w:val="20"/>
        </w:rPr>
        <w:t>Cicero the Philosopher</w:t>
      </w:r>
      <w:r w:rsidRPr="000524D8">
        <w:rPr>
          <w:rFonts w:ascii="Times New Roman" w:hAnsi="Times New Roman" w:cs="Times New Roman"/>
          <w:sz w:val="20"/>
          <w:szCs w:val="20"/>
        </w:rPr>
        <w:t xml:space="preserve"> (Oxford Clarendon Press 1995).</w:t>
      </w:r>
    </w:p>
  </w:footnote>
  <w:footnote w:id="60">
    <w:p w14:paraId="2DCAF8DB" w14:textId="31A76E76" w:rsidR="009824F7" w:rsidRPr="000524D8" w:rsidRDefault="009824F7" w:rsidP="004832C9">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Nonetheless, in support of drawing lessons in international affairs from antiquity: D Bederman, </w:t>
      </w:r>
      <w:r w:rsidRPr="000524D8">
        <w:rPr>
          <w:rFonts w:ascii="Times New Roman" w:hAnsi="Times New Roman" w:cs="Times New Roman"/>
          <w:i/>
          <w:sz w:val="20"/>
          <w:szCs w:val="20"/>
        </w:rPr>
        <w:t>International Law in Antiquity</w:t>
      </w:r>
      <w:r w:rsidRPr="000524D8">
        <w:rPr>
          <w:rFonts w:ascii="Times New Roman" w:hAnsi="Times New Roman" w:cs="Times New Roman"/>
          <w:sz w:val="20"/>
          <w:szCs w:val="20"/>
        </w:rPr>
        <w:t xml:space="preserve"> (CUP 2001) chapter 2; see also, R Ago, ‘The First International Communities in the Mediterranean World’, </w:t>
      </w:r>
      <w:r w:rsidRPr="000524D8">
        <w:rPr>
          <w:rFonts w:ascii="Times New Roman" w:hAnsi="Times New Roman" w:cs="Times New Roman"/>
          <w:i/>
          <w:sz w:val="20"/>
          <w:szCs w:val="20"/>
        </w:rPr>
        <w:t xml:space="preserve">British Yearbook of International Law </w:t>
      </w:r>
      <w:r w:rsidRPr="000524D8">
        <w:rPr>
          <w:rFonts w:ascii="Times New Roman" w:hAnsi="Times New Roman" w:cs="Times New Roman"/>
          <w:sz w:val="20"/>
          <w:szCs w:val="20"/>
        </w:rPr>
        <w:t>(1983) 213, exclaiming ‘How many legal theorists and protagonists of international relations are still convinced of the alleged 'newness' of international law!’</w:t>
      </w:r>
    </w:p>
  </w:footnote>
  <w:footnote w:id="61">
    <w:p w14:paraId="454E4949" w14:textId="1E76D6DE"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 xml:space="preserve">Politics, </w:t>
      </w:r>
      <w:r w:rsidRPr="000524D8">
        <w:rPr>
          <w:rFonts w:ascii="Times New Roman" w:hAnsi="Times New Roman" w:cs="Times New Roman"/>
          <w:sz w:val="20"/>
          <w:szCs w:val="20"/>
        </w:rPr>
        <w:t>II.1, 1269a29-1272b1.</w:t>
      </w:r>
    </w:p>
  </w:footnote>
  <w:footnote w:id="62">
    <w:p w14:paraId="1AF90977" w14:textId="501DBE97"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Cicero, </w:t>
      </w:r>
      <w:r w:rsidRPr="000524D8">
        <w:rPr>
          <w:rFonts w:ascii="Times New Roman" w:hAnsi="Times New Roman" w:cs="Times New Roman"/>
          <w:i/>
          <w:sz w:val="20"/>
          <w:szCs w:val="20"/>
        </w:rPr>
        <w:t xml:space="preserve">The Republic, </w:t>
      </w:r>
      <w:r w:rsidRPr="000524D8">
        <w:rPr>
          <w:rFonts w:ascii="Times New Roman" w:hAnsi="Times New Roman" w:cs="Times New Roman"/>
          <w:sz w:val="20"/>
          <w:szCs w:val="20"/>
        </w:rPr>
        <w:t>I.33-65.</w:t>
      </w:r>
    </w:p>
  </w:footnote>
  <w:footnote w:id="63">
    <w:p w14:paraId="31F11627" w14:textId="20258CAF"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 Molyneux, </w:t>
      </w:r>
      <w:r w:rsidRPr="000524D8">
        <w:rPr>
          <w:rFonts w:ascii="Times New Roman" w:hAnsi="Times New Roman" w:cs="Times New Roman"/>
          <w:i/>
          <w:sz w:val="20"/>
          <w:szCs w:val="20"/>
        </w:rPr>
        <w:t xml:space="preserve">Domestic Structures and International Trade </w:t>
      </w:r>
      <w:r w:rsidRPr="000524D8">
        <w:rPr>
          <w:rFonts w:ascii="Times New Roman" w:hAnsi="Times New Roman" w:cs="Times New Roman"/>
          <w:sz w:val="20"/>
          <w:szCs w:val="20"/>
        </w:rPr>
        <w:t>(Hart Publishing, 2001) 9.</w:t>
      </w:r>
    </w:p>
  </w:footnote>
  <w:footnote w:id="64">
    <w:p w14:paraId="44A8585F" w14:textId="5B92E9A4" w:rsidR="009824F7" w:rsidRPr="000524D8" w:rsidRDefault="009824F7" w:rsidP="004C2ADD">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Plato, </w:t>
      </w:r>
      <w:r w:rsidRPr="000524D8">
        <w:rPr>
          <w:rFonts w:ascii="Times New Roman" w:hAnsi="Times New Roman" w:cs="Times New Roman"/>
          <w:i/>
          <w:sz w:val="20"/>
          <w:szCs w:val="20"/>
        </w:rPr>
        <w:t>Republic,</w:t>
      </w:r>
      <w:r w:rsidRPr="000524D8">
        <w:rPr>
          <w:rFonts w:ascii="Times New Roman" w:hAnsi="Times New Roman" w:cs="Times New Roman"/>
          <w:sz w:val="20"/>
          <w:szCs w:val="20"/>
        </w:rPr>
        <w:t xml:space="preserve"> II.543a-576b (tr. R Waterfield, OUP 1998) 277-319.</w:t>
      </w:r>
    </w:p>
  </w:footnote>
  <w:footnote w:id="65">
    <w:p w14:paraId="4DC7EB80" w14:textId="6E3F72F5"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Note the criticism above at n</w:t>
      </w:r>
      <w:r w:rsidRPr="000524D8">
        <w:rPr>
          <w:rFonts w:ascii="Times New Roman" w:hAnsi="Times New Roman" w:cs="Times New Roman"/>
          <w:sz w:val="20"/>
          <w:szCs w:val="20"/>
        </w:rPr>
        <w:fldChar w:fldCharType="begin"/>
      </w:r>
      <w:r w:rsidRPr="000524D8">
        <w:rPr>
          <w:rFonts w:ascii="Times New Roman" w:hAnsi="Times New Roman" w:cs="Times New Roman"/>
          <w:sz w:val="20"/>
          <w:szCs w:val="20"/>
        </w:rPr>
        <w:instrText xml:space="preserve"> NOTEREF _Ref280528129  \* MERGEFORMAT </w:instrText>
      </w:r>
      <w:r w:rsidRPr="000524D8">
        <w:rPr>
          <w:rFonts w:ascii="Times New Roman" w:hAnsi="Times New Roman" w:cs="Times New Roman"/>
          <w:sz w:val="20"/>
          <w:szCs w:val="20"/>
        </w:rPr>
        <w:fldChar w:fldCharType="separate"/>
      </w:r>
      <w:r w:rsidR="005506F3" w:rsidRPr="000524D8">
        <w:rPr>
          <w:rFonts w:ascii="Times New Roman" w:hAnsi="Times New Roman" w:cs="Times New Roman"/>
          <w:sz w:val="20"/>
          <w:szCs w:val="20"/>
        </w:rPr>
        <w:t>45</w:t>
      </w:r>
      <w:r w:rsidRPr="000524D8">
        <w:rPr>
          <w:rFonts w:ascii="Times New Roman" w:hAnsi="Times New Roman" w:cs="Times New Roman"/>
          <w:sz w:val="20"/>
          <w:szCs w:val="20"/>
        </w:rPr>
        <w:fldChar w:fldCharType="end"/>
      </w:r>
      <w:r w:rsidRPr="000524D8">
        <w:rPr>
          <w:rFonts w:ascii="Times New Roman" w:hAnsi="Times New Roman" w:cs="Times New Roman"/>
          <w:sz w:val="20"/>
          <w:szCs w:val="20"/>
        </w:rPr>
        <w:t xml:space="preserve"> and corresponding text.</w:t>
      </w:r>
    </w:p>
  </w:footnote>
  <w:footnote w:id="66">
    <w:p w14:paraId="6A4402DA" w14:textId="2E1A3124"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Cicero, </w:t>
      </w:r>
      <w:r w:rsidRPr="000524D8">
        <w:rPr>
          <w:rFonts w:ascii="Times New Roman" w:hAnsi="Times New Roman" w:cs="Times New Roman"/>
          <w:i/>
          <w:sz w:val="20"/>
          <w:szCs w:val="20"/>
        </w:rPr>
        <w:t xml:space="preserve">The Republic, </w:t>
      </w:r>
      <w:r w:rsidRPr="000524D8">
        <w:rPr>
          <w:rFonts w:ascii="Times New Roman" w:hAnsi="Times New Roman" w:cs="Times New Roman"/>
          <w:sz w:val="20"/>
          <w:szCs w:val="20"/>
        </w:rPr>
        <w:t>I.65-71.</w:t>
      </w:r>
    </w:p>
  </w:footnote>
  <w:footnote w:id="67">
    <w:p w14:paraId="5AF82CA0" w14:textId="3DDBEF85"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xml:space="preserve"> I.1, 1252a1. NB: Asterisks omitted, square brackets in the original. Here the translation has been modified, thus </w:t>
      </w:r>
      <w:r w:rsidRPr="000524D8">
        <w:rPr>
          <w:rFonts w:ascii="Times New Roman" w:hAnsi="Times New Roman" w:cs="Times New Roman"/>
          <w:i/>
          <w:sz w:val="20"/>
          <w:szCs w:val="20"/>
        </w:rPr>
        <w:t>polis</w:t>
      </w:r>
      <w:r w:rsidRPr="000524D8">
        <w:rPr>
          <w:rFonts w:ascii="Times New Roman" w:hAnsi="Times New Roman" w:cs="Times New Roman"/>
          <w:sz w:val="20"/>
          <w:szCs w:val="20"/>
        </w:rPr>
        <w:t xml:space="preserve"> reads as city-State rather than city. In a specifically political-legal context, the importance of the State-like unit is sufficient to stress the sovereign nature of the </w:t>
      </w:r>
      <w:r w:rsidRPr="000524D8">
        <w:rPr>
          <w:rFonts w:ascii="Times New Roman" w:hAnsi="Times New Roman" w:cs="Times New Roman"/>
          <w:i/>
          <w:sz w:val="20"/>
          <w:szCs w:val="20"/>
        </w:rPr>
        <w:t>polis</w:t>
      </w:r>
      <w:r w:rsidRPr="000524D8">
        <w:rPr>
          <w:rFonts w:ascii="Times New Roman" w:hAnsi="Times New Roman" w:cs="Times New Roman"/>
          <w:sz w:val="20"/>
          <w:szCs w:val="20"/>
        </w:rPr>
        <w:t xml:space="preserve"> (tr. E Barker, OUP 2009) 7.</w:t>
      </w:r>
    </w:p>
  </w:footnote>
  <w:footnote w:id="68">
    <w:p w14:paraId="07A42610" w14:textId="3980990F"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R.F. Stalley, ‘Introduction’, in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xml:space="preserve"> (tr. E Barker, OUP 2009) xix.</w:t>
      </w:r>
    </w:p>
  </w:footnote>
  <w:footnote w:id="69">
    <w:p w14:paraId="35DB0384" w14:textId="207E9385"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Alternatively translated as ‘society’, e.g. </w:t>
      </w:r>
      <w:r w:rsidRPr="000524D8">
        <w:rPr>
          <w:rFonts w:ascii="Times New Roman" w:hAnsi="Times New Roman" w:cs="Times New Roman"/>
          <w:i/>
          <w:sz w:val="20"/>
          <w:szCs w:val="20"/>
        </w:rPr>
        <w:t xml:space="preserve">A Treatise on Government, or, The Politics of Aristotle </w:t>
      </w:r>
      <w:r w:rsidRPr="000524D8">
        <w:rPr>
          <w:rFonts w:ascii="Times New Roman" w:hAnsi="Times New Roman" w:cs="Times New Roman"/>
          <w:sz w:val="20"/>
          <w:szCs w:val="20"/>
        </w:rPr>
        <w:t>(tr. W Ellis, Everyman’s Library 1912).</w:t>
      </w:r>
    </w:p>
  </w:footnote>
  <w:footnote w:id="70">
    <w:p w14:paraId="3B448023" w14:textId="697F5257"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Though </w:t>
      </w:r>
      <w:r w:rsidRPr="000524D8">
        <w:rPr>
          <w:rFonts w:ascii="Times New Roman" w:hAnsi="Times New Roman" w:cs="Times New Roman"/>
          <w:i/>
          <w:sz w:val="20"/>
          <w:szCs w:val="20"/>
        </w:rPr>
        <w:t>polis</w:t>
      </w:r>
      <w:r w:rsidRPr="000524D8">
        <w:rPr>
          <w:rFonts w:ascii="Times New Roman" w:hAnsi="Times New Roman" w:cs="Times New Roman"/>
          <w:sz w:val="20"/>
          <w:szCs w:val="20"/>
        </w:rPr>
        <w:t xml:space="preserve"> has no direct translation other than city-State, the connotations extend further as a unit of social association of a political nature established for a purpose.</w:t>
      </w:r>
    </w:p>
  </w:footnote>
  <w:footnote w:id="71">
    <w:p w14:paraId="2FB55BE0" w14:textId="0034A5F1"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xml:space="preserve"> I.1,1252a1, emphasis added.</w:t>
      </w:r>
    </w:p>
  </w:footnote>
  <w:footnote w:id="72">
    <w:p w14:paraId="0D576362" w14:textId="5486BDB4"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xml:space="preserve"> I.1,1252a7.</w:t>
      </w:r>
    </w:p>
  </w:footnote>
  <w:footnote w:id="73">
    <w:p w14:paraId="45761C68" w14:textId="4CF5AAD4" w:rsidR="009824F7" w:rsidRPr="000524D8" w:rsidRDefault="009824F7" w:rsidP="00E35194">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R.F. Stalley, ‘Introduction’, in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xml:space="preserve"> (tr. E Barker, OUP 2009) xxiii.</w:t>
      </w:r>
    </w:p>
  </w:footnote>
  <w:footnote w:id="74">
    <w:p w14:paraId="5F2C93AD" w14:textId="1F8606D2" w:rsidR="009824F7" w:rsidRPr="000524D8" w:rsidRDefault="009824F7" w:rsidP="00E35194">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The aim of the association is thus a cause of its existence: Aristotle, </w:t>
      </w:r>
      <w:r w:rsidRPr="000524D8">
        <w:rPr>
          <w:rFonts w:ascii="Times New Roman" w:hAnsi="Times New Roman" w:cs="Times New Roman"/>
          <w:i/>
          <w:iCs/>
          <w:sz w:val="20"/>
          <w:szCs w:val="20"/>
        </w:rPr>
        <w:t xml:space="preserve">Metaphysics </w:t>
      </w:r>
      <w:r w:rsidRPr="000524D8">
        <w:rPr>
          <w:rFonts w:ascii="Times New Roman" w:hAnsi="Times New Roman" w:cs="Times New Roman"/>
          <w:iCs/>
          <w:sz w:val="20"/>
          <w:szCs w:val="20"/>
        </w:rPr>
        <w:t xml:space="preserve">II, </w:t>
      </w:r>
      <w:r w:rsidRPr="000524D8">
        <w:rPr>
          <w:rFonts w:ascii="Times New Roman" w:hAnsi="Times New Roman" w:cs="Times New Roman"/>
          <w:sz w:val="20"/>
          <w:szCs w:val="20"/>
        </w:rPr>
        <w:t>(J Warrington, trans. &amp; ed. Everyman’s Library 1966) 4.</w:t>
      </w:r>
    </w:p>
  </w:footnote>
  <w:footnote w:id="75">
    <w:p w14:paraId="4F2BD555" w14:textId="22B779E6"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xml:space="preserve"> VII.1, 1323a14-1325b14.</w:t>
      </w:r>
    </w:p>
  </w:footnote>
  <w:footnote w:id="76">
    <w:p w14:paraId="35C0E699" w14:textId="73CC2A11"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xml:space="preserve"> III.9, 1280b6.</w:t>
      </w:r>
    </w:p>
  </w:footnote>
  <w:footnote w:id="77">
    <w:p w14:paraId="39C42BB0" w14:textId="7A76D33F"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xml:space="preserve"> III.6, 1279a8.</w:t>
      </w:r>
    </w:p>
  </w:footnote>
  <w:footnote w:id="78">
    <w:p w14:paraId="5A6F0C79" w14:textId="3B930881"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xml:space="preserve"> III.7, 1279b4.</w:t>
      </w:r>
    </w:p>
  </w:footnote>
  <w:footnote w:id="79">
    <w:p w14:paraId="16B19DC3" w14:textId="12BA1701"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Cicero, </w:t>
      </w:r>
      <w:r w:rsidRPr="000524D8">
        <w:rPr>
          <w:rFonts w:ascii="Times New Roman" w:hAnsi="Times New Roman" w:cs="Times New Roman"/>
          <w:i/>
          <w:sz w:val="20"/>
          <w:szCs w:val="20"/>
        </w:rPr>
        <w:t xml:space="preserve">The Republic, </w:t>
      </w:r>
      <w:r w:rsidRPr="000524D8">
        <w:rPr>
          <w:rFonts w:ascii="Times New Roman" w:hAnsi="Times New Roman" w:cs="Times New Roman"/>
          <w:sz w:val="20"/>
          <w:szCs w:val="20"/>
        </w:rPr>
        <w:t>IV.3, also in the context of the ideal statesman, at V.8.</w:t>
      </w:r>
    </w:p>
  </w:footnote>
  <w:footnote w:id="80">
    <w:p w14:paraId="2AC92081" w14:textId="0811488D"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xml:space="preserve">, VII.13, 1331b24-1342b17, Cicero, </w:t>
      </w:r>
      <w:r w:rsidRPr="000524D8">
        <w:rPr>
          <w:rFonts w:ascii="Times New Roman" w:hAnsi="Times New Roman" w:cs="Times New Roman"/>
          <w:i/>
          <w:sz w:val="20"/>
          <w:szCs w:val="20"/>
        </w:rPr>
        <w:t xml:space="preserve">The Republic, </w:t>
      </w:r>
      <w:r w:rsidRPr="000524D8">
        <w:rPr>
          <w:rFonts w:ascii="Times New Roman" w:hAnsi="Times New Roman" w:cs="Times New Roman"/>
          <w:sz w:val="20"/>
          <w:szCs w:val="20"/>
        </w:rPr>
        <w:t>IV.1-13.</w:t>
      </w:r>
    </w:p>
  </w:footnote>
  <w:footnote w:id="81">
    <w:p w14:paraId="1816FE08" w14:textId="1A18EBC4"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VII.8, 1328a21-1328b2.</w:t>
      </w:r>
    </w:p>
  </w:footnote>
  <w:footnote w:id="82">
    <w:p w14:paraId="4E2DBD2F" w14:textId="49198DED" w:rsidR="009824F7" w:rsidRPr="000524D8" w:rsidRDefault="009824F7" w:rsidP="00367386">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Cicero, </w:t>
      </w:r>
      <w:r w:rsidRPr="000524D8">
        <w:rPr>
          <w:rFonts w:ascii="Times New Roman" w:hAnsi="Times New Roman" w:cs="Times New Roman"/>
          <w:i/>
          <w:sz w:val="20"/>
          <w:szCs w:val="20"/>
        </w:rPr>
        <w:t>On Obligations,</w:t>
      </w:r>
      <w:r w:rsidRPr="000524D8">
        <w:rPr>
          <w:rFonts w:ascii="Times New Roman" w:hAnsi="Times New Roman" w:cs="Times New Roman"/>
          <w:sz w:val="20"/>
          <w:szCs w:val="20"/>
        </w:rPr>
        <w:t xml:space="preserve"> II.10.</w:t>
      </w:r>
    </w:p>
  </w:footnote>
  <w:footnote w:id="83">
    <w:p w14:paraId="4BBFA5E4" w14:textId="7466A120" w:rsidR="009824F7" w:rsidRPr="000524D8" w:rsidRDefault="009824F7" w:rsidP="00367386">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Cicero, </w:t>
      </w:r>
      <w:r w:rsidRPr="000524D8">
        <w:rPr>
          <w:rFonts w:ascii="Times New Roman" w:hAnsi="Times New Roman" w:cs="Times New Roman"/>
          <w:i/>
          <w:sz w:val="20"/>
          <w:szCs w:val="20"/>
        </w:rPr>
        <w:t>On Obligations,</w:t>
      </w:r>
      <w:r w:rsidRPr="000524D8">
        <w:rPr>
          <w:rFonts w:ascii="Times New Roman" w:hAnsi="Times New Roman" w:cs="Times New Roman"/>
          <w:sz w:val="20"/>
          <w:szCs w:val="20"/>
        </w:rPr>
        <w:t xml:space="preserve"> III.40-50.</w:t>
      </w:r>
    </w:p>
  </w:footnote>
  <w:footnote w:id="84">
    <w:p w14:paraId="124BF24C" w14:textId="20403546" w:rsidR="009824F7" w:rsidRPr="000524D8" w:rsidRDefault="009824F7" w:rsidP="00367386">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Cicero, </w:t>
      </w:r>
      <w:r w:rsidRPr="000524D8">
        <w:rPr>
          <w:rFonts w:ascii="Times New Roman" w:hAnsi="Times New Roman" w:cs="Times New Roman"/>
          <w:i/>
          <w:sz w:val="20"/>
          <w:szCs w:val="20"/>
        </w:rPr>
        <w:t>On Obligations,</w:t>
      </w:r>
      <w:r w:rsidRPr="000524D8">
        <w:rPr>
          <w:rFonts w:ascii="Times New Roman" w:hAnsi="Times New Roman" w:cs="Times New Roman"/>
          <w:sz w:val="20"/>
          <w:szCs w:val="20"/>
        </w:rPr>
        <w:t xml:space="preserve"> III.19-39.</w:t>
      </w:r>
    </w:p>
  </w:footnote>
  <w:footnote w:id="85">
    <w:p w14:paraId="069B189E" w14:textId="5A488097" w:rsidR="009824F7" w:rsidRPr="000524D8" w:rsidRDefault="009824F7" w:rsidP="00367386">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Cicero, </w:t>
      </w:r>
      <w:r w:rsidRPr="000524D8">
        <w:rPr>
          <w:rFonts w:ascii="Times New Roman" w:hAnsi="Times New Roman" w:cs="Times New Roman"/>
          <w:i/>
          <w:sz w:val="20"/>
          <w:szCs w:val="20"/>
        </w:rPr>
        <w:t>On Obligations,</w:t>
      </w:r>
      <w:r w:rsidRPr="000524D8">
        <w:rPr>
          <w:rFonts w:ascii="Times New Roman" w:hAnsi="Times New Roman" w:cs="Times New Roman"/>
          <w:sz w:val="20"/>
          <w:szCs w:val="20"/>
        </w:rPr>
        <w:t xml:space="preserve"> I.4.</w:t>
      </w:r>
    </w:p>
  </w:footnote>
  <w:footnote w:id="86">
    <w:p w14:paraId="070C120F" w14:textId="2A7A099B" w:rsidR="009824F7" w:rsidRPr="000524D8" w:rsidRDefault="009824F7" w:rsidP="00367386">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Cicero, </w:t>
      </w:r>
      <w:r w:rsidRPr="000524D8">
        <w:rPr>
          <w:rFonts w:ascii="Times New Roman" w:hAnsi="Times New Roman" w:cs="Times New Roman"/>
          <w:i/>
          <w:sz w:val="20"/>
          <w:szCs w:val="20"/>
        </w:rPr>
        <w:t>On Obligations</w:t>
      </w:r>
      <w:r w:rsidRPr="000524D8">
        <w:rPr>
          <w:rFonts w:ascii="Times New Roman" w:hAnsi="Times New Roman" w:cs="Times New Roman"/>
          <w:sz w:val="20"/>
          <w:szCs w:val="20"/>
        </w:rPr>
        <w:t>, I.23.</w:t>
      </w:r>
    </w:p>
  </w:footnote>
  <w:footnote w:id="87">
    <w:p w14:paraId="63BE672F" w14:textId="391171CD"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Though there will often be instances where no conflict exists.</w:t>
      </w:r>
    </w:p>
  </w:footnote>
  <w:footnote w:id="88">
    <w:p w14:paraId="7D0292BD" w14:textId="22E0A620"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Cicero, </w:t>
      </w:r>
      <w:r w:rsidRPr="000524D8">
        <w:rPr>
          <w:rFonts w:ascii="Times New Roman" w:hAnsi="Times New Roman" w:cs="Times New Roman"/>
          <w:i/>
          <w:sz w:val="20"/>
          <w:szCs w:val="20"/>
        </w:rPr>
        <w:t>On Obligations,</w:t>
      </w:r>
      <w:r w:rsidRPr="000524D8">
        <w:rPr>
          <w:rFonts w:ascii="Times New Roman" w:hAnsi="Times New Roman" w:cs="Times New Roman"/>
          <w:sz w:val="20"/>
          <w:szCs w:val="20"/>
        </w:rPr>
        <w:t xml:space="preserve"> II.10.</w:t>
      </w:r>
    </w:p>
  </w:footnote>
  <w:footnote w:id="89">
    <w:p w14:paraId="3E3111BC" w14:textId="44AFFAE3"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In the original, ‘lege</w:t>
      </w:r>
      <w:r w:rsidRPr="000524D8">
        <w:rPr>
          <w:rFonts w:ascii="Times New Roman" w:hAnsi="Times New Roman" w:cs="Times New Roman"/>
          <w:i/>
          <w:sz w:val="20"/>
          <w:szCs w:val="20"/>
        </w:rPr>
        <w:t>’</w:t>
      </w:r>
      <w:r w:rsidRPr="000524D8">
        <w:rPr>
          <w:rFonts w:ascii="Times New Roman" w:hAnsi="Times New Roman" w:cs="Times New Roman"/>
          <w:sz w:val="20"/>
          <w:szCs w:val="20"/>
        </w:rPr>
        <w:t xml:space="preserve">. ‘Lex’ has a more specific meaning, relating to a specific law rather than a more general right. </w:t>
      </w:r>
    </w:p>
  </w:footnote>
  <w:footnote w:id="90">
    <w:p w14:paraId="3472F13A" w14:textId="1F51CC21"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Cicero, </w:t>
      </w:r>
      <w:r w:rsidRPr="000524D8">
        <w:rPr>
          <w:rFonts w:ascii="Times New Roman" w:hAnsi="Times New Roman" w:cs="Times New Roman"/>
          <w:i/>
          <w:sz w:val="20"/>
          <w:szCs w:val="20"/>
        </w:rPr>
        <w:t>On Obligations,</w:t>
      </w:r>
      <w:r w:rsidRPr="000524D8">
        <w:rPr>
          <w:rFonts w:ascii="Times New Roman" w:hAnsi="Times New Roman" w:cs="Times New Roman"/>
          <w:sz w:val="20"/>
          <w:szCs w:val="20"/>
        </w:rPr>
        <w:t xml:space="preserve"> I.20-21.</w:t>
      </w:r>
    </w:p>
  </w:footnote>
  <w:footnote w:id="91">
    <w:p w14:paraId="083689E8" w14:textId="2010D1CD"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The </w:t>
      </w:r>
      <w:r w:rsidRPr="000524D8">
        <w:rPr>
          <w:rFonts w:ascii="Times New Roman" w:hAnsi="Times New Roman" w:cs="Times New Roman"/>
          <w:i/>
          <w:sz w:val="20"/>
          <w:szCs w:val="20"/>
        </w:rPr>
        <w:t>fasces</w:t>
      </w:r>
      <w:r w:rsidRPr="000524D8">
        <w:rPr>
          <w:rFonts w:ascii="Times New Roman" w:hAnsi="Times New Roman" w:cs="Times New Roman"/>
          <w:sz w:val="20"/>
          <w:szCs w:val="20"/>
        </w:rPr>
        <w:t>, a physical representation of official power.</w:t>
      </w:r>
    </w:p>
  </w:footnote>
  <w:footnote w:id="92">
    <w:p w14:paraId="3F33C01C" w14:textId="404D67B6"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Cicero, </w:t>
      </w:r>
      <w:r w:rsidRPr="000524D8">
        <w:rPr>
          <w:rFonts w:ascii="Times New Roman" w:hAnsi="Times New Roman" w:cs="Times New Roman"/>
          <w:i/>
          <w:sz w:val="20"/>
          <w:szCs w:val="20"/>
        </w:rPr>
        <w:t xml:space="preserve">In Verrem, </w:t>
      </w:r>
      <w:r w:rsidRPr="000524D8">
        <w:rPr>
          <w:rFonts w:ascii="Times New Roman" w:hAnsi="Times New Roman" w:cs="Times New Roman"/>
          <w:sz w:val="20"/>
          <w:szCs w:val="20"/>
        </w:rPr>
        <w:t xml:space="preserve">II.5, 39. Translation in: Cicero, </w:t>
      </w:r>
      <w:r w:rsidRPr="000524D8">
        <w:rPr>
          <w:rFonts w:ascii="Times New Roman" w:hAnsi="Times New Roman" w:cs="Times New Roman"/>
          <w:i/>
          <w:sz w:val="20"/>
          <w:szCs w:val="20"/>
        </w:rPr>
        <w:t>Political Speeches</w:t>
      </w:r>
      <w:r w:rsidRPr="000524D8">
        <w:rPr>
          <w:rFonts w:ascii="Times New Roman" w:hAnsi="Times New Roman" w:cs="Times New Roman"/>
          <w:sz w:val="20"/>
          <w:szCs w:val="20"/>
        </w:rPr>
        <w:t xml:space="preserve"> (tr. D.H Berry, OUP 2011), 44.</w:t>
      </w:r>
    </w:p>
  </w:footnote>
  <w:footnote w:id="93">
    <w:p w14:paraId="6EBB17ED" w14:textId="2D967DF7" w:rsidR="009824F7" w:rsidRPr="000524D8" w:rsidRDefault="009824F7" w:rsidP="00B102B8">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J Finnis, </w:t>
      </w:r>
      <w:r w:rsidRPr="000524D8">
        <w:rPr>
          <w:rFonts w:ascii="Times New Roman" w:hAnsi="Times New Roman" w:cs="Times New Roman"/>
          <w:i/>
          <w:sz w:val="20"/>
          <w:szCs w:val="20"/>
        </w:rPr>
        <w:t>Aquinas</w:t>
      </w:r>
      <w:r w:rsidRPr="000524D8">
        <w:rPr>
          <w:rFonts w:ascii="Times New Roman" w:hAnsi="Times New Roman" w:cs="Times New Roman"/>
          <w:sz w:val="20"/>
          <w:szCs w:val="20"/>
        </w:rPr>
        <w:t xml:space="preserve"> (OUP 1998) 11.</w:t>
      </w:r>
    </w:p>
  </w:footnote>
  <w:footnote w:id="94">
    <w:p w14:paraId="1A91DDF4" w14:textId="016B386A" w:rsidR="009824F7" w:rsidRPr="000524D8" w:rsidRDefault="009824F7" w:rsidP="00B102B8">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N.W Barber, </w:t>
      </w:r>
      <w:r w:rsidRPr="000524D8">
        <w:rPr>
          <w:rFonts w:ascii="Times New Roman" w:hAnsi="Times New Roman" w:cs="Times New Roman"/>
          <w:i/>
          <w:sz w:val="20"/>
          <w:szCs w:val="20"/>
        </w:rPr>
        <w:t>The Constitutional State</w:t>
      </w:r>
      <w:r w:rsidRPr="000524D8">
        <w:rPr>
          <w:rFonts w:ascii="Times New Roman" w:hAnsi="Times New Roman" w:cs="Times New Roman"/>
          <w:sz w:val="20"/>
          <w:szCs w:val="20"/>
        </w:rPr>
        <w:t xml:space="preserve"> (OUP 2012) 11ff.</w:t>
      </w:r>
    </w:p>
  </w:footnote>
  <w:footnote w:id="95">
    <w:p w14:paraId="68FCA10C" w14:textId="132A2195" w:rsidR="009824F7" w:rsidRPr="000524D8" w:rsidRDefault="009824F7" w:rsidP="00B102B8">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n</w:t>
      </w:r>
      <w:r w:rsidRPr="000524D8">
        <w:rPr>
          <w:rFonts w:ascii="Times New Roman" w:hAnsi="Times New Roman" w:cs="Times New Roman"/>
          <w:sz w:val="20"/>
          <w:szCs w:val="20"/>
        </w:rPr>
        <w:fldChar w:fldCharType="begin"/>
      </w:r>
      <w:r w:rsidRPr="000524D8">
        <w:rPr>
          <w:rFonts w:ascii="Times New Roman" w:hAnsi="Times New Roman" w:cs="Times New Roman"/>
          <w:sz w:val="20"/>
          <w:szCs w:val="20"/>
        </w:rPr>
        <w:instrText xml:space="preserve"> NOTEREF _Ref425499943 \h  \* MERGEFORMAT </w:instrText>
      </w:r>
      <w:r w:rsidRPr="000524D8">
        <w:rPr>
          <w:rFonts w:ascii="Times New Roman" w:hAnsi="Times New Roman" w:cs="Times New Roman"/>
          <w:sz w:val="20"/>
          <w:szCs w:val="20"/>
        </w:rPr>
      </w:r>
      <w:r w:rsidRPr="000524D8">
        <w:rPr>
          <w:rFonts w:ascii="Times New Roman" w:hAnsi="Times New Roman" w:cs="Times New Roman"/>
          <w:sz w:val="20"/>
          <w:szCs w:val="20"/>
        </w:rPr>
        <w:fldChar w:fldCharType="separate"/>
      </w:r>
      <w:r w:rsidR="005506F3" w:rsidRPr="000524D8">
        <w:rPr>
          <w:rFonts w:ascii="Times New Roman" w:hAnsi="Times New Roman" w:cs="Times New Roman"/>
          <w:sz w:val="20"/>
          <w:szCs w:val="20"/>
        </w:rPr>
        <w:t>57</w:t>
      </w:r>
      <w:r w:rsidRPr="000524D8">
        <w:rPr>
          <w:rFonts w:ascii="Times New Roman" w:hAnsi="Times New Roman" w:cs="Times New Roman"/>
          <w:sz w:val="20"/>
          <w:szCs w:val="20"/>
        </w:rPr>
        <w:fldChar w:fldCharType="end"/>
      </w:r>
      <w:r w:rsidRPr="000524D8">
        <w:rPr>
          <w:rFonts w:ascii="Times New Roman" w:hAnsi="Times New Roman" w:cs="Times New Roman"/>
          <w:sz w:val="20"/>
          <w:szCs w:val="20"/>
        </w:rPr>
        <w:t xml:space="preserve"> and accompanying text. The Articles in question are: 18, 19(c), 41(b)(ii), 58(b)(ii), 60(b) and most notably, 31(1): ‘A treaty shall be interpreted in good faith in accordance with the ordinary meaning to be given to the terms of the treaty in their context and in the light of its object and purpose’.</w:t>
      </w:r>
    </w:p>
  </w:footnote>
  <w:footnote w:id="96">
    <w:p w14:paraId="1A8F0B95" w14:textId="336E67F2" w:rsidR="009824F7" w:rsidRPr="000524D8" w:rsidRDefault="009824F7" w:rsidP="003A2AB3">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For a concise analysis of Kelsen’s theories on monism: F Rigaux, ‘Hans Kelsen on International Law’, 9 </w:t>
      </w:r>
      <w:r w:rsidRPr="000524D8">
        <w:rPr>
          <w:rFonts w:ascii="Times New Roman" w:hAnsi="Times New Roman" w:cs="Times New Roman"/>
          <w:i/>
          <w:sz w:val="20"/>
          <w:szCs w:val="20"/>
        </w:rPr>
        <w:t>European Journal of International Law</w:t>
      </w:r>
      <w:r w:rsidRPr="000524D8">
        <w:rPr>
          <w:rFonts w:ascii="Times New Roman" w:hAnsi="Times New Roman" w:cs="Times New Roman"/>
          <w:sz w:val="20"/>
          <w:szCs w:val="20"/>
        </w:rPr>
        <w:t xml:space="preserve"> (1998) 325.</w:t>
      </w:r>
    </w:p>
  </w:footnote>
  <w:footnote w:id="97">
    <w:p w14:paraId="3CDE256C" w14:textId="65095E2A"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Reflections of this result can be seen in the ‘public purpose’ requirement for lawful expropriation under international investment law: ‘That limitation, however, has not figured prominently in international claims practice, perhaps because the concept of public purpose is broad and not subject to effective re-examination by other states.’ American Law Institute, </w:t>
      </w:r>
      <w:r w:rsidRPr="000524D8">
        <w:rPr>
          <w:rFonts w:ascii="Times New Roman" w:hAnsi="Times New Roman" w:cs="Times New Roman"/>
          <w:bCs/>
          <w:i/>
          <w:sz w:val="20"/>
          <w:szCs w:val="20"/>
        </w:rPr>
        <w:t>Restatement of the Law Third, Foreign Relations Law of the United States</w:t>
      </w:r>
      <w:r w:rsidRPr="000524D8">
        <w:rPr>
          <w:rFonts w:ascii="Times New Roman" w:hAnsi="Times New Roman" w:cs="Times New Roman"/>
          <w:sz w:val="20"/>
          <w:szCs w:val="20"/>
        </w:rPr>
        <w:t xml:space="preserve"> (1987) Vol. II, 200.</w:t>
      </w:r>
    </w:p>
  </w:footnote>
  <w:footnote w:id="98">
    <w:p w14:paraId="0E438265" w14:textId="5DC83796"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This is an echo of the logic underpinning the opinion of Lord Browne-Wilkinson in </w:t>
      </w:r>
      <w:r w:rsidRPr="000524D8">
        <w:rPr>
          <w:rFonts w:ascii="Times New Roman" w:hAnsi="Times New Roman" w:cs="Times New Roman"/>
          <w:i/>
          <w:sz w:val="20"/>
          <w:szCs w:val="20"/>
          <w:lang w:val="en-US"/>
        </w:rPr>
        <w:t>R v Bow Street Magistrates ex p Pinochet</w:t>
      </w:r>
      <w:r w:rsidRPr="000524D8">
        <w:rPr>
          <w:rFonts w:ascii="Times New Roman" w:hAnsi="Times New Roman" w:cs="Times New Roman"/>
          <w:sz w:val="20"/>
          <w:szCs w:val="20"/>
          <w:lang w:val="en-US"/>
        </w:rPr>
        <w:t xml:space="preserve"> [2000] 1 A.C. 147. HL.</w:t>
      </w:r>
    </w:p>
  </w:footnote>
  <w:footnote w:id="99">
    <w:p w14:paraId="23D529AF" w14:textId="1A698962"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Politics</w:t>
      </w:r>
      <w:r w:rsidRPr="000524D8">
        <w:rPr>
          <w:rFonts w:ascii="Times New Roman" w:hAnsi="Times New Roman" w:cs="Times New Roman"/>
          <w:sz w:val="20"/>
          <w:szCs w:val="20"/>
        </w:rPr>
        <w:t>, I.3, 1253b1-1260b8.</w:t>
      </w:r>
    </w:p>
  </w:footnote>
  <w:footnote w:id="100">
    <w:p w14:paraId="5982E7C4" w14:textId="554D880F"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‘We must clarify the </w:t>
      </w:r>
      <w:r w:rsidRPr="000524D8">
        <w:rPr>
          <w:rFonts w:ascii="Times New Roman" w:hAnsi="Times New Roman" w:cs="Times New Roman"/>
          <w:i/>
          <w:sz w:val="20"/>
          <w:szCs w:val="20"/>
        </w:rPr>
        <w:t xml:space="preserve">nature </w:t>
      </w:r>
      <w:r w:rsidRPr="000524D8">
        <w:rPr>
          <w:rFonts w:ascii="Times New Roman" w:hAnsi="Times New Roman" w:cs="Times New Roman"/>
          <w:sz w:val="20"/>
          <w:szCs w:val="20"/>
        </w:rPr>
        <w:t xml:space="preserve">of justice, and that has to be deduced from the nature of man. Then we must consider the laws by which states ought to be governed, and finally deal with the laws and enactments which peoples have compiled and written down.’ Cicero, </w:t>
      </w:r>
      <w:r w:rsidRPr="000524D8">
        <w:rPr>
          <w:rFonts w:ascii="Times New Roman" w:hAnsi="Times New Roman" w:cs="Times New Roman"/>
          <w:i/>
          <w:sz w:val="20"/>
          <w:szCs w:val="20"/>
        </w:rPr>
        <w:t>The Laws</w:t>
      </w:r>
      <w:r w:rsidRPr="000524D8">
        <w:rPr>
          <w:rFonts w:ascii="Times New Roman" w:hAnsi="Times New Roman" w:cs="Times New Roman"/>
          <w:sz w:val="20"/>
          <w:szCs w:val="20"/>
        </w:rPr>
        <w:t>, I.17.</w:t>
      </w:r>
    </w:p>
  </w:footnote>
  <w:footnote w:id="101">
    <w:p w14:paraId="2A85EA5E" w14:textId="52571F47"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n</w:t>
      </w:r>
      <w:r w:rsidRPr="000524D8">
        <w:rPr>
          <w:rFonts w:ascii="Times New Roman" w:hAnsi="Times New Roman" w:cs="Times New Roman"/>
          <w:sz w:val="20"/>
          <w:szCs w:val="20"/>
        </w:rPr>
        <w:fldChar w:fldCharType="begin"/>
      </w:r>
      <w:r w:rsidRPr="000524D8">
        <w:rPr>
          <w:rFonts w:ascii="Times New Roman" w:hAnsi="Times New Roman" w:cs="Times New Roman"/>
          <w:sz w:val="20"/>
          <w:szCs w:val="20"/>
        </w:rPr>
        <w:instrText xml:space="preserve"> NOTEREF _Ref260653142  \* MERGEFORMAT </w:instrText>
      </w:r>
      <w:r w:rsidRPr="000524D8">
        <w:rPr>
          <w:rFonts w:ascii="Times New Roman" w:hAnsi="Times New Roman" w:cs="Times New Roman"/>
          <w:sz w:val="20"/>
          <w:szCs w:val="20"/>
        </w:rPr>
        <w:fldChar w:fldCharType="separate"/>
      </w:r>
      <w:r w:rsidR="005506F3" w:rsidRPr="000524D8">
        <w:rPr>
          <w:rFonts w:ascii="Times New Roman" w:hAnsi="Times New Roman" w:cs="Times New Roman"/>
          <w:sz w:val="20"/>
          <w:szCs w:val="20"/>
        </w:rPr>
        <w:t>92</w:t>
      </w:r>
      <w:r w:rsidRPr="000524D8">
        <w:rPr>
          <w:rFonts w:ascii="Times New Roman" w:hAnsi="Times New Roman" w:cs="Times New Roman"/>
          <w:sz w:val="20"/>
          <w:szCs w:val="20"/>
        </w:rPr>
        <w:fldChar w:fldCharType="end"/>
      </w:r>
      <w:r w:rsidRPr="000524D8">
        <w:rPr>
          <w:rFonts w:ascii="Times New Roman" w:hAnsi="Times New Roman" w:cs="Times New Roman"/>
          <w:sz w:val="20"/>
          <w:szCs w:val="20"/>
        </w:rPr>
        <w:t xml:space="preserve"> and corresponding text.</w:t>
      </w:r>
    </w:p>
  </w:footnote>
  <w:footnote w:id="102">
    <w:p w14:paraId="12FCD487" w14:textId="64FA9F3D"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 xml:space="preserve">Politics, </w:t>
      </w:r>
      <w:r w:rsidRPr="000524D8">
        <w:rPr>
          <w:rFonts w:ascii="Times New Roman" w:hAnsi="Times New Roman" w:cs="Times New Roman"/>
          <w:sz w:val="20"/>
          <w:szCs w:val="20"/>
        </w:rPr>
        <w:t>III.9, 1280a25.</w:t>
      </w:r>
    </w:p>
  </w:footnote>
  <w:footnote w:id="103">
    <w:p w14:paraId="59935136" w14:textId="43F5CD20"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Note the designation of Doha as a ‘development’ round and the numerous commitments and specific provisions under the covered agreements</w:t>
      </w:r>
      <w:r w:rsidRPr="000524D8">
        <w:rPr>
          <w:rFonts w:ascii="Times New Roman" w:hAnsi="Times New Roman" w:cs="Times New Roman"/>
          <w:sz w:val="20"/>
          <w:szCs w:val="20"/>
          <w:lang w:val="en-US"/>
        </w:rPr>
        <w:t xml:space="preserve">. For a detailed analysis: S Rolland, </w:t>
      </w:r>
      <w:r w:rsidRPr="000524D8">
        <w:rPr>
          <w:rFonts w:ascii="Times New Roman" w:hAnsi="Times New Roman" w:cs="Times New Roman"/>
          <w:i/>
          <w:sz w:val="20"/>
          <w:szCs w:val="20"/>
          <w:lang w:val="en-US"/>
        </w:rPr>
        <w:t>Development at the WTO</w:t>
      </w:r>
      <w:r w:rsidRPr="000524D8">
        <w:rPr>
          <w:rFonts w:ascii="Times New Roman" w:hAnsi="Times New Roman" w:cs="Times New Roman"/>
          <w:sz w:val="20"/>
          <w:szCs w:val="20"/>
          <w:lang w:val="en-US"/>
        </w:rPr>
        <w:t xml:space="preserve"> (OUP 2012). The success or otherwise of the WTO in achieving these aims is, of course, subject to debate.</w:t>
      </w:r>
    </w:p>
  </w:footnote>
  <w:footnote w:id="104">
    <w:p w14:paraId="14FB4B3E" w14:textId="71446D6C"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For example, </w:t>
      </w:r>
      <w:r w:rsidRPr="000524D8">
        <w:rPr>
          <w:rFonts w:ascii="Times New Roman" w:hAnsi="Times New Roman" w:cs="Times New Roman"/>
          <w:sz w:val="20"/>
          <w:szCs w:val="20"/>
          <w:lang w:val="en-US"/>
        </w:rPr>
        <w:t xml:space="preserve">Marrakesh Declaration of 15 April 1994, paragraph 1, identifying ‘the stronger and clearer legal framework [Members] have adopted for the conduct of international trade, including a more effective and reliable dispute settlement system’. </w:t>
      </w:r>
    </w:p>
  </w:footnote>
  <w:footnote w:id="105">
    <w:p w14:paraId="32D35857" w14:textId="5FD940BF"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See, for example, the Doha Ministerial Declaration: </w:t>
      </w:r>
      <w:r w:rsidRPr="000524D8">
        <w:rPr>
          <w:rFonts w:ascii="Times New Roman" w:hAnsi="Times New Roman" w:cs="Times New Roman"/>
          <w:sz w:val="20"/>
          <w:szCs w:val="20"/>
          <w:lang w:val="en-US"/>
        </w:rPr>
        <w:t xml:space="preserve">‘We recognize the need for </w:t>
      </w:r>
      <w:r w:rsidRPr="000524D8">
        <w:rPr>
          <w:rFonts w:ascii="Times New Roman" w:hAnsi="Times New Roman" w:cs="Times New Roman"/>
          <w:i/>
          <w:sz w:val="20"/>
          <w:szCs w:val="20"/>
          <w:lang w:val="en-US"/>
        </w:rPr>
        <w:t xml:space="preserve">all our peoples </w:t>
      </w:r>
      <w:r w:rsidRPr="000524D8">
        <w:rPr>
          <w:rFonts w:ascii="Times New Roman" w:hAnsi="Times New Roman" w:cs="Times New Roman"/>
          <w:sz w:val="20"/>
          <w:szCs w:val="20"/>
          <w:lang w:val="en-US"/>
        </w:rPr>
        <w:t>to benefit from the increased opportunities and welfare gains that the multilateral trading system generates.’ WT/MIN(01)/DEC/1 20 November 2001, emphasis added.</w:t>
      </w:r>
    </w:p>
  </w:footnote>
  <w:footnote w:id="106">
    <w:p w14:paraId="21F75E1C" w14:textId="43539FFA"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 xml:space="preserve">Politics, </w:t>
      </w:r>
      <w:r w:rsidRPr="000524D8">
        <w:rPr>
          <w:rFonts w:ascii="Times New Roman" w:hAnsi="Times New Roman" w:cs="Times New Roman"/>
          <w:sz w:val="20"/>
          <w:szCs w:val="20"/>
        </w:rPr>
        <w:t>III.9, 1280a25.</w:t>
      </w:r>
    </w:p>
  </w:footnote>
  <w:footnote w:id="107">
    <w:p w14:paraId="6B6EFCCF" w14:textId="4B8DAF89"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Aristotle, </w:t>
      </w:r>
      <w:r w:rsidRPr="000524D8">
        <w:rPr>
          <w:rFonts w:ascii="Times New Roman" w:hAnsi="Times New Roman" w:cs="Times New Roman"/>
          <w:i/>
          <w:sz w:val="20"/>
          <w:szCs w:val="20"/>
        </w:rPr>
        <w:t xml:space="preserve">Politics, </w:t>
      </w:r>
      <w:r w:rsidRPr="000524D8">
        <w:rPr>
          <w:rFonts w:ascii="Times New Roman" w:hAnsi="Times New Roman" w:cs="Times New Roman"/>
          <w:sz w:val="20"/>
          <w:szCs w:val="20"/>
        </w:rPr>
        <w:t>III.9, 1280b29.</w:t>
      </w:r>
    </w:p>
  </w:footnote>
  <w:footnote w:id="108">
    <w:p w14:paraId="042EE068" w14:textId="1EF53909"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Ibid</w:t>
      </w:r>
      <w:r w:rsidRPr="000524D8">
        <w:rPr>
          <w:rFonts w:ascii="Times New Roman" w:hAnsi="Times New Roman" w:cs="Times New Roman"/>
          <w:sz w:val="20"/>
          <w:szCs w:val="20"/>
        </w:rPr>
        <w:t>.</w:t>
      </w:r>
    </w:p>
  </w:footnote>
  <w:footnote w:id="109">
    <w:p w14:paraId="21FAA4AB" w14:textId="7065D433"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Thus Finnis’ critique: ‘we must conclude that the claim of the national state to be a complete community is unwarranted and the postulate of the national legal order, that it is supreme and comprehensive and an exclusive source of legal obligation, is increasingly what lawyers would call a “legal fiction”.’ J Finnis, </w:t>
      </w:r>
      <w:r w:rsidRPr="000524D8">
        <w:rPr>
          <w:rFonts w:ascii="Times New Roman" w:hAnsi="Times New Roman" w:cs="Times New Roman"/>
          <w:i/>
          <w:sz w:val="20"/>
          <w:szCs w:val="20"/>
        </w:rPr>
        <w:t>Natural Law &amp; Natural Rights</w:t>
      </w:r>
      <w:r w:rsidRPr="000524D8">
        <w:rPr>
          <w:rFonts w:ascii="Times New Roman" w:hAnsi="Times New Roman" w:cs="Times New Roman"/>
          <w:sz w:val="20"/>
          <w:szCs w:val="20"/>
        </w:rPr>
        <w:t xml:space="preserve"> (2</w:t>
      </w:r>
      <w:r w:rsidRPr="000524D8">
        <w:rPr>
          <w:rFonts w:ascii="Times New Roman" w:hAnsi="Times New Roman" w:cs="Times New Roman"/>
          <w:sz w:val="20"/>
          <w:szCs w:val="20"/>
          <w:vertAlign w:val="superscript"/>
        </w:rPr>
        <w:t>nd</w:t>
      </w:r>
      <w:r w:rsidRPr="000524D8">
        <w:rPr>
          <w:rFonts w:ascii="Times New Roman" w:hAnsi="Times New Roman" w:cs="Times New Roman"/>
          <w:sz w:val="20"/>
          <w:szCs w:val="20"/>
        </w:rPr>
        <w:t xml:space="preserve"> ed. OUP 2011)</w:t>
      </w:r>
      <w:r w:rsidRPr="000524D8">
        <w:rPr>
          <w:rFonts w:ascii="Times New Roman" w:hAnsi="Times New Roman" w:cs="Times New Roman"/>
          <w:sz w:val="20"/>
          <w:szCs w:val="20"/>
          <w:lang w:val="en-US"/>
        </w:rPr>
        <w:t xml:space="preserve"> 150.</w:t>
      </w:r>
    </w:p>
  </w:footnote>
  <w:footnote w:id="110">
    <w:p w14:paraId="33B5EDA0" w14:textId="1B87145E"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V Lowe, </w:t>
      </w:r>
      <w:r w:rsidRPr="000524D8">
        <w:rPr>
          <w:rFonts w:ascii="Times New Roman" w:hAnsi="Times New Roman" w:cs="Times New Roman"/>
          <w:i/>
          <w:sz w:val="20"/>
          <w:szCs w:val="20"/>
        </w:rPr>
        <w:t>International Law</w:t>
      </w:r>
      <w:r w:rsidRPr="000524D8">
        <w:rPr>
          <w:rFonts w:ascii="Times New Roman" w:hAnsi="Times New Roman" w:cs="Times New Roman"/>
          <w:sz w:val="20"/>
          <w:szCs w:val="20"/>
        </w:rPr>
        <w:t xml:space="preserve"> (OUP 2007) 1: ‘The world needs international law, because no State acting alone can achieve its aims.’</w:t>
      </w:r>
    </w:p>
  </w:footnote>
  <w:footnote w:id="111">
    <w:p w14:paraId="33949D4F" w14:textId="30C7199C" w:rsidR="009824F7" w:rsidRPr="000524D8" w:rsidRDefault="009824F7" w:rsidP="00BE5B5F">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That the political concept of what constitutes the ‘public’ span jurisdictional borders and the boundaries between legal systems need not surprise. Phillip Allott’s critique of the Vattelian move in international law, permitting the distinction between the individual and acts done in the name of a legal fiction, the State, expresses the fundamental disquiet with both the artificiality of the separation as well as its consequences: P Allott, </w:t>
      </w:r>
      <w:r w:rsidRPr="000524D8">
        <w:rPr>
          <w:rFonts w:ascii="Times New Roman" w:hAnsi="Times New Roman" w:cs="Times New Roman"/>
          <w:i/>
          <w:sz w:val="20"/>
          <w:szCs w:val="20"/>
        </w:rPr>
        <w:t>Eunomia: A New Order for a New World</w:t>
      </w:r>
      <w:r w:rsidRPr="000524D8">
        <w:rPr>
          <w:rFonts w:ascii="Times New Roman" w:hAnsi="Times New Roman" w:cs="Times New Roman"/>
          <w:sz w:val="20"/>
          <w:szCs w:val="20"/>
        </w:rPr>
        <w:t xml:space="preserve"> (OUP 2001) 243-253.</w:t>
      </w:r>
    </w:p>
  </w:footnote>
  <w:footnote w:id="112">
    <w:p w14:paraId="34C3224C" w14:textId="0C5777A4"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A notable exception is Matthias Goldmann’s working paper (</w:t>
      </w:r>
      <w:r w:rsidRPr="000524D8">
        <w:rPr>
          <w:rFonts w:ascii="Times New Roman" w:hAnsi="Times New Roman" w:cs="Times New Roman"/>
          <w:i/>
          <w:sz w:val="20"/>
          <w:szCs w:val="20"/>
          <w:lang w:val="en-US"/>
        </w:rPr>
        <w:t xml:space="preserve">supra </w:t>
      </w:r>
      <w:r w:rsidRPr="000524D8">
        <w:rPr>
          <w:rFonts w:ascii="Times New Roman" w:hAnsi="Times New Roman" w:cs="Times New Roman"/>
          <w:sz w:val="20"/>
          <w:szCs w:val="20"/>
          <w:lang w:val="en-US"/>
        </w:rPr>
        <w:t>n</w:t>
      </w:r>
      <w:r w:rsidRPr="000524D8">
        <w:rPr>
          <w:rFonts w:ascii="Times New Roman" w:hAnsi="Times New Roman" w:cs="Times New Roman"/>
          <w:sz w:val="20"/>
          <w:szCs w:val="20"/>
          <w:lang w:val="en-US"/>
        </w:rPr>
        <w:fldChar w:fldCharType="begin"/>
      </w:r>
      <w:r w:rsidRPr="000524D8">
        <w:rPr>
          <w:rFonts w:ascii="Times New Roman" w:hAnsi="Times New Roman" w:cs="Times New Roman"/>
          <w:sz w:val="20"/>
          <w:szCs w:val="20"/>
          <w:lang w:val="en-US"/>
        </w:rPr>
        <w:instrText xml:space="preserve"> NOTEREF _Ref280528304  \* MERGEFORMAT </w:instrText>
      </w:r>
      <w:r w:rsidRPr="000524D8">
        <w:rPr>
          <w:rFonts w:ascii="Times New Roman" w:hAnsi="Times New Roman" w:cs="Times New Roman"/>
          <w:sz w:val="20"/>
          <w:szCs w:val="20"/>
          <w:lang w:val="en-US"/>
        </w:rPr>
        <w:fldChar w:fldCharType="separate"/>
      </w:r>
      <w:r w:rsidR="005506F3" w:rsidRPr="000524D8">
        <w:rPr>
          <w:rFonts w:ascii="Times New Roman" w:hAnsi="Times New Roman" w:cs="Times New Roman"/>
          <w:sz w:val="20"/>
          <w:szCs w:val="20"/>
          <w:lang w:val="en-US"/>
        </w:rPr>
        <w:t>5</w:t>
      </w:r>
      <w:r w:rsidRPr="000524D8">
        <w:rPr>
          <w:rFonts w:ascii="Times New Roman" w:hAnsi="Times New Roman" w:cs="Times New Roman"/>
          <w:sz w:val="20"/>
          <w:szCs w:val="20"/>
          <w:lang w:val="en-US"/>
        </w:rPr>
        <w:fldChar w:fldCharType="end"/>
      </w:r>
      <w:r w:rsidRPr="000524D8">
        <w:rPr>
          <w:rFonts w:ascii="Times New Roman" w:hAnsi="Times New Roman" w:cs="Times New Roman"/>
          <w:sz w:val="20"/>
          <w:szCs w:val="20"/>
        </w:rPr>
        <w:t xml:space="preserve">) where he examines the distinction between public and private authority though the lens of discourse theory. </w:t>
      </w:r>
    </w:p>
  </w:footnote>
  <w:footnote w:id="113">
    <w:p w14:paraId="28648972" w14:textId="7357D1F0"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The </w:t>
      </w:r>
      <w:r w:rsidRPr="000524D8">
        <w:rPr>
          <w:rFonts w:ascii="Times New Roman" w:hAnsi="Times New Roman" w:cs="Times New Roman"/>
          <w:i/>
          <w:sz w:val="20"/>
          <w:szCs w:val="20"/>
          <w:lang w:val="en-US"/>
        </w:rPr>
        <w:t>telos</w:t>
      </w:r>
      <w:r w:rsidRPr="000524D8">
        <w:rPr>
          <w:rFonts w:ascii="Times New Roman" w:hAnsi="Times New Roman" w:cs="Times New Roman"/>
          <w:sz w:val="20"/>
          <w:szCs w:val="20"/>
          <w:lang w:val="en-US"/>
        </w:rPr>
        <w:t xml:space="preserve"> as a cause of the association, a reason for its existence, </w:t>
      </w:r>
      <w:r w:rsidRPr="000524D8">
        <w:rPr>
          <w:rFonts w:ascii="Times New Roman" w:hAnsi="Times New Roman" w:cs="Times New Roman"/>
          <w:i/>
          <w:sz w:val="20"/>
          <w:szCs w:val="20"/>
          <w:lang w:val="en-US"/>
        </w:rPr>
        <w:t>supra</w:t>
      </w:r>
      <w:r w:rsidRPr="000524D8">
        <w:rPr>
          <w:rFonts w:ascii="Times New Roman" w:hAnsi="Times New Roman" w:cs="Times New Roman"/>
          <w:sz w:val="20"/>
          <w:szCs w:val="20"/>
          <w:lang w:val="en-US"/>
        </w:rPr>
        <w:t xml:space="preserve"> n</w:t>
      </w:r>
      <w:r w:rsidRPr="000524D8">
        <w:rPr>
          <w:rFonts w:ascii="Times New Roman" w:hAnsi="Times New Roman" w:cs="Times New Roman"/>
          <w:sz w:val="20"/>
          <w:szCs w:val="20"/>
          <w:lang w:val="en-US"/>
        </w:rPr>
        <w:fldChar w:fldCharType="begin"/>
      </w:r>
      <w:r w:rsidRPr="000524D8">
        <w:rPr>
          <w:rFonts w:ascii="Times New Roman" w:hAnsi="Times New Roman" w:cs="Times New Roman"/>
          <w:sz w:val="20"/>
          <w:szCs w:val="20"/>
          <w:lang w:val="en-US"/>
        </w:rPr>
        <w:instrText xml:space="preserve"> NOTEREF _Ref260653182  \* MERGEFORMAT </w:instrText>
      </w:r>
      <w:r w:rsidRPr="000524D8">
        <w:rPr>
          <w:rFonts w:ascii="Times New Roman" w:hAnsi="Times New Roman" w:cs="Times New Roman"/>
          <w:sz w:val="20"/>
          <w:szCs w:val="20"/>
          <w:lang w:val="en-US"/>
        </w:rPr>
        <w:fldChar w:fldCharType="separate"/>
      </w:r>
      <w:r w:rsidR="005506F3" w:rsidRPr="000524D8">
        <w:rPr>
          <w:rFonts w:ascii="Times New Roman" w:hAnsi="Times New Roman" w:cs="Times New Roman"/>
          <w:sz w:val="20"/>
          <w:szCs w:val="20"/>
          <w:lang w:val="en-US"/>
        </w:rPr>
        <w:t>74</w:t>
      </w:r>
      <w:r w:rsidRPr="000524D8">
        <w:rPr>
          <w:rFonts w:ascii="Times New Roman" w:hAnsi="Times New Roman" w:cs="Times New Roman"/>
          <w:sz w:val="20"/>
          <w:szCs w:val="20"/>
          <w:lang w:val="en-US"/>
        </w:rPr>
        <w:fldChar w:fldCharType="end"/>
      </w:r>
      <w:r w:rsidRPr="000524D8">
        <w:rPr>
          <w:rFonts w:ascii="Times New Roman" w:hAnsi="Times New Roman" w:cs="Times New Roman"/>
          <w:sz w:val="20"/>
          <w:szCs w:val="20"/>
          <w:lang w:val="en-US"/>
        </w:rPr>
        <w:t>.</w:t>
      </w:r>
    </w:p>
  </w:footnote>
  <w:footnote w:id="114">
    <w:p w14:paraId="7855AA2E" w14:textId="0B1DDAA7"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lang w:val="en-US"/>
        </w:rPr>
        <w:t xml:space="preserve">Supra </w:t>
      </w:r>
      <w:r w:rsidRPr="000524D8">
        <w:rPr>
          <w:rFonts w:ascii="Times New Roman" w:hAnsi="Times New Roman" w:cs="Times New Roman"/>
          <w:sz w:val="20"/>
          <w:szCs w:val="20"/>
          <w:lang w:val="en-US"/>
        </w:rPr>
        <w:t>n</w:t>
      </w:r>
      <w:r w:rsidRPr="000524D8">
        <w:rPr>
          <w:rFonts w:ascii="Times New Roman" w:hAnsi="Times New Roman" w:cs="Times New Roman"/>
          <w:sz w:val="20"/>
          <w:szCs w:val="20"/>
          <w:lang w:val="en-US"/>
        </w:rPr>
        <w:fldChar w:fldCharType="begin"/>
      </w:r>
      <w:r w:rsidRPr="000524D8">
        <w:rPr>
          <w:rFonts w:ascii="Times New Roman" w:hAnsi="Times New Roman" w:cs="Times New Roman"/>
          <w:sz w:val="20"/>
          <w:szCs w:val="20"/>
          <w:lang w:val="en-US"/>
        </w:rPr>
        <w:instrText xml:space="preserve"> NOTEREF _Ref260653214  \* MERGEFORMAT </w:instrText>
      </w:r>
      <w:r w:rsidRPr="000524D8">
        <w:rPr>
          <w:rFonts w:ascii="Times New Roman" w:hAnsi="Times New Roman" w:cs="Times New Roman"/>
          <w:sz w:val="20"/>
          <w:szCs w:val="20"/>
          <w:lang w:val="en-US"/>
        </w:rPr>
        <w:fldChar w:fldCharType="separate"/>
      </w:r>
      <w:r w:rsidR="005506F3" w:rsidRPr="000524D8">
        <w:rPr>
          <w:rFonts w:ascii="Times New Roman" w:hAnsi="Times New Roman" w:cs="Times New Roman"/>
          <w:sz w:val="20"/>
          <w:szCs w:val="20"/>
          <w:lang w:val="en-US"/>
        </w:rPr>
        <w:t>110</w:t>
      </w:r>
      <w:r w:rsidRPr="000524D8">
        <w:rPr>
          <w:rFonts w:ascii="Times New Roman" w:hAnsi="Times New Roman" w:cs="Times New Roman"/>
          <w:sz w:val="20"/>
          <w:szCs w:val="20"/>
          <w:lang w:val="en-US"/>
        </w:rPr>
        <w:fldChar w:fldCharType="end"/>
      </w:r>
      <w:r w:rsidRPr="000524D8">
        <w:rPr>
          <w:rFonts w:ascii="Times New Roman" w:hAnsi="Times New Roman" w:cs="Times New Roman"/>
          <w:sz w:val="20"/>
          <w:szCs w:val="20"/>
          <w:lang w:val="en-US"/>
        </w:rPr>
        <w:t xml:space="preserve"> and corresponding text.</w:t>
      </w:r>
    </w:p>
  </w:footnote>
  <w:footnote w:id="115">
    <w:p w14:paraId="2AF4ABD8" w14:textId="72AB80CE"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J Finnis, </w:t>
      </w:r>
      <w:r w:rsidRPr="000524D8">
        <w:rPr>
          <w:rFonts w:ascii="Times New Roman" w:hAnsi="Times New Roman" w:cs="Times New Roman"/>
          <w:i/>
          <w:sz w:val="20"/>
          <w:szCs w:val="20"/>
        </w:rPr>
        <w:t xml:space="preserve">Natural Law &amp; Natural Rights </w:t>
      </w:r>
      <w:r w:rsidRPr="000524D8">
        <w:rPr>
          <w:rFonts w:ascii="Times New Roman" w:hAnsi="Times New Roman" w:cs="Times New Roman"/>
          <w:sz w:val="20"/>
          <w:szCs w:val="20"/>
        </w:rPr>
        <w:t>(2</w:t>
      </w:r>
      <w:r w:rsidRPr="000524D8">
        <w:rPr>
          <w:rFonts w:ascii="Times New Roman" w:hAnsi="Times New Roman" w:cs="Times New Roman"/>
          <w:sz w:val="20"/>
          <w:szCs w:val="20"/>
          <w:vertAlign w:val="superscript"/>
        </w:rPr>
        <w:t>nd</w:t>
      </w:r>
      <w:r w:rsidRPr="000524D8">
        <w:rPr>
          <w:rFonts w:ascii="Times New Roman" w:hAnsi="Times New Roman" w:cs="Times New Roman"/>
          <w:sz w:val="20"/>
          <w:szCs w:val="20"/>
        </w:rPr>
        <w:t xml:space="preserve"> ed. OUP 2011) 154.</w:t>
      </w:r>
    </w:p>
  </w:footnote>
  <w:footnote w:id="116">
    <w:p w14:paraId="37343460" w14:textId="77777777" w:rsidR="009824F7" w:rsidRPr="000524D8" w:rsidRDefault="009824F7" w:rsidP="000548EF">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lang w:val="en-US"/>
        </w:rPr>
        <w:t>Inter alia,</w:t>
      </w:r>
      <w:r w:rsidRPr="000524D8">
        <w:rPr>
          <w:rFonts w:ascii="Times New Roman" w:hAnsi="Times New Roman" w:cs="Times New Roman"/>
          <w:sz w:val="20"/>
          <w:szCs w:val="20"/>
          <w:lang w:val="en-US"/>
        </w:rPr>
        <w:t xml:space="preserve"> R Baldwin, ‘The Case for a Multilateral Trade Organization’, in A Narlikar, M Daunton &amp; R Stern (eds.), </w:t>
      </w:r>
      <w:r w:rsidRPr="000524D8">
        <w:rPr>
          <w:rFonts w:ascii="Times New Roman" w:hAnsi="Times New Roman" w:cs="Times New Roman"/>
          <w:i/>
          <w:sz w:val="20"/>
          <w:szCs w:val="20"/>
          <w:lang w:val="en-US"/>
        </w:rPr>
        <w:t>The Oxford Handbook on the World Trade Organization</w:t>
      </w:r>
      <w:r w:rsidRPr="000524D8">
        <w:rPr>
          <w:rFonts w:ascii="Times New Roman" w:hAnsi="Times New Roman" w:cs="Times New Roman"/>
          <w:sz w:val="20"/>
          <w:szCs w:val="20"/>
          <w:lang w:val="en-US"/>
        </w:rPr>
        <w:t xml:space="preserve"> (OUP 2012), M Trebilcock &amp; R Howse, </w:t>
      </w:r>
      <w:r w:rsidRPr="000524D8">
        <w:rPr>
          <w:rFonts w:ascii="Times New Roman" w:hAnsi="Times New Roman" w:cs="Times New Roman"/>
          <w:i/>
          <w:sz w:val="20"/>
          <w:szCs w:val="20"/>
          <w:lang w:val="en-US"/>
        </w:rPr>
        <w:t>The Regulation of International Trade</w:t>
      </w:r>
      <w:r w:rsidRPr="000524D8">
        <w:rPr>
          <w:rFonts w:ascii="Times New Roman" w:hAnsi="Times New Roman" w:cs="Times New Roman"/>
          <w:sz w:val="20"/>
          <w:szCs w:val="20"/>
          <w:lang w:val="en-US"/>
        </w:rPr>
        <w:t xml:space="preserve"> (3</w:t>
      </w:r>
      <w:r w:rsidRPr="000524D8">
        <w:rPr>
          <w:rFonts w:ascii="Times New Roman" w:hAnsi="Times New Roman" w:cs="Times New Roman"/>
          <w:sz w:val="20"/>
          <w:szCs w:val="20"/>
          <w:vertAlign w:val="superscript"/>
          <w:lang w:val="en-US"/>
        </w:rPr>
        <w:t>rd</w:t>
      </w:r>
      <w:r w:rsidRPr="000524D8">
        <w:rPr>
          <w:rFonts w:ascii="Times New Roman" w:hAnsi="Times New Roman" w:cs="Times New Roman"/>
          <w:sz w:val="20"/>
          <w:szCs w:val="20"/>
          <w:lang w:val="en-US"/>
        </w:rPr>
        <w:t xml:space="preserve"> ed. Routledge 2005) chapter 1, A Lowenfeld, </w:t>
      </w:r>
      <w:r w:rsidRPr="000524D8">
        <w:rPr>
          <w:rFonts w:ascii="Times New Roman" w:hAnsi="Times New Roman" w:cs="Times New Roman"/>
          <w:i/>
          <w:sz w:val="20"/>
          <w:szCs w:val="20"/>
          <w:lang w:val="en-US"/>
        </w:rPr>
        <w:t xml:space="preserve">International Economic Law </w:t>
      </w:r>
      <w:r w:rsidRPr="000524D8">
        <w:rPr>
          <w:rFonts w:ascii="Times New Roman" w:hAnsi="Times New Roman" w:cs="Times New Roman"/>
          <w:sz w:val="20"/>
          <w:szCs w:val="20"/>
          <w:lang w:val="en-US"/>
        </w:rPr>
        <w:t>(2</w:t>
      </w:r>
      <w:r w:rsidRPr="000524D8">
        <w:rPr>
          <w:rFonts w:ascii="Times New Roman" w:hAnsi="Times New Roman" w:cs="Times New Roman"/>
          <w:sz w:val="20"/>
          <w:szCs w:val="20"/>
          <w:vertAlign w:val="superscript"/>
          <w:lang w:val="en-US"/>
        </w:rPr>
        <w:t>nd</w:t>
      </w:r>
      <w:r w:rsidRPr="000524D8">
        <w:rPr>
          <w:rFonts w:ascii="Times New Roman" w:hAnsi="Times New Roman" w:cs="Times New Roman"/>
          <w:sz w:val="20"/>
          <w:szCs w:val="20"/>
          <w:lang w:val="en-US"/>
        </w:rPr>
        <w:t xml:space="preserve"> ed. OUP 2008) chapter 1, S Lester, B Mercurio &amp; A Davies, </w:t>
      </w:r>
      <w:r w:rsidRPr="000524D8">
        <w:rPr>
          <w:rFonts w:ascii="Times New Roman" w:hAnsi="Times New Roman" w:cs="Times New Roman"/>
          <w:i/>
          <w:sz w:val="20"/>
          <w:szCs w:val="20"/>
          <w:lang w:val="en-US"/>
        </w:rPr>
        <w:t>World Trade Law: Texts, Materials and Commentary</w:t>
      </w:r>
      <w:r w:rsidRPr="000524D8">
        <w:rPr>
          <w:rFonts w:ascii="Times New Roman" w:hAnsi="Times New Roman" w:cs="Times New Roman"/>
          <w:sz w:val="20"/>
          <w:szCs w:val="20"/>
          <w:lang w:val="en-US"/>
        </w:rPr>
        <w:t xml:space="preserve"> (2</w:t>
      </w:r>
      <w:r w:rsidRPr="000524D8">
        <w:rPr>
          <w:rFonts w:ascii="Times New Roman" w:hAnsi="Times New Roman" w:cs="Times New Roman"/>
          <w:sz w:val="20"/>
          <w:szCs w:val="20"/>
          <w:vertAlign w:val="superscript"/>
          <w:lang w:val="en-US"/>
        </w:rPr>
        <w:t>nd</w:t>
      </w:r>
      <w:r w:rsidRPr="000524D8">
        <w:rPr>
          <w:rFonts w:ascii="Times New Roman" w:hAnsi="Times New Roman" w:cs="Times New Roman"/>
          <w:sz w:val="20"/>
          <w:szCs w:val="20"/>
          <w:lang w:val="en-US"/>
        </w:rPr>
        <w:t xml:space="preserve"> ed. Hart 2012) chapter 1, P Van den Bossche &amp; W Zdouc, </w:t>
      </w:r>
      <w:r w:rsidRPr="000524D8">
        <w:rPr>
          <w:rFonts w:ascii="Times New Roman" w:hAnsi="Times New Roman" w:cs="Times New Roman"/>
          <w:i/>
          <w:sz w:val="20"/>
          <w:szCs w:val="20"/>
          <w:lang w:val="en-US"/>
        </w:rPr>
        <w:t>The Law and Policy of the World Trade Organization</w:t>
      </w:r>
      <w:r w:rsidRPr="000524D8">
        <w:rPr>
          <w:rFonts w:ascii="Times New Roman" w:hAnsi="Times New Roman" w:cs="Times New Roman"/>
          <w:sz w:val="20"/>
          <w:szCs w:val="20"/>
          <w:lang w:val="en-US"/>
        </w:rPr>
        <w:t xml:space="preserve"> (3</w:t>
      </w:r>
      <w:r w:rsidRPr="000524D8">
        <w:rPr>
          <w:rFonts w:ascii="Times New Roman" w:hAnsi="Times New Roman" w:cs="Times New Roman"/>
          <w:sz w:val="20"/>
          <w:szCs w:val="20"/>
          <w:vertAlign w:val="superscript"/>
          <w:lang w:val="en-US"/>
        </w:rPr>
        <w:t>rd</w:t>
      </w:r>
      <w:r w:rsidRPr="000524D8">
        <w:rPr>
          <w:rFonts w:ascii="Times New Roman" w:hAnsi="Times New Roman" w:cs="Times New Roman"/>
          <w:sz w:val="20"/>
          <w:szCs w:val="20"/>
          <w:lang w:val="en-US"/>
        </w:rPr>
        <w:t xml:space="preserve"> ed. CUP 2013), chapter 1.</w:t>
      </w:r>
    </w:p>
  </w:footnote>
  <w:footnote w:id="117">
    <w:p w14:paraId="7B149AF8" w14:textId="77777777" w:rsidR="009824F7" w:rsidRPr="000524D8" w:rsidRDefault="009824F7" w:rsidP="00E71B2C">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For such motivations in the context of the GATT, see: Irwin, Mavroidis &amp; Sykes, </w:t>
      </w:r>
      <w:r w:rsidRPr="000524D8">
        <w:rPr>
          <w:rFonts w:ascii="Times New Roman" w:hAnsi="Times New Roman" w:cs="Times New Roman"/>
          <w:i/>
          <w:sz w:val="20"/>
          <w:szCs w:val="20"/>
        </w:rPr>
        <w:t>The Genesis of the GATT</w:t>
      </w:r>
      <w:r w:rsidRPr="000524D8">
        <w:rPr>
          <w:rFonts w:ascii="Times New Roman" w:hAnsi="Times New Roman" w:cs="Times New Roman"/>
          <w:sz w:val="20"/>
          <w:szCs w:val="20"/>
        </w:rPr>
        <w:t xml:space="preserve"> (CUP 2009) 11. </w:t>
      </w:r>
    </w:p>
  </w:footnote>
  <w:footnote w:id="118">
    <w:p w14:paraId="469904D0" w14:textId="1359F2E4"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lang w:val="en-US"/>
        </w:rPr>
        <w:t xml:space="preserve">Supra </w:t>
      </w:r>
      <w:r w:rsidRPr="000524D8">
        <w:rPr>
          <w:rFonts w:ascii="Times New Roman" w:hAnsi="Times New Roman" w:cs="Times New Roman"/>
          <w:sz w:val="20"/>
          <w:szCs w:val="20"/>
          <w:lang w:val="en-US"/>
        </w:rPr>
        <w:t>n</w:t>
      </w:r>
      <w:r w:rsidRPr="000524D8">
        <w:rPr>
          <w:rFonts w:ascii="Times New Roman" w:hAnsi="Times New Roman" w:cs="Times New Roman"/>
          <w:sz w:val="20"/>
          <w:szCs w:val="20"/>
          <w:lang w:val="en-US"/>
        </w:rPr>
        <w:fldChar w:fldCharType="begin"/>
      </w:r>
      <w:r w:rsidRPr="000524D8">
        <w:rPr>
          <w:rFonts w:ascii="Times New Roman" w:hAnsi="Times New Roman" w:cs="Times New Roman"/>
          <w:sz w:val="20"/>
          <w:szCs w:val="20"/>
          <w:lang w:val="en-US"/>
        </w:rPr>
        <w:instrText xml:space="preserve"> NOTEREF _Ref260653250  \* MERGEFORMAT </w:instrText>
      </w:r>
      <w:r w:rsidRPr="000524D8">
        <w:rPr>
          <w:rFonts w:ascii="Times New Roman" w:hAnsi="Times New Roman" w:cs="Times New Roman"/>
          <w:sz w:val="20"/>
          <w:szCs w:val="20"/>
          <w:lang w:val="en-US"/>
        </w:rPr>
        <w:fldChar w:fldCharType="separate"/>
      </w:r>
      <w:r w:rsidR="005506F3" w:rsidRPr="000524D8">
        <w:rPr>
          <w:rFonts w:ascii="Times New Roman" w:hAnsi="Times New Roman" w:cs="Times New Roman"/>
          <w:sz w:val="20"/>
          <w:szCs w:val="20"/>
          <w:lang w:val="en-US"/>
        </w:rPr>
        <w:t>104</w:t>
      </w:r>
      <w:r w:rsidRPr="000524D8">
        <w:rPr>
          <w:rFonts w:ascii="Times New Roman" w:hAnsi="Times New Roman" w:cs="Times New Roman"/>
          <w:sz w:val="20"/>
          <w:szCs w:val="20"/>
          <w:lang w:val="en-US"/>
        </w:rPr>
        <w:fldChar w:fldCharType="end"/>
      </w:r>
      <w:r w:rsidRPr="000524D8">
        <w:rPr>
          <w:rFonts w:ascii="Times New Roman" w:hAnsi="Times New Roman" w:cs="Times New Roman"/>
          <w:sz w:val="20"/>
          <w:szCs w:val="20"/>
          <w:lang w:val="en-US"/>
        </w:rPr>
        <w:t xml:space="preserve"> and corresponding text.</w:t>
      </w:r>
    </w:p>
  </w:footnote>
  <w:footnote w:id="119">
    <w:p w14:paraId="79C75ED8" w14:textId="2AA13B2E"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Note the United States Trade Representative’s Mission Statement: ‘USTR seeks to contribute to U.S. economic growth, competitiveness and prosperity by opening markets and reducing trade and investment barriers around the world to create new commercial opportunities for U.S. goods and services industries, workers, ranchers and farmers.’ USTR Strategic Plan, FY 2007-2012</w:t>
      </w:r>
    </w:p>
  </w:footnote>
  <w:footnote w:id="120">
    <w:p w14:paraId="6BEAE9CF" w14:textId="77777777" w:rsidR="009824F7" w:rsidRPr="000524D8" w:rsidRDefault="009824F7" w:rsidP="00237418">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For example, a joint EU/China statement ‘</w:t>
      </w:r>
      <w:r w:rsidRPr="000524D8">
        <w:rPr>
          <w:rFonts w:ascii="Times New Roman" w:hAnsi="Times New Roman" w:cs="Times New Roman"/>
          <w:sz w:val="20"/>
          <w:szCs w:val="20"/>
          <w:lang w:val="en-US"/>
        </w:rPr>
        <w:t xml:space="preserve">ensuring that their economies remain key drivers for global economic growth and providing prosperity for all.’ </w:t>
      </w:r>
      <w:r w:rsidRPr="000524D8">
        <w:rPr>
          <w:rFonts w:ascii="Times New Roman" w:hAnsi="Times New Roman" w:cs="Times New Roman"/>
          <w:bCs/>
          <w:i/>
          <w:sz w:val="20"/>
          <w:szCs w:val="20"/>
          <w:lang w:val="en-US"/>
        </w:rPr>
        <w:t>Joint Statement: Deepening the EU-China Comprehensive Strategic Partnership for mutual benefit</w:t>
      </w:r>
      <w:r w:rsidRPr="000524D8">
        <w:rPr>
          <w:rFonts w:ascii="Times New Roman" w:hAnsi="Times New Roman" w:cs="Times New Roman"/>
          <w:bCs/>
          <w:sz w:val="20"/>
          <w:szCs w:val="20"/>
          <w:lang w:val="en-US"/>
        </w:rPr>
        <w:t>, Brussels 31 March 2014.</w:t>
      </w:r>
    </w:p>
  </w:footnote>
  <w:footnote w:id="121">
    <w:p w14:paraId="088BC25E" w14:textId="2F47F968"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P Lamy, Speech: </w:t>
      </w:r>
      <w:r w:rsidRPr="000524D8">
        <w:rPr>
          <w:rFonts w:ascii="Times New Roman" w:hAnsi="Times New Roman" w:cs="Times New Roman"/>
          <w:i/>
          <w:sz w:val="20"/>
          <w:szCs w:val="20"/>
          <w:lang w:val="en-US"/>
        </w:rPr>
        <w:t>Trends and Issues Facing Global Trade,</w:t>
      </w:r>
      <w:r w:rsidRPr="000524D8">
        <w:rPr>
          <w:rFonts w:ascii="Times New Roman" w:hAnsi="Times New Roman" w:cs="Times New Roman"/>
          <w:sz w:val="20"/>
          <w:szCs w:val="20"/>
          <w:lang w:val="en-US"/>
        </w:rPr>
        <w:t xml:space="preserve"> Kuala Lumpur 17 August 2007.</w:t>
      </w:r>
    </w:p>
  </w:footnote>
  <w:footnote w:id="122">
    <w:p w14:paraId="0C695CBF" w14:textId="0F86225C"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Also reflected more widely in popular discourse: for example, both J Stiglitz, </w:t>
      </w:r>
      <w:r w:rsidRPr="000524D8">
        <w:rPr>
          <w:rFonts w:ascii="Times New Roman" w:hAnsi="Times New Roman" w:cs="Times New Roman"/>
          <w:i/>
          <w:sz w:val="20"/>
          <w:szCs w:val="20"/>
          <w:lang w:val="en-US"/>
        </w:rPr>
        <w:t>Making Globalization Work</w:t>
      </w:r>
      <w:r w:rsidRPr="000524D8">
        <w:rPr>
          <w:rFonts w:ascii="Times New Roman" w:hAnsi="Times New Roman" w:cs="Times New Roman"/>
          <w:sz w:val="20"/>
          <w:szCs w:val="20"/>
          <w:lang w:val="en-US"/>
        </w:rPr>
        <w:t xml:space="preserve"> (Penguin 2006) and J Bhagwati, </w:t>
      </w:r>
      <w:r w:rsidRPr="000524D8">
        <w:rPr>
          <w:rFonts w:ascii="Times New Roman" w:hAnsi="Times New Roman" w:cs="Times New Roman"/>
          <w:i/>
          <w:sz w:val="20"/>
          <w:szCs w:val="20"/>
          <w:lang w:val="en-US"/>
        </w:rPr>
        <w:t>In Defense of Globalization</w:t>
      </w:r>
      <w:r w:rsidRPr="000524D8">
        <w:rPr>
          <w:rFonts w:ascii="Times New Roman" w:hAnsi="Times New Roman" w:cs="Times New Roman"/>
          <w:sz w:val="20"/>
          <w:szCs w:val="20"/>
          <w:lang w:val="en-US"/>
        </w:rPr>
        <w:t xml:space="preserve"> (2</w:t>
      </w:r>
      <w:r w:rsidRPr="000524D8">
        <w:rPr>
          <w:rFonts w:ascii="Times New Roman" w:hAnsi="Times New Roman" w:cs="Times New Roman"/>
          <w:sz w:val="20"/>
          <w:szCs w:val="20"/>
          <w:vertAlign w:val="superscript"/>
          <w:lang w:val="en-US"/>
        </w:rPr>
        <w:t>nd</w:t>
      </w:r>
      <w:r w:rsidRPr="000524D8">
        <w:rPr>
          <w:rFonts w:ascii="Times New Roman" w:hAnsi="Times New Roman" w:cs="Times New Roman"/>
          <w:sz w:val="20"/>
          <w:szCs w:val="20"/>
          <w:lang w:val="en-US"/>
        </w:rPr>
        <w:t xml:space="preserve"> ed. OUP 2007) are, with different suggestions, preoccupied with making sure that the gains from trade are felt by populations at large.</w:t>
      </w:r>
    </w:p>
  </w:footnote>
  <w:footnote w:id="123">
    <w:p w14:paraId="0109909A" w14:textId="09B827AF"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This difference is reflected in other substantive areas of law: see, D Oliver, ‘</w:t>
      </w:r>
      <w:r w:rsidRPr="000524D8">
        <w:rPr>
          <w:rFonts w:ascii="Times New Roman" w:hAnsi="Times New Roman" w:cs="Times New Roman"/>
          <w:bCs/>
          <w:sz w:val="20"/>
          <w:szCs w:val="20"/>
          <w:lang w:val="en-US"/>
        </w:rPr>
        <w:t>The frontiers of the State: public authorities and public functions under the Human Rights Act’</w:t>
      </w:r>
      <w:r w:rsidRPr="000524D8">
        <w:rPr>
          <w:rFonts w:ascii="Times New Roman" w:hAnsi="Times New Roman" w:cs="Times New Roman"/>
          <w:sz w:val="20"/>
          <w:szCs w:val="20"/>
          <w:lang w:val="en-US"/>
        </w:rPr>
        <w:t>,</w:t>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Public Law</w:t>
      </w:r>
      <w:r w:rsidRPr="000524D8">
        <w:rPr>
          <w:rFonts w:ascii="Times New Roman" w:hAnsi="Times New Roman" w:cs="Times New Roman"/>
          <w:sz w:val="20"/>
          <w:szCs w:val="20"/>
        </w:rPr>
        <w:t xml:space="preserve"> (2000) 488, referring to the old English law concept of ‘common callings’ as businesses ‘affected with a public interest’ and the EU concept of a ‘service of general interest’ (now ‘service of general economic interest’).</w:t>
      </w:r>
    </w:p>
  </w:footnote>
  <w:footnote w:id="124">
    <w:p w14:paraId="556E91BF" w14:textId="17D0BDFA" w:rsidR="00231DC8" w:rsidRPr="000524D8" w:rsidRDefault="00231DC8">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Such outcomes would be indicative not determinative as the opposite may be true and yet still aim to benefit private interests over public interests.</w:t>
      </w:r>
    </w:p>
  </w:footnote>
  <w:footnote w:id="125">
    <w:p w14:paraId="5762685E" w14:textId="127465CE" w:rsidR="009824F7" w:rsidRPr="000524D8" w:rsidRDefault="009824F7" w:rsidP="00FE78E3">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US – Countervailing Duty Measures on Certain Products from China</w:t>
      </w:r>
      <w:r w:rsidRPr="000524D8">
        <w:rPr>
          <w:rFonts w:ascii="Times New Roman" w:hAnsi="Times New Roman" w:cs="Times New Roman"/>
          <w:sz w:val="20"/>
          <w:szCs w:val="20"/>
        </w:rPr>
        <w:t>, DS437.</w:t>
      </w:r>
    </w:p>
  </w:footnote>
  <w:footnote w:id="126">
    <w:p w14:paraId="1F4B74F3" w14:textId="2A89B8D4"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For the US investigation: </w:t>
      </w:r>
      <w:r w:rsidRPr="000524D8">
        <w:rPr>
          <w:rFonts w:ascii="Times New Roman" w:hAnsi="Times New Roman" w:cs="Times New Roman"/>
          <w:sz w:val="20"/>
          <w:szCs w:val="20"/>
          <w:lang w:val="en-US"/>
        </w:rPr>
        <w:t>Solar Panels, Preliminary Affirmative Countervailing Duty Determination, Federal Register, Vol. 77, No. 58, 26 March 2012.</w:t>
      </w:r>
    </w:p>
  </w:footnote>
  <w:footnote w:id="127">
    <w:p w14:paraId="29D35918" w14:textId="495FF11A" w:rsidR="009824F7" w:rsidRPr="000524D8" w:rsidRDefault="009824F7" w:rsidP="00DC1ACA">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See: </w:t>
      </w:r>
      <w:r w:rsidRPr="000524D8">
        <w:rPr>
          <w:rFonts w:ascii="Times New Roman" w:hAnsi="Times New Roman" w:cs="Times New Roman"/>
          <w:i/>
          <w:sz w:val="20"/>
          <w:szCs w:val="20"/>
        </w:rPr>
        <w:t>US – Countervailing Duty Measures on Certain Products from China</w:t>
      </w:r>
      <w:r w:rsidRPr="000524D8">
        <w:rPr>
          <w:rFonts w:ascii="Times New Roman" w:hAnsi="Times New Roman" w:cs="Times New Roman"/>
          <w:sz w:val="20"/>
          <w:szCs w:val="20"/>
        </w:rPr>
        <w:t>, panel report (14 July 2014) WT/DS437/R, paras 7.34-7.49.</w:t>
      </w:r>
    </w:p>
  </w:footnote>
  <w:footnote w:id="128">
    <w:p w14:paraId="374153ED" w14:textId="013E5FA6" w:rsidR="009824F7" w:rsidRPr="000524D8" w:rsidRDefault="009824F7" w:rsidP="00EB3E88">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Ibid, para 7.75.</w:t>
      </w:r>
    </w:p>
  </w:footnote>
  <w:footnote w:id="129">
    <w:p w14:paraId="625B2B08" w14:textId="76634D8A" w:rsidR="009824F7" w:rsidRPr="000524D8" w:rsidRDefault="009824F7">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n</w:t>
      </w:r>
      <w:r w:rsidRPr="000524D8">
        <w:rPr>
          <w:rFonts w:ascii="Times New Roman" w:hAnsi="Times New Roman" w:cs="Times New Roman"/>
          <w:sz w:val="20"/>
          <w:szCs w:val="20"/>
        </w:rPr>
        <w:fldChar w:fldCharType="begin"/>
      </w:r>
      <w:r w:rsidRPr="000524D8">
        <w:rPr>
          <w:rFonts w:ascii="Times New Roman" w:hAnsi="Times New Roman" w:cs="Times New Roman"/>
          <w:sz w:val="20"/>
          <w:szCs w:val="20"/>
        </w:rPr>
        <w:instrText xml:space="preserve"> NOTEREF _Ref425511494 \h  \* MERGEFORMAT </w:instrText>
      </w:r>
      <w:r w:rsidRPr="000524D8">
        <w:rPr>
          <w:rFonts w:ascii="Times New Roman" w:hAnsi="Times New Roman" w:cs="Times New Roman"/>
          <w:sz w:val="20"/>
          <w:szCs w:val="20"/>
        </w:rPr>
      </w:r>
      <w:r w:rsidRPr="000524D8">
        <w:rPr>
          <w:rFonts w:ascii="Times New Roman" w:hAnsi="Times New Roman" w:cs="Times New Roman"/>
          <w:sz w:val="20"/>
          <w:szCs w:val="20"/>
        </w:rPr>
        <w:fldChar w:fldCharType="separate"/>
      </w:r>
      <w:r w:rsidR="005506F3" w:rsidRPr="000524D8">
        <w:rPr>
          <w:rFonts w:ascii="Times New Roman" w:hAnsi="Times New Roman" w:cs="Times New Roman"/>
          <w:sz w:val="20"/>
          <w:szCs w:val="20"/>
        </w:rPr>
        <w:t>47</w:t>
      </w:r>
      <w:r w:rsidRPr="000524D8">
        <w:rPr>
          <w:rFonts w:ascii="Times New Roman" w:hAnsi="Times New Roman" w:cs="Times New Roman"/>
          <w:sz w:val="20"/>
          <w:szCs w:val="20"/>
        </w:rPr>
        <w:fldChar w:fldCharType="end"/>
      </w:r>
      <w:r w:rsidRPr="000524D8">
        <w:rPr>
          <w:rFonts w:ascii="Times New Roman" w:hAnsi="Times New Roman" w:cs="Times New Roman"/>
          <w:sz w:val="20"/>
          <w:szCs w:val="20"/>
        </w:rPr>
        <w:t>-</w:t>
      </w:r>
      <w:r w:rsidRPr="000524D8">
        <w:rPr>
          <w:rFonts w:ascii="Times New Roman" w:hAnsi="Times New Roman" w:cs="Times New Roman"/>
          <w:sz w:val="20"/>
          <w:szCs w:val="20"/>
        </w:rPr>
        <w:fldChar w:fldCharType="begin"/>
      </w:r>
      <w:r w:rsidRPr="000524D8">
        <w:rPr>
          <w:rFonts w:ascii="Times New Roman" w:hAnsi="Times New Roman" w:cs="Times New Roman"/>
          <w:sz w:val="20"/>
          <w:szCs w:val="20"/>
        </w:rPr>
        <w:instrText xml:space="preserve"> NOTEREF _Ref425511497 \h  \* MERGEFORMAT </w:instrText>
      </w:r>
      <w:r w:rsidRPr="000524D8">
        <w:rPr>
          <w:rFonts w:ascii="Times New Roman" w:hAnsi="Times New Roman" w:cs="Times New Roman"/>
          <w:sz w:val="20"/>
          <w:szCs w:val="20"/>
        </w:rPr>
      </w:r>
      <w:r w:rsidRPr="000524D8">
        <w:rPr>
          <w:rFonts w:ascii="Times New Roman" w:hAnsi="Times New Roman" w:cs="Times New Roman"/>
          <w:sz w:val="20"/>
          <w:szCs w:val="20"/>
        </w:rPr>
        <w:fldChar w:fldCharType="separate"/>
      </w:r>
      <w:r w:rsidR="005506F3" w:rsidRPr="000524D8">
        <w:rPr>
          <w:rFonts w:ascii="Times New Roman" w:hAnsi="Times New Roman" w:cs="Times New Roman"/>
          <w:sz w:val="20"/>
          <w:szCs w:val="20"/>
        </w:rPr>
        <w:t>50</w:t>
      </w:r>
      <w:r w:rsidRPr="000524D8">
        <w:rPr>
          <w:rFonts w:ascii="Times New Roman" w:hAnsi="Times New Roman" w:cs="Times New Roman"/>
          <w:sz w:val="20"/>
          <w:szCs w:val="20"/>
        </w:rPr>
        <w:fldChar w:fldCharType="end"/>
      </w:r>
      <w:r w:rsidRPr="000524D8">
        <w:rPr>
          <w:rFonts w:ascii="Times New Roman" w:hAnsi="Times New Roman" w:cs="Times New Roman"/>
          <w:sz w:val="20"/>
          <w:szCs w:val="20"/>
        </w:rPr>
        <w:t xml:space="preserve"> and accompanying text. See also, the difficulties faced by the Court in </w:t>
      </w:r>
      <w:r w:rsidRPr="000524D8">
        <w:rPr>
          <w:rFonts w:ascii="Times New Roman" w:hAnsi="Times New Roman" w:cs="Times New Roman"/>
          <w:i/>
          <w:sz w:val="20"/>
          <w:szCs w:val="20"/>
        </w:rPr>
        <w:t>AIG v Kazakhstan</w:t>
      </w:r>
      <w:r w:rsidRPr="000524D8">
        <w:rPr>
          <w:rFonts w:ascii="Times New Roman" w:hAnsi="Times New Roman" w:cs="Times New Roman"/>
          <w:sz w:val="20"/>
          <w:szCs w:val="20"/>
        </w:rPr>
        <w:t xml:space="preserve"> (n</w:t>
      </w:r>
      <w:r w:rsidRPr="000524D8">
        <w:rPr>
          <w:rFonts w:ascii="Times New Roman" w:hAnsi="Times New Roman" w:cs="Times New Roman"/>
          <w:sz w:val="20"/>
          <w:szCs w:val="20"/>
        </w:rPr>
        <w:fldChar w:fldCharType="begin"/>
      </w:r>
      <w:r w:rsidRPr="000524D8">
        <w:rPr>
          <w:rFonts w:ascii="Times New Roman" w:hAnsi="Times New Roman" w:cs="Times New Roman"/>
          <w:sz w:val="20"/>
          <w:szCs w:val="20"/>
        </w:rPr>
        <w:instrText xml:space="preserve"> NOTEREF _Ref260651815 \h  \* MERGEFORMAT </w:instrText>
      </w:r>
      <w:r w:rsidRPr="000524D8">
        <w:rPr>
          <w:rFonts w:ascii="Times New Roman" w:hAnsi="Times New Roman" w:cs="Times New Roman"/>
          <w:sz w:val="20"/>
          <w:szCs w:val="20"/>
        </w:rPr>
      </w:r>
      <w:r w:rsidRPr="000524D8">
        <w:rPr>
          <w:rFonts w:ascii="Times New Roman" w:hAnsi="Times New Roman" w:cs="Times New Roman"/>
          <w:sz w:val="20"/>
          <w:szCs w:val="20"/>
        </w:rPr>
        <w:fldChar w:fldCharType="separate"/>
      </w:r>
      <w:r w:rsidR="005506F3" w:rsidRPr="000524D8">
        <w:rPr>
          <w:rFonts w:ascii="Times New Roman" w:hAnsi="Times New Roman" w:cs="Times New Roman"/>
          <w:sz w:val="20"/>
          <w:szCs w:val="20"/>
        </w:rPr>
        <w:t>14</w:t>
      </w:r>
      <w:r w:rsidRPr="000524D8">
        <w:rPr>
          <w:rFonts w:ascii="Times New Roman" w:hAnsi="Times New Roman" w:cs="Times New Roman"/>
          <w:sz w:val="20"/>
          <w:szCs w:val="20"/>
        </w:rPr>
        <w:fldChar w:fldCharType="end"/>
      </w:r>
      <w:r w:rsidRPr="000524D8">
        <w:rPr>
          <w:rFonts w:ascii="Times New Roman" w:hAnsi="Times New Roman" w:cs="Times New Roman"/>
          <w:sz w:val="20"/>
          <w:szCs w:val="20"/>
        </w:rPr>
        <w:t>).</w:t>
      </w:r>
    </w:p>
  </w:footnote>
  <w:footnote w:id="130">
    <w:p w14:paraId="44C1473C" w14:textId="5A2B2785"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E.g., Principle 3, </w:t>
      </w:r>
      <w:r w:rsidRPr="000524D8">
        <w:rPr>
          <w:rFonts w:ascii="Times New Roman" w:hAnsi="Times New Roman" w:cs="Times New Roman"/>
          <w:sz w:val="20"/>
          <w:szCs w:val="20"/>
          <w:lang w:val="en-US"/>
        </w:rPr>
        <w:t>Rio Declaration on Environment and Development (3-14 June 1992) A/Conf.151/26 (Vol. I).</w:t>
      </w:r>
    </w:p>
  </w:footnote>
  <w:footnote w:id="131">
    <w:p w14:paraId="4AC21A5A" w14:textId="2B4F70EF" w:rsidR="0028578B" w:rsidRPr="000524D8" w:rsidRDefault="0028578B">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Article </w:t>
      </w:r>
      <w:r w:rsidR="00181671" w:rsidRPr="000524D8">
        <w:rPr>
          <w:rFonts w:ascii="Times New Roman" w:hAnsi="Times New Roman" w:cs="Times New Roman"/>
          <w:sz w:val="20"/>
          <w:szCs w:val="20"/>
        </w:rPr>
        <w:t>1</w:t>
      </w:r>
      <w:r w:rsidRPr="000524D8">
        <w:rPr>
          <w:rFonts w:ascii="Times New Roman" w:hAnsi="Times New Roman" w:cs="Times New Roman"/>
          <w:sz w:val="20"/>
          <w:szCs w:val="20"/>
        </w:rPr>
        <w:t>.1(</w:t>
      </w:r>
      <w:r w:rsidR="00181671" w:rsidRPr="000524D8">
        <w:rPr>
          <w:rFonts w:ascii="Times New Roman" w:hAnsi="Times New Roman" w:cs="Times New Roman"/>
          <w:sz w:val="20"/>
          <w:szCs w:val="20"/>
        </w:rPr>
        <w:t>a)(iv) SCM Agreement.</w:t>
      </w:r>
    </w:p>
  </w:footnote>
  <w:footnote w:id="132">
    <w:p w14:paraId="7B1A83EA" w14:textId="79E8A766" w:rsidR="009824F7" w:rsidRPr="000524D8" w:rsidRDefault="009824F7" w:rsidP="00BC53E4">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Contrast with the GATS where the use of ‘governmental authority’ as a concept is designed to exclude the application of the Agreement to sectors which Members did not intend to liberalise</w:t>
      </w:r>
      <w:r w:rsidRPr="000524D8">
        <w:rPr>
          <w:rFonts w:ascii="Times New Roman" w:hAnsi="Times New Roman" w:cs="Times New Roman"/>
          <w:sz w:val="20"/>
          <w:szCs w:val="20"/>
          <w:lang w:val="en-US"/>
        </w:rPr>
        <w:t>: Article I.3(b) General Agreement on Trade in Services (15th April 1994) LT/UR/A-1B/S/1.</w:t>
      </w:r>
    </w:p>
  </w:footnote>
  <w:footnote w:id="133">
    <w:p w14:paraId="27ADE7EA" w14:textId="6B28388D" w:rsidR="001B1B71" w:rsidRPr="000524D8" w:rsidRDefault="001B1B71">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See: </w:t>
      </w:r>
      <w:r w:rsidRPr="000524D8">
        <w:rPr>
          <w:rFonts w:ascii="Times New Roman" w:hAnsi="Times New Roman" w:cs="Times New Roman"/>
          <w:i/>
          <w:sz w:val="20"/>
          <w:szCs w:val="20"/>
        </w:rPr>
        <w:t>United States – Measures Treating Export Restraints as Subsidies</w:t>
      </w:r>
      <w:r w:rsidRPr="000524D8">
        <w:rPr>
          <w:rFonts w:ascii="Times New Roman" w:hAnsi="Times New Roman" w:cs="Times New Roman"/>
          <w:sz w:val="20"/>
          <w:szCs w:val="20"/>
        </w:rPr>
        <w:t>, panel report (29 June 2001) WT/DS194/R, para. 8.63.</w:t>
      </w:r>
    </w:p>
  </w:footnote>
  <w:footnote w:id="134">
    <w:p w14:paraId="5482FE09" w14:textId="5AA296B3"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i/>
          <w:sz w:val="20"/>
          <w:szCs w:val="20"/>
        </w:rPr>
        <w:t>Supra</w:t>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n</w:t>
      </w:r>
      <w:r w:rsidRPr="000524D8">
        <w:rPr>
          <w:rFonts w:ascii="Times New Roman" w:hAnsi="Times New Roman" w:cs="Times New Roman"/>
          <w:sz w:val="20"/>
          <w:szCs w:val="20"/>
          <w:lang w:val="en-US"/>
        </w:rPr>
        <w:fldChar w:fldCharType="begin"/>
      </w:r>
      <w:r w:rsidRPr="000524D8">
        <w:rPr>
          <w:rFonts w:ascii="Times New Roman" w:hAnsi="Times New Roman" w:cs="Times New Roman"/>
          <w:sz w:val="20"/>
          <w:szCs w:val="20"/>
          <w:lang w:val="en-US"/>
        </w:rPr>
        <w:instrText xml:space="preserve"> NOTEREF _Ref280528668  \* MERGEFORMAT </w:instrText>
      </w:r>
      <w:r w:rsidRPr="000524D8">
        <w:rPr>
          <w:rFonts w:ascii="Times New Roman" w:hAnsi="Times New Roman" w:cs="Times New Roman"/>
          <w:sz w:val="20"/>
          <w:szCs w:val="20"/>
          <w:lang w:val="en-US"/>
        </w:rPr>
        <w:fldChar w:fldCharType="separate"/>
      </w:r>
      <w:r w:rsidR="005506F3" w:rsidRPr="000524D8">
        <w:rPr>
          <w:rFonts w:ascii="Times New Roman" w:hAnsi="Times New Roman" w:cs="Times New Roman"/>
          <w:sz w:val="20"/>
          <w:szCs w:val="20"/>
          <w:lang w:val="en-US"/>
        </w:rPr>
        <w:t>19</w:t>
      </w:r>
      <w:r w:rsidRPr="000524D8">
        <w:rPr>
          <w:rFonts w:ascii="Times New Roman" w:hAnsi="Times New Roman" w:cs="Times New Roman"/>
          <w:sz w:val="20"/>
          <w:szCs w:val="20"/>
          <w:lang w:val="en-US"/>
        </w:rPr>
        <w:fldChar w:fldCharType="end"/>
      </w:r>
      <w:r w:rsidRPr="000524D8">
        <w:rPr>
          <w:rFonts w:ascii="Times New Roman" w:hAnsi="Times New Roman" w:cs="Times New Roman"/>
          <w:sz w:val="20"/>
          <w:szCs w:val="20"/>
          <w:lang w:val="en-US"/>
        </w:rPr>
        <w:t xml:space="preserve"> and corresponding text.</w:t>
      </w:r>
    </w:p>
  </w:footnote>
  <w:footnote w:id="135">
    <w:p w14:paraId="5E1CC431" w14:textId="724DE7C7"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In the terminology of the SCM Agreement: confer a benefit. Article 1.1(b) SCM Agreement.</w:t>
      </w:r>
    </w:p>
  </w:footnote>
  <w:footnote w:id="136">
    <w:p w14:paraId="068EDCDD" w14:textId="6BC32FD4"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 xml:space="preserve">Reflected in the specificity test under Art 2 SCM Agreement. See the discussion on the detail in the </w:t>
      </w:r>
      <w:r w:rsidRPr="000524D8">
        <w:rPr>
          <w:rFonts w:ascii="Times New Roman" w:hAnsi="Times New Roman" w:cs="Times New Roman"/>
          <w:i/>
          <w:sz w:val="20"/>
          <w:szCs w:val="20"/>
        </w:rPr>
        <w:t>US – AD/CVDs (China)</w:t>
      </w:r>
      <w:r w:rsidRPr="000524D8">
        <w:rPr>
          <w:rFonts w:ascii="Times New Roman" w:hAnsi="Times New Roman" w:cs="Times New Roman"/>
          <w:sz w:val="20"/>
          <w:szCs w:val="20"/>
        </w:rPr>
        <w:t xml:space="preserve"> Appellate Body report at para.361ff.</w:t>
      </w:r>
    </w:p>
  </w:footnote>
  <w:footnote w:id="137">
    <w:p w14:paraId="1A17EB18" w14:textId="3EDB8685" w:rsidR="00D6073B" w:rsidRPr="000524D8" w:rsidRDefault="00D6073B">
      <w:pPr>
        <w:pStyle w:val="FootnoteText"/>
        <w:rPr>
          <w:rFonts w:ascii="Times New Roman" w:hAnsi="Times New Roman" w:cs="Times New Roman"/>
          <w:sz w:val="20"/>
          <w:szCs w:val="20"/>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Under Article 2, specificity is framed in terms of ‘an enterprise or industry or group of enterprises or industries’ or ‘within a designated geographical region within the jurisdiction of the granting authority’ - which is to say not in terms of a particular political community or </w:t>
      </w:r>
      <w:r w:rsidRPr="000524D8">
        <w:rPr>
          <w:rFonts w:ascii="Times New Roman" w:hAnsi="Times New Roman" w:cs="Times New Roman"/>
          <w:i/>
          <w:sz w:val="20"/>
          <w:szCs w:val="20"/>
        </w:rPr>
        <w:t>polis</w:t>
      </w:r>
      <w:r w:rsidRPr="000524D8">
        <w:rPr>
          <w:rFonts w:ascii="Times New Roman" w:hAnsi="Times New Roman" w:cs="Times New Roman"/>
          <w:sz w:val="20"/>
          <w:szCs w:val="20"/>
        </w:rPr>
        <w:t xml:space="preserve">. </w:t>
      </w:r>
      <w:r w:rsidR="00513C16" w:rsidRPr="000524D8">
        <w:rPr>
          <w:rFonts w:ascii="Times New Roman" w:hAnsi="Times New Roman" w:cs="Times New Roman"/>
          <w:sz w:val="20"/>
          <w:szCs w:val="20"/>
        </w:rPr>
        <w:t xml:space="preserve">The analysis for each of the other criteria is thus separate to the public body analysis which necessarily precedes the act of legal interpretation </w:t>
      </w:r>
      <w:r w:rsidR="00513C16" w:rsidRPr="000524D8">
        <w:rPr>
          <w:rFonts w:ascii="Times New Roman" w:hAnsi="Times New Roman" w:cs="Times New Roman"/>
          <w:i/>
          <w:sz w:val="20"/>
          <w:szCs w:val="20"/>
        </w:rPr>
        <w:t>strictu sensu</w:t>
      </w:r>
      <w:r w:rsidR="00513C16" w:rsidRPr="000524D8">
        <w:rPr>
          <w:rFonts w:ascii="Times New Roman" w:hAnsi="Times New Roman" w:cs="Times New Roman"/>
          <w:sz w:val="20"/>
          <w:szCs w:val="20"/>
        </w:rPr>
        <w:t>: n</w:t>
      </w:r>
      <w:r w:rsidR="00513C16" w:rsidRPr="000524D8">
        <w:rPr>
          <w:rFonts w:ascii="Times New Roman" w:hAnsi="Times New Roman" w:cs="Times New Roman"/>
          <w:sz w:val="20"/>
          <w:szCs w:val="20"/>
        </w:rPr>
        <w:fldChar w:fldCharType="begin"/>
      </w:r>
      <w:r w:rsidR="00513C16" w:rsidRPr="000524D8">
        <w:rPr>
          <w:rFonts w:ascii="Times New Roman" w:hAnsi="Times New Roman" w:cs="Times New Roman"/>
          <w:sz w:val="20"/>
          <w:szCs w:val="20"/>
        </w:rPr>
        <w:instrText xml:space="preserve"> NOTEREF _Ref449611379 \h </w:instrText>
      </w:r>
      <w:r w:rsidR="00513C16" w:rsidRPr="000524D8">
        <w:rPr>
          <w:rFonts w:ascii="Times New Roman" w:hAnsi="Times New Roman" w:cs="Times New Roman"/>
          <w:sz w:val="20"/>
          <w:szCs w:val="20"/>
        </w:rPr>
      </w:r>
      <w:r w:rsidR="000524D8" w:rsidRPr="000524D8">
        <w:rPr>
          <w:rFonts w:ascii="Times New Roman" w:hAnsi="Times New Roman" w:cs="Times New Roman"/>
          <w:sz w:val="20"/>
          <w:szCs w:val="20"/>
        </w:rPr>
        <w:instrText xml:space="preserve"> \* MERGEFORMAT </w:instrText>
      </w:r>
      <w:r w:rsidR="00513C16" w:rsidRPr="000524D8">
        <w:rPr>
          <w:rFonts w:ascii="Times New Roman" w:hAnsi="Times New Roman" w:cs="Times New Roman"/>
          <w:sz w:val="20"/>
          <w:szCs w:val="20"/>
        </w:rPr>
        <w:fldChar w:fldCharType="separate"/>
      </w:r>
      <w:r w:rsidR="005506F3" w:rsidRPr="000524D8">
        <w:rPr>
          <w:rFonts w:ascii="Times New Roman" w:hAnsi="Times New Roman" w:cs="Times New Roman"/>
          <w:sz w:val="20"/>
          <w:szCs w:val="20"/>
        </w:rPr>
        <w:t>56</w:t>
      </w:r>
      <w:r w:rsidR="00513C16" w:rsidRPr="000524D8">
        <w:rPr>
          <w:rFonts w:ascii="Times New Roman" w:hAnsi="Times New Roman" w:cs="Times New Roman"/>
          <w:sz w:val="20"/>
          <w:szCs w:val="20"/>
        </w:rPr>
        <w:fldChar w:fldCharType="end"/>
      </w:r>
      <w:r w:rsidR="00513C16" w:rsidRPr="000524D8">
        <w:rPr>
          <w:rFonts w:ascii="Times New Roman" w:hAnsi="Times New Roman" w:cs="Times New Roman"/>
          <w:sz w:val="20"/>
          <w:szCs w:val="20"/>
        </w:rPr>
        <w:t xml:space="preserve"> and accompanying text.</w:t>
      </w:r>
    </w:p>
  </w:footnote>
  <w:footnote w:id="138">
    <w:p w14:paraId="1B4EEE15" w14:textId="7B156768"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It is worth noting that ‘control’ or direction are still relevant but as part of a different analysis: rather than understanding control as being part of the nature of the entity (i.e. public or private) this test instead relates to whether or not the entity is acting under the instruction of the State. Under the Articles of State Responsibility, Article 8 and under Art 1.1(a)(1)(iv) SCM Agreement.</w:t>
      </w:r>
    </w:p>
  </w:footnote>
  <w:footnote w:id="139">
    <w:p w14:paraId="2E224072" w14:textId="764B63AD" w:rsidR="009824F7" w:rsidRPr="000524D8" w:rsidRDefault="009824F7">
      <w:pPr>
        <w:pStyle w:val="FootnoteText"/>
        <w:rPr>
          <w:rFonts w:ascii="Times New Roman" w:hAnsi="Times New Roman" w:cs="Times New Roman"/>
          <w:sz w:val="20"/>
          <w:szCs w:val="20"/>
          <w:lang w:val="en-US"/>
        </w:rPr>
      </w:pPr>
      <w:r w:rsidRPr="000524D8">
        <w:rPr>
          <w:rStyle w:val="FootnoteReference"/>
          <w:rFonts w:ascii="Times New Roman" w:hAnsi="Times New Roman" w:cs="Times New Roman"/>
          <w:sz w:val="20"/>
          <w:szCs w:val="20"/>
        </w:rPr>
        <w:footnoteRef/>
      </w:r>
      <w:r w:rsidRPr="000524D8">
        <w:rPr>
          <w:rFonts w:ascii="Times New Roman" w:hAnsi="Times New Roman" w:cs="Times New Roman"/>
          <w:sz w:val="20"/>
          <w:szCs w:val="20"/>
        </w:rPr>
        <w:t xml:space="preserve"> </w:t>
      </w:r>
      <w:r w:rsidRPr="000524D8">
        <w:rPr>
          <w:rFonts w:ascii="Times New Roman" w:hAnsi="Times New Roman" w:cs="Times New Roman"/>
          <w:sz w:val="20"/>
          <w:szCs w:val="20"/>
          <w:lang w:val="en-US"/>
        </w:rPr>
        <w:t>In this case, an approach built upon a specifically Western liberal tradition.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0BE8E" w14:textId="77777777" w:rsidR="009824F7" w:rsidRDefault="009824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DE81D" w14:textId="652D9CC2" w:rsidR="009824F7" w:rsidRPr="00D25306" w:rsidRDefault="009824F7">
    <w:pPr>
      <w:pStyle w:val="Header"/>
      <w:rPr>
        <w:rFonts w:ascii="Times New Roman" w:hAnsi="Times New Roman" w:cs="Times New Roman"/>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947C" w14:textId="77777777" w:rsidR="009824F7" w:rsidRDefault="009824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F7B54"/>
    <w:multiLevelType w:val="hybridMultilevel"/>
    <w:tmpl w:val="CEF63922"/>
    <w:lvl w:ilvl="0" w:tplc="FC62D34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426672ED"/>
    <w:multiLevelType w:val="hybridMultilevel"/>
    <w:tmpl w:val="4A9EDC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322608"/>
    <w:multiLevelType w:val="hybridMultilevel"/>
    <w:tmpl w:val="814CC6D6"/>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9E7828"/>
    <w:multiLevelType w:val="hybridMultilevel"/>
    <w:tmpl w:val="D4DA2D44"/>
    <w:lvl w:ilvl="0" w:tplc="F64E9C1E">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810010"/>
    <w:multiLevelType w:val="hybridMultilevel"/>
    <w:tmpl w:val="A1F6089E"/>
    <w:lvl w:ilvl="0" w:tplc="08F033E2">
      <w:start w:val="1"/>
      <w:numFmt w:val="lowerRoman"/>
      <w:pStyle w:val="Heading3"/>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4"/>
  </w:num>
  <w:num w:numId="5">
    <w:abstractNumId w:val="0"/>
  </w:num>
  <w:num w:numId="6">
    <w:abstractNumId w:val="4"/>
    <w:lvlOverride w:ilvl="0">
      <w:startOverride w:val="1"/>
    </w:lvlOverride>
  </w:num>
  <w:num w:numId="7">
    <w:abstractNumId w:val="3"/>
    <w:lvlOverride w:ilvl="0">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61"/>
    <w:rsid w:val="000030B8"/>
    <w:rsid w:val="00005A45"/>
    <w:rsid w:val="00006C16"/>
    <w:rsid w:val="00011C1C"/>
    <w:rsid w:val="00011F85"/>
    <w:rsid w:val="00014908"/>
    <w:rsid w:val="00014A2F"/>
    <w:rsid w:val="00016283"/>
    <w:rsid w:val="0001698D"/>
    <w:rsid w:val="000217F4"/>
    <w:rsid w:val="00023C17"/>
    <w:rsid w:val="00024E84"/>
    <w:rsid w:val="000254C1"/>
    <w:rsid w:val="00026107"/>
    <w:rsid w:val="00027F84"/>
    <w:rsid w:val="000300F8"/>
    <w:rsid w:val="000349CB"/>
    <w:rsid w:val="00034DB2"/>
    <w:rsid w:val="00037103"/>
    <w:rsid w:val="0004378A"/>
    <w:rsid w:val="000439FE"/>
    <w:rsid w:val="000442A3"/>
    <w:rsid w:val="00047662"/>
    <w:rsid w:val="0004786A"/>
    <w:rsid w:val="000506AB"/>
    <w:rsid w:val="00050B18"/>
    <w:rsid w:val="00050E16"/>
    <w:rsid w:val="00050ED2"/>
    <w:rsid w:val="000524D8"/>
    <w:rsid w:val="000548EF"/>
    <w:rsid w:val="00056978"/>
    <w:rsid w:val="0005698C"/>
    <w:rsid w:val="00057036"/>
    <w:rsid w:val="00057B8F"/>
    <w:rsid w:val="00060C0B"/>
    <w:rsid w:val="00063887"/>
    <w:rsid w:val="0006506E"/>
    <w:rsid w:val="000659F1"/>
    <w:rsid w:val="00065EA2"/>
    <w:rsid w:val="000703AB"/>
    <w:rsid w:val="000706F9"/>
    <w:rsid w:val="00071991"/>
    <w:rsid w:val="00073D18"/>
    <w:rsid w:val="00074E0F"/>
    <w:rsid w:val="00076A90"/>
    <w:rsid w:val="0008077D"/>
    <w:rsid w:val="00080AE8"/>
    <w:rsid w:val="00083020"/>
    <w:rsid w:val="00083565"/>
    <w:rsid w:val="000862C0"/>
    <w:rsid w:val="00090151"/>
    <w:rsid w:val="0009071E"/>
    <w:rsid w:val="00090ED5"/>
    <w:rsid w:val="0009146E"/>
    <w:rsid w:val="00092CBB"/>
    <w:rsid w:val="000930B4"/>
    <w:rsid w:val="00093A71"/>
    <w:rsid w:val="00093E88"/>
    <w:rsid w:val="00094CCD"/>
    <w:rsid w:val="00097710"/>
    <w:rsid w:val="000A188F"/>
    <w:rsid w:val="000A1EBA"/>
    <w:rsid w:val="000A2BD7"/>
    <w:rsid w:val="000A3218"/>
    <w:rsid w:val="000A50B3"/>
    <w:rsid w:val="000A6D4F"/>
    <w:rsid w:val="000A7CA7"/>
    <w:rsid w:val="000B07C4"/>
    <w:rsid w:val="000B0FDE"/>
    <w:rsid w:val="000B3E17"/>
    <w:rsid w:val="000B420F"/>
    <w:rsid w:val="000B5006"/>
    <w:rsid w:val="000B6518"/>
    <w:rsid w:val="000C160B"/>
    <w:rsid w:val="000C18FA"/>
    <w:rsid w:val="000C4DD8"/>
    <w:rsid w:val="000C62E4"/>
    <w:rsid w:val="000D152F"/>
    <w:rsid w:val="000D45F9"/>
    <w:rsid w:val="000D4675"/>
    <w:rsid w:val="000D5177"/>
    <w:rsid w:val="000E1A3B"/>
    <w:rsid w:val="000E252C"/>
    <w:rsid w:val="000E44D9"/>
    <w:rsid w:val="000E550D"/>
    <w:rsid w:val="000E7F9F"/>
    <w:rsid w:val="000F17D9"/>
    <w:rsid w:val="000F2A1D"/>
    <w:rsid w:val="000F2E61"/>
    <w:rsid w:val="000F30A1"/>
    <w:rsid w:val="000F3F9B"/>
    <w:rsid w:val="000F73FE"/>
    <w:rsid w:val="000F755E"/>
    <w:rsid w:val="000F7FF0"/>
    <w:rsid w:val="00100A07"/>
    <w:rsid w:val="00112253"/>
    <w:rsid w:val="00113FC1"/>
    <w:rsid w:val="001144AD"/>
    <w:rsid w:val="00120EAE"/>
    <w:rsid w:val="00121A5D"/>
    <w:rsid w:val="00121B4D"/>
    <w:rsid w:val="0012269F"/>
    <w:rsid w:val="00124B18"/>
    <w:rsid w:val="00125238"/>
    <w:rsid w:val="001260E7"/>
    <w:rsid w:val="00126C25"/>
    <w:rsid w:val="0012788D"/>
    <w:rsid w:val="00127A4E"/>
    <w:rsid w:val="00127F7C"/>
    <w:rsid w:val="0013035E"/>
    <w:rsid w:val="00132D87"/>
    <w:rsid w:val="00132F47"/>
    <w:rsid w:val="00133E98"/>
    <w:rsid w:val="001344CD"/>
    <w:rsid w:val="001351AA"/>
    <w:rsid w:val="0014034C"/>
    <w:rsid w:val="00142A75"/>
    <w:rsid w:val="001430A4"/>
    <w:rsid w:val="0014360B"/>
    <w:rsid w:val="0014404F"/>
    <w:rsid w:val="00146FCD"/>
    <w:rsid w:val="001519D7"/>
    <w:rsid w:val="00157A0D"/>
    <w:rsid w:val="0016074A"/>
    <w:rsid w:val="00160D8C"/>
    <w:rsid w:val="00163E05"/>
    <w:rsid w:val="00164BCC"/>
    <w:rsid w:val="00165320"/>
    <w:rsid w:val="001678EC"/>
    <w:rsid w:val="0017105F"/>
    <w:rsid w:val="001757BE"/>
    <w:rsid w:val="00181182"/>
    <w:rsid w:val="00181671"/>
    <w:rsid w:val="00182387"/>
    <w:rsid w:val="00184692"/>
    <w:rsid w:val="00186344"/>
    <w:rsid w:val="001874B3"/>
    <w:rsid w:val="00187645"/>
    <w:rsid w:val="00187B50"/>
    <w:rsid w:val="00190EE5"/>
    <w:rsid w:val="0019317D"/>
    <w:rsid w:val="00193DE8"/>
    <w:rsid w:val="00194543"/>
    <w:rsid w:val="00196A13"/>
    <w:rsid w:val="00196CFA"/>
    <w:rsid w:val="0019706B"/>
    <w:rsid w:val="001A03FE"/>
    <w:rsid w:val="001A09FE"/>
    <w:rsid w:val="001A15F7"/>
    <w:rsid w:val="001A41DE"/>
    <w:rsid w:val="001A5C3A"/>
    <w:rsid w:val="001B06D9"/>
    <w:rsid w:val="001B093C"/>
    <w:rsid w:val="001B1B71"/>
    <w:rsid w:val="001B6DB1"/>
    <w:rsid w:val="001B72ED"/>
    <w:rsid w:val="001C009F"/>
    <w:rsid w:val="001C0258"/>
    <w:rsid w:val="001C06D2"/>
    <w:rsid w:val="001C0EE0"/>
    <w:rsid w:val="001C2394"/>
    <w:rsid w:val="001C7DA4"/>
    <w:rsid w:val="001D1C76"/>
    <w:rsid w:val="001D4B03"/>
    <w:rsid w:val="001D5626"/>
    <w:rsid w:val="001D5F4C"/>
    <w:rsid w:val="001D62F4"/>
    <w:rsid w:val="001D7A8C"/>
    <w:rsid w:val="001E030C"/>
    <w:rsid w:val="001E0F8D"/>
    <w:rsid w:val="001E2FB5"/>
    <w:rsid w:val="001E56E5"/>
    <w:rsid w:val="001E6A50"/>
    <w:rsid w:val="001E76DA"/>
    <w:rsid w:val="001E7931"/>
    <w:rsid w:val="001F0663"/>
    <w:rsid w:val="001F09EE"/>
    <w:rsid w:val="001F149D"/>
    <w:rsid w:val="001F14DC"/>
    <w:rsid w:val="001F45EB"/>
    <w:rsid w:val="001F4667"/>
    <w:rsid w:val="001F5708"/>
    <w:rsid w:val="002038BC"/>
    <w:rsid w:val="002040E8"/>
    <w:rsid w:val="00206D69"/>
    <w:rsid w:val="00213303"/>
    <w:rsid w:val="00213ED3"/>
    <w:rsid w:val="00215708"/>
    <w:rsid w:val="002157AA"/>
    <w:rsid w:val="002204AD"/>
    <w:rsid w:val="00222C1B"/>
    <w:rsid w:val="00223EC7"/>
    <w:rsid w:val="00225263"/>
    <w:rsid w:val="00225A08"/>
    <w:rsid w:val="00225FB8"/>
    <w:rsid w:val="00226DB0"/>
    <w:rsid w:val="002317FD"/>
    <w:rsid w:val="00231DC8"/>
    <w:rsid w:val="00237418"/>
    <w:rsid w:val="002375C4"/>
    <w:rsid w:val="00240906"/>
    <w:rsid w:val="002451CF"/>
    <w:rsid w:val="00245264"/>
    <w:rsid w:val="00247B8E"/>
    <w:rsid w:val="00247F04"/>
    <w:rsid w:val="00250104"/>
    <w:rsid w:val="0025268D"/>
    <w:rsid w:val="00253702"/>
    <w:rsid w:val="00254820"/>
    <w:rsid w:val="00254E16"/>
    <w:rsid w:val="00256ADE"/>
    <w:rsid w:val="00256F4F"/>
    <w:rsid w:val="0025713F"/>
    <w:rsid w:val="0025772D"/>
    <w:rsid w:val="00257E3D"/>
    <w:rsid w:val="00261E99"/>
    <w:rsid w:val="00264042"/>
    <w:rsid w:val="002645AB"/>
    <w:rsid w:val="00264C0F"/>
    <w:rsid w:val="002666C9"/>
    <w:rsid w:val="002705AE"/>
    <w:rsid w:val="00272A4F"/>
    <w:rsid w:val="00273B83"/>
    <w:rsid w:val="00273E30"/>
    <w:rsid w:val="00275683"/>
    <w:rsid w:val="00276CE3"/>
    <w:rsid w:val="00281367"/>
    <w:rsid w:val="002839FE"/>
    <w:rsid w:val="00284CE7"/>
    <w:rsid w:val="0028578B"/>
    <w:rsid w:val="002857AA"/>
    <w:rsid w:val="0028613D"/>
    <w:rsid w:val="0028710E"/>
    <w:rsid w:val="002901E4"/>
    <w:rsid w:val="00290D8C"/>
    <w:rsid w:val="0029193F"/>
    <w:rsid w:val="00294971"/>
    <w:rsid w:val="00294DC4"/>
    <w:rsid w:val="0029548D"/>
    <w:rsid w:val="00296DD2"/>
    <w:rsid w:val="002A35CB"/>
    <w:rsid w:val="002A5D82"/>
    <w:rsid w:val="002A61A0"/>
    <w:rsid w:val="002A69E5"/>
    <w:rsid w:val="002B1DE6"/>
    <w:rsid w:val="002B2455"/>
    <w:rsid w:val="002B3FB9"/>
    <w:rsid w:val="002B696D"/>
    <w:rsid w:val="002B6A47"/>
    <w:rsid w:val="002B78E5"/>
    <w:rsid w:val="002C007F"/>
    <w:rsid w:val="002C0BB0"/>
    <w:rsid w:val="002C2497"/>
    <w:rsid w:val="002C28DB"/>
    <w:rsid w:val="002C4E5D"/>
    <w:rsid w:val="002C533A"/>
    <w:rsid w:val="002D03B7"/>
    <w:rsid w:val="002D0B41"/>
    <w:rsid w:val="002D1058"/>
    <w:rsid w:val="002D166B"/>
    <w:rsid w:val="002D1875"/>
    <w:rsid w:val="002D4F04"/>
    <w:rsid w:val="002D506E"/>
    <w:rsid w:val="002D6C9A"/>
    <w:rsid w:val="002D78B7"/>
    <w:rsid w:val="002E0BBC"/>
    <w:rsid w:val="002E2B98"/>
    <w:rsid w:val="002E5A76"/>
    <w:rsid w:val="002F039F"/>
    <w:rsid w:val="002F14C1"/>
    <w:rsid w:val="002F4FC7"/>
    <w:rsid w:val="002F6C6F"/>
    <w:rsid w:val="00302DA6"/>
    <w:rsid w:val="003037EE"/>
    <w:rsid w:val="00307FC6"/>
    <w:rsid w:val="00311991"/>
    <w:rsid w:val="003131BD"/>
    <w:rsid w:val="00314657"/>
    <w:rsid w:val="00314737"/>
    <w:rsid w:val="00314A8D"/>
    <w:rsid w:val="00315FFE"/>
    <w:rsid w:val="003216B1"/>
    <w:rsid w:val="00322637"/>
    <w:rsid w:val="00325257"/>
    <w:rsid w:val="0032545D"/>
    <w:rsid w:val="00326068"/>
    <w:rsid w:val="00327495"/>
    <w:rsid w:val="0032775B"/>
    <w:rsid w:val="003277C0"/>
    <w:rsid w:val="00330DA8"/>
    <w:rsid w:val="00332695"/>
    <w:rsid w:val="00334FFB"/>
    <w:rsid w:val="00336A51"/>
    <w:rsid w:val="00345578"/>
    <w:rsid w:val="003462DF"/>
    <w:rsid w:val="00346EB6"/>
    <w:rsid w:val="00347C5E"/>
    <w:rsid w:val="0035575C"/>
    <w:rsid w:val="003571B6"/>
    <w:rsid w:val="00367386"/>
    <w:rsid w:val="00370B51"/>
    <w:rsid w:val="00372809"/>
    <w:rsid w:val="00373720"/>
    <w:rsid w:val="003807F0"/>
    <w:rsid w:val="0038159B"/>
    <w:rsid w:val="0038415F"/>
    <w:rsid w:val="003844DF"/>
    <w:rsid w:val="00384B86"/>
    <w:rsid w:val="0038555F"/>
    <w:rsid w:val="00387DB9"/>
    <w:rsid w:val="00390736"/>
    <w:rsid w:val="00392CC7"/>
    <w:rsid w:val="00393512"/>
    <w:rsid w:val="00393D45"/>
    <w:rsid w:val="00393D48"/>
    <w:rsid w:val="00394C1F"/>
    <w:rsid w:val="003A06EC"/>
    <w:rsid w:val="003A19B4"/>
    <w:rsid w:val="003A2633"/>
    <w:rsid w:val="003A26D7"/>
    <w:rsid w:val="003A2AB3"/>
    <w:rsid w:val="003A3798"/>
    <w:rsid w:val="003A5160"/>
    <w:rsid w:val="003A52E9"/>
    <w:rsid w:val="003A5C4F"/>
    <w:rsid w:val="003A6470"/>
    <w:rsid w:val="003A70D7"/>
    <w:rsid w:val="003B10FC"/>
    <w:rsid w:val="003B12EF"/>
    <w:rsid w:val="003B241E"/>
    <w:rsid w:val="003B3E40"/>
    <w:rsid w:val="003B479F"/>
    <w:rsid w:val="003B4D96"/>
    <w:rsid w:val="003B5DB2"/>
    <w:rsid w:val="003B63F9"/>
    <w:rsid w:val="003B6F41"/>
    <w:rsid w:val="003C2C88"/>
    <w:rsid w:val="003C33D5"/>
    <w:rsid w:val="003D0FF1"/>
    <w:rsid w:val="003D1263"/>
    <w:rsid w:val="003D1C3D"/>
    <w:rsid w:val="003D27A5"/>
    <w:rsid w:val="003D310C"/>
    <w:rsid w:val="003D531F"/>
    <w:rsid w:val="003D559C"/>
    <w:rsid w:val="003D5B68"/>
    <w:rsid w:val="003D71F9"/>
    <w:rsid w:val="003E39CF"/>
    <w:rsid w:val="003E4FB3"/>
    <w:rsid w:val="003E61DC"/>
    <w:rsid w:val="003F12BC"/>
    <w:rsid w:val="003F1B86"/>
    <w:rsid w:val="003F59C2"/>
    <w:rsid w:val="003F59FD"/>
    <w:rsid w:val="003F7AC1"/>
    <w:rsid w:val="003F7AC9"/>
    <w:rsid w:val="004001E8"/>
    <w:rsid w:val="004022AE"/>
    <w:rsid w:val="00402AE2"/>
    <w:rsid w:val="00403988"/>
    <w:rsid w:val="00403DE4"/>
    <w:rsid w:val="004070E5"/>
    <w:rsid w:val="00411B05"/>
    <w:rsid w:val="00420E57"/>
    <w:rsid w:val="004219B4"/>
    <w:rsid w:val="00422953"/>
    <w:rsid w:val="00426A68"/>
    <w:rsid w:val="00427552"/>
    <w:rsid w:val="00430B11"/>
    <w:rsid w:val="00432163"/>
    <w:rsid w:val="00432E71"/>
    <w:rsid w:val="00436F3C"/>
    <w:rsid w:val="00440D2F"/>
    <w:rsid w:val="00441FB8"/>
    <w:rsid w:val="00442C86"/>
    <w:rsid w:val="00444E1B"/>
    <w:rsid w:val="00445222"/>
    <w:rsid w:val="00446423"/>
    <w:rsid w:val="00446B67"/>
    <w:rsid w:val="00450784"/>
    <w:rsid w:val="0045130F"/>
    <w:rsid w:val="004514C6"/>
    <w:rsid w:val="0045163E"/>
    <w:rsid w:val="00456E05"/>
    <w:rsid w:val="00457E2F"/>
    <w:rsid w:val="0046071D"/>
    <w:rsid w:val="0046353D"/>
    <w:rsid w:val="00467402"/>
    <w:rsid w:val="00470411"/>
    <w:rsid w:val="00471C93"/>
    <w:rsid w:val="00472EA6"/>
    <w:rsid w:val="00476625"/>
    <w:rsid w:val="0047671B"/>
    <w:rsid w:val="004822F3"/>
    <w:rsid w:val="004832C9"/>
    <w:rsid w:val="004836A5"/>
    <w:rsid w:val="004839EF"/>
    <w:rsid w:val="00483A37"/>
    <w:rsid w:val="00487431"/>
    <w:rsid w:val="0048786C"/>
    <w:rsid w:val="00487DAF"/>
    <w:rsid w:val="00490D06"/>
    <w:rsid w:val="0049230A"/>
    <w:rsid w:val="00494086"/>
    <w:rsid w:val="00494ACF"/>
    <w:rsid w:val="004977D9"/>
    <w:rsid w:val="004A163B"/>
    <w:rsid w:val="004A1E60"/>
    <w:rsid w:val="004A2792"/>
    <w:rsid w:val="004A2C5C"/>
    <w:rsid w:val="004A6AB1"/>
    <w:rsid w:val="004A7227"/>
    <w:rsid w:val="004A7A38"/>
    <w:rsid w:val="004B0937"/>
    <w:rsid w:val="004B4068"/>
    <w:rsid w:val="004B6EDE"/>
    <w:rsid w:val="004B7835"/>
    <w:rsid w:val="004C03C6"/>
    <w:rsid w:val="004C14B7"/>
    <w:rsid w:val="004C1902"/>
    <w:rsid w:val="004C25B4"/>
    <w:rsid w:val="004C2ADD"/>
    <w:rsid w:val="004C546A"/>
    <w:rsid w:val="004C57E1"/>
    <w:rsid w:val="004C6089"/>
    <w:rsid w:val="004C6432"/>
    <w:rsid w:val="004C79AD"/>
    <w:rsid w:val="004D7835"/>
    <w:rsid w:val="004E0293"/>
    <w:rsid w:val="004E1420"/>
    <w:rsid w:val="004E3FA7"/>
    <w:rsid w:val="004E71E8"/>
    <w:rsid w:val="004F0C03"/>
    <w:rsid w:val="004F2EB0"/>
    <w:rsid w:val="004F3950"/>
    <w:rsid w:val="004F4CB1"/>
    <w:rsid w:val="00501089"/>
    <w:rsid w:val="00506F7D"/>
    <w:rsid w:val="005072E2"/>
    <w:rsid w:val="00511171"/>
    <w:rsid w:val="00511244"/>
    <w:rsid w:val="00512CAC"/>
    <w:rsid w:val="00513C16"/>
    <w:rsid w:val="00513E8A"/>
    <w:rsid w:val="00517E41"/>
    <w:rsid w:val="00521416"/>
    <w:rsid w:val="005215F0"/>
    <w:rsid w:val="0052270D"/>
    <w:rsid w:val="005231E5"/>
    <w:rsid w:val="005235AB"/>
    <w:rsid w:val="00523753"/>
    <w:rsid w:val="0052657C"/>
    <w:rsid w:val="00526BCE"/>
    <w:rsid w:val="00530109"/>
    <w:rsid w:val="00530E5D"/>
    <w:rsid w:val="005350B8"/>
    <w:rsid w:val="0054411A"/>
    <w:rsid w:val="005475B0"/>
    <w:rsid w:val="005506F3"/>
    <w:rsid w:val="00552CA3"/>
    <w:rsid w:val="00554851"/>
    <w:rsid w:val="00555DEF"/>
    <w:rsid w:val="00555E10"/>
    <w:rsid w:val="00555F1E"/>
    <w:rsid w:val="005578D6"/>
    <w:rsid w:val="00560718"/>
    <w:rsid w:val="00561FBE"/>
    <w:rsid w:val="0056349D"/>
    <w:rsid w:val="005638D8"/>
    <w:rsid w:val="00563C1C"/>
    <w:rsid w:val="0056494E"/>
    <w:rsid w:val="00572046"/>
    <w:rsid w:val="00572ED7"/>
    <w:rsid w:val="00573530"/>
    <w:rsid w:val="0057604D"/>
    <w:rsid w:val="00577397"/>
    <w:rsid w:val="00582152"/>
    <w:rsid w:val="00583515"/>
    <w:rsid w:val="005841CE"/>
    <w:rsid w:val="00584CBC"/>
    <w:rsid w:val="005855D2"/>
    <w:rsid w:val="0058658F"/>
    <w:rsid w:val="00587E79"/>
    <w:rsid w:val="00590AE2"/>
    <w:rsid w:val="00592040"/>
    <w:rsid w:val="0059262C"/>
    <w:rsid w:val="005942DF"/>
    <w:rsid w:val="00594458"/>
    <w:rsid w:val="005947F1"/>
    <w:rsid w:val="005A002D"/>
    <w:rsid w:val="005A04DA"/>
    <w:rsid w:val="005A1092"/>
    <w:rsid w:val="005A1915"/>
    <w:rsid w:val="005A2F7B"/>
    <w:rsid w:val="005A35D8"/>
    <w:rsid w:val="005A38D8"/>
    <w:rsid w:val="005A4089"/>
    <w:rsid w:val="005A5A4D"/>
    <w:rsid w:val="005A62C9"/>
    <w:rsid w:val="005B135F"/>
    <w:rsid w:val="005B2921"/>
    <w:rsid w:val="005B3835"/>
    <w:rsid w:val="005B39C2"/>
    <w:rsid w:val="005B5B61"/>
    <w:rsid w:val="005B70E1"/>
    <w:rsid w:val="005B7860"/>
    <w:rsid w:val="005B7D3E"/>
    <w:rsid w:val="005C0CA9"/>
    <w:rsid w:val="005C1DD1"/>
    <w:rsid w:val="005C2BDE"/>
    <w:rsid w:val="005C2CB2"/>
    <w:rsid w:val="005C4561"/>
    <w:rsid w:val="005C6D3F"/>
    <w:rsid w:val="005C7237"/>
    <w:rsid w:val="005C7BB6"/>
    <w:rsid w:val="005D0491"/>
    <w:rsid w:val="005D4F2E"/>
    <w:rsid w:val="005E11CC"/>
    <w:rsid w:val="005E2689"/>
    <w:rsid w:val="005E31EA"/>
    <w:rsid w:val="005E3B31"/>
    <w:rsid w:val="005F01C2"/>
    <w:rsid w:val="005F1833"/>
    <w:rsid w:val="005F3A50"/>
    <w:rsid w:val="005F6230"/>
    <w:rsid w:val="005F7AC4"/>
    <w:rsid w:val="005F7B07"/>
    <w:rsid w:val="006006CC"/>
    <w:rsid w:val="00602BAF"/>
    <w:rsid w:val="0060338B"/>
    <w:rsid w:val="00603EC1"/>
    <w:rsid w:val="00605F67"/>
    <w:rsid w:val="00606FDB"/>
    <w:rsid w:val="006116F6"/>
    <w:rsid w:val="00613A0A"/>
    <w:rsid w:val="00614A66"/>
    <w:rsid w:val="0061550B"/>
    <w:rsid w:val="006171D0"/>
    <w:rsid w:val="006200ED"/>
    <w:rsid w:val="006201D6"/>
    <w:rsid w:val="00620C32"/>
    <w:rsid w:val="00621079"/>
    <w:rsid w:val="00624AAF"/>
    <w:rsid w:val="00625340"/>
    <w:rsid w:val="00631276"/>
    <w:rsid w:val="00631917"/>
    <w:rsid w:val="00632658"/>
    <w:rsid w:val="006339D5"/>
    <w:rsid w:val="00636D40"/>
    <w:rsid w:val="00640897"/>
    <w:rsid w:val="00640FD3"/>
    <w:rsid w:val="006430D6"/>
    <w:rsid w:val="006438FC"/>
    <w:rsid w:val="0064539B"/>
    <w:rsid w:val="00646B57"/>
    <w:rsid w:val="00646FA0"/>
    <w:rsid w:val="00647702"/>
    <w:rsid w:val="006535A8"/>
    <w:rsid w:val="00653843"/>
    <w:rsid w:val="00654510"/>
    <w:rsid w:val="00654AFB"/>
    <w:rsid w:val="006556F2"/>
    <w:rsid w:val="00655E4C"/>
    <w:rsid w:val="00656986"/>
    <w:rsid w:val="0066304F"/>
    <w:rsid w:val="0066653E"/>
    <w:rsid w:val="006676A7"/>
    <w:rsid w:val="0067065D"/>
    <w:rsid w:val="00670AD1"/>
    <w:rsid w:val="006730FB"/>
    <w:rsid w:val="00677A4C"/>
    <w:rsid w:val="006807D4"/>
    <w:rsid w:val="00680A67"/>
    <w:rsid w:val="00681448"/>
    <w:rsid w:val="00681C56"/>
    <w:rsid w:val="00683DA2"/>
    <w:rsid w:val="00686D8A"/>
    <w:rsid w:val="00687C02"/>
    <w:rsid w:val="00691499"/>
    <w:rsid w:val="0069211F"/>
    <w:rsid w:val="0069250A"/>
    <w:rsid w:val="00692F31"/>
    <w:rsid w:val="00695DFB"/>
    <w:rsid w:val="006964DC"/>
    <w:rsid w:val="006A000F"/>
    <w:rsid w:val="006A0AA6"/>
    <w:rsid w:val="006A0CC8"/>
    <w:rsid w:val="006A2071"/>
    <w:rsid w:val="006A2A11"/>
    <w:rsid w:val="006A510E"/>
    <w:rsid w:val="006A7090"/>
    <w:rsid w:val="006A71F9"/>
    <w:rsid w:val="006A74D9"/>
    <w:rsid w:val="006B6D13"/>
    <w:rsid w:val="006C1523"/>
    <w:rsid w:val="006C1E95"/>
    <w:rsid w:val="006C3A25"/>
    <w:rsid w:val="006C5826"/>
    <w:rsid w:val="006C5FC0"/>
    <w:rsid w:val="006D07AC"/>
    <w:rsid w:val="006D1CF3"/>
    <w:rsid w:val="006D44F8"/>
    <w:rsid w:val="006D64FF"/>
    <w:rsid w:val="006D76DF"/>
    <w:rsid w:val="006D78E0"/>
    <w:rsid w:val="006E3362"/>
    <w:rsid w:val="006E42AB"/>
    <w:rsid w:val="006E4B11"/>
    <w:rsid w:val="006E6B0C"/>
    <w:rsid w:val="006F06C8"/>
    <w:rsid w:val="006F09FF"/>
    <w:rsid w:val="006F3BF1"/>
    <w:rsid w:val="006F45B8"/>
    <w:rsid w:val="006F4620"/>
    <w:rsid w:val="006F5739"/>
    <w:rsid w:val="006F5C65"/>
    <w:rsid w:val="0070044F"/>
    <w:rsid w:val="0070238C"/>
    <w:rsid w:val="00702DDC"/>
    <w:rsid w:val="007035E0"/>
    <w:rsid w:val="007037EF"/>
    <w:rsid w:val="00703FFA"/>
    <w:rsid w:val="007053CD"/>
    <w:rsid w:val="0071448B"/>
    <w:rsid w:val="00714C8A"/>
    <w:rsid w:val="007154F6"/>
    <w:rsid w:val="00715D20"/>
    <w:rsid w:val="0071680E"/>
    <w:rsid w:val="00720350"/>
    <w:rsid w:val="00721295"/>
    <w:rsid w:val="00721E5F"/>
    <w:rsid w:val="00722B5C"/>
    <w:rsid w:val="00724F5D"/>
    <w:rsid w:val="007265EF"/>
    <w:rsid w:val="00730D18"/>
    <w:rsid w:val="007323C1"/>
    <w:rsid w:val="007361F5"/>
    <w:rsid w:val="0074031E"/>
    <w:rsid w:val="00741886"/>
    <w:rsid w:val="007426D4"/>
    <w:rsid w:val="00742901"/>
    <w:rsid w:val="007436BC"/>
    <w:rsid w:val="00744927"/>
    <w:rsid w:val="007449FA"/>
    <w:rsid w:val="00745115"/>
    <w:rsid w:val="007451E4"/>
    <w:rsid w:val="0074562B"/>
    <w:rsid w:val="00746740"/>
    <w:rsid w:val="00747D29"/>
    <w:rsid w:val="00751764"/>
    <w:rsid w:val="00751D13"/>
    <w:rsid w:val="00752E79"/>
    <w:rsid w:val="0075482C"/>
    <w:rsid w:val="007549B6"/>
    <w:rsid w:val="00754F51"/>
    <w:rsid w:val="00761BDC"/>
    <w:rsid w:val="00762772"/>
    <w:rsid w:val="00763FB2"/>
    <w:rsid w:val="007706AE"/>
    <w:rsid w:val="00771233"/>
    <w:rsid w:val="007723FC"/>
    <w:rsid w:val="00772768"/>
    <w:rsid w:val="007749FA"/>
    <w:rsid w:val="00781390"/>
    <w:rsid w:val="0078192C"/>
    <w:rsid w:val="007820AD"/>
    <w:rsid w:val="0078486A"/>
    <w:rsid w:val="00784937"/>
    <w:rsid w:val="00785E22"/>
    <w:rsid w:val="00787B8B"/>
    <w:rsid w:val="00790800"/>
    <w:rsid w:val="007929D1"/>
    <w:rsid w:val="00796893"/>
    <w:rsid w:val="00796F91"/>
    <w:rsid w:val="007A109E"/>
    <w:rsid w:val="007A1A4E"/>
    <w:rsid w:val="007A1B58"/>
    <w:rsid w:val="007A72EA"/>
    <w:rsid w:val="007B19A8"/>
    <w:rsid w:val="007B3EC8"/>
    <w:rsid w:val="007B67B7"/>
    <w:rsid w:val="007C0A77"/>
    <w:rsid w:val="007C1F24"/>
    <w:rsid w:val="007C3253"/>
    <w:rsid w:val="007C4BA1"/>
    <w:rsid w:val="007C5230"/>
    <w:rsid w:val="007C5FAF"/>
    <w:rsid w:val="007C63FE"/>
    <w:rsid w:val="007C7555"/>
    <w:rsid w:val="007C7AA7"/>
    <w:rsid w:val="007D003D"/>
    <w:rsid w:val="007D0717"/>
    <w:rsid w:val="007D07C0"/>
    <w:rsid w:val="007D204E"/>
    <w:rsid w:val="007D310B"/>
    <w:rsid w:val="007D43A8"/>
    <w:rsid w:val="007D6F60"/>
    <w:rsid w:val="007E19AB"/>
    <w:rsid w:val="007E1D71"/>
    <w:rsid w:val="007E1F7C"/>
    <w:rsid w:val="007E6200"/>
    <w:rsid w:val="007E6B1F"/>
    <w:rsid w:val="007F00C4"/>
    <w:rsid w:val="007F31B9"/>
    <w:rsid w:val="007F4C3A"/>
    <w:rsid w:val="007F512A"/>
    <w:rsid w:val="007F6252"/>
    <w:rsid w:val="00800551"/>
    <w:rsid w:val="00802722"/>
    <w:rsid w:val="00804060"/>
    <w:rsid w:val="00804DAD"/>
    <w:rsid w:val="00805EC7"/>
    <w:rsid w:val="00806015"/>
    <w:rsid w:val="00806ACB"/>
    <w:rsid w:val="008077E4"/>
    <w:rsid w:val="00812CCC"/>
    <w:rsid w:val="0081616A"/>
    <w:rsid w:val="00817DAD"/>
    <w:rsid w:val="00821A4C"/>
    <w:rsid w:val="00822DF3"/>
    <w:rsid w:val="0082505F"/>
    <w:rsid w:val="0082575A"/>
    <w:rsid w:val="008262E5"/>
    <w:rsid w:val="008275C7"/>
    <w:rsid w:val="008327C7"/>
    <w:rsid w:val="008340F4"/>
    <w:rsid w:val="00834271"/>
    <w:rsid w:val="0084028A"/>
    <w:rsid w:val="00840389"/>
    <w:rsid w:val="00840668"/>
    <w:rsid w:val="00840D36"/>
    <w:rsid w:val="0084220F"/>
    <w:rsid w:val="00842FE9"/>
    <w:rsid w:val="008435AF"/>
    <w:rsid w:val="00843B3A"/>
    <w:rsid w:val="00845091"/>
    <w:rsid w:val="00847404"/>
    <w:rsid w:val="008506F7"/>
    <w:rsid w:val="00850EFA"/>
    <w:rsid w:val="00851B5A"/>
    <w:rsid w:val="00851D29"/>
    <w:rsid w:val="00856C8B"/>
    <w:rsid w:val="00856D1A"/>
    <w:rsid w:val="008573A8"/>
    <w:rsid w:val="00857846"/>
    <w:rsid w:val="00857ECE"/>
    <w:rsid w:val="00860AFA"/>
    <w:rsid w:val="00861078"/>
    <w:rsid w:val="008641E8"/>
    <w:rsid w:val="008644B3"/>
    <w:rsid w:val="008700FF"/>
    <w:rsid w:val="008705C4"/>
    <w:rsid w:val="008710CD"/>
    <w:rsid w:val="00873F9B"/>
    <w:rsid w:val="008843B6"/>
    <w:rsid w:val="00884ED4"/>
    <w:rsid w:val="0088596D"/>
    <w:rsid w:val="00885E24"/>
    <w:rsid w:val="00890038"/>
    <w:rsid w:val="0089131E"/>
    <w:rsid w:val="008918BC"/>
    <w:rsid w:val="00892C46"/>
    <w:rsid w:val="00893E58"/>
    <w:rsid w:val="00894F68"/>
    <w:rsid w:val="00895EFF"/>
    <w:rsid w:val="00896144"/>
    <w:rsid w:val="008A1BF3"/>
    <w:rsid w:val="008A3C9C"/>
    <w:rsid w:val="008A5E59"/>
    <w:rsid w:val="008B09D4"/>
    <w:rsid w:val="008B3C3D"/>
    <w:rsid w:val="008B64CF"/>
    <w:rsid w:val="008B73D2"/>
    <w:rsid w:val="008C1336"/>
    <w:rsid w:val="008C3161"/>
    <w:rsid w:val="008C3511"/>
    <w:rsid w:val="008C476C"/>
    <w:rsid w:val="008C504E"/>
    <w:rsid w:val="008C53E9"/>
    <w:rsid w:val="008C6911"/>
    <w:rsid w:val="008D1DF8"/>
    <w:rsid w:val="008D2133"/>
    <w:rsid w:val="008D2229"/>
    <w:rsid w:val="008D237D"/>
    <w:rsid w:val="008E1A32"/>
    <w:rsid w:val="008E5181"/>
    <w:rsid w:val="008E5BD9"/>
    <w:rsid w:val="008F06D0"/>
    <w:rsid w:val="008F0F00"/>
    <w:rsid w:val="008F2AD0"/>
    <w:rsid w:val="008F5825"/>
    <w:rsid w:val="008F617C"/>
    <w:rsid w:val="008F7F89"/>
    <w:rsid w:val="009013A5"/>
    <w:rsid w:val="00902FFE"/>
    <w:rsid w:val="00903C37"/>
    <w:rsid w:val="00905248"/>
    <w:rsid w:val="00906AD1"/>
    <w:rsid w:val="00906EFD"/>
    <w:rsid w:val="00906F7F"/>
    <w:rsid w:val="00906F8B"/>
    <w:rsid w:val="00907BF7"/>
    <w:rsid w:val="0091061A"/>
    <w:rsid w:val="00912339"/>
    <w:rsid w:val="00912D51"/>
    <w:rsid w:val="00914C0B"/>
    <w:rsid w:val="00915EB9"/>
    <w:rsid w:val="009230C7"/>
    <w:rsid w:val="00923CCA"/>
    <w:rsid w:val="009264C0"/>
    <w:rsid w:val="00930E15"/>
    <w:rsid w:val="00931672"/>
    <w:rsid w:val="009349BB"/>
    <w:rsid w:val="0093550E"/>
    <w:rsid w:val="00935D7C"/>
    <w:rsid w:val="00940EB7"/>
    <w:rsid w:val="00940FB0"/>
    <w:rsid w:val="009431E8"/>
    <w:rsid w:val="0094591B"/>
    <w:rsid w:val="00946A0A"/>
    <w:rsid w:val="00950D5B"/>
    <w:rsid w:val="00951A80"/>
    <w:rsid w:val="00953690"/>
    <w:rsid w:val="00954906"/>
    <w:rsid w:val="00954A11"/>
    <w:rsid w:val="00957C4F"/>
    <w:rsid w:val="00957DA7"/>
    <w:rsid w:val="00960963"/>
    <w:rsid w:val="00961C50"/>
    <w:rsid w:val="00962147"/>
    <w:rsid w:val="00962549"/>
    <w:rsid w:val="009641FB"/>
    <w:rsid w:val="0097041D"/>
    <w:rsid w:val="00977123"/>
    <w:rsid w:val="00977140"/>
    <w:rsid w:val="009773D8"/>
    <w:rsid w:val="00980765"/>
    <w:rsid w:val="009824F7"/>
    <w:rsid w:val="00983F11"/>
    <w:rsid w:val="009853C2"/>
    <w:rsid w:val="00985525"/>
    <w:rsid w:val="00986DBF"/>
    <w:rsid w:val="00986E5E"/>
    <w:rsid w:val="0098779B"/>
    <w:rsid w:val="00990832"/>
    <w:rsid w:val="00991908"/>
    <w:rsid w:val="00991A2A"/>
    <w:rsid w:val="00993C21"/>
    <w:rsid w:val="00994768"/>
    <w:rsid w:val="00995C8C"/>
    <w:rsid w:val="009A04A4"/>
    <w:rsid w:val="009A4D5A"/>
    <w:rsid w:val="009A5E48"/>
    <w:rsid w:val="009A76DF"/>
    <w:rsid w:val="009A76E4"/>
    <w:rsid w:val="009A7E83"/>
    <w:rsid w:val="009B1961"/>
    <w:rsid w:val="009B1B4E"/>
    <w:rsid w:val="009B4ECF"/>
    <w:rsid w:val="009B5A03"/>
    <w:rsid w:val="009B5EC3"/>
    <w:rsid w:val="009C1065"/>
    <w:rsid w:val="009C4A09"/>
    <w:rsid w:val="009C570C"/>
    <w:rsid w:val="009C756D"/>
    <w:rsid w:val="009E0A0D"/>
    <w:rsid w:val="009E6362"/>
    <w:rsid w:val="009E6447"/>
    <w:rsid w:val="009F03DB"/>
    <w:rsid w:val="009F0B5F"/>
    <w:rsid w:val="009F1019"/>
    <w:rsid w:val="009F256F"/>
    <w:rsid w:val="009F3B67"/>
    <w:rsid w:val="009F52AD"/>
    <w:rsid w:val="009F5E71"/>
    <w:rsid w:val="009F694F"/>
    <w:rsid w:val="009F6E47"/>
    <w:rsid w:val="00A0035E"/>
    <w:rsid w:val="00A00F63"/>
    <w:rsid w:val="00A011F9"/>
    <w:rsid w:val="00A01804"/>
    <w:rsid w:val="00A022E6"/>
    <w:rsid w:val="00A028C2"/>
    <w:rsid w:val="00A048AE"/>
    <w:rsid w:val="00A04E8A"/>
    <w:rsid w:val="00A0777D"/>
    <w:rsid w:val="00A07D0C"/>
    <w:rsid w:val="00A1039D"/>
    <w:rsid w:val="00A13D27"/>
    <w:rsid w:val="00A14ADA"/>
    <w:rsid w:val="00A16035"/>
    <w:rsid w:val="00A16302"/>
    <w:rsid w:val="00A20524"/>
    <w:rsid w:val="00A20604"/>
    <w:rsid w:val="00A21724"/>
    <w:rsid w:val="00A2288C"/>
    <w:rsid w:val="00A24F3E"/>
    <w:rsid w:val="00A25C8C"/>
    <w:rsid w:val="00A26ABC"/>
    <w:rsid w:val="00A277BB"/>
    <w:rsid w:val="00A27A4F"/>
    <w:rsid w:val="00A30DFD"/>
    <w:rsid w:val="00A31D30"/>
    <w:rsid w:val="00A356ED"/>
    <w:rsid w:val="00A404CC"/>
    <w:rsid w:val="00A415C6"/>
    <w:rsid w:val="00A440C7"/>
    <w:rsid w:val="00A46467"/>
    <w:rsid w:val="00A466F7"/>
    <w:rsid w:val="00A46785"/>
    <w:rsid w:val="00A46EC5"/>
    <w:rsid w:val="00A51BE9"/>
    <w:rsid w:val="00A52181"/>
    <w:rsid w:val="00A52F94"/>
    <w:rsid w:val="00A54899"/>
    <w:rsid w:val="00A54E6A"/>
    <w:rsid w:val="00A6117A"/>
    <w:rsid w:val="00A621EE"/>
    <w:rsid w:val="00A626EA"/>
    <w:rsid w:val="00A63C76"/>
    <w:rsid w:val="00A64887"/>
    <w:rsid w:val="00A65CF6"/>
    <w:rsid w:val="00A72316"/>
    <w:rsid w:val="00A726B9"/>
    <w:rsid w:val="00A72B20"/>
    <w:rsid w:val="00A77888"/>
    <w:rsid w:val="00A82B8B"/>
    <w:rsid w:val="00A82E84"/>
    <w:rsid w:val="00A8432F"/>
    <w:rsid w:val="00A84AD7"/>
    <w:rsid w:val="00A91A4D"/>
    <w:rsid w:val="00A91D41"/>
    <w:rsid w:val="00A96406"/>
    <w:rsid w:val="00A970C8"/>
    <w:rsid w:val="00AA3C0F"/>
    <w:rsid w:val="00AA48C4"/>
    <w:rsid w:val="00AA5083"/>
    <w:rsid w:val="00AA660B"/>
    <w:rsid w:val="00AB023C"/>
    <w:rsid w:val="00AB42A0"/>
    <w:rsid w:val="00AB7271"/>
    <w:rsid w:val="00AB7595"/>
    <w:rsid w:val="00AC1528"/>
    <w:rsid w:val="00AC230D"/>
    <w:rsid w:val="00AC3712"/>
    <w:rsid w:val="00AC7649"/>
    <w:rsid w:val="00AD027F"/>
    <w:rsid w:val="00AD1921"/>
    <w:rsid w:val="00AD404A"/>
    <w:rsid w:val="00AD53A2"/>
    <w:rsid w:val="00AD65E8"/>
    <w:rsid w:val="00AE0694"/>
    <w:rsid w:val="00AE2428"/>
    <w:rsid w:val="00AE50AB"/>
    <w:rsid w:val="00AE51BE"/>
    <w:rsid w:val="00AE549F"/>
    <w:rsid w:val="00AF0C03"/>
    <w:rsid w:val="00AF2133"/>
    <w:rsid w:val="00AF2398"/>
    <w:rsid w:val="00AF2F19"/>
    <w:rsid w:val="00AF32DB"/>
    <w:rsid w:val="00AF3534"/>
    <w:rsid w:val="00AF3E18"/>
    <w:rsid w:val="00AF4E83"/>
    <w:rsid w:val="00B015CC"/>
    <w:rsid w:val="00B02073"/>
    <w:rsid w:val="00B02E82"/>
    <w:rsid w:val="00B06E97"/>
    <w:rsid w:val="00B076FE"/>
    <w:rsid w:val="00B102B8"/>
    <w:rsid w:val="00B1035B"/>
    <w:rsid w:val="00B16374"/>
    <w:rsid w:val="00B16D15"/>
    <w:rsid w:val="00B17BA7"/>
    <w:rsid w:val="00B2132C"/>
    <w:rsid w:val="00B21C16"/>
    <w:rsid w:val="00B229AF"/>
    <w:rsid w:val="00B23524"/>
    <w:rsid w:val="00B23663"/>
    <w:rsid w:val="00B26E4E"/>
    <w:rsid w:val="00B26EC3"/>
    <w:rsid w:val="00B2785B"/>
    <w:rsid w:val="00B30748"/>
    <w:rsid w:val="00B30968"/>
    <w:rsid w:val="00B322A5"/>
    <w:rsid w:val="00B32931"/>
    <w:rsid w:val="00B33940"/>
    <w:rsid w:val="00B3453F"/>
    <w:rsid w:val="00B347A2"/>
    <w:rsid w:val="00B34DCE"/>
    <w:rsid w:val="00B35380"/>
    <w:rsid w:val="00B3643D"/>
    <w:rsid w:val="00B4014E"/>
    <w:rsid w:val="00B40BF1"/>
    <w:rsid w:val="00B427AB"/>
    <w:rsid w:val="00B4432B"/>
    <w:rsid w:val="00B45DC0"/>
    <w:rsid w:val="00B47B55"/>
    <w:rsid w:val="00B50BE8"/>
    <w:rsid w:val="00B5320E"/>
    <w:rsid w:val="00B5331C"/>
    <w:rsid w:val="00B60C0F"/>
    <w:rsid w:val="00B60FB0"/>
    <w:rsid w:val="00B63E08"/>
    <w:rsid w:val="00B64380"/>
    <w:rsid w:val="00B649EA"/>
    <w:rsid w:val="00B6589C"/>
    <w:rsid w:val="00B66253"/>
    <w:rsid w:val="00B66FC8"/>
    <w:rsid w:val="00B6744E"/>
    <w:rsid w:val="00B7081E"/>
    <w:rsid w:val="00B73F30"/>
    <w:rsid w:val="00B74290"/>
    <w:rsid w:val="00B753C8"/>
    <w:rsid w:val="00B80FD2"/>
    <w:rsid w:val="00B81A23"/>
    <w:rsid w:val="00B82466"/>
    <w:rsid w:val="00B838AC"/>
    <w:rsid w:val="00B845C7"/>
    <w:rsid w:val="00B8703B"/>
    <w:rsid w:val="00B870EF"/>
    <w:rsid w:val="00B87D7A"/>
    <w:rsid w:val="00B9593D"/>
    <w:rsid w:val="00B962F7"/>
    <w:rsid w:val="00B9660E"/>
    <w:rsid w:val="00BA4386"/>
    <w:rsid w:val="00BA49F6"/>
    <w:rsid w:val="00BA53DD"/>
    <w:rsid w:val="00BA5540"/>
    <w:rsid w:val="00BB06CA"/>
    <w:rsid w:val="00BB09A1"/>
    <w:rsid w:val="00BB0BC2"/>
    <w:rsid w:val="00BB2F7C"/>
    <w:rsid w:val="00BB32BF"/>
    <w:rsid w:val="00BB32C5"/>
    <w:rsid w:val="00BB3E27"/>
    <w:rsid w:val="00BC0689"/>
    <w:rsid w:val="00BC1C63"/>
    <w:rsid w:val="00BC383D"/>
    <w:rsid w:val="00BC53E4"/>
    <w:rsid w:val="00BC5F03"/>
    <w:rsid w:val="00BC64FF"/>
    <w:rsid w:val="00BC7160"/>
    <w:rsid w:val="00BD37E3"/>
    <w:rsid w:val="00BD5330"/>
    <w:rsid w:val="00BD5810"/>
    <w:rsid w:val="00BD5A7E"/>
    <w:rsid w:val="00BD5AB9"/>
    <w:rsid w:val="00BE06B2"/>
    <w:rsid w:val="00BE0B3A"/>
    <w:rsid w:val="00BE12AC"/>
    <w:rsid w:val="00BE3C51"/>
    <w:rsid w:val="00BE5B5F"/>
    <w:rsid w:val="00BE6582"/>
    <w:rsid w:val="00BE66E6"/>
    <w:rsid w:val="00BE6D59"/>
    <w:rsid w:val="00BE6E56"/>
    <w:rsid w:val="00BE7FCF"/>
    <w:rsid w:val="00BF02FA"/>
    <w:rsid w:val="00BF2B9F"/>
    <w:rsid w:val="00BF3C4A"/>
    <w:rsid w:val="00BF3DD7"/>
    <w:rsid w:val="00BF4875"/>
    <w:rsid w:val="00BF5519"/>
    <w:rsid w:val="00BF5743"/>
    <w:rsid w:val="00BF6199"/>
    <w:rsid w:val="00BF7A77"/>
    <w:rsid w:val="00C00569"/>
    <w:rsid w:val="00C00720"/>
    <w:rsid w:val="00C00985"/>
    <w:rsid w:val="00C01C64"/>
    <w:rsid w:val="00C01E2E"/>
    <w:rsid w:val="00C060C3"/>
    <w:rsid w:val="00C06B90"/>
    <w:rsid w:val="00C07B10"/>
    <w:rsid w:val="00C1273F"/>
    <w:rsid w:val="00C12E42"/>
    <w:rsid w:val="00C13D4F"/>
    <w:rsid w:val="00C13E3D"/>
    <w:rsid w:val="00C14FD8"/>
    <w:rsid w:val="00C15964"/>
    <w:rsid w:val="00C21DFC"/>
    <w:rsid w:val="00C220FE"/>
    <w:rsid w:val="00C22E6A"/>
    <w:rsid w:val="00C23E49"/>
    <w:rsid w:val="00C24F82"/>
    <w:rsid w:val="00C26434"/>
    <w:rsid w:val="00C26580"/>
    <w:rsid w:val="00C33934"/>
    <w:rsid w:val="00C342AB"/>
    <w:rsid w:val="00C35285"/>
    <w:rsid w:val="00C3548C"/>
    <w:rsid w:val="00C4108A"/>
    <w:rsid w:val="00C413A1"/>
    <w:rsid w:val="00C45587"/>
    <w:rsid w:val="00C45F2F"/>
    <w:rsid w:val="00C50B38"/>
    <w:rsid w:val="00C51E4B"/>
    <w:rsid w:val="00C52FB0"/>
    <w:rsid w:val="00C53DCE"/>
    <w:rsid w:val="00C5659C"/>
    <w:rsid w:val="00C62316"/>
    <w:rsid w:val="00C649AD"/>
    <w:rsid w:val="00C668E0"/>
    <w:rsid w:val="00C72FBB"/>
    <w:rsid w:val="00C75CE4"/>
    <w:rsid w:val="00C82966"/>
    <w:rsid w:val="00C83930"/>
    <w:rsid w:val="00C84F6E"/>
    <w:rsid w:val="00C85915"/>
    <w:rsid w:val="00C86D76"/>
    <w:rsid w:val="00C90A09"/>
    <w:rsid w:val="00C91965"/>
    <w:rsid w:val="00C91B33"/>
    <w:rsid w:val="00C92126"/>
    <w:rsid w:val="00C92C11"/>
    <w:rsid w:val="00C92C4A"/>
    <w:rsid w:val="00C9338B"/>
    <w:rsid w:val="00C93559"/>
    <w:rsid w:val="00C96714"/>
    <w:rsid w:val="00C96C4D"/>
    <w:rsid w:val="00CA069F"/>
    <w:rsid w:val="00CA4E2F"/>
    <w:rsid w:val="00CA5254"/>
    <w:rsid w:val="00CA53EC"/>
    <w:rsid w:val="00CA5626"/>
    <w:rsid w:val="00CB0C48"/>
    <w:rsid w:val="00CB1075"/>
    <w:rsid w:val="00CB17AA"/>
    <w:rsid w:val="00CB45ED"/>
    <w:rsid w:val="00CC106F"/>
    <w:rsid w:val="00CC3936"/>
    <w:rsid w:val="00CC40B4"/>
    <w:rsid w:val="00CC536B"/>
    <w:rsid w:val="00CC5A02"/>
    <w:rsid w:val="00CC6B5E"/>
    <w:rsid w:val="00CC72AC"/>
    <w:rsid w:val="00CC7859"/>
    <w:rsid w:val="00CC7C47"/>
    <w:rsid w:val="00CD4ECF"/>
    <w:rsid w:val="00CD6181"/>
    <w:rsid w:val="00CD72ED"/>
    <w:rsid w:val="00CD7A13"/>
    <w:rsid w:val="00CE020D"/>
    <w:rsid w:val="00CE278C"/>
    <w:rsid w:val="00CE34BD"/>
    <w:rsid w:val="00CE61C9"/>
    <w:rsid w:val="00CE7831"/>
    <w:rsid w:val="00CF0302"/>
    <w:rsid w:val="00CF05F3"/>
    <w:rsid w:val="00CF129E"/>
    <w:rsid w:val="00CF4EF8"/>
    <w:rsid w:val="00CF6F08"/>
    <w:rsid w:val="00D003A7"/>
    <w:rsid w:val="00D00CEE"/>
    <w:rsid w:val="00D02883"/>
    <w:rsid w:val="00D02F6C"/>
    <w:rsid w:val="00D035F7"/>
    <w:rsid w:val="00D039E2"/>
    <w:rsid w:val="00D03CD5"/>
    <w:rsid w:val="00D0594E"/>
    <w:rsid w:val="00D06EDD"/>
    <w:rsid w:val="00D07ADF"/>
    <w:rsid w:val="00D07BF8"/>
    <w:rsid w:val="00D11840"/>
    <w:rsid w:val="00D129A7"/>
    <w:rsid w:val="00D131B2"/>
    <w:rsid w:val="00D13CCA"/>
    <w:rsid w:val="00D169B3"/>
    <w:rsid w:val="00D17C30"/>
    <w:rsid w:val="00D17E31"/>
    <w:rsid w:val="00D2022C"/>
    <w:rsid w:val="00D24E9B"/>
    <w:rsid w:val="00D25306"/>
    <w:rsid w:val="00D25752"/>
    <w:rsid w:val="00D26F56"/>
    <w:rsid w:val="00D2749C"/>
    <w:rsid w:val="00D27E29"/>
    <w:rsid w:val="00D30306"/>
    <w:rsid w:val="00D3037A"/>
    <w:rsid w:val="00D3265B"/>
    <w:rsid w:val="00D32717"/>
    <w:rsid w:val="00D332B6"/>
    <w:rsid w:val="00D3397F"/>
    <w:rsid w:val="00D34205"/>
    <w:rsid w:val="00D3556F"/>
    <w:rsid w:val="00D36C9D"/>
    <w:rsid w:val="00D409CA"/>
    <w:rsid w:val="00D4196F"/>
    <w:rsid w:val="00D42A78"/>
    <w:rsid w:val="00D42F62"/>
    <w:rsid w:val="00D47110"/>
    <w:rsid w:val="00D50146"/>
    <w:rsid w:val="00D50A95"/>
    <w:rsid w:val="00D54177"/>
    <w:rsid w:val="00D55439"/>
    <w:rsid w:val="00D6073B"/>
    <w:rsid w:val="00D61C4C"/>
    <w:rsid w:val="00D63A95"/>
    <w:rsid w:val="00D6624B"/>
    <w:rsid w:val="00D669CC"/>
    <w:rsid w:val="00D67946"/>
    <w:rsid w:val="00D71345"/>
    <w:rsid w:val="00D71C13"/>
    <w:rsid w:val="00D72ACB"/>
    <w:rsid w:val="00D734D9"/>
    <w:rsid w:val="00D735F8"/>
    <w:rsid w:val="00D74318"/>
    <w:rsid w:val="00D748C0"/>
    <w:rsid w:val="00D8268A"/>
    <w:rsid w:val="00D82911"/>
    <w:rsid w:val="00D84B1E"/>
    <w:rsid w:val="00D85373"/>
    <w:rsid w:val="00D86AB2"/>
    <w:rsid w:val="00D90027"/>
    <w:rsid w:val="00D92A59"/>
    <w:rsid w:val="00D93672"/>
    <w:rsid w:val="00DA4913"/>
    <w:rsid w:val="00DA5AE4"/>
    <w:rsid w:val="00DA674D"/>
    <w:rsid w:val="00DB1ECC"/>
    <w:rsid w:val="00DC02E1"/>
    <w:rsid w:val="00DC1ACA"/>
    <w:rsid w:val="00DC2541"/>
    <w:rsid w:val="00DC32F9"/>
    <w:rsid w:val="00DC4D0D"/>
    <w:rsid w:val="00DC52BE"/>
    <w:rsid w:val="00DD085E"/>
    <w:rsid w:val="00DD08EF"/>
    <w:rsid w:val="00DD246F"/>
    <w:rsid w:val="00DD2A8A"/>
    <w:rsid w:val="00DD31AB"/>
    <w:rsid w:val="00DD3F99"/>
    <w:rsid w:val="00DD42BF"/>
    <w:rsid w:val="00DD539F"/>
    <w:rsid w:val="00DE05DD"/>
    <w:rsid w:val="00DE0657"/>
    <w:rsid w:val="00DE11DB"/>
    <w:rsid w:val="00DE13BC"/>
    <w:rsid w:val="00DE1B1C"/>
    <w:rsid w:val="00DE3C7A"/>
    <w:rsid w:val="00DE3F1D"/>
    <w:rsid w:val="00DE40EB"/>
    <w:rsid w:val="00DE4634"/>
    <w:rsid w:val="00DF177B"/>
    <w:rsid w:val="00DF1993"/>
    <w:rsid w:val="00DF27D6"/>
    <w:rsid w:val="00DF385D"/>
    <w:rsid w:val="00DF462B"/>
    <w:rsid w:val="00DF75D8"/>
    <w:rsid w:val="00DF79BF"/>
    <w:rsid w:val="00E0252B"/>
    <w:rsid w:val="00E03095"/>
    <w:rsid w:val="00E0625F"/>
    <w:rsid w:val="00E06559"/>
    <w:rsid w:val="00E1023C"/>
    <w:rsid w:val="00E10E81"/>
    <w:rsid w:val="00E115DE"/>
    <w:rsid w:val="00E11F1B"/>
    <w:rsid w:val="00E13D80"/>
    <w:rsid w:val="00E149BD"/>
    <w:rsid w:val="00E17634"/>
    <w:rsid w:val="00E1791A"/>
    <w:rsid w:val="00E21BC8"/>
    <w:rsid w:val="00E25F46"/>
    <w:rsid w:val="00E26509"/>
    <w:rsid w:val="00E26880"/>
    <w:rsid w:val="00E278C1"/>
    <w:rsid w:val="00E3026C"/>
    <w:rsid w:val="00E32427"/>
    <w:rsid w:val="00E33400"/>
    <w:rsid w:val="00E35194"/>
    <w:rsid w:val="00E41686"/>
    <w:rsid w:val="00E42043"/>
    <w:rsid w:val="00E439C2"/>
    <w:rsid w:val="00E46583"/>
    <w:rsid w:val="00E5594C"/>
    <w:rsid w:val="00E56743"/>
    <w:rsid w:val="00E61B39"/>
    <w:rsid w:val="00E61CD7"/>
    <w:rsid w:val="00E62917"/>
    <w:rsid w:val="00E6395D"/>
    <w:rsid w:val="00E66C0F"/>
    <w:rsid w:val="00E66D08"/>
    <w:rsid w:val="00E66E1B"/>
    <w:rsid w:val="00E7138F"/>
    <w:rsid w:val="00E71B2C"/>
    <w:rsid w:val="00E72C9F"/>
    <w:rsid w:val="00E743F2"/>
    <w:rsid w:val="00E745BC"/>
    <w:rsid w:val="00E75322"/>
    <w:rsid w:val="00E75F99"/>
    <w:rsid w:val="00E80A14"/>
    <w:rsid w:val="00E8142D"/>
    <w:rsid w:val="00E821FF"/>
    <w:rsid w:val="00E837CE"/>
    <w:rsid w:val="00E83D4F"/>
    <w:rsid w:val="00E83F45"/>
    <w:rsid w:val="00E86A25"/>
    <w:rsid w:val="00E87848"/>
    <w:rsid w:val="00E900D5"/>
    <w:rsid w:val="00E911C8"/>
    <w:rsid w:val="00E93B28"/>
    <w:rsid w:val="00E94F84"/>
    <w:rsid w:val="00E974CD"/>
    <w:rsid w:val="00EA03AA"/>
    <w:rsid w:val="00EA3325"/>
    <w:rsid w:val="00EA737D"/>
    <w:rsid w:val="00EB1FBB"/>
    <w:rsid w:val="00EB2CB8"/>
    <w:rsid w:val="00EB3E88"/>
    <w:rsid w:val="00EB62FB"/>
    <w:rsid w:val="00EC3A20"/>
    <w:rsid w:val="00EC59A7"/>
    <w:rsid w:val="00EC667E"/>
    <w:rsid w:val="00ED28B5"/>
    <w:rsid w:val="00ED3DDC"/>
    <w:rsid w:val="00ED7ACA"/>
    <w:rsid w:val="00EE0A16"/>
    <w:rsid w:val="00EE0EB5"/>
    <w:rsid w:val="00EE10DE"/>
    <w:rsid w:val="00EE3A44"/>
    <w:rsid w:val="00EE458B"/>
    <w:rsid w:val="00EE602A"/>
    <w:rsid w:val="00EE69EC"/>
    <w:rsid w:val="00EE6A73"/>
    <w:rsid w:val="00EF03BA"/>
    <w:rsid w:val="00EF0C54"/>
    <w:rsid w:val="00EF0E13"/>
    <w:rsid w:val="00EF1C85"/>
    <w:rsid w:val="00EF2E10"/>
    <w:rsid w:val="00EF64B6"/>
    <w:rsid w:val="00EF6700"/>
    <w:rsid w:val="00F05C42"/>
    <w:rsid w:val="00F07261"/>
    <w:rsid w:val="00F07AEC"/>
    <w:rsid w:val="00F1032B"/>
    <w:rsid w:val="00F1178D"/>
    <w:rsid w:val="00F156B8"/>
    <w:rsid w:val="00F1580D"/>
    <w:rsid w:val="00F20BE7"/>
    <w:rsid w:val="00F211ED"/>
    <w:rsid w:val="00F247A7"/>
    <w:rsid w:val="00F2501F"/>
    <w:rsid w:val="00F25921"/>
    <w:rsid w:val="00F30275"/>
    <w:rsid w:val="00F31C01"/>
    <w:rsid w:val="00F31E1E"/>
    <w:rsid w:val="00F32260"/>
    <w:rsid w:val="00F32558"/>
    <w:rsid w:val="00F3793C"/>
    <w:rsid w:val="00F37B47"/>
    <w:rsid w:val="00F41060"/>
    <w:rsid w:val="00F420D7"/>
    <w:rsid w:val="00F455CC"/>
    <w:rsid w:val="00F47964"/>
    <w:rsid w:val="00F510EB"/>
    <w:rsid w:val="00F51BB6"/>
    <w:rsid w:val="00F528DA"/>
    <w:rsid w:val="00F52AC6"/>
    <w:rsid w:val="00F52FB8"/>
    <w:rsid w:val="00F532B7"/>
    <w:rsid w:val="00F55FEC"/>
    <w:rsid w:val="00F57026"/>
    <w:rsid w:val="00F636EB"/>
    <w:rsid w:val="00F66451"/>
    <w:rsid w:val="00F666A9"/>
    <w:rsid w:val="00F66FAF"/>
    <w:rsid w:val="00F718C6"/>
    <w:rsid w:val="00F72222"/>
    <w:rsid w:val="00F737F5"/>
    <w:rsid w:val="00F748C4"/>
    <w:rsid w:val="00F76FAE"/>
    <w:rsid w:val="00F773A8"/>
    <w:rsid w:val="00F77F90"/>
    <w:rsid w:val="00F82069"/>
    <w:rsid w:val="00F83150"/>
    <w:rsid w:val="00F8398D"/>
    <w:rsid w:val="00F86C34"/>
    <w:rsid w:val="00F91EC7"/>
    <w:rsid w:val="00F92005"/>
    <w:rsid w:val="00F93015"/>
    <w:rsid w:val="00F93994"/>
    <w:rsid w:val="00F95AB2"/>
    <w:rsid w:val="00F961B8"/>
    <w:rsid w:val="00FA0F83"/>
    <w:rsid w:val="00FA12B5"/>
    <w:rsid w:val="00FA189E"/>
    <w:rsid w:val="00FA4091"/>
    <w:rsid w:val="00FA4339"/>
    <w:rsid w:val="00FA4FEA"/>
    <w:rsid w:val="00FA7D2E"/>
    <w:rsid w:val="00FB3A87"/>
    <w:rsid w:val="00FB4B69"/>
    <w:rsid w:val="00FB4D1E"/>
    <w:rsid w:val="00FB73DB"/>
    <w:rsid w:val="00FC0AB4"/>
    <w:rsid w:val="00FC127F"/>
    <w:rsid w:val="00FC23B8"/>
    <w:rsid w:val="00FC5D06"/>
    <w:rsid w:val="00FC6668"/>
    <w:rsid w:val="00FD0525"/>
    <w:rsid w:val="00FD119E"/>
    <w:rsid w:val="00FD12BB"/>
    <w:rsid w:val="00FD3617"/>
    <w:rsid w:val="00FE04FF"/>
    <w:rsid w:val="00FE1643"/>
    <w:rsid w:val="00FE1AFD"/>
    <w:rsid w:val="00FE4C4B"/>
    <w:rsid w:val="00FE4CFB"/>
    <w:rsid w:val="00FE5C00"/>
    <w:rsid w:val="00FE78E3"/>
    <w:rsid w:val="00FF118D"/>
    <w:rsid w:val="00FF29FB"/>
    <w:rsid w:val="00FF6F6A"/>
    <w:rsid w:val="00FF745F"/>
    <w:rsid w:val="00FF7694"/>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6395A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paragraph" w:styleId="Heading2">
    <w:name w:val="heading 2"/>
    <w:basedOn w:val="Normal"/>
    <w:next w:val="Normal"/>
    <w:link w:val="Heading2Char"/>
    <w:autoRedefine/>
    <w:uiPriority w:val="9"/>
    <w:qFormat/>
    <w:rsid w:val="00D8268A"/>
    <w:pPr>
      <w:keepNext/>
      <w:numPr>
        <w:numId w:val="2"/>
      </w:numPr>
      <w:spacing w:before="240" w:after="60" w:line="480" w:lineRule="auto"/>
      <w:jc w:val="both"/>
      <w:outlineLvl w:val="1"/>
    </w:pPr>
    <w:rPr>
      <w:rFonts w:ascii="Times" w:eastAsia="Times New Roman" w:hAnsi="Times" w:cs="Arial"/>
      <w:b/>
      <w:bCs/>
      <w:iCs/>
      <w:sz w:val="28"/>
      <w:szCs w:val="28"/>
    </w:rPr>
  </w:style>
  <w:style w:type="paragraph" w:styleId="Heading3">
    <w:name w:val="heading 3"/>
    <w:basedOn w:val="Normal"/>
    <w:next w:val="Normal"/>
    <w:link w:val="Heading3Char"/>
    <w:autoRedefine/>
    <w:uiPriority w:val="9"/>
    <w:qFormat/>
    <w:rsid w:val="00073D18"/>
    <w:pPr>
      <w:keepNext/>
      <w:keepLines/>
      <w:numPr>
        <w:numId w:val="4"/>
      </w:numPr>
      <w:spacing w:before="200" w:line="480" w:lineRule="auto"/>
      <w:jc w:val="both"/>
      <w:outlineLvl w:val="2"/>
    </w:pPr>
    <w:rPr>
      <w:rFonts w:ascii="Times" w:eastAsia="Times New Roman" w:hAnsi="Time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533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F694F"/>
    <w:pPr>
      <w:ind w:left="720"/>
      <w:contextualSpacing/>
    </w:pPr>
  </w:style>
  <w:style w:type="paragraph" w:styleId="FootnoteText">
    <w:name w:val="footnote text"/>
    <w:aliases w:val="Footnote OSCOLA"/>
    <w:basedOn w:val="Normal"/>
    <w:link w:val="FootnoteTextChar"/>
    <w:uiPriority w:val="99"/>
    <w:unhideWhenUsed/>
    <w:rsid w:val="00A011F9"/>
    <w:pPr>
      <w:jc w:val="both"/>
    </w:pPr>
    <w:rPr>
      <w:rFonts w:ascii="FoundrySterling-Book" w:hAnsi="FoundrySterling-Book"/>
      <w:sz w:val="18"/>
      <w:lang w:eastAsia="ja-JP"/>
    </w:rPr>
  </w:style>
  <w:style w:type="character" w:customStyle="1" w:styleId="FootnoteTextChar">
    <w:name w:val="Footnote Text Char"/>
    <w:aliases w:val="Footnote OSCOLA Char"/>
    <w:basedOn w:val="DefaultParagraphFont"/>
    <w:link w:val="FootnoteText"/>
    <w:uiPriority w:val="99"/>
    <w:rsid w:val="00A011F9"/>
    <w:rPr>
      <w:rFonts w:ascii="FoundrySterling-Book" w:hAnsi="FoundrySterling-Book"/>
      <w:sz w:val="18"/>
      <w:lang w:val="en-GB" w:eastAsia="ja-JP"/>
    </w:rPr>
  </w:style>
  <w:style w:type="character" w:styleId="FootnoteReference">
    <w:name w:val="footnote reference"/>
    <w:basedOn w:val="DefaultParagraphFont"/>
    <w:uiPriority w:val="99"/>
    <w:rsid w:val="00CC7859"/>
    <w:rPr>
      <w:vertAlign w:val="superscript"/>
    </w:rPr>
  </w:style>
  <w:style w:type="character" w:customStyle="1" w:styleId="FootnoteCharacters">
    <w:name w:val="Footnote Characters"/>
    <w:rsid w:val="00CC7859"/>
    <w:rPr>
      <w:color w:val="000000"/>
      <w:sz w:val="24"/>
    </w:rPr>
  </w:style>
  <w:style w:type="character" w:customStyle="1" w:styleId="Heading2Char">
    <w:name w:val="Heading 2 Char"/>
    <w:basedOn w:val="DefaultParagraphFont"/>
    <w:link w:val="Heading2"/>
    <w:uiPriority w:val="9"/>
    <w:rsid w:val="00D8268A"/>
    <w:rPr>
      <w:rFonts w:ascii="Times" w:eastAsia="Times New Roman" w:hAnsi="Times" w:cs="Arial"/>
      <w:b/>
      <w:bCs/>
      <w:iCs/>
      <w:sz w:val="28"/>
      <w:szCs w:val="28"/>
      <w:lang w:val="en-GB"/>
    </w:rPr>
  </w:style>
  <w:style w:type="character" w:customStyle="1" w:styleId="Heading3Char">
    <w:name w:val="Heading 3 Char"/>
    <w:basedOn w:val="DefaultParagraphFont"/>
    <w:link w:val="Heading3"/>
    <w:uiPriority w:val="9"/>
    <w:rsid w:val="00073D18"/>
    <w:rPr>
      <w:rFonts w:ascii="Times" w:eastAsia="Times New Roman" w:hAnsi="Times" w:cs="Arial"/>
      <w:b/>
      <w:bCs/>
      <w:szCs w:val="26"/>
      <w:lang w:val="en-GB"/>
    </w:rPr>
  </w:style>
  <w:style w:type="paragraph" w:styleId="BodyText">
    <w:name w:val="Body Text"/>
    <w:basedOn w:val="Normal"/>
    <w:link w:val="BodyTextChar"/>
    <w:rsid w:val="001260E7"/>
    <w:pPr>
      <w:widowControl w:val="0"/>
      <w:suppressAutoHyphens/>
      <w:spacing w:after="120" w:line="480" w:lineRule="auto"/>
      <w:jc w:val="both"/>
    </w:pPr>
    <w:rPr>
      <w:rFonts w:ascii="Times" w:eastAsia="Arial Unicode MS" w:hAnsi="Times" w:cs="Times New Roman"/>
      <w:kern w:val="1"/>
    </w:rPr>
  </w:style>
  <w:style w:type="character" w:customStyle="1" w:styleId="BodyTextChar">
    <w:name w:val="Body Text Char"/>
    <w:basedOn w:val="DefaultParagraphFont"/>
    <w:link w:val="BodyText"/>
    <w:rsid w:val="001260E7"/>
    <w:rPr>
      <w:rFonts w:ascii="Times" w:eastAsia="Arial Unicode MS" w:hAnsi="Times" w:cs="Times New Roman"/>
      <w:kern w:val="1"/>
      <w:lang w:val="en-GB"/>
    </w:rPr>
  </w:style>
  <w:style w:type="paragraph" w:styleId="Header">
    <w:name w:val="header"/>
    <w:basedOn w:val="Normal"/>
    <w:link w:val="HeaderChar"/>
    <w:uiPriority w:val="99"/>
    <w:unhideWhenUsed/>
    <w:rsid w:val="008D1DF8"/>
    <w:pPr>
      <w:tabs>
        <w:tab w:val="center" w:pos="4320"/>
        <w:tab w:val="right" w:pos="8640"/>
      </w:tabs>
    </w:pPr>
  </w:style>
  <w:style w:type="character" w:customStyle="1" w:styleId="HeaderChar">
    <w:name w:val="Header Char"/>
    <w:basedOn w:val="DefaultParagraphFont"/>
    <w:link w:val="Header"/>
    <w:uiPriority w:val="99"/>
    <w:rsid w:val="008D1DF8"/>
    <w:rPr>
      <w:lang w:val="en-GB"/>
    </w:rPr>
  </w:style>
  <w:style w:type="paragraph" w:styleId="Footer">
    <w:name w:val="footer"/>
    <w:basedOn w:val="Normal"/>
    <w:link w:val="FooterChar"/>
    <w:uiPriority w:val="99"/>
    <w:unhideWhenUsed/>
    <w:rsid w:val="008D1DF8"/>
    <w:pPr>
      <w:tabs>
        <w:tab w:val="center" w:pos="4320"/>
        <w:tab w:val="right" w:pos="8640"/>
      </w:tabs>
    </w:pPr>
  </w:style>
  <w:style w:type="character" w:customStyle="1" w:styleId="FooterChar">
    <w:name w:val="Footer Char"/>
    <w:basedOn w:val="DefaultParagraphFont"/>
    <w:link w:val="Footer"/>
    <w:uiPriority w:val="99"/>
    <w:rsid w:val="008D1DF8"/>
    <w:rPr>
      <w:lang w:val="en-GB"/>
    </w:rPr>
  </w:style>
  <w:style w:type="character" w:styleId="PageNumber">
    <w:name w:val="page number"/>
    <w:basedOn w:val="DefaultParagraphFont"/>
    <w:uiPriority w:val="99"/>
    <w:semiHidden/>
    <w:unhideWhenUsed/>
    <w:rsid w:val="008327C7"/>
  </w:style>
  <w:style w:type="character" w:styleId="Hyperlink">
    <w:name w:val="Hyperlink"/>
    <w:basedOn w:val="DefaultParagraphFont"/>
    <w:uiPriority w:val="99"/>
    <w:unhideWhenUsed/>
    <w:rsid w:val="000B5006"/>
    <w:rPr>
      <w:color w:val="0000FF" w:themeColor="hyperlink"/>
      <w:u w:val="single"/>
    </w:rPr>
  </w:style>
  <w:style w:type="character" w:styleId="CommentReference">
    <w:name w:val="annotation reference"/>
    <w:basedOn w:val="DefaultParagraphFont"/>
    <w:uiPriority w:val="99"/>
    <w:semiHidden/>
    <w:unhideWhenUsed/>
    <w:rsid w:val="002D1875"/>
    <w:rPr>
      <w:sz w:val="18"/>
      <w:szCs w:val="18"/>
    </w:rPr>
  </w:style>
  <w:style w:type="paragraph" w:styleId="CommentText">
    <w:name w:val="annotation text"/>
    <w:basedOn w:val="Normal"/>
    <w:link w:val="CommentTextChar"/>
    <w:uiPriority w:val="99"/>
    <w:semiHidden/>
    <w:unhideWhenUsed/>
    <w:rsid w:val="002D1875"/>
  </w:style>
  <w:style w:type="character" w:customStyle="1" w:styleId="CommentTextChar">
    <w:name w:val="Comment Text Char"/>
    <w:basedOn w:val="DefaultParagraphFont"/>
    <w:link w:val="CommentText"/>
    <w:uiPriority w:val="99"/>
    <w:semiHidden/>
    <w:rsid w:val="002D1875"/>
    <w:rPr>
      <w:lang w:val="en-GB"/>
    </w:rPr>
  </w:style>
  <w:style w:type="paragraph" w:styleId="CommentSubject">
    <w:name w:val="annotation subject"/>
    <w:basedOn w:val="CommentText"/>
    <w:next w:val="CommentText"/>
    <w:link w:val="CommentSubjectChar"/>
    <w:uiPriority w:val="99"/>
    <w:semiHidden/>
    <w:unhideWhenUsed/>
    <w:rsid w:val="002D1875"/>
    <w:rPr>
      <w:b/>
      <w:bCs/>
      <w:sz w:val="20"/>
      <w:szCs w:val="20"/>
    </w:rPr>
  </w:style>
  <w:style w:type="character" w:customStyle="1" w:styleId="CommentSubjectChar">
    <w:name w:val="Comment Subject Char"/>
    <w:basedOn w:val="CommentTextChar"/>
    <w:link w:val="CommentSubject"/>
    <w:uiPriority w:val="99"/>
    <w:semiHidden/>
    <w:rsid w:val="002D1875"/>
    <w:rPr>
      <w:b/>
      <w:bCs/>
      <w:sz w:val="20"/>
      <w:szCs w:val="20"/>
      <w:lang w:val="en-GB"/>
    </w:rPr>
  </w:style>
  <w:style w:type="paragraph" w:styleId="BalloonText">
    <w:name w:val="Balloon Text"/>
    <w:basedOn w:val="Normal"/>
    <w:link w:val="BalloonTextChar"/>
    <w:uiPriority w:val="99"/>
    <w:semiHidden/>
    <w:unhideWhenUsed/>
    <w:rsid w:val="002D18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875"/>
    <w:rPr>
      <w:rFonts w:ascii="Lucida Grande" w:hAnsi="Lucida Grande" w:cs="Lucida Grande"/>
      <w:sz w:val="18"/>
      <w:szCs w:val="18"/>
      <w:lang w:val="en-GB"/>
    </w:rPr>
  </w:style>
  <w:style w:type="paragraph" w:styleId="BodyText2">
    <w:name w:val="Body Text 2"/>
    <w:basedOn w:val="Normal"/>
    <w:link w:val="BodyText2Char"/>
    <w:uiPriority w:val="99"/>
    <w:semiHidden/>
    <w:unhideWhenUsed/>
    <w:rsid w:val="007C5230"/>
    <w:pPr>
      <w:spacing w:after="120" w:line="480" w:lineRule="auto"/>
    </w:pPr>
  </w:style>
  <w:style w:type="character" w:customStyle="1" w:styleId="BodyText2Char">
    <w:name w:val="Body Text 2 Char"/>
    <w:basedOn w:val="DefaultParagraphFont"/>
    <w:link w:val="BodyText2"/>
    <w:uiPriority w:val="99"/>
    <w:semiHidden/>
    <w:rsid w:val="007C5230"/>
    <w:rPr>
      <w:lang w:val="en-GB"/>
    </w:rPr>
  </w:style>
  <w:style w:type="paragraph" w:styleId="Title">
    <w:name w:val="Title"/>
    <w:basedOn w:val="Normal"/>
    <w:next w:val="Normal"/>
    <w:link w:val="TitleChar"/>
    <w:uiPriority w:val="10"/>
    <w:qFormat/>
    <w:rsid w:val="007C523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230"/>
    <w:rPr>
      <w:rFonts w:asciiTheme="majorHAnsi" w:eastAsiaTheme="majorEastAsia" w:hAnsiTheme="majorHAnsi" w:cstheme="majorBidi"/>
      <w:spacing w:val="-10"/>
      <w:kern w:val="28"/>
      <w:sz w:val="56"/>
      <w:szCs w:val="56"/>
      <w:lang w:val="en-GB"/>
    </w:rPr>
  </w:style>
  <w:style w:type="paragraph" w:styleId="Revision">
    <w:name w:val="Revision"/>
    <w:hidden/>
    <w:uiPriority w:val="99"/>
    <w:semiHidden/>
    <w:rsid w:val="007053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3979">
      <w:bodyDiv w:val="1"/>
      <w:marLeft w:val="0"/>
      <w:marRight w:val="0"/>
      <w:marTop w:val="0"/>
      <w:marBottom w:val="0"/>
      <w:divBdr>
        <w:top w:val="none" w:sz="0" w:space="0" w:color="auto"/>
        <w:left w:val="none" w:sz="0" w:space="0" w:color="auto"/>
        <w:bottom w:val="none" w:sz="0" w:space="0" w:color="auto"/>
        <w:right w:val="none" w:sz="0" w:space="0" w:color="auto"/>
      </w:divBdr>
      <w:divsChild>
        <w:div w:id="1153109554">
          <w:marLeft w:val="0"/>
          <w:marRight w:val="0"/>
          <w:marTop w:val="0"/>
          <w:marBottom w:val="0"/>
          <w:divBdr>
            <w:top w:val="none" w:sz="0" w:space="0" w:color="auto"/>
            <w:left w:val="none" w:sz="0" w:space="0" w:color="auto"/>
            <w:bottom w:val="none" w:sz="0" w:space="0" w:color="auto"/>
            <w:right w:val="none" w:sz="0" w:space="0" w:color="auto"/>
          </w:divBdr>
          <w:divsChild>
            <w:div w:id="1079978786">
              <w:marLeft w:val="0"/>
              <w:marRight w:val="0"/>
              <w:marTop w:val="0"/>
              <w:marBottom w:val="0"/>
              <w:divBdr>
                <w:top w:val="none" w:sz="0" w:space="0" w:color="auto"/>
                <w:left w:val="none" w:sz="0" w:space="0" w:color="auto"/>
                <w:bottom w:val="none" w:sz="0" w:space="0" w:color="auto"/>
                <w:right w:val="none" w:sz="0" w:space="0" w:color="auto"/>
              </w:divBdr>
              <w:divsChild>
                <w:div w:id="10337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984058">
      <w:bodyDiv w:val="1"/>
      <w:marLeft w:val="0"/>
      <w:marRight w:val="0"/>
      <w:marTop w:val="0"/>
      <w:marBottom w:val="0"/>
      <w:divBdr>
        <w:top w:val="none" w:sz="0" w:space="0" w:color="auto"/>
        <w:left w:val="none" w:sz="0" w:space="0" w:color="auto"/>
        <w:bottom w:val="none" w:sz="0" w:space="0" w:color="auto"/>
        <w:right w:val="none" w:sz="0" w:space="0" w:color="auto"/>
      </w:divBdr>
      <w:divsChild>
        <w:div w:id="1204977373">
          <w:marLeft w:val="0"/>
          <w:marRight w:val="0"/>
          <w:marTop w:val="0"/>
          <w:marBottom w:val="0"/>
          <w:divBdr>
            <w:top w:val="none" w:sz="0" w:space="0" w:color="auto"/>
            <w:left w:val="none" w:sz="0" w:space="0" w:color="auto"/>
            <w:bottom w:val="none" w:sz="0" w:space="0" w:color="auto"/>
            <w:right w:val="none" w:sz="0" w:space="0" w:color="auto"/>
          </w:divBdr>
          <w:divsChild>
            <w:div w:id="1689745985">
              <w:marLeft w:val="0"/>
              <w:marRight w:val="0"/>
              <w:marTop w:val="0"/>
              <w:marBottom w:val="0"/>
              <w:divBdr>
                <w:top w:val="none" w:sz="0" w:space="0" w:color="auto"/>
                <w:left w:val="none" w:sz="0" w:space="0" w:color="auto"/>
                <w:bottom w:val="none" w:sz="0" w:space="0" w:color="auto"/>
                <w:right w:val="none" w:sz="0" w:space="0" w:color="auto"/>
              </w:divBdr>
              <w:divsChild>
                <w:div w:id="11519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591593">
      <w:bodyDiv w:val="1"/>
      <w:marLeft w:val="0"/>
      <w:marRight w:val="0"/>
      <w:marTop w:val="0"/>
      <w:marBottom w:val="0"/>
      <w:divBdr>
        <w:top w:val="none" w:sz="0" w:space="0" w:color="auto"/>
        <w:left w:val="none" w:sz="0" w:space="0" w:color="auto"/>
        <w:bottom w:val="none" w:sz="0" w:space="0" w:color="auto"/>
        <w:right w:val="none" w:sz="0" w:space="0" w:color="auto"/>
      </w:divBdr>
      <w:divsChild>
        <w:div w:id="987249285">
          <w:marLeft w:val="0"/>
          <w:marRight w:val="0"/>
          <w:marTop w:val="0"/>
          <w:marBottom w:val="0"/>
          <w:divBdr>
            <w:top w:val="none" w:sz="0" w:space="0" w:color="auto"/>
            <w:left w:val="none" w:sz="0" w:space="0" w:color="auto"/>
            <w:bottom w:val="none" w:sz="0" w:space="0" w:color="auto"/>
            <w:right w:val="none" w:sz="0" w:space="0" w:color="auto"/>
          </w:divBdr>
          <w:divsChild>
            <w:div w:id="1680231698">
              <w:marLeft w:val="0"/>
              <w:marRight w:val="0"/>
              <w:marTop w:val="0"/>
              <w:marBottom w:val="0"/>
              <w:divBdr>
                <w:top w:val="none" w:sz="0" w:space="0" w:color="auto"/>
                <w:left w:val="none" w:sz="0" w:space="0" w:color="auto"/>
                <w:bottom w:val="none" w:sz="0" w:space="0" w:color="auto"/>
                <w:right w:val="none" w:sz="0" w:space="0" w:color="auto"/>
              </w:divBdr>
              <w:divsChild>
                <w:div w:id="18822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19154">
      <w:bodyDiv w:val="1"/>
      <w:marLeft w:val="0"/>
      <w:marRight w:val="0"/>
      <w:marTop w:val="0"/>
      <w:marBottom w:val="0"/>
      <w:divBdr>
        <w:top w:val="none" w:sz="0" w:space="0" w:color="auto"/>
        <w:left w:val="none" w:sz="0" w:space="0" w:color="auto"/>
        <w:bottom w:val="none" w:sz="0" w:space="0" w:color="auto"/>
        <w:right w:val="none" w:sz="0" w:space="0" w:color="auto"/>
      </w:divBdr>
      <w:divsChild>
        <w:div w:id="1491824028">
          <w:marLeft w:val="0"/>
          <w:marRight w:val="0"/>
          <w:marTop w:val="0"/>
          <w:marBottom w:val="0"/>
          <w:divBdr>
            <w:top w:val="none" w:sz="0" w:space="0" w:color="auto"/>
            <w:left w:val="none" w:sz="0" w:space="0" w:color="auto"/>
            <w:bottom w:val="none" w:sz="0" w:space="0" w:color="auto"/>
            <w:right w:val="none" w:sz="0" w:space="0" w:color="auto"/>
          </w:divBdr>
          <w:divsChild>
            <w:div w:id="814493591">
              <w:marLeft w:val="0"/>
              <w:marRight w:val="0"/>
              <w:marTop w:val="0"/>
              <w:marBottom w:val="0"/>
              <w:divBdr>
                <w:top w:val="none" w:sz="0" w:space="0" w:color="auto"/>
                <w:left w:val="none" w:sz="0" w:space="0" w:color="auto"/>
                <w:bottom w:val="none" w:sz="0" w:space="0" w:color="auto"/>
                <w:right w:val="none" w:sz="0" w:space="0" w:color="auto"/>
              </w:divBdr>
              <w:divsChild>
                <w:div w:id="19545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12252">
      <w:bodyDiv w:val="1"/>
      <w:marLeft w:val="0"/>
      <w:marRight w:val="0"/>
      <w:marTop w:val="0"/>
      <w:marBottom w:val="0"/>
      <w:divBdr>
        <w:top w:val="none" w:sz="0" w:space="0" w:color="auto"/>
        <w:left w:val="none" w:sz="0" w:space="0" w:color="auto"/>
        <w:bottom w:val="none" w:sz="0" w:space="0" w:color="auto"/>
        <w:right w:val="none" w:sz="0" w:space="0" w:color="auto"/>
      </w:divBdr>
      <w:divsChild>
        <w:div w:id="447899437">
          <w:marLeft w:val="0"/>
          <w:marRight w:val="0"/>
          <w:marTop w:val="0"/>
          <w:marBottom w:val="0"/>
          <w:divBdr>
            <w:top w:val="none" w:sz="0" w:space="0" w:color="auto"/>
            <w:left w:val="none" w:sz="0" w:space="0" w:color="auto"/>
            <w:bottom w:val="none" w:sz="0" w:space="0" w:color="auto"/>
            <w:right w:val="none" w:sz="0" w:space="0" w:color="auto"/>
          </w:divBdr>
          <w:divsChild>
            <w:div w:id="1168405463">
              <w:marLeft w:val="0"/>
              <w:marRight w:val="0"/>
              <w:marTop w:val="0"/>
              <w:marBottom w:val="0"/>
              <w:divBdr>
                <w:top w:val="none" w:sz="0" w:space="0" w:color="auto"/>
                <w:left w:val="none" w:sz="0" w:space="0" w:color="auto"/>
                <w:bottom w:val="none" w:sz="0" w:space="0" w:color="auto"/>
                <w:right w:val="none" w:sz="0" w:space="0" w:color="auto"/>
              </w:divBdr>
              <w:divsChild>
                <w:div w:id="4943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64096">
      <w:bodyDiv w:val="1"/>
      <w:marLeft w:val="0"/>
      <w:marRight w:val="0"/>
      <w:marTop w:val="0"/>
      <w:marBottom w:val="0"/>
      <w:divBdr>
        <w:top w:val="none" w:sz="0" w:space="0" w:color="auto"/>
        <w:left w:val="none" w:sz="0" w:space="0" w:color="auto"/>
        <w:bottom w:val="none" w:sz="0" w:space="0" w:color="auto"/>
        <w:right w:val="none" w:sz="0" w:space="0" w:color="auto"/>
      </w:divBdr>
      <w:divsChild>
        <w:div w:id="496270237">
          <w:marLeft w:val="0"/>
          <w:marRight w:val="0"/>
          <w:marTop w:val="0"/>
          <w:marBottom w:val="0"/>
          <w:divBdr>
            <w:top w:val="none" w:sz="0" w:space="0" w:color="auto"/>
            <w:left w:val="none" w:sz="0" w:space="0" w:color="auto"/>
            <w:bottom w:val="none" w:sz="0" w:space="0" w:color="auto"/>
            <w:right w:val="none" w:sz="0" w:space="0" w:color="auto"/>
          </w:divBdr>
          <w:divsChild>
            <w:div w:id="1894585219">
              <w:marLeft w:val="0"/>
              <w:marRight w:val="0"/>
              <w:marTop w:val="0"/>
              <w:marBottom w:val="0"/>
              <w:divBdr>
                <w:top w:val="none" w:sz="0" w:space="0" w:color="auto"/>
                <w:left w:val="none" w:sz="0" w:space="0" w:color="auto"/>
                <w:bottom w:val="none" w:sz="0" w:space="0" w:color="auto"/>
                <w:right w:val="none" w:sz="0" w:space="0" w:color="auto"/>
              </w:divBdr>
              <w:divsChild>
                <w:div w:id="2005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049">
      <w:bodyDiv w:val="1"/>
      <w:marLeft w:val="0"/>
      <w:marRight w:val="0"/>
      <w:marTop w:val="0"/>
      <w:marBottom w:val="0"/>
      <w:divBdr>
        <w:top w:val="none" w:sz="0" w:space="0" w:color="auto"/>
        <w:left w:val="none" w:sz="0" w:space="0" w:color="auto"/>
        <w:bottom w:val="none" w:sz="0" w:space="0" w:color="auto"/>
        <w:right w:val="none" w:sz="0" w:space="0" w:color="auto"/>
      </w:divBdr>
      <w:divsChild>
        <w:div w:id="411701731">
          <w:marLeft w:val="0"/>
          <w:marRight w:val="0"/>
          <w:marTop w:val="0"/>
          <w:marBottom w:val="0"/>
          <w:divBdr>
            <w:top w:val="none" w:sz="0" w:space="0" w:color="auto"/>
            <w:left w:val="none" w:sz="0" w:space="0" w:color="auto"/>
            <w:bottom w:val="none" w:sz="0" w:space="0" w:color="auto"/>
            <w:right w:val="none" w:sz="0" w:space="0" w:color="auto"/>
          </w:divBdr>
          <w:divsChild>
            <w:div w:id="292057737">
              <w:marLeft w:val="0"/>
              <w:marRight w:val="0"/>
              <w:marTop w:val="0"/>
              <w:marBottom w:val="0"/>
              <w:divBdr>
                <w:top w:val="none" w:sz="0" w:space="0" w:color="auto"/>
                <w:left w:val="none" w:sz="0" w:space="0" w:color="auto"/>
                <w:bottom w:val="none" w:sz="0" w:space="0" w:color="auto"/>
                <w:right w:val="none" w:sz="0" w:space="0" w:color="auto"/>
              </w:divBdr>
              <w:divsChild>
                <w:div w:id="6573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8779">
      <w:bodyDiv w:val="1"/>
      <w:marLeft w:val="0"/>
      <w:marRight w:val="0"/>
      <w:marTop w:val="0"/>
      <w:marBottom w:val="0"/>
      <w:divBdr>
        <w:top w:val="none" w:sz="0" w:space="0" w:color="auto"/>
        <w:left w:val="none" w:sz="0" w:space="0" w:color="auto"/>
        <w:bottom w:val="none" w:sz="0" w:space="0" w:color="auto"/>
        <w:right w:val="none" w:sz="0" w:space="0" w:color="auto"/>
      </w:divBdr>
      <w:divsChild>
        <w:div w:id="2038847650">
          <w:marLeft w:val="0"/>
          <w:marRight w:val="0"/>
          <w:marTop w:val="0"/>
          <w:marBottom w:val="0"/>
          <w:divBdr>
            <w:top w:val="none" w:sz="0" w:space="0" w:color="auto"/>
            <w:left w:val="none" w:sz="0" w:space="0" w:color="auto"/>
            <w:bottom w:val="none" w:sz="0" w:space="0" w:color="auto"/>
            <w:right w:val="none" w:sz="0" w:space="0" w:color="auto"/>
          </w:divBdr>
          <w:divsChild>
            <w:div w:id="1005595030">
              <w:marLeft w:val="0"/>
              <w:marRight w:val="0"/>
              <w:marTop w:val="0"/>
              <w:marBottom w:val="0"/>
              <w:divBdr>
                <w:top w:val="none" w:sz="0" w:space="0" w:color="auto"/>
                <w:left w:val="none" w:sz="0" w:space="0" w:color="auto"/>
                <w:bottom w:val="none" w:sz="0" w:space="0" w:color="auto"/>
                <w:right w:val="none" w:sz="0" w:space="0" w:color="auto"/>
              </w:divBdr>
              <w:divsChild>
                <w:div w:id="15148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7428">
      <w:bodyDiv w:val="1"/>
      <w:marLeft w:val="0"/>
      <w:marRight w:val="0"/>
      <w:marTop w:val="0"/>
      <w:marBottom w:val="0"/>
      <w:divBdr>
        <w:top w:val="none" w:sz="0" w:space="0" w:color="auto"/>
        <w:left w:val="none" w:sz="0" w:space="0" w:color="auto"/>
        <w:bottom w:val="none" w:sz="0" w:space="0" w:color="auto"/>
        <w:right w:val="none" w:sz="0" w:space="0" w:color="auto"/>
      </w:divBdr>
      <w:divsChild>
        <w:div w:id="1973367434">
          <w:marLeft w:val="0"/>
          <w:marRight w:val="0"/>
          <w:marTop w:val="0"/>
          <w:marBottom w:val="0"/>
          <w:divBdr>
            <w:top w:val="none" w:sz="0" w:space="0" w:color="auto"/>
            <w:left w:val="none" w:sz="0" w:space="0" w:color="auto"/>
            <w:bottom w:val="none" w:sz="0" w:space="0" w:color="auto"/>
            <w:right w:val="none" w:sz="0" w:space="0" w:color="auto"/>
          </w:divBdr>
          <w:divsChild>
            <w:div w:id="1465343669">
              <w:marLeft w:val="0"/>
              <w:marRight w:val="0"/>
              <w:marTop w:val="0"/>
              <w:marBottom w:val="0"/>
              <w:divBdr>
                <w:top w:val="none" w:sz="0" w:space="0" w:color="auto"/>
                <w:left w:val="none" w:sz="0" w:space="0" w:color="auto"/>
                <w:bottom w:val="none" w:sz="0" w:space="0" w:color="auto"/>
                <w:right w:val="none" w:sz="0" w:space="0" w:color="auto"/>
              </w:divBdr>
              <w:divsChild>
                <w:div w:id="143617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522576">
      <w:bodyDiv w:val="1"/>
      <w:marLeft w:val="0"/>
      <w:marRight w:val="0"/>
      <w:marTop w:val="0"/>
      <w:marBottom w:val="0"/>
      <w:divBdr>
        <w:top w:val="none" w:sz="0" w:space="0" w:color="auto"/>
        <w:left w:val="none" w:sz="0" w:space="0" w:color="auto"/>
        <w:bottom w:val="none" w:sz="0" w:space="0" w:color="auto"/>
        <w:right w:val="none" w:sz="0" w:space="0" w:color="auto"/>
      </w:divBdr>
      <w:divsChild>
        <w:div w:id="160237545">
          <w:marLeft w:val="0"/>
          <w:marRight w:val="0"/>
          <w:marTop w:val="0"/>
          <w:marBottom w:val="0"/>
          <w:divBdr>
            <w:top w:val="none" w:sz="0" w:space="0" w:color="auto"/>
            <w:left w:val="none" w:sz="0" w:space="0" w:color="auto"/>
            <w:bottom w:val="none" w:sz="0" w:space="0" w:color="auto"/>
            <w:right w:val="none" w:sz="0" w:space="0" w:color="auto"/>
          </w:divBdr>
          <w:divsChild>
            <w:div w:id="1510945586">
              <w:marLeft w:val="0"/>
              <w:marRight w:val="0"/>
              <w:marTop w:val="0"/>
              <w:marBottom w:val="0"/>
              <w:divBdr>
                <w:top w:val="none" w:sz="0" w:space="0" w:color="auto"/>
                <w:left w:val="none" w:sz="0" w:space="0" w:color="auto"/>
                <w:bottom w:val="none" w:sz="0" w:space="0" w:color="auto"/>
                <w:right w:val="none" w:sz="0" w:space="0" w:color="auto"/>
              </w:divBdr>
              <w:divsChild>
                <w:div w:id="2546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55AE9-AD3D-F94B-82D4-4BA4A98E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8663</Words>
  <Characters>49384</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Messenger</dc:creator>
  <cp:lastModifiedBy>Messenger, Gregory</cp:lastModifiedBy>
  <cp:revision>3</cp:revision>
  <cp:lastPrinted>2016-05-03T10:47:00Z</cp:lastPrinted>
  <dcterms:created xsi:type="dcterms:W3CDTF">2016-07-13T09:36:00Z</dcterms:created>
  <dcterms:modified xsi:type="dcterms:W3CDTF">2016-07-13T09:37:00Z</dcterms:modified>
</cp:coreProperties>
</file>