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9C" w:rsidRPr="00F85D9C" w:rsidRDefault="00F85D9C" w:rsidP="00A12983">
      <w:pPr>
        <w:rPr>
          <w:rFonts w:cs="Arial"/>
          <w:b/>
          <w:color w:val="000000"/>
          <w:u w:val="single"/>
        </w:rPr>
      </w:pPr>
      <w:r w:rsidRPr="00F85D9C">
        <w:rPr>
          <w:rFonts w:cs="Arial"/>
          <w:b/>
          <w:color w:val="000000"/>
          <w:u w:val="single"/>
        </w:rPr>
        <w:t>Overview Article</w:t>
      </w:r>
    </w:p>
    <w:p w:rsidR="00F85D9C" w:rsidRDefault="00F85D9C" w:rsidP="00A12983">
      <w:pPr>
        <w:rPr>
          <w:rFonts w:cs="Arial"/>
          <w:color w:val="000000"/>
          <w:u w:val="single"/>
        </w:rPr>
      </w:pPr>
    </w:p>
    <w:p w:rsidR="00553519" w:rsidRPr="00553519" w:rsidRDefault="00553519" w:rsidP="00A12983">
      <w:pPr>
        <w:rPr>
          <w:rFonts w:cs="Arial"/>
          <w:color w:val="000000"/>
          <w:u w:val="single"/>
        </w:rPr>
      </w:pPr>
      <w:r w:rsidRPr="00553519">
        <w:rPr>
          <w:rFonts w:cs="Arial"/>
          <w:color w:val="000000"/>
          <w:u w:val="single"/>
        </w:rPr>
        <w:t>Title:</w:t>
      </w:r>
    </w:p>
    <w:p w:rsidR="00A12983" w:rsidRPr="00596348" w:rsidRDefault="00A12983" w:rsidP="00A12983">
      <w:pPr>
        <w:rPr>
          <w:b/>
          <w:color w:val="000000"/>
        </w:rPr>
      </w:pPr>
      <w:r w:rsidRPr="00596348">
        <w:rPr>
          <w:rFonts w:cs="Arial"/>
          <w:b/>
          <w:color w:val="000000"/>
        </w:rPr>
        <w:t xml:space="preserve">Trans Oral </w:t>
      </w:r>
      <w:r w:rsidR="003D08A3" w:rsidRPr="00596348">
        <w:rPr>
          <w:rFonts w:cs="Arial"/>
          <w:b/>
          <w:color w:val="000000"/>
        </w:rPr>
        <w:t>S</w:t>
      </w:r>
      <w:r w:rsidRPr="00596348">
        <w:rPr>
          <w:rFonts w:cs="Arial"/>
          <w:b/>
          <w:color w:val="000000"/>
        </w:rPr>
        <w:t xml:space="preserve">urgery or Radiotherapy for </w:t>
      </w:r>
      <w:proofErr w:type="spellStart"/>
      <w:r w:rsidRPr="00596348">
        <w:rPr>
          <w:rFonts w:cs="Arial"/>
          <w:b/>
          <w:color w:val="000000"/>
        </w:rPr>
        <w:t>Oropharyngeal</w:t>
      </w:r>
      <w:proofErr w:type="spellEnd"/>
      <w:r w:rsidRPr="00596348">
        <w:rPr>
          <w:rFonts w:cs="Arial"/>
          <w:b/>
          <w:color w:val="000000"/>
        </w:rPr>
        <w:t xml:space="preserve"> Carcinoma – </w:t>
      </w:r>
      <w:r w:rsidR="003D08A3" w:rsidRPr="00596348">
        <w:rPr>
          <w:rFonts w:cs="Arial"/>
          <w:b/>
          <w:color w:val="000000"/>
        </w:rPr>
        <w:t xml:space="preserve">is it </w:t>
      </w:r>
      <w:r w:rsidRPr="00596348">
        <w:rPr>
          <w:rFonts w:cs="Arial"/>
          <w:b/>
          <w:color w:val="000000"/>
        </w:rPr>
        <w:t>either or..</w:t>
      </w:r>
      <w:r w:rsidR="003D08A3" w:rsidRPr="00596348">
        <w:rPr>
          <w:rFonts w:cs="Arial"/>
          <w:b/>
          <w:color w:val="000000"/>
        </w:rPr>
        <w:t>?</w:t>
      </w:r>
    </w:p>
    <w:p w:rsidR="00A12983" w:rsidRDefault="00A12983" w:rsidP="00A12983"/>
    <w:p w:rsidR="00553519" w:rsidRPr="00553519" w:rsidRDefault="00553519" w:rsidP="00A12983">
      <w:pPr>
        <w:rPr>
          <w:u w:val="single"/>
        </w:rPr>
      </w:pPr>
      <w:r w:rsidRPr="00553519">
        <w:rPr>
          <w:u w:val="single"/>
        </w:rPr>
        <w:t>Authors:</w:t>
      </w:r>
    </w:p>
    <w:p w:rsidR="00A12983" w:rsidRDefault="00A12983" w:rsidP="00A12983">
      <w:r>
        <w:t>M.Evans</w:t>
      </w:r>
      <w:r w:rsidRPr="00A12983">
        <w:rPr>
          <w:vertAlign w:val="superscript"/>
        </w:rPr>
        <w:t>1</w:t>
      </w:r>
      <w:r>
        <w:t>, T.M.Jones</w:t>
      </w:r>
      <w:r w:rsidRPr="00A12983">
        <w:rPr>
          <w:vertAlign w:val="superscript"/>
        </w:rPr>
        <w:t>2</w:t>
      </w:r>
    </w:p>
    <w:p w:rsidR="00A12983" w:rsidRDefault="00A12983" w:rsidP="00A12983">
      <w:r w:rsidRPr="00553519">
        <w:rPr>
          <w:vertAlign w:val="superscript"/>
        </w:rPr>
        <w:t>1</w:t>
      </w:r>
      <w:r>
        <w:t xml:space="preserve"> </w:t>
      </w:r>
      <w:r w:rsidR="00553519">
        <w:t xml:space="preserve">Consultant Clinical Oncologist, </w:t>
      </w:r>
      <w:r>
        <w:t xml:space="preserve">Velindre Cancer Centre, </w:t>
      </w:r>
      <w:proofErr w:type="spellStart"/>
      <w:r>
        <w:t>Whitchurch</w:t>
      </w:r>
      <w:proofErr w:type="spellEnd"/>
      <w:r>
        <w:t>, Cardiff, CF14 2TL</w:t>
      </w:r>
    </w:p>
    <w:p w:rsidR="00553519" w:rsidRPr="00553519" w:rsidRDefault="00A12983" w:rsidP="00553519">
      <w:pPr>
        <w:keepNext/>
      </w:pPr>
      <w:r w:rsidRPr="00553519">
        <w:rPr>
          <w:vertAlign w:val="superscript"/>
        </w:rPr>
        <w:t>2</w:t>
      </w:r>
      <w:r w:rsidRPr="00553519">
        <w:t xml:space="preserve"> </w:t>
      </w:r>
      <w:r w:rsidR="00553519" w:rsidRPr="00553519">
        <w:t xml:space="preserve">Professor of Head and Neck Surgery, NWCR Centre, Department of Molecular and Clinical Cancer Medicine, University of Liverpool, 200 London Road, Liverpool, L3 9GA; Honorary Consultant Otolaryngologist / Head and Neck Surgeon, </w:t>
      </w:r>
      <w:proofErr w:type="spellStart"/>
      <w:r w:rsidR="00553519" w:rsidRPr="00553519">
        <w:t>Aintree</w:t>
      </w:r>
      <w:proofErr w:type="spellEnd"/>
      <w:r w:rsidR="00553519" w:rsidRPr="00553519">
        <w:t xml:space="preserve"> University Hospitals NHS Foundation Trust, Lower Lane, Liverpool L9 7AL.</w:t>
      </w:r>
    </w:p>
    <w:p w:rsidR="00A12983" w:rsidRDefault="00A12983" w:rsidP="00A12983"/>
    <w:p w:rsidR="00A12983" w:rsidRPr="00553519" w:rsidRDefault="00A12983" w:rsidP="00A12983">
      <w:pPr>
        <w:rPr>
          <w:u w:val="single"/>
        </w:rPr>
      </w:pPr>
      <w:proofErr w:type="spellStart"/>
      <w:r w:rsidRPr="00553519">
        <w:rPr>
          <w:u w:val="single"/>
        </w:rPr>
        <w:t>Correspondance</w:t>
      </w:r>
      <w:proofErr w:type="spellEnd"/>
      <w:r w:rsidRPr="00553519">
        <w:rPr>
          <w:u w:val="single"/>
        </w:rPr>
        <w:t>:</w:t>
      </w:r>
    </w:p>
    <w:p w:rsidR="00A12983" w:rsidRDefault="00A12983" w:rsidP="00A12983">
      <w:r>
        <w:t>Dr Mererid Evans, Consultant Clinical Oncologist</w:t>
      </w:r>
    </w:p>
    <w:p w:rsidR="00A12983" w:rsidRDefault="00553519" w:rsidP="00A12983">
      <w:r>
        <w:t xml:space="preserve">Address: </w:t>
      </w:r>
      <w:r w:rsidR="00A12983">
        <w:t xml:space="preserve">Velindre Cancer Centre, </w:t>
      </w:r>
      <w:proofErr w:type="spellStart"/>
      <w:r w:rsidR="00A12983">
        <w:t>Whitchurch</w:t>
      </w:r>
      <w:proofErr w:type="spellEnd"/>
      <w:r w:rsidR="00A12983">
        <w:t>, Cardiff, CF14 2TL</w:t>
      </w:r>
    </w:p>
    <w:p w:rsidR="00A12983" w:rsidRDefault="00A12983" w:rsidP="00A12983">
      <w:r>
        <w:t>Tel: 02920196160</w:t>
      </w:r>
    </w:p>
    <w:p w:rsidR="00A12983" w:rsidRDefault="00A12983" w:rsidP="00A12983">
      <w:r>
        <w:t>Fax:</w:t>
      </w:r>
    </w:p>
    <w:p w:rsidR="00A12983" w:rsidRDefault="002E58D5" w:rsidP="00A12983">
      <w:hyperlink r:id="rId5" w:history="1">
        <w:r w:rsidR="00A12983" w:rsidRPr="008E42B9">
          <w:rPr>
            <w:rStyle w:val="Hyperlink"/>
          </w:rPr>
          <w:t>Mererid.Evans@wales.nhs.uk</w:t>
        </w:r>
      </w:hyperlink>
    </w:p>
    <w:p w:rsidR="00553519" w:rsidRDefault="00553519" w:rsidP="00A12983"/>
    <w:p w:rsidR="00553519" w:rsidRPr="00553519" w:rsidRDefault="00553519" w:rsidP="00A12983">
      <w:pPr>
        <w:rPr>
          <w:u w:val="single"/>
        </w:rPr>
      </w:pPr>
      <w:r w:rsidRPr="00553519">
        <w:rPr>
          <w:u w:val="single"/>
        </w:rPr>
        <w:t>Word count:</w:t>
      </w:r>
      <w:r w:rsidR="008412D8">
        <w:rPr>
          <w:u w:val="single"/>
        </w:rPr>
        <w:t xml:space="preserve"> 3,0</w:t>
      </w:r>
      <w:r w:rsidR="00AC5A6D">
        <w:rPr>
          <w:u w:val="single"/>
        </w:rPr>
        <w:t>79</w:t>
      </w:r>
    </w:p>
    <w:p w:rsidR="00553519" w:rsidRPr="00553519" w:rsidRDefault="00553519" w:rsidP="00A12983">
      <w:pPr>
        <w:rPr>
          <w:u w:val="single"/>
        </w:rPr>
      </w:pPr>
      <w:r w:rsidRPr="00553519">
        <w:rPr>
          <w:u w:val="single"/>
        </w:rPr>
        <w:t>Number of tables:</w:t>
      </w:r>
      <w:r w:rsidR="008412D8">
        <w:rPr>
          <w:u w:val="single"/>
        </w:rPr>
        <w:t xml:space="preserve"> 0</w:t>
      </w:r>
    </w:p>
    <w:p w:rsidR="00553519" w:rsidRPr="00553519" w:rsidRDefault="00553519" w:rsidP="00A12983">
      <w:pPr>
        <w:rPr>
          <w:u w:val="single"/>
        </w:rPr>
      </w:pPr>
      <w:r w:rsidRPr="00553519">
        <w:rPr>
          <w:u w:val="single"/>
        </w:rPr>
        <w:t>Number of</w:t>
      </w:r>
      <w:r w:rsidR="008412D8">
        <w:rPr>
          <w:u w:val="single"/>
        </w:rPr>
        <w:t xml:space="preserve"> figures</w:t>
      </w:r>
      <w:proofErr w:type="gramStart"/>
      <w:r w:rsidRPr="00553519">
        <w:rPr>
          <w:u w:val="single"/>
        </w:rPr>
        <w:t>:</w:t>
      </w:r>
      <w:r w:rsidR="008412D8">
        <w:rPr>
          <w:u w:val="single"/>
        </w:rPr>
        <w:t>4</w:t>
      </w:r>
      <w:proofErr w:type="gramEnd"/>
    </w:p>
    <w:p w:rsidR="00A12983" w:rsidRDefault="00553519" w:rsidP="00553519">
      <w:pPr>
        <w:spacing w:line="276" w:lineRule="auto"/>
      </w:pPr>
      <w:r>
        <w:br w:type="page"/>
      </w:r>
    </w:p>
    <w:p w:rsidR="00A12983" w:rsidRDefault="00A12983" w:rsidP="00F2212B">
      <w:pPr>
        <w:pStyle w:val="Heading2"/>
        <w:rPr>
          <w:b w:val="0"/>
        </w:rPr>
      </w:pPr>
      <w:r w:rsidRPr="00F2212B">
        <w:rPr>
          <w:u w:val="single"/>
        </w:rPr>
        <w:lastRenderedPageBreak/>
        <w:t>Abstract</w:t>
      </w:r>
      <w:r w:rsidR="00F2212B" w:rsidRPr="00F2212B">
        <w:rPr>
          <w:u w:val="single"/>
        </w:rPr>
        <w:t>:</w:t>
      </w:r>
      <w:r w:rsidR="00F2212B">
        <w:t xml:space="preserve"> </w:t>
      </w:r>
    </w:p>
    <w:p w:rsidR="00F2212B" w:rsidRPr="00F2212B" w:rsidRDefault="00F2212B" w:rsidP="00F2212B">
      <w:pPr>
        <w:rPr>
          <w:lang w:val="en-GB"/>
        </w:rPr>
      </w:pPr>
    </w:p>
    <w:p w:rsidR="00A12983" w:rsidRDefault="00942400" w:rsidP="009672E1">
      <w:pPr>
        <w:spacing w:line="276" w:lineRule="auto"/>
        <w:jc w:val="both"/>
      </w:pPr>
      <w:r>
        <w:t xml:space="preserve">The </w:t>
      </w:r>
      <w:r w:rsidR="009672E1">
        <w:t xml:space="preserve">management of </w:t>
      </w:r>
      <w:proofErr w:type="spellStart"/>
      <w:r w:rsidR="009672E1">
        <w:t>oropharyngeal</w:t>
      </w:r>
      <w:proofErr w:type="spellEnd"/>
      <w:r w:rsidR="009672E1">
        <w:t xml:space="preserve"> carcinoma represents an increasing clinical challenge, both because of its rising incidence, particularly in younger patients</w:t>
      </w:r>
      <w:r w:rsidR="00CA676E">
        <w:t xml:space="preserve"> as a result of Human </w:t>
      </w:r>
      <w:proofErr w:type="spellStart"/>
      <w:r w:rsidR="00CA676E">
        <w:t>Papillomavirus</w:t>
      </w:r>
      <w:proofErr w:type="spellEnd"/>
      <w:r w:rsidR="00CA676E">
        <w:t xml:space="preserve"> (HPV) infection,</w:t>
      </w:r>
      <w:r w:rsidR="009672E1">
        <w:t xml:space="preserve"> and because significant technological advances </w:t>
      </w:r>
      <w:r w:rsidR="00CA676E">
        <w:t xml:space="preserve">have occurred </w:t>
      </w:r>
      <w:r w:rsidR="009672E1">
        <w:t>in radiotherapy and surgery over the last 10 years which have incre</w:t>
      </w:r>
      <w:r w:rsidR="009D7202">
        <w:t xml:space="preserve">ased </w:t>
      </w:r>
      <w:r w:rsidR="009672E1">
        <w:t>treatment options</w:t>
      </w:r>
      <w:r w:rsidR="009D7202">
        <w:t xml:space="preserve"> for patients</w:t>
      </w:r>
      <w:r w:rsidR="009672E1">
        <w:t xml:space="preserve">, with little robust evidence </w:t>
      </w:r>
      <w:r w:rsidR="00CA676E">
        <w:t xml:space="preserve">yet of their </w:t>
      </w:r>
      <w:r w:rsidR="009672E1">
        <w:t>relative merits</w:t>
      </w:r>
      <w:r w:rsidR="00CA676E">
        <w:t xml:space="preserve">. As a result, there is a lack of clinical consensus on the optimum treatment modality, reflected in wide variation in practice between different cancer networks across the UK. </w:t>
      </w:r>
    </w:p>
    <w:p w:rsidR="00CA676E" w:rsidRDefault="00CA676E" w:rsidP="009672E1">
      <w:pPr>
        <w:spacing w:line="276" w:lineRule="auto"/>
        <w:jc w:val="both"/>
      </w:pPr>
      <w:r>
        <w:t>In this</w:t>
      </w:r>
      <w:r w:rsidR="003678D5">
        <w:t xml:space="preserve"> review</w:t>
      </w:r>
      <w:r>
        <w:t xml:space="preserve">, we </w:t>
      </w:r>
      <w:r w:rsidR="003678D5">
        <w:t xml:space="preserve">consider </w:t>
      </w:r>
      <w:r>
        <w:t xml:space="preserve">the evidence base for </w:t>
      </w:r>
      <w:r w:rsidR="001968F3">
        <w:t xml:space="preserve">minimally-invasive </w:t>
      </w:r>
      <w:proofErr w:type="spellStart"/>
      <w:r w:rsidR="003678D5">
        <w:t>transoral</w:t>
      </w:r>
      <w:proofErr w:type="spellEnd"/>
      <w:r w:rsidR="003678D5">
        <w:t xml:space="preserve"> surgery and </w:t>
      </w:r>
      <w:r w:rsidR="001968F3">
        <w:t>for Intensity Modulated Radiotherapy (IMRT)</w:t>
      </w:r>
      <w:r w:rsidR="009D7202">
        <w:t>-based primary treatment for</w:t>
      </w:r>
      <w:r w:rsidR="001968F3">
        <w:t xml:space="preserve"> </w:t>
      </w:r>
      <w:proofErr w:type="spellStart"/>
      <w:r w:rsidR="003678D5">
        <w:t>oropharyngeal</w:t>
      </w:r>
      <w:proofErr w:type="spellEnd"/>
      <w:r w:rsidR="003678D5">
        <w:t xml:space="preserve"> cancer</w:t>
      </w:r>
      <w:r>
        <w:t xml:space="preserve">, </w:t>
      </w:r>
      <w:r w:rsidR="001968F3">
        <w:t xml:space="preserve">both in terms of </w:t>
      </w:r>
      <w:proofErr w:type="spellStart"/>
      <w:r w:rsidR="001968F3">
        <w:t>oncological</w:t>
      </w:r>
      <w:proofErr w:type="spellEnd"/>
      <w:r w:rsidR="001968F3">
        <w:t xml:space="preserve"> and functional outcomes. </w:t>
      </w:r>
      <w:r w:rsidR="00596348">
        <w:t>M</w:t>
      </w:r>
      <w:r w:rsidR="001968F3">
        <w:t xml:space="preserve">anagement strategies for </w:t>
      </w:r>
      <w:r>
        <w:t>HPV-pos</w:t>
      </w:r>
      <w:r w:rsidR="001968F3">
        <w:t>itive and HPV-negative disease</w:t>
      </w:r>
      <w:r w:rsidR="001E4FB2">
        <w:t>,</w:t>
      </w:r>
      <w:r w:rsidR="001968F3">
        <w:t xml:space="preserve"> </w:t>
      </w:r>
      <w:r w:rsidR="001E4FB2">
        <w:t xml:space="preserve">and </w:t>
      </w:r>
      <w:r w:rsidR="001968F3">
        <w:t xml:space="preserve">for </w:t>
      </w:r>
      <w:r w:rsidR="003678D5">
        <w:t>different stages</w:t>
      </w:r>
      <w:r w:rsidR="001968F3">
        <w:t xml:space="preserve"> of </w:t>
      </w:r>
      <w:r w:rsidR="00A520F4">
        <w:t xml:space="preserve">the </w:t>
      </w:r>
      <w:r w:rsidR="001968F3">
        <w:t>disease</w:t>
      </w:r>
      <w:r w:rsidR="001E4FB2">
        <w:t>, are considered</w:t>
      </w:r>
      <w:r w:rsidR="003678D5">
        <w:t xml:space="preserve">. </w:t>
      </w:r>
      <w:r w:rsidR="00F17747">
        <w:t>T</w:t>
      </w:r>
      <w:r w:rsidR="001968F3">
        <w:t xml:space="preserve">here is currently an unparalleled opportunity to shape the future management of </w:t>
      </w:r>
      <w:proofErr w:type="spellStart"/>
      <w:r w:rsidR="001968F3">
        <w:t>oropharyngeal</w:t>
      </w:r>
      <w:proofErr w:type="spellEnd"/>
      <w:r w:rsidR="001968F3">
        <w:t xml:space="preserve"> cancer, </w:t>
      </w:r>
      <w:r w:rsidR="008F150E">
        <w:t xml:space="preserve">which </w:t>
      </w:r>
      <w:r w:rsidR="00A520F4">
        <w:t xml:space="preserve">is dependent </w:t>
      </w:r>
      <w:r w:rsidR="008F150E">
        <w:t xml:space="preserve">on recruiting patients to </w:t>
      </w:r>
      <w:r w:rsidR="009D7202">
        <w:t>ongoing clinical trials</w:t>
      </w:r>
      <w:r w:rsidR="00B20C46">
        <w:t>,</w:t>
      </w:r>
      <w:r w:rsidR="001E4FB2">
        <w:t xml:space="preserve"> </w:t>
      </w:r>
      <w:r w:rsidR="008F150E">
        <w:t xml:space="preserve">in order to </w:t>
      </w:r>
      <w:r w:rsidR="002D3B5E">
        <w:t xml:space="preserve">build </w:t>
      </w:r>
      <w:r w:rsidR="00A520F4">
        <w:t xml:space="preserve">an </w:t>
      </w:r>
      <w:r w:rsidR="002D3B5E">
        <w:t xml:space="preserve">evidence base </w:t>
      </w:r>
      <w:r w:rsidR="00A520F4">
        <w:t xml:space="preserve">to support a </w:t>
      </w:r>
      <w:r w:rsidR="009D7202">
        <w:t xml:space="preserve">clinical consensus </w:t>
      </w:r>
      <w:r w:rsidR="00855B2D">
        <w:t>on the optimal treatment strategies</w:t>
      </w:r>
      <w:r w:rsidR="000625E4">
        <w:t xml:space="preserve">. </w:t>
      </w:r>
      <w:r w:rsidR="00596348">
        <w:t>I</w:t>
      </w:r>
      <w:r w:rsidR="000625E4">
        <w:t xml:space="preserve">t is </w:t>
      </w:r>
      <w:r w:rsidR="00596348">
        <w:t>likely that future</w:t>
      </w:r>
      <w:r w:rsidR="00A520F4">
        <w:t>,</w:t>
      </w:r>
      <w:r w:rsidR="00596348">
        <w:t xml:space="preserve"> evidence-based, patient-centered decision-making will </w:t>
      </w:r>
      <w:proofErr w:type="spellStart"/>
      <w:r w:rsidR="00596348">
        <w:t>ultilize</w:t>
      </w:r>
      <w:proofErr w:type="spellEnd"/>
      <w:r w:rsidR="00596348">
        <w:t xml:space="preserve"> both</w:t>
      </w:r>
      <w:r w:rsidR="000625E4">
        <w:t xml:space="preserve"> primary radiotherapy</w:t>
      </w:r>
      <w:r w:rsidR="00596348">
        <w:t xml:space="preserve"> and primary surgical treatment modalities to</w:t>
      </w:r>
      <w:r w:rsidR="000625E4">
        <w:t xml:space="preserve"> maximize patient benefit</w:t>
      </w:r>
      <w:r w:rsidR="00596348">
        <w:t>.</w:t>
      </w:r>
    </w:p>
    <w:p w:rsidR="00F2212B" w:rsidRDefault="00F2212B" w:rsidP="009672E1">
      <w:pPr>
        <w:spacing w:line="276" w:lineRule="auto"/>
        <w:jc w:val="both"/>
      </w:pPr>
    </w:p>
    <w:p w:rsidR="009D7202" w:rsidRDefault="009D7202" w:rsidP="009672E1">
      <w:pPr>
        <w:spacing w:line="276" w:lineRule="auto"/>
        <w:jc w:val="both"/>
      </w:pPr>
      <w:r>
        <w:t xml:space="preserve">Keywords: Human </w:t>
      </w:r>
      <w:proofErr w:type="spellStart"/>
      <w:r>
        <w:t>Papillomavirus</w:t>
      </w:r>
      <w:proofErr w:type="spellEnd"/>
      <w:r>
        <w:t>,</w:t>
      </w:r>
      <w:r w:rsidR="00F17747" w:rsidRPr="00F17747">
        <w:t xml:space="preserve"> </w:t>
      </w:r>
      <w:proofErr w:type="spellStart"/>
      <w:r w:rsidR="00F17747">
        <w:t>oropharyngeal</w:t>
      </w:r>
      <w:proofErr w:type="spellEnd"/>
      <w:r w:rsidR="00F17747">
        <w:t>,</w:t>
      </w:r>
      <w:r>
        <w:t xml:space="preserve"> </w:t>
      </w:r>
      <w:r w:rsidR="00F17747">
        <w:t xml:space="preserve">radiotherapy, </w:t>
      </w:r>
      <w:proofErr w:type="spellStart"/>
      <w:r>
        <w:t>transoral</w:t>
      </w:r>
      <w:proofErr w:type="spellEnd"/>
      <w:r w:rsidR="00F17747">
        <w:t xml:space="preserve"> surgery</w:t>
      </w:r>
      <w:r>
        <w:t xml:space="preserve">. </w:t>
      </w:r>
    </w:p>
    <w:p w:rsidR="00A75DC0" w:rsidRDefault="009672E1" w:rsidP="00A75DC0">
      <w:pPr>
        <w:spacing w:line="276" w:lineRule="auto"/>
      </w:pPr>
      <w:r>
        <w:br w:type="page"/>
      </w:r>
      <w:r w:rsidR="00F85D9C" w:rsidRPr="00F2212B">
        <w:rPr>
          <w:b/>
          <w:u w:val="single"/>
        </w:rPr>
        <w:lastRenderedPageBreak/>
        <w:t>Introduction:</w:t>
      </w:r>
      <w:r w:rsidR="00A75DC0" w:rsidRPr="00A75DC0">
        <w:t xml:space="preserve"> </w:t>
      </w:r>
    </w:p>
    <w:p w:rsidR="00B75AB0" w:rsidRDefault="00F85D9C" w:rsidP="003423D5">
      <w:pPr>
        <w:spacing w:line="276" w:lineRule="auto"/>
        <w:jc w:val="both"/>
      </w:pPr>
      <w:r w:rsidRPr="00F85D9C">
        <w:t xml:space="preserve">In parallel </w:t>
      </w:r>
      <w:r>
        <w:t xml:space="preserve">with </w:t>
      </w:r>
      <w:r w:rsidR="00687447">
        <w:t>many other clinical</w:t>
      </w:r>
      <w:r w:rsidR="00B75AB0">
        <w:t xml:space="preserve"> paradigms</w:t>
      </w:r>
      <w:r w:rsidR="00687447">
        <w:t xml:space="preserve">, the treatment of Head and Neck </w:t>
      </w:r>
      <w:proofErr w:type="spellStart"/>
      <w:r w:rsidR="00687447">
        <w:t>squamous</w:t>
      </w:r>
      <w:proofErr w:type="spellEnd"/>
      <w:r w:rsidR="00687447">
        <w:t xml:space="preserve"> cell cancer (HNSCC) has evolved over the last 20 years to utilize less invasive, more targeted </w:t>
      </w:r>
      <w:r w:rsidR="00B75AB0">
        <w:t>therapies. For surgery, this has meant replaci</w:t>
      </w:r>
      <w:r w:rsidR="00AD2970">
        <w:t xml:space="preserve">ng open surgery, requiring </w:t>
      </w:r>
      <w:r w:rsidR="00B75AB0">
        <w:t xml:space="preserve">lip split </w:t>
      </w:r>
      <w:proofErr w:type="spellStart"/>
      <w:r w:rsidR="00B75AB0">
        <w:t>mandibulotomy</w:t>
      </w:r>
      <w:proofErr w:type="spellEnd"/>
      <w:r w:rsidR="00B75AB0">
        <w:t xml:space="preserve">, with </w:t>
      </w:r>
      <w:proofErr w:type="spellStart"/>
      <w:r w:rsidR="00B75AB0">
        <w:t>transoral</w:t>
      </w:r>
      <w:proofErr w:type="spellEnd"/>
      <w:r w:rsidR="00B75AB0">
        <w:t xml:space="preserve"> surgery (TOS), either using a </w:t>
      </w:r>
      <w:r w:rsidR="00D362F9">
        <w:t>laser (</w:t>
      </w:r>
      <w:proofErr w:type="spellStart"/>
      <w:r w:rsidR="00D362F9">
        <w:t>Trans</w:t>
      </w:r>
      <w:r w:rsidR="00B75AB0">
        <w:t>oral</w:t>
      </w:r>
      <w:proofErr w:type="spellEnd"/>
      <w:r w:rsidR="00B75AB0">
        <w:t xml:space="preserve"> Laser Microsurgery [TLM]) or robot (</w:t>
      </w:r>
      <w:proofErr w:type="spellStart"/>
      <w:r w:rsidR="00B75AB0">
        <w:t>Transoral</w:t>
      </w:r>
      <w:proofErr w:type="spellEnd"/>
      <w:r w:rsidR="00B75AB0">
        <w:t xml:space="preserve"> Robotic Surgery [TORS]). For radiotherapy (RT</w:t>
      </w:r>
      <w:r w:rsidR="003D08A3">
        <w:t>), 2D-</w:t>
      </w:r>
      <w:r w:rsidR="00AD2970">
        <w:t>RT, utilizing</w:t>
      </w:r>
      <w:r w:rsidR="00B75AB0">
        <w:t xml:space="preserve"> large parallel opposed fields, has been replaced by Intensity Modulated RT (IMRT) or Rotational Arc Therapy/</w:t>
      </w:r>
      <w:proofErr w:type="spellStart"/>
      <w:r w:rsidR="00B75AB0">
        <w:t>Tomotherapy</w:t>
      </w:r>
      <w:proofErr w:type="spellEnd"/>
      <w:r w:rsidR="00B75AB0">
        <w:t>.</w:t>
      </w:r>
      <w:r w:rsidR="00D362F9">
        <w:t xml:space="preserve"> The ultimate goal with these approaches is to improve clinical outcomes, by extending survival and/or minimizing morbidity. </w:t>
      </w:r>
    </w:p>
    <w:p w:rsidR="00170C3A" w:rsidRDefault="00170C3A" w:rsidP="003423D5">
      <w:pPr>
        <w:spacing w:line="276" w:lineRule="auto"/>
        <w:jc w:val="both"/>
      </w:pPr>
      <w:r>
        <w:t xml:space="preserve">The management of </w:t>
      </w:r>
      <w:proofErr w:type="spellStart"/>
      <w:r>
        <w:t>oropharyngeal</w:t>
      </w:r>
      <w:proofErr w:type="spellEnd"/>
      <w:r>
        <w:t xml:space="preserve"> </w:t>
      </w:r>
      <w:proofErr w:type="spellStart"/>
      <w:r>
        <w:t>squamous</w:t>
      </w:r>
      <w:proofErr w:type="spellEnd"/>
      <w:r>
        <w:t xml:space="preserve"> cell cancer (OPSCC), affecting the tonsils, tongue base and soft palate, has generated much interest over recent years, for the following reasons:</w:t>
      </w:r>
    </w:p>
    <w:p w:rsidR="009B52BE" w:rsidRDefault="003D08A3" w:rsidP="003423D5">
      <w:pPr>
        <w:pStyle w:val="ListParagraph"/>
        <w:numPr>
          <w:ilvl w:val="0"/>
          <w:numId w:val="1"/>
        </w:numPr>
        <w:spacing w:line="276" w:lineRule="auto"/>
        <w:jc w:val="both"/>
      </w:pPr>
      <w:r>
        <w:t>There has</w:t>
      </w:r>
      <w:r w:rsidR="00170C3A">
        <w:t xml:space="preserve"> been </w:t>
      </w:r>
      <w:r>
        <w:t>a substantial increase</w:t>
      </w:r>
      <w:r w:rsidR="00170C3A">
        <w:t xml:space="preserve"> in the incidence of OPSCC across the developed world</w:t>
      </w:r>
      <w:r w:rsidR="009B52BE">
        <w:t xml:space="preserve">. A recently reported UK cross-sectional study reported an approximate doubling in OPSCC incidence between 2002 and 2011 </w:t>
      </w:r>
      <w:r w:rsidR="00170C3A">
        <w:t xml:space="preserve">(age </w:t>
      </w:r>
      <w:proofErr w:type="spellStart"/>
      <w:r w:rsidR="00170C3A">
        <w:t>standardised</w:t>
      </w:r>
      <w:proofErr w:type="spellEnd"/>
      <w:r w:rsidR="00170C3A">
        <w:t xml:space="preserve"> rate (ASR) 2002 = 2.1 </w:t>
      </w:r>
      <w:r w:rsidR="00170C3A" w:rsidRPr="006D39CB">
        <w:t xml:space="preserve">(95% CI: </w:t>
      </w:r>
      <w:r w:rsidR="00170C3A">
        <w:t>1.9</w:t>
      </w:r>
      <w:r w:rsidR="00170C3A" w:rsidRPr="003E4B46">
        <w:t xml:space="preserve">, </w:t>
      </w:r>
      <w:r w:rsidR="00170C3A">
        <w:t>2.2</w:t>
      </w:r>
      <w:r w:rsidR="00170C3A" w:rsidRPr="003E4B46">
        <w:t>)</w:t>
      </w:r>
      <w:r w:rsidR="00170C3A">
        <w:t xml:space="preserve">, 2011 = 4.1 </w:t>
      </w:r>
      <w:r w:rsidR="00170C3A" w:rsidRPr="006D39CB">
        <w:t xml:space="preserve">(95% CI: </w:t>
      </w:r>
      <w:r w:rsidR="00170C3A">
        <w:t>4.0, 4.3</w:t>
      </w:r>
      <w:r w:rsidR="00170C3A" w:rsidRPr="003E4B46">
        <w:t>)</w:t>
      </w:r>
      <w:r w:rsidR="00170C3A">
        <w:t>).</w:t>
      </w:r>
      <w:r w:rsidR="00250E6D">
        <w:t xml:space="preserve"> (</w:t>
      </w:r>
      <w:r w:rsidR="00141445">
        <w:t>1</w:t>
      </w:r>
      <w:r w:rsidR="009B52BE">
        <w:t>)</w:t>
      </w:r>
      <w:r w:rsidR="003D66F8">
        <w:t>, as shown in Figure 1</w:t>
      </w:r>
      <w:r w:rsidR="009B52BE">
        <w:t xml:space="preserve">. </w:t>
      </w:r>
    </w:p>
    <w:p w:rsidR="003423D5" w:rsidRDefault="009B52BE" w:rsidP="003423D5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Currently, a significant proportion of OPSCCs in the UK are caused by Human </w:t>
      </w:r>
      <w:proofErr w:type="spellStart"/>
      <w:r>
        <w:t>Papillomavirus</w:t>
      </w:r>
      <w:proofErr w:type="spellEnd"/>
      <w:r>
        <w:t xml:space="preserve"> (HPV) infection</w:t>
      </w:r>
      <w:r w:rsidR="000A26FD">
        <w:t xml:space="preserve"> (so-</w:t>
      </w:r>
      <w:r>
        <w:t>called ‘HPV-positive’ cancers</w:t>
      </w:r>
      <w:r w:rsidR="003423D5">
        <w:t xml:space="preserve">), whilst </w:t>
      </w:r>
      <w:r w:rsidR="00942400">
        <w:t xml:space="preserve">the remainder </w:t>
      </w:r>
      <w:r w:rsidR="003D08A3">
        <w:t xml:space="preserve">are </w:t>
      </w:r>
      <w:r w:rsidR="00145B02">
        <w:t xml:space="preserve">mainly </w:t>
      </w:r>
      <w:r>
        <w:t xml:space="preserve">caused by </w:t>
      </w:r>
      <w:r w:rsidR="000A26FD">
        <w:t xml:space="preserve">exposure to </w:t>
      </w:r>
      <w:r>
        <w:t>tobacco</w:t>
      </w:r>
      <w:r w:rsidR="000A26FD">
        <w:t xml:space="preserve"> (‘HPV-negative’ cancers)</w:t>
      </w:r>
      <w:r w:rsidR="00163B49">
        <w:t xml:space="preserve"> (1)</w:t>
      </w:r>
      <w:r>
        <w:t xml:space="preserve">. </w:t>
      </w:r>
      <w:r w:rsidR="003D66F8">
        <w:t xml:space="preserve">The rising incidence of HPV-positive </w:t>
      </w:r>
      <w:r w:rsidR="00163B49">
        <w:t xml:space="preserve">and negative </w:t>
      </w:r>
      <w:r w:rsidR="003D66F8">
        <w:t xml:space="preserve">OPSCC in the UK is shown in Figure 2. </w:t>
      </w:r>
      <w:r>
        <w:t>It is</w:t>
      </w:r>
      <w:r w:rsidR="000A26FD">
        <w:t xml:space="preserve"> well documented that </w:t>
      </w:r>
      <w:r>
        <w:t>HPV-associated OPSCCs have a better prognosis compared to HPV-negative OPSCCs</w:t>
      </w:r>
      <w:r w:rsidR="00250E6D">
        <w:t xml:space="preserve"> (</w:t>
      </w:r>
      <w:r w:rsidR="003D66F8">
        <w:t>2</w:t>
      </w:r>
      <w:r w:rsidR="003423D5">
        <w:t>)</w:t>
      </w:r>
      <w:r>
        <w:t xml:space="preserve">, raising the possibility that they </w:t>
      </w:r>
      <w:r w:rsidR="000A26FD">
        <w:t xml:space="preserve">could </w:t>
      </w:r>
      <w:r>
        <w:t xml:space="preserve">be managed </w:t>
      </w:r>
      <w:r w:rsidR="000A26FD">
        <w:t>differently.</w:t>
      </w:r>
    </w:p>
    <w:p w:rsidR="003423D5" w:rsidRDefault="007506F9" w:rsidP="003423D5">
      <w:pPr>
        <w:pStyle w:val="ListParagraph"/>
        <w:numPr>
          <w:ilvl w:val="0"/>
          <w:numId w:val="1"/>
        </w:numPr>
        <w:spacing w:line="276" w:lineRule="auto"/>
        <w:jc w:val="both"/>
      </w:pPr>
      <w:r>
        <w:t>In the absence of randomized studies comparing primary surgical and non-surgical approaches to the management of OPSCC, t</w:t>
      </w:r>
      <w:r w:rsidR="000A26FD">
        <w:t xml:space="preserve">here is a lack of consensus on how these cancers should be managed, both between surgeons and oncologists within the same </w:t>
      </w:r>
      <w:proofErr w:type="spellStart"/>
      <w:r w:rsidR="000A26FD">
        <w:t>Mutidisciplinary</w:t>
      </w:r>
      <w:proofErr w:type="spellEnd"/>
      <w:r w:rsidR="000A26FD">
        <w:t xml:space="preserve"> T</w:t>
      </w:r>
      <w:r w:rsidR="008F54F4">
        <w:t>eam (MDT</w:t>
      </w:r>
      <w:r w:rsidR="000A26FD">
        <w:t xml:space="preserve">), and between different </w:t>
      </w:r>
      <w:r w:rsidR="008F54F4">
        <w:t xml:space="preserve">UK </w:t>
      </w:r>
      <w:r>
        <w:t>cancer n</w:t>
      </w:r>
      <w:r w:rsidR="008F54F4">
        <w:t>etworks. The 10</w:t>
      </w:r>
      <w:r w:rsidR="008F54F4" w:rsidRPr="003423D5">
        <w:rPr>
          <w:vertAlign w:val="superscript"/>
        </w:rPr>
        <w:t>th</w:t>
      </w:r>
      <w:r w:rsidR="008F54F4">
        <w:t xml:space="preserve"> </w:t>
      </w:r>
      <w:r w:rsidR="00552132">
        <w:t>National H</w:t>
      </w:r>
      <w:r w:rsidR="00163B49">
        <w:t>ead and Neck (H</w:t>
      </w:r>
      <w:r w:rsidR="00552132">
        <w:t>&amp;N</w:t>
      </w:r>
      <w:r w:rsidR="00163B49">
        <w:t>)</w:t>
      </w:r>
      <w:r w:rsidR="00552132">
        <w:t xml:space="preserve"> Cancer </w:t>
      </w:r>
      <w:r w:rsidR="008F54F4">
        <w:t>Audit (</w:t>
      </w:r>
      <w:r w:rsidR="00552132">
        <w:t xml:space="preserve">DAHNO </w:t>
      </w:r>
      <w:r w:rsidR="008F54F4">
        <w:t>2014) provides data on recent UK trends</w:t>
      </w:r>
      <w:r w:rsidR="003423D5">
        <w:t xml:space="preserve">: </w:t>
      </w:r>
      <w:r>
        <w:t xml:space="preserve">of </w:t>
      </w:r>
      <w:r w:rsidR="008F54F4">
        <w:t xml:space="preserve">2,439 cases </w:t>
      </w:r>
      <w:r w:rsidR="003D08A3">
        <w:t xml:space="preserve">of OPSCC </w:t>
      </w:r>
      <w:r>
        <w:t>included in the audit</w:t>
      </w:r>
      <w:r w:rsidR="00145B02">
        <w:t>,</w:t>
      </w:r>
      <w:r>
        <w:t xml:space="preserve"> </w:t>
      </w:r>
      <w:r w:rsidR="008F54F4">
        <w:t>1,937 were treated with curative intent</w:t>
      </w:r>
      <w:r>
        <w:t xml:space="preserve"> and</w:t>
      </w:r>
      <w:r w:rsidR="00145B02">
        <w:t>,</w:t>
      </w:r>
      <w:r>
        <w:t xml:space="preserve"> for these, the </w:t>
      </w:r>
      <w:r w:rsidR="008F54F4">
        <w:t xml:space="preserve">first recorded treatment was non-surgical in 1,079 (55.7%) </w:t>
      </w:r>
      <w:r>
        <w:t xml:space="preserve">and </w:t>
      </w:r>
      <w:r w:rsidR="008F54F4">
        <w:t>surgical in 858 (44.3%)</w:t>
      </w:r>
      <w:r w:rsidR="00163B49">
        <w:t xml:space="preserve"> (3)</w:t>
      </w:r>
      <w:r w:rsidR="008F54F4">
        <w:t>.</w:t>
      </w:r>
      <w:r w:rsidR="003423D5">
        <w:t xml:space="preserve"> </w:t>
      </w:r>
      <w:r>
        <w:t xml:space="preserve">However, the </w:t>
      </w:r>
      <w:r w:rsidR="003423D5">
        <w:t xml:space="preserve">percentage of patients undergoing surgery as first treatment varied </w:t>
      </w:r>
      <w:r w:rsidR="003D08A3">
        <w:t>from 26.3% to 66.7% across</w:t>
      </w:r>
      <w:r w:rsidR="003423D5">
        <w:t xml:space="preserve"> different networks, reflecting the lack of clinical consensus on</w:t>
      </w:r>
      <w:r w:rsidR="00552132">
        <w:t xml:space="preserve"> the optimum treatment modality. </w:t>
      </w:r>
      <w:r>
        <w:t xml:space="preserve">This lack of consensus is not limited to the UK and is apparent across Europe, where surgical (e.g. in Germany) and non-surgical (e.g. in Belgium) philosophies prevail in neighboring counties. </w:t>
      </w:r>
    </w:p>
    <w:p w:rsidR="007506F9" w:rsidRDefault="004B7491" w:rsidP="00775429">
      <w:pPr>
        <w:spacing w:line="276" w:lineRule="auto"/>
        <w:jc w:val="both"/>
      </w:pPr>
      <w:r>
        <w:lastRenderedPageBreak/>
        <w:t>In t</w:t>
      </w:r>
      <w:r w:rsidR="007506F9">
        <w:t>his article</w:t>
      </w:r>
      <w:r>
        <w:t>, we</w:t>
      </w:r>
      <w:r w:rsidR="007506F9">
        <w:t xml:space="preserve"> review the evidence </w:t>
      </w:r>
      <w:r>
        <w:t xml:space="preserve">base for </w:t>
      </w:r>
      <w:r w:rsidR="00CD2E84">
        <w:t xml:space="preserve">the </w:t>
      </w:r>
      <w:r w:rsidR="00134794">
        <w:t xml:space="preserve">surgical and non-surgical </w:t>
      </w:r>
      <w:r>
        <w:t xml:space="preserve">treatment </w:t>
      </w:r>
      <w:r w:rsidR="00134794">
        <w:t xml:space="preserve">of OPSCC, </w:t>
      </w:r>
      <w:r>
        <w:t xml:space="preserve">both for </w:t>
      </w:r>
      <w:r w:rsidR="00134794">
        <w:t xml:space="preserve">HPV-positive and HPV-negative disease, and consider how both treatment modalities could </w:t>
      </w:r>
      <w:r>
        <w:t xml:space="preserve">be used </w:t>
      </w:r>
      <w:r w:rsidR="00CD2E84">
        <w:t xml:space="preserve">together </w:t>
      </w:r>
      <w:r>
        <w:t>to maximize patient benefit.</w:t>
      </w:r>
    </w:p>
    <w:p w:rsidR="0061553A" w:rsidRPr="0061553A" w:rsidRDefault="0061553A" w:rsidP="00775429">
      <w:pPr>
        <w:spacing w:line="276" w:lineRule="auto"/>
        <w:jc w:val="both"/>
        <w:rPr>
          <w:u w:val="single"/>
        </w:rPr>
      </w:pPr>
      <w:r w:rsidRPr="0061553A">
        <w:rPr>
          <w:u w:val="single"/>
        </w:rPr>
        <w:t xml:space="preserve">Treatment </w:t>
      </w:r>
      <w:r>
        <w:rPr>
          <w:u w:val="single"/>
        </w:rPr>
        <w:t xml:space="preserve">of </w:t>
      </w:r>
      <w:r w:rsidRPr="0061553A">
        <w:rPr>
          <w:u w:val="single"/>
        </w:rPr>
        <w:t>OPSCC:</w:t>
      </w:r>
    </w:p>
    <w:p w:rsidR="0061553A" w:rsidRPr="00CC3FD0" w:rsidRDefault="0061553A" w:rsidP="00775429">
      <w:pPr>
        <w:spacing w:line="276" w:lineRule="auto"/>
        <w:jc w:val="both"/>
        <w:rPr>
          <w:b/>
          <w:u w:val="single"/>
        </w:rPr>
      </w:pPr>
      <w:r w:rsidRPr="00CC3FD0">
        <w:rPr>
          <w:b/>
          <w:u w:val="single"/>
        </w:rPr>
        <w:t>Radiotherapy</w:t>
      </w:r>
      <w:r w:rsidR="00CD2E84" w:rsidRPr="00CC3FD0">
        <w:rPr>
          <w:b/>
          <w:u w:val="single"/>
        </w:rPr>
        <w:t xml:space="preserve"> (RT)</w:t>
      </w:r>
      <w:r w:rsidRPr="00CC3FD0">
        <w:rPr>
          <w:b/>
          <w:u w:val="single"/>
        </w:rPr>
        <w:t>/</w:t>
      </w:r>
      <w:proofErr w:type="spellStart"/>
      <w:r w:rsidRPr="00CC3FD0">
        <w:rPr>
          <w:b/>
          <w:u w:val="single"/>
        </w:rPr>
        <w:t>Chemoradiotherapy</w:t>
      </w:r>
      <w:proofErr w:type="spellEnd"/>
      <w:r w:rsidR="00CD2E84" w:rsidRPr="00CC3FD0">
        <w:rPr>
          <w:b/>
          <w:u w:val="single"/>
        </w:rPr>
        <w:t xml:space="preserve"> (CRT)</w:t>
      </w:r>
      <w:r w:rsidRPr="00CC3FD0">
        <w:rPr>
          <w:b/>
          <w:u w:val="single"/>
        </w:rPr>
        <w:t>:</w:t>
      </w:r>
    </w:p>
    <w:p w:rsidR="009333DA" w:rsidRDefault="00CD2E84" w:rsidP="00775429">
      <w:pPr>
        <w:spacing w:line="276" w:lineRule="auto"/>
        <w:jc w:val="both"/>
        <w:rPr>
          <w:lang w:val="en-GB"/>
        </w:rPr>
      </w:pPr>
      <w:r>
        <w:t xml:space="preserve">A </w:t>
      </w:r>
      <w:r w:rsidR="009333DA">
        <w:t xml:space="preserve">2002 </w:t>
      </w:r>
      <w:r>
        <w:t xml:space="preserve">retrospective review </w:t>
      </w:r>
      <w:r w:rsidR="009333DA">
        <w:t xml:space="preserve">of 6400 patients with OPSCC in 51 studies </w:t>
      </w:r>
      <w:r>
        <w:t xml:space="preserve">demonstrated similar rates of </w:t>
      </w:r>
      <w:proofErr w:type="spellStart"/>
      <w:r>
        <w:t>locoregional</w:t>
      </w:r>
      <w:proofErr w:type="spellEnd"/>
      <w:r>
        <w:t xml:space="preserve"> control, overall survival </w:t>
      </w:r>
      <w:r w:rsidR="009333DA">
        <w:t>and cause-</w:t>
      </w:r>
      <w:r>
        <w:t xml:space="preserve">specific survival for patients treated with surgery and postoperative RT (PORT) compared to </w:t>
      </w:r>
      <w:r w:rsidR="009333DA">
        <w:t xml:space="preserve">those treated with primary RT +/- neck dissection, but a significantly higher rate of severe or fatal complications in the surgery group, along with </w:t>
      </w:r>
      <w:r w:rsidR="003D08A3">
        <w:t>worse functional outcomes</w:t>
      </w:r>
      <w:r w:rsidR="00552132">
        <w:t xml:space="preserve"> (</w:t>
      </w:r>
      <w:r w:rsidR="00163B49">
        <w:t>4</w:t>
      </w:r>
      <w:r w:rsidR="009333DA">
        <w:t>). This signaled t</w:t>
      </w:r>
      <w:r w:rsidRPr="00CD2E84">
        <w:rPr>
          <w:lang w:val="en-GB"/>
        </w:rPr>
        <w:t xml:space="preserve">he end for open </w:t>
      </w:r>
      <w:r w:rsidR="009333DA">
        <w:rPr>
          <w:lang w:val="en-GB"/>
        </w:rPr>
        <w:t xml:space="preserve">surgical resection of OPSCC in most centres and </w:t>
      </w:r>
      <w:r w:rsidR="003D08A3">
        <w:rPr>
          <w:lang w:val="en-GB"/>
        </w:rPr>
        <w:t xml:space="preserve">heralded an </w:t>
      </w:r>
      <w:r w:rsidR="009333DA">
        <w:rPr>
          <w:lang w:val="en-GB"/>
        </w:rPr>
        <w:t xml:space="preserve">increasing emphasis on the use of RT/CRT. </w:t>
      </w:r>
    </w:p>
    <w:p w:rsidR="009333DA" w:rsidRDefault="00D50327" w:rsidP="00775429">
      <w:pPr>
        <w:spacing w:line="276" w:lineRule="auto"/>
        <w:jc w:val="both"/>
        <w:rPr>
          <w:lang w:val="en-GB"/>
        </w:rPr>
      </w:pPr>
      <w:r>
        <w:rPr>
          <w:lang w:val="en-GB"/>
        </w:rPr>
        <w:t>E</w:t>
      </w:r>
      <w:r w:rsidR="009333DA">
        <w:rPr>
          <w:lang w:val="en-GB"/>
        </w:rPr>
        <w:t>a</w:t>
      </w:r>
      <w:r w:rsidR="00F42CA3">
        <w:rPr>
          <w:lang w:val="en-GB"/>
        </w:rPr>
        <w:t>rly stage (T1-T2 N0-N1) OPSCC can be</w:t>
      </w:r>
      <w:r w:rsidR="009333DA">
        <w:rPr>
          <w:lang w:val="en-GB"/>
        </w:rPr>
        <w:t xml:space="preserve"> effectively treated with RT alone</w:t>
      </w:r>
      <w:r w:rsidR="00B275F1">
        <w:rPr>
          <w:lang w:val="en-GB"/>
        </w:rPr>
        <w:t xml:space="preserve"> (</w:t>
      </w:r>
      <w:r w:rsidR="00163B49">
        <w:rPr>
          <w:lang w:val="en-GB"/>
        </w:rPr>
        <w:t>5</w:t>
      </w:r>
      <w:r>
        <w:rPr>
          <w:lang w:val="en-GB"/>
        </w:rPr>
        <w:t xml:space="preserve">). For more advanced </w:t>
      </w:r>
      <w:r w:rsidR="007C4A5A">
        <w:rPr>
          <w:lang w:val="en-GB"/>
        </w:rPr>
        <w:t>(stage III/IV) OPSCC</w:t>
      </w:r>
      <w:r>
        <w:rPr>
          <w:lang w:val="en-GB"/>
        </w:rPr>
        <w:t xml:space="preserve">, the </w:t>
      </w:r>
      <w:r w:rsidR="00504C4D">
        <w:rPr>
          <w:lang w:val="en-GB"/>
        </w:rPr>
        <w:t>GORTEC 94-01 study demonstrated a ≥20% 3</w:t>
      </w:r>
      <w:r w:rsidR="00F42CA3">
        <w:rPr>
          <w:lang w:val="en-GB"/>
        </w:rPr>
        <w:t>-</w:t>
      </w:r>
      <w:r w:rsidR="00504C4D">
        <w:rPr>
          <w:lang w:val="en-GB"/>
        </w:rPr>
        <w:t xml:space="preserve"> and 5</w:t>
      </w:r>
      <w:r w:rsidR="00F42CA3">
        <w:rPr>
          <w:lang w:val="en-GB"/>
        </w:rPr>
        <w:t>-</w:t>
      </w:r>
      <w:r w:rsidR="00504C4D">
        <w:rPr>
          <w:lang w:val="en-GB"/>
        </w:rPr>
        <w:t>year survival benefit for the addition of chemotherapy to RT, albeit in the setting of low overall survival figures (</w:t>
      </w:r>
      <w:r w:rsidR="00504C4D" w:rsidRPr="00504C4D">
        <w:rPr>
          <w:lang w:val="en-GB"/>
        </w:rPr>
        <w:t>3 year overall su</w:t>
      </w:r>
      <w:r w:rsidR="00145B02">
        <w:rPr>
          <w:lang w:val="en-GB"/>
        </w:rPr>
        <w:t xml:space="preserve">rvival 51% </w:t>
      </w:r>
      <w:proofErr w:type="spellStart"/>
      <w:r w:rsidR="00145B02">
        <w:rPr>
          <w:lang w:val="en-GB"/>
        </w:rPr>
        <w:t>vs</w:t>
      </w:r>
      <w:proofErr w:type="spellEnd"/>
      <w:r w:rsidR="00145B02">
        <w:rPr>
          <w:lang w:val="en-GB"/>
        </w:rPr>
        <w:t xml:space="preserve"> 31%, p=0.02</w:t>
      </w:r>
      <w:r w:rsidR="00504C4D">
        <w:rPr>
          <w:lang w:val="en-GB"/>
        </w:rPr>
        <w:t xml:space="preserve">, </w:t>
      </w:r>
      <w:r w:rsidR="00145B02">
        <w:rPr>
          <w:lang w:val="en-GB"/>
        </w:rPr>
        <w:t xml:space="preserve">disease-free survival </w:t>
      </w:r>
      <w:r w:rsidR="00504C4D" w:rsidRPr="00504C4D">
        <w:rPr>
          <w:lang w:val="en-GB"/>
        </w:rPr>
        <w:t xml:space="preserve">42% </w:t>
      </w:r>
      <w:proofErr w:type="spellStart"/>
      <w:r w:rsidR="00504C4D" w:rsidRPr="00504C4D">
        <w:rPr>
          <w:lang w:val="en-GB"/>
        </w:rPr>
        <w:t>vs</w:t>
      </w:r>
      <w:proofErr w:type="spellEnd"/>
      <w:r w:rsidR="00145B02">
        <w:rPr>
          <w:lang w:val="en-GB"/>
        </w:rPr>
        <w:t xml:space="preserve"> 20%, p=0.04 </w:t>
      </w:r>
      <w:r w:rsidR="007C4A5A">
        <w:rPr>
          <w:lang w:val="en-GB"/>
        </w:rPr>
        <w:t xml:space="preserve">and </w:t>
      </w:r>
      <w:proofErr w:type="spellStart"/>
      <w:r w:rsidR="00145B02">
        <w:rPr>
          <w:lang w:val="en-GB"/>
        </w:rPr>
        <w:t>locoregional</w:t>
      </w:r>
      <w:proofErr w:type="spellEnd"/>
      <w:r w:rsidR="00145B02">
        <w:rPr>
          <w:lang w:val="en-GB"/>
        </w:rPr>
        <w:t xml:space="preserve"> control 66% </w:t>
      </w:r>
      <w:proofErr w:type="spellStart"/>
      <w:r w:rsidR="00145B02">
        <w:rPr>
          <w:lang w:val="en-GB"/>
        </w:rPr>
        <w:t>vs</w:t>
      </w:r>
      <w:proofErr w:type="spellEnd"/>
      <w:r w:rsidR="00145B02">
        <w:rPr>
          <w:lang w:val="en-GB"/>
        </w:rPr>
        <w:t xml:space="preserve"> 42% p=0.03</w:t>
      </w:r>
      <w:r w:rsidR="00504C4D">
        <w:rPr>
          <w:lang w:val="en-GB"/>
        </w:rPr>
        <w:t>) (</w:t>
      </w:r>
      <w:r w:rsidR="000D248D">
        <w:rPr>
          <w:lang w:val="en-GB"/>
        </w:rPr>
        <w:t>6</w:t>
      </w:r>
      <w:proofErr w:type="gramStart"/>
      <w:r w:rsidR="000D248D">
        <w:rPr>
          <w:lang w:val="en-GB"/>
        </w:rPr>
        <w:t>,7</w:t>
      </w:r>
      <w:proofErr w:type="gramEnd"/>
      <w:r w:rsidR="00504C4D">
        <w:rPr>
          <w:lang w:val="en-GB"/>
        </w:rPr>
        <w:t xml:space="preserve">). However, </w:t>
      </w:r>
      <w:r w:rsidR="007C4A5A">
        <w:rPr>
          <w:lang w:val="en-GB"/>
        </w:rPr>
        <w:t xml:space="preserve">concurrent </w:t>
      </w:r>
      <w:r w:rsidR="00504C4D">
        <w:rPr>
          <w:lang w:val="en-GB"/>
        </w:rPr>
        <w:t xml:space="preserve">chemotherapy </w:t>
      </w:r>
      <w:r w:rsidR="007C4A5A">
        <w:rPr>
          <w:lang w:val="en-GB"/>
        </w:rPr>
        <w:t xml:space="preserve">increased </w:t>
      </w:r>
      <w:r w:rsidR="00504C4D">
        <w:rPr>
          <w:lang w:val="en-GB"/>
        </w:rPr>
        <w:t>severe (Grade 3-4) late toxicity</w:t>
      </w:r>
      <w:r w:rsidR="006F511D">
        <w:rPr>
          <w:lang w:val="en-GB"/>
        </w:rPr>
        <w:t xml:space="preserve"> (82% CRT </w:t>
      </w:r>
      <w:proofErr w:type="spellStart"/>
      <w:r w:rsidR="006F511D">
        <w:rPr>
          <w:lang w:val="en-GB"/>
        </w:rPr>
        <w:t>vs</w:t>
      </w:r>
      <w:proofErr w:type="spellEnd"/>
      <w:r w:rsidR="006F511D">
        <w:rPr>
          <w:lang w:val="en-GB"/>
        </w:rPr>
        <w:t xml:space="preserve"> 47% RT alone, p=0.02)</w:t>
      </w:r>
      <w:r w:rsidR="00504C4D">
        <w:rPr>
          <w:lang w:val="en-GB"/>
        </w:rPr>
        <w:t>, particularly affecting dentition (</w:t>
      </w:r>
      <w:r w:rsidR="000D248D">
        <w:rPr>
          <w:lang w:val="en-GB"/>
        </w:rPr>
        <w:t>8</w:t>
      </w:r>
      <w:r w:rsidR="00504C4D">
        <w:rPr>
          <w:lang w:val="en-GB"/>
        </w:rPr>
        <w:t xml:space="preserve">). </w:t>
      </w:r>
      <w:r w:rsidR="00C8374B">
        <w:rPr>
          <w:lang w:val="en-GB"/>
        </w:rPr>
        <w:t>Meta-analysis data in 17,346 patients confirmed</w:t>
      </w:r>
      <w:r w:rsidR="00343EC5">
        <w:rPr>
          <w:lang w:val="en-GB"/>
        </w:rPr>
        <w:t xml:space="preserve"> that</w:t>
      </w:r>
      <w:r w:rsidR="007C4A5A">
        <w:rPr>
          <w:lang w:val="en-GB"/>
        </w:rPr>
        <w:t>,</w:t>
      </w:r>
      <w:r w:rsidR="00343EC5">
        <w:rPr>
          <w:lang w:val="en-GB"/>
        </w:rPr>
        <w:t xml:space="preserve"> for HNSCCs as a whole, concurrent chemotherapy confers</w:t>
      </w:r>
      <w:r w:rsidR="00C8374B">
        <w:rPr>
          <w:lang w:val="en-GB"/>
        </w:rPr>
        <w:t xml:space="preserve"> an overall survival benefit of </w:t>
      </w:r>
      <w:r w:rsidR="00343EC5">
        <w:rPr>
          <w:lang w:val="en-GB"/>
        </w:rPr>
        <w:t>6.5% at 5 years</w:t>
      </w:r>
      <w:r w:rsidR="00145B02">
        <w:rPr>
          <w:lang w:val="en-GB"/>
        </w:rPr>
        <w:t xml:space="preserve"> (p&lt;0.0001)</w:t>
      </w:r>
      <w:r w:rsidR="00343EC5">
        <w:rPr>
          <w:lang w:val="en-GB"/>
        </w:rPr>
        <w:t>, compared to RT alone</w:t>
      </w:r>
      <w:r w:rsidR="00145B02">
        <w:rPr>
          <w:lang w:val="en-GB"/>
        </w:rPr>
        <w:t xml:space="preserve"> (</w:t>
      </w:r>
      <w:r w:rsidR="000D248D">
        <w:rPr>
          <w:lang w:val="en-GB"/>
        </w:rPr>
        <w:t>9</w:t>
      </w:r>
      <w:r w:rsidR="00C8374B">
        <w:rPr>
          <w:lang w:val="en-GB"/>
        </w:rPr>
        <w:t xml:space="preserve">). In the UK, the use of CRT for OPSCC has increased in successive DAHNO reports and </w:t>
      </w:r>
      <w:r w:rsidR="00343EC5">
        <w:rPr>
          <w:lang w:val="en-GB"/>
        </w:rPr>
        <w:t xml:space="preserve">it </w:t>
      </w:r>
      <w:r w:rsidR="00C8374B">
        <w:rPr>
          <w:lang w:val="en-GB"/>
        </w:rPr>
        <w:t xml:space="preserve">is now </w:t>
      </w:r>
      <w:r w:rsidR="00343EC5">
        <w:rPr>
          <w:lang w:val="en-GB"/>
        </w:rPr>
        <w:t xml:space="preserve">given </w:t>
      </w:r>
      <w:r w:rsidR="00C8374B">
        <w:rPr>
          <w:lang w:val="en-GB"/>
        </w:rPr>
        <w:t>more than twice as frequently as RT alone (</w:t>
      </w:r>
      <w:r w:rsidR="000D248D">
        <w:rPr>
          <w:lang w:val="en-GB"/>
        </w:rPr>
        <w:t>3</w:t>
      </w:r>
      <w:r w:rsidR="00C8374B">
        <w:rPr>
          <w:lang w:val="en-GB"/>
        </w:rPr>
        <w:t xml:space="preserve">).  </w:t>
      </w:r>
    </w:p>
    <w:p w:rsidR="00893274" w:rsidRDefault="00D356B1" w:rsidP="00775429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Human </w:t>
      </w:r>
      <w:proofErr w:type="spellStart"/>
      <w:r>
        <w:rPr>
          <w:lang w:val="en-GB"/>
        </w:rPr>
        <w:t>Papillomavirus</w:t>
      </w:r>
      <w:proofErr w:type="spellEnd"/>
      <w:r>
        <w:rPr>
          <w:lang w:val="en-GB"/>
        </w:rPr>
        <w:t xml:space="preserve"> status is highly prognostic in OPSCC patients treated with CRT. In a landmark study, </w:t>
      </w:r>
      <w:proofErr w:type="spellStart"/>
      <w:r>
        <w:rPr>
          <w:lang w:val="en-GB"/>
        </w:rPr>
        <w:t>Ang</w:t>
      </w:r>
      <w:proofErr w:type="spellEnd"/>
      <w:r>
        <w:rPr>
          <w:lang w:val="en-GB"/>
        </w:rPr>
        <w:t xml:space="preserve"> and colleagues retrospectively analysed the outcomes of patients with stage III/IV OPSCC treated with CRT in the </w:t>
      </w:r>
      <w:r w:rsidR="004A0C99">
        <w:rPr>
          <w:lang w:val="en-GB"/>
        </w:rPr>
        <w:t xml:space="preserve">RTOG 0129 study </w:t>
      </w:r>
      <w:r>
        <w:rPr>
          <w:lang w:val="en-GB"/>
        </w:rPr>
        <w:t xml:space="preserve">by HPV status: </w:t>
      </w:r>
      <w:r w:rsidR="00893274">
        <w:rPr>
          <w:lang w:val="en-GB"/>
        </w:rPr>
        <w:t xml:space="preserve">3 year overall survival </w:t>
      </w:r>
      <w:r>
        <w:rPr>
          <w:lang w:val="en-GB"/>
        </w:rPr>
        <w:t xml:space="preserve">was </w:t>
      </w:r>
      <w:r w:rsidR="00893274">
        <w:rPr>
          <w:lang w:val="en-GB"/>
        </w:rPr>
        <w:t>82.4% in HPV-positive patients, compared to 57.1% in HPV-negative patients (p&lt;0.001). Furthermore, patients with HPV-positive and HPV-negative</w:t>
      </w:r>
      <w:r w:rsidR="006F511D">
        <w:rPr>
          <w:lang w:val="en-GB"/>
        </w:rPr>
        <w:t xml:space="preserve"> disease could be </w:t>
      </w:r>
      <w:r w:rsidR="00893274">
        <w:rPr>
          <w:lang w:val="en-GB"/>
        </w:rPr>
        <w:t xml:space="preserve">stratified </w:t>
      </w:r>
      <w:r w:rsidR="006F511D">
        <w:rPr>
          <w:lang w:val="en-GB"/>
        </w:rPr>
        <w:t>further,</w:t>
      </w:r>
      <w:r w:rsidR="00893274">
        <w:rPr>
          <w:lang w:val="en-GB"/>
        </w:rPr>
        <w:t xml:space="preserve"> based on other factors, and </w:t>
      </w:r>
      <w:r w:rsidR="006F511D">
        <w:rPr>
          <w:lang w:val="en-GB"/>
        </w:rPr>
        <w:t xml:space="preserve">a group of good prognosis </w:t>
      </w:r>
      <w:r w:rsidR="00893274">
        <w:rPr>
          <w:lang w:val="en-GB"/>
        </w:rPr>
        <w:t xml:space="preserve">HPV-positive patients </w:t>
      </w:r>
      <w:r w:rsidR="006F511D">
        <w:rPr>
          <w:lang w:val="en-GB"/>
        </w:rPr>
        <w:t xml:space="preserve">was identified with </w:t>
      </w:r>
      <w:r w:rsidR="00893274">
        <w:rPr>
          <w:lang w:val="en-GB"/>
        </w:rPr>
        <w:t xml:space="preserve">&gt;90% </w:t>
      </w:r>
      <w:r w:rsidR="006F511D">
        <w:rPr>
          <w:lang w:val="en-GB"/>
        </w:rPr>
        <w:t xml:space="preserve">3 year overall survival </w:t>
      </w:r>
      <w:r w:rsidR="00893274">
        <w:rPr>
          <w:lang w:val="en-GB"/>
        </w:rPr>
        <w:t>(</w:t>
      </w:r>
      <w:r w:rsidR="000D248D">
        <w:rPr>
          <w:lang w:val="en-GB"/>
        </w:rPr>
        <w:t>2</w:t>
      </w:r>
      <w:r w:rsidR="00893274">
        <w:rPr>
          <w:lang w:val="en-GB"/>
        </w:rPr>
        <w:t>).</w:t>
      </w:r>
      <w:r w:rsidR="006F511D">
        <w:rPr>
          <w:lang w:val="en-GB"/>
        </w:rPr>
        <w:t xml:space="preserve"> </w:t>
      </w:r>
      <w:r w:rsidR="0031027B">
        <w:rPr>
          <w:lang w:val="en-GB"/>
        </w:rPr>
        <w:t xml:space="preserve">Similarly high survival rates for HPV-positive OPSCC have been </w:t>
      </w:r>
      <w:r w:rsidR="006F511D">
        <w:rPr>
          <w:lang w:val="en-GB"/>
        </w:rPr>
        <w:t xml:space="preserve">demonstrated in </w:t>
      </w:r>
      <w:r w:rsidR="005E1401">
        <w:rPr>
          <w:lang w:val="en-GB"/>
        </w:rPr>
        <w:t xml:space="preserve">UK </w:t>
      </w:r>
      <w:r w:rsidR="006F511D">
        <w:rPr>
          <w:lang w:val="en-GB"/>
        </w:rPr>
        <w:t>studies</w:t>
      </w:r>
      <w:r w:rsidR="0031027B">
        <w:rPr>
          <w:lang w:val="en-GB"/>
        </w:rPr>
        <w:t xml:space="preserve"> in patients treated with </w:t>
      </w:r>
      <w:r w:rsidR="00817900">
        <w:rPr>
          <w:lang w:val="en-GB"/>
        </w:rPr>
        <w:t xml:space="preserve">primary </w:t>
      </w:r>
      <w:r w:rsidR="005E1401">
        <w:rPr>
          <w:lang w:val="en-GB"/>
        </w:rPr>
        <w:t>RT/CRT</w:t>
      </w:r>
      <w:r w:rsidR="00145B02">
        <w:rPr>
          <w:lang w:val="en-GB"/>
        </w:rPr>
        <w:t xml:space="preserve"> and </w:t>
      </w:r>
      <w:r w:rsidR="0031027B">
        <w:rPr>
          <w:lang w:val="en-GB"/>
        </w:rPr>
        <w:t>surgery</w:t>
      </w:r>
      <w:r w:rsidR="005E1401">
        <w:rPr>
          <w:lang w:val="en-GB"/>
        </w:rPr>
        <w:t xml:space="preserve"> (</w:t>
      </w:r>
      <w:r w:rsidR="000D248D">
        <w:rPr>
          <w:lang w:val="en-GB"/>
        </w:rPr>
        <w:t>10</w:t>
      </w:r>
      <w:proofErr w:type="gramStart"/>
      <w:r w:rsidR="000D248D">
        <w:rPr>
          <w:lang w:val="en-GB"/>
        </w:rPr>
        <w:t>,11,12</w:t>
      </w:r>
      <w:proofErr w:type="gramEnd"/>
      <w:r w:rsidR="005E1401">
        <w:rPr>
          <w:lang w:val="en-GB"/>
        </w:rPr>
        <w:t>)</w:t>
      </w:r>
      <w:r w:rsidR="006F511D">
        <w:rPr>
          <w:lang w:val="en-GB"/>
        </w:rPr>
        <w:t>.</w:t>
      </w:r>
    </w:p>
    <w:p w:rsidR="006F511D" w:rsidRPr="006F511D" w:rsidRDefault="008946C5" w:rsidP="00775429">
      <w:pPr>
        <w:spacing w:line="276" w:lineRule="auto"/>
        <w:jc w:val="both"/>
        <w:rPr>
          <w:u w:val="single"/>
          <w:lang w:val="en-GB"/>
        </w:rPr>
      </w:pPr>
      <w:r>
        <w:rPr>
          <w:u w:val="single"/>
          <w:lang w:val="en-GB"/>
        </w:rPr>
        <w:t xml:space="preserve">Toxicities of </w:t>
      </w:r>
      <w:r w:rsidR="006F511D" w:rsidRPr="006F511D">
        <w:rPr>
          <w:u w:val="single"/>
          <w:lang w:val="en-GB"/>
        </w:rPr>
        <w:t>RT/CRT:</w:t>
      </w:r>
    </w:p>
    <w:p w:rsidR="00D95AA1" w:rsidRDefault="00215FB0" w:rsidP="00775429">
      <w:pPr>
        <w:spacing w:line="276" w:lineRule="auto"/>
        <w:jc w:val="both"/>
      </w:pPr>
      <w:r>
        <w:rPr>
          <w:lang w:val="en-GB"/>
        </w:rPr>
        <w:t xml:space="preserve">Radiotherapy </w:t>
      </w:r>
      <w:r w:rsidR="00817900">
        <w:rPr>
          <w:lang w:val="en-GB"/>
        </w:rPr>
        <w:t xml:space="preserve">can </w:t>
      </w:r>
      <w:r>
        <w:rPr>
          <w:lang w:val="en-GB"/>
        </w:rPr>
        <w:t xml:space="preserve">result in </w:t>
      </w:r>
      <w:r w:rsidR="00817900">
        <w:rPr>
          <w:lang w:val="en-GB"/>
        </w:rPr>
        <w:t>significant acute (&lt;90 days) and late (&gt;90 days after treatment) toxicities</w:t>
      </w:r>
      <w:r w:rsidR="002D18C0">
        <w:rPr>
          <w:lang w:val="en-GB"/>
        </w:rPr>
        <w:t xml:space="preserve"> and l</w:t>
      </w:r>
      <w:r w:rsidR="00817900">
        <w:rPr>
          <w:lang w:val="en-GB"/>
        </w:rPr>
        <w:t xml:space="preserve">ate </w:t>
      </w:r>
      <w:r>
        <w:rPr>
          <w:lang w:val="en-GB"/>
        </w:rPr>
        <w:t>toxicities</w:t>
      </w:r>
      <w:r w:rsidR="00D95AA1">
        <w:rPr>
          <w:lang w:val="en-GB"/>
        </w:rPr>
        <w:t>,</w:t>
      </w:r>
      <w:r w:rsidR="00756FD4">
        <w:rPr>
          <w:lang w:val="en-GB"/>
        </w:rPr>
        <w:t xml:space="preserve"> </w:t>
      </w:r>
      <w:r w:rsidR="003A3007">
        <w:rPr>
          <w:lang w:val="en-GB"/>
        </w:rPr>
        <w:t xml:space="preserve">particularly </w:t>
      </w:r>
      <w:r w:rsidR="00756FD4">
        <w:rPr>
          <w:lang w:val="en-GB"/>
        </w:rPr>
        <w:t xml:space="preserve">affecting salivary gland function, dentition and </w:t>
      </w:r>
      <w:r w:rsidR="00756FD4">
        <w:rPr>
          <w:lang w:val="en-GB"/>
        </w:rPr>
        <w:lastRenderedPageBreak/>
        <w:t>swallowing</w:t>
      </w:r>
      <w:r w:rsidR="00817900">
        <w:rPr>
          <w:lang w:val="en-GB"/>
        </w:rPr>
        <w:t>,</w:t>
      </w:r>
      <w:r>
        <w:rPr>
          <w:lang w:val="en-GB"/>
        </w:rPr>
        <w:t xml:space="preserve"> may be permanent</w:t>
      </w:r>
      <w:r w:rsidR="00756FD4">
        <w:rPr>
          <w:lang w:val="en-GB"/>
        </w:rPr>
        <w:t xml:space="preserve">. </w:t>
      </w:r>
      <w:r>
        <w:rPr>
          <w:lang w:val="en-GB"/>
        </w:rPr>
        <w:t>Concurrent chemotherapy increases the risk of late toxicity (</w:t>
      </w:r>
      <w:r w:rsidR="000D248D">
        <w:rPr>
          <w:lang w:val="en-GB"/>
        </w:rPr>
        <w:t>8</w:t>
      </w:r>
      <w:proofErr w:type="gramStart"/>
      <w:r w:rsidRPr="00215FB0">
        <w:rPr>
          <w:lang w:val="en-GB"/>
        </w:rPr>
        <w:t>,</w:t>
      </w:r>
      <w:r w:rsidR="000D248D">
        <w:rPr>
          <w:lang w:val="en-GB"/>
        </w:rPr>
        <w:t>13</w:t>
      </w:r>
      <w:proofErr w:type="gramEnd"/>
      <w:r w:rsidRPr="00215FB0">
        <w:rPr>
          <w:lang w:val="en-GB"/>
        </w:rPr>
        <w:t>)</w:t>
      </w:r>
      <w:r>
        <w:rPr>
          <w:lang w:val="en-GB"/>
        </w:rPr>
        <w:t xml:space="preserve"> and </w:t>
      </w:r>
      <w:r w:rsidRPr="00670AB6">
        <w:t xml:space="preserve">up to 43% of </w:t>
      </w:r>
      <w:r w:rsidR="00817900">
        <w:t xml:space="preserve">HNSCC </w:t>
      </w:r>
      <w:r w:rsidRPr="00670AB6">
        <w:t>patients</w:t>
      </w:r>
      <w:r>
        <w:t xml:space="preserve"> develop grade 3-4 late toxicities </w:t>
      </w:r>
      <w:r w:rsidR="00817900">
        <w:t xml:space="preserve">following </w:t>
      </w:r>
      <w:r>
        <w:t>CRT</w:t>
      </w:r>
      <w:r w:rsidR="00817900">
        <w:t xml:space="preserve"> </w:t>
      </w:r>
      <w:r>
        <w:t>(</w:t>
      </w:r>
      <w:r w:rsidR="000D248D">
        <w:t>14</w:t>
      </w:r>
      <w:r>
        <w:t>)</w:t>
      </w:r>
      <w:r w:rsidR="00D95AA1">
        <w:t>.</w:t>
      </w:r>
      <w:r w:rsidR="00A14782" w:rsidRPr="00A14782">
        <w:rPr>
          <w:i/>
          <w:sz w:val="20"/>
        </w:rPr>
        <w:t xml:space="preserve"> </w:t>
      </w:r>
      <w:r w:rsidR="00A14782" w:rsidRPr="00A14782">
        <w:rPr>
          <w:rFonts w:asciiTheme="majorHAnsi" w:hAnsiTheme="majorHAnsi"/>
        </w:rPr>
        <w:t>The key late toxicity affecting quality of life (Q</w:t>
      </w:r>
      <w:r w:rsidR="00A14782">
        <w:rPr>
          <w:rFonts w:asciiTheme="majorHAnsi" w:hAnsiTheme="majorHAnsi"/>
        </w:rPr>
        <w:t>OL) is swallowing dysfunction (</w:t>
      </w:r>
      <w:r w:rsidR="000D248D">
        <w:rPr>
          <w:rFonts w:asciiTheme="majorHAnsi" w:hAnsiTheme="majorHAnsi"/>
        </w:rPr>
        <w:t>15</w:t>
      </w:r>
      <w:r w:rsidR="00A14782" w:rsidRPr="00A14782">
        <w:rPr>
          <w:rFonts w:asciiTheme="majorHAnsi" w:hAnsiTheme="majorHAnsi"/>
        </w:rPr>
        <w:t xml:space="preserve">). </w:t>
      </w:r>
      <w:r w:rsidR="00A14782" w:rsidRPr="00A14782">
        <w:rPr>
          <w:rFonts w:asciiTheme="majorHAnsi" w:hAnsiTheme="majorHAnsi" w:cs="Arial"/>
        </w:rPr>
        <w:t>Swallowing is a primary concern for patient</w:t>
      </w:r>
      <w:r w:rsidR="00A14782">
        <w:rPr>
          <w:rFonts w:asciiTheme="majorHAnsi" w:hAnsiTheme="majorHAnsi" w:cs="Arial"/>
        </w:rPr>
        <w:t>s (</w:t>
      </w:r>
      <w:r w:rsidR="000D248D">
        <w:rPr>
          <w:rFonts w:asciiTheme="majorHAnsi" w:hAnsiTheme="majorHAnsi" w:cs="Arial"/>
        </w:rPr>
        <w:t>16</w:t>
      </w:r>
      <w:r w:rsidR="00A14782" w:rsidRPr="00A14782">
        <w:rPr>
          <w:rFonts w:asciiTheme="majorHAnsi" w:hAnsiTheme="majorHAnsi" w:cs="Arial"/>
        </w:rPr>
        <w:t xml:space="preserve">), affecting </w:t>
      </w:r>
      <w:r w:rsidR="00A14782">
        <w:rPr>
          <w:rFonts w:asciiTheme="majorHAnsi" w:hAnsiTheme="majorHAnsi" w:cs="Arial"/>
        </w:rPr>
        <w:t xml:space="preserve">their </w:t>
      </w:r>
      <w:r w:rsidR="00A14782" w:rsidRPr="00A14782">
        <w:rPr>
          <w:rFonts w:asciiTheme="majorHAnsi" w:hAnsiTheme="majorHAnsi" w:cs="Arial"/>
        </w:rPr>
        <w:t>physical health and well-being</w:t>
      </w:r>
      <w:r w:rsidR="00A14782">
        <w:rPr>
          <w:rFonts w:asciiTheme="majorHAnsi" w:hAnsiTheme="majorHAnsi" w:cs="Arial"/>
        </w:rPr>
        <w:t>,</w:t>
      </w:r>
      <w:r w:rsidR="00A14782" w:rsidRPr="00A14782">
        <w:rPr>
          <w:rFonts w:asciiTheme="majorHAnsi" w:hAnsiTheme="majorHAnsi" w:cs="Arial"/>
        </w:rPr>
        <w:t xml:space="preserve"> </w:t>
      </w:r>
      <w:r w:rsidR="00A14782">
        <w:rPr>
          <w:rFonts w:asciiTheme="majorHAnsi" w:hAnsiTheme="majorHAnsi" w:cs="Arial"/>
        </w:rPr>
        <w:t xml:space="preserve">and is </w:t>
      </w:r>
      <w:r w:rsidR="00A14782" w:rsidRPr="00A14782">
        <w:rPr>
          <w:rFonts w:asciiTheme="majorHAnsi" w:hAnsiTheme="majorHAnsi" w:cs="Arial"/>
        </w:rPr>
        <w:t>a major cause of distress and burden for family members</w:t>
      </w:r>
      <w:r w:rsidR="00A14782">
        <w:rPr>
          <w:rFonts w:asciiTheme="majorHAnsi" w:hAnsiTheme="majorHAnsi" w:cs="Arial"/>
        </w:rPr>
        <w:t xml:space="preserve"> (</w:t>
      </w:r>
      <w:r w:rsidR="000D248D">
        <w:rPr>
          <w:rFonts w:asciiTheme="majorHAnsi" w:hAnsiTheme="majorHAnsi" w:cs="Arial"/>
        </w:rPr>
        <w:t>17</w:t>
      </w:r>
      <w:r w:rsidR="00A14782" w:rsidRPr="00A14782">
        <w:rPr>
          <w:rFonts w:asciiTheme="majorHAnsi" w:hAnsiTheme="majorHAnsi" w:cs="Arial"/>
        </w:rPr>
        <w:t xml:space="preserve">), since </w:t>
      </w:r>
      <w:proofErr w:type="spellStart"/>
      <w:r w:rsidR="00A14782" w:rsidRPr="00A14782">
        <w:rPr>
          <w:rFonts w:asciiTheme="majorHAnsi" w:hAnsiTheme="majorHAnsi" w:cs="Arial"/>
        </w:rPr>
        <w:t>dysphagic</w:t>
      </w:r>
      <w:proofErr w:type="spellEnd"/>
      <w:r w:rsidR="00A14782" w:rsidRPr="00A14782">
        <w:rPr>
          <w:rFonts w:asciiTheme="majorHAnsi" w:hAnsiTheme="majorHAnsi" w:cs="Arial"/>
        </w:rPr>
        <w:t xml:space="preserve"> patients often require long-term supportive care</w:t>
      </w:r>
      <w:r w:rsidR="000D248D">
        <w:rPr>
          <w:rFonts w:asciiTheme="majorHAnsi" w:hAnsiTheme="majorHAnsi" w:cs="Arial"/>
        </w:rPr>
        <w:t>.</w:t>
      </w:r>
    </w:p>
    <w:p w:rsidR="00B13A1D" w:rsidRDefault="00E41EB8" w:rsidP="00775429">
      <w:pPr>
        <w:spacing w:line="276" w:lineRule="auto"/>
        <w:jc w:val="both"/>
      </w:pPr>
      <w:r>
        <w:t xml:space="preserve">Over the past 10-15 years, </w:t>
      </w:r>
      <w:r w:rsidR="00D95AA1">
        <w:t xml:space="preserve">Intensity Modulated RT (IMRT) </w:t>
      </w:r>
      <w:r>
        <w:t>has become t</w:t>
      </w:r>
      <w:r w:rsidR="00C5603E">
        <w:t>he standard of care for RT</w:t>
      </w:r>
      <w:r>
        <w:t xml:space="preserve"> treatment planning </w:t>
      </w:r>
      <w:r w:rsidR="00C5603E">
        <w:t>and delivery</w:t>
      </w:r>
      <w:r w:rsidR="00145B02">
        <w:t xml:space="preserve"> for OPSCC</w:t>
      </w:r>
      <w:r w:rsidR="006A4B12">
        <w:t xml:space="preserve"> (Figure 3)</w:t>
      </w:r>
      <w:r w:rsidR="00D62259">
        <w:t xml:space="preserve"> </w:t>
      </w:r>
      <w:r w:rsidR="00C5603E">
        <w:t>–</w:t>
      </w:r>
      <w:r>
        <w:t xml:space="preserve"> </w:t>
      </w:r>
      <w:r w:rsidR="00C5603E">
        <w:t xml:space="preserve">the </w:t>
      </w:r>
      <w:r w:rsidR="00B34168">
        <w:t>conformal dose distributions achieved allow sparing of normal tissues and organs at risk, potentially reducing toxicities and improving QOL</w:t>
      </w:r>
      <w:r w:rsidR="006D08F3">
        <w:t xml:space="preserve">. </w:t>
      </w:r>
      <w:r>
        <w:t xml:space="preserve">The UK </w:t>
      </w:r>
      <w:r w:rsidR="006D08F3">
        <w:t>ph</w:t>
      </w:r>
      <w:r w:rsidR="00D95AA1">
        <w:t xml:space="preserve">ase III PARSPORT study </w:t>
      </w:r>
      <w:r>
        <w:t xml:space="preserve">demonstrated that </w:t>
      </w:r>
      <w:r w:rsidRPr="00C76CA2">
        <w:rPr>
          <w:lang w:val="en-GB"/>
        </w:rPr>
        <w:t xml:space="preserve">parotid-sparing IMRT </w:t>
      </w:r>
      <w:r w:rsidR="00C5603E">
        <w:rPr>
          <w:lang w:val="en-GB"/>
        </w:rPr>
        <w:t xml:space="preserve">reduces the incidence of </w:t>
      </w:r>
      <w:r w:rsidR="006D08F3">
        <w:t xml:space="preserve">grade 3-4 </w:t>
      </w:r>
      <w:proofErr w:type="spellStart"/>
      <w:r w:rsidR="006D08F3">
        <w:rPr>
          <w:lang w:val="en-GB"/>
        </w:rPr>
        <w:t>xerostomia</w:t>
      </w:r>
      <w:proofErr w:type="spellEnd"/>
      <w:r w:rsidR="006D08F3">
        <w:rPr>
          <w:lang w:val="en-GB"/>
        </w:rPr>
        <w:t xml:space="preserve"> (</w:t>
      </w:r>
      <w:r w:rsidR="00C5603E">
        <w:rPr>
          <w:lang w:val="en-GB"/>
        </w:rPr>
        <w:t xml:space="preserve">dry mouth) </w:t>
      </w:r>
      <w:r w:rsidR="00B275F1">
        <w:rPr>
          <w:lang w:val="en-GB"/>
        </w:rPr>
        <w:t xml:space="preserve">compared to conventional RT, </w:t>
      </w:r>
      <w:r w:rsidR="00C5603E">
        <w:rPr>
          <w:bCs/>
          <w:lang w:val="en-GB"/>
        </w:rPr>
        <w:t>from 83% to</w:t>
      </w:r>
      <w:r w:rsidR="00D95AA1" w:rsidRPr="00C76CA2">
        <w:rPr>
          <w:bCs/>
          <w:lang w:val="en-GB"/>
        </w:rPr>
        <w:t xml:space="preserve"> 29% </w:t>
      </w:r>
      <w:r w:rsidR="00D95AA1" w:rsidRPr="00C76CA2">
        <w:rPr>
          <w:lang w:val="en-GB"/>
        </w:rPr>
        <w:t xml:space="preserve">24 months </w:t>
      </w:r>
      <w:r w:rsidR="00C5603E">
        <w:rPr>
          <w:lang w:val="en-GB"/>
        </w:rPr>
        <w:t xml:space="preserve">after treatment </w:t>
      </w:r>
      <w:r w:rsidR="00D95AA1" w:rsidRPr="00C76CA2">
        <w:rPr>
          <w:lang w:val="en-GB"/>
        </w:rPr>
        <w:t>(p=0.0001)</w:t>
      </w:r>
      <w:r w:rsidR="006D08F3" w:rsidRPr="00C76CA2">
        <w:rPr>
          <w:lang w:val="en-GB"/>
        </w:rPr>
        <w:t xml:space="preserve"> (</w:t>
      </w:r>
      <w:r w:rsidR="000D248D">
        <w:rPr>
          <w:lang w:val="en-GB"/>
        </w:rPr>
        <w:t>18</w:t>
      </w:r>
      <w:r w:rsidR="006D08F3" w:rsidRPr="00C76CA2">
        <w:rPr>
          <w:lang w:val="en-GB"/>
        </w:rPr>
        <w:t>). As a result</w:t>
      </w:r>
      <w:r w:rsidR="00C5603E">
        <w:rPr>
          <w:lang w:val="en-GB"/>
        </w:rPr>
        <w:t xml:space="preserve"> of this and other data, IMRT has been </w:t>
      </w:r>
      <w:r w:rsidR="00855B2D">
        <w:rPr>
          <w:lang w:val="en-GB"/>
        </w:rPr>
        <w:t xml:space="preserve">widely </w:t>
      </w:r>
      <w:r w:rsidR="00C5603E">
        <w:rPr>
          <w:lang w:val="en-GB"/>
        </w:rPr>
        <w:t>implemented for the treatment of HNSCC</w:t>
      </w:r>
      <w:r w:rsidR="00B275F1">
        <w:rPr>
          <w:lang w:val="en-GB"/>
        </w:rPr>
        <w:t xml:space="preserve"> in the UK</w:t>
      </w:r>
      <w:r w:rsidR="004048C7">
        <w:rPr>
          <w:lang w:val="en-GB"/>
        </w:rPr>
        <w:t xml:space="preserve">: </w:t>
      </w:r>
      <w:r w:rsidR="002D18C0">
        <w:rPr>
          <w:lang w:val="en-GB"/>
        </w:rPr>
        <w:t xml:space="preserve">between December 2013 and February 2014, </w:t>
      </w:r>
      <w:r w:rsidR="004048C7">
        <w:rPr>
          <w:lang w:val="en-GB"/>
        </w:rPr>
        <w:t xml:space="preserve">78% of all H&amp;N cancer </w:t>
      </w:r>
      <w:r w:rsidR="00682919">
        <w:rPr>
          <w:lang w:val="en-GB"/>
        </w:rPr>
        <w:t>radical patient episodes</w:t>
      </w:r>
      <w:r w:rsidR="004048C7">
        <w:rPr>
          <w:lang w:val="en-GB"/>
        </w:rPr>
        <w:t xml:space="preserve"> </w:t>
      </w:r>
      <w:r w:rsidR="00682919">
        <w:rPr>
          <w:lang w:val="en-GB"/>
        </w:rPr>
        <w:t xml:space="preserve">in England </w:t>
      </w:r>
      <w:r w:rsidR="004048C7">
        <w:rPr>
          <w:lang w:val="en-GB"/>
        </w:rPr>
        <w:t xml:space="preserve">were treated with IMRT (19) and </w:t>
      </w:r>
      <w:r w:rsidR="002D18C0">
        <w:rPr>
          <w:lang w:val="en-GB"/>
        </w:rPr>
        <w:t xml:space="preserve">current percentages will be higher. </w:t>
      </w:r>
    </w:p>
    <w:p w:rsidR="00756FD4" w:rsidRPr="00950A43" w:rsidRDefault="00B275F1" w:rsidP="00950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</w:pPr>
      <w:r>
        <w:rPr>
          <w:lang w:val="en-GB"/>
        </w:rPr>
        <w:t>Late dysphagia</w:t>
      </w:r>
      <w:r w:rsidR="006C6C07">
        <w:rPr>
          <w:lang w:val="en-GB"/>
        </w:rPr>
        <w:t xml:space="preserve"> is an issue, </w:t>
      </w:r>
      <w:r>
        <w:rPr>
          <w:lang w:val="en-GB"/>
        </w:rPr>
        <w:t xml:space="preserve">even in patients treated with IMRT. </w:t>
      </w:r>
      <w:r w:rsidR="00B13A1D" w:rsidRPr="00A64A1E">
        <w:rPr>
          <w:lang w:val="en-GB"/>
        </w:rPr>
        <w:t>Feeding tube dependence, a crude measure of swallowing dysfunction,</w:t>
      </w:r>
      <w:r w:rsidR="00B34168" w:rsidRPr="00A64A1E">
        <w:rPr>
          <w:lang w:val="en-GB"/>
        </w:rPr>
        <w:t xml:space="preserve"> has been </w:t>
      </w:r>
      <w:r w:rsidR="00B13A1D" w:rsidRPr="00A64A1E">
        <w:rPr>
          <w:lang w:val="en-GB"/>
        </w:rPr>
        <w:t xml:space="preserve">reported in </w:t>
      </w:r>
      <w:r w:rsidR="00B13C13" w:rsidRPr="00A64A1E">
        <w:rPr>
          <w:bCs/>
          <w:lang w:val="en-GB"/>
        </w:rPr>
        <w:t>24%</w:t>
      </w:r>
      <w:r w:rsidR="00B13C13" w:rsidRPr="00A64A1E">
        <w:rPr>
          <w:lang w:val="en-GB"/>
        </w:rPr>
        <w:t xml:space="preserve"> </w:t>
      </w:r>
      <w:r w:rsidR="006C6C07">
        <w:rPr>
          <w:lang w:val="en-GB"/>
        </w:rPr>
        <w:t xml:space="preserve">of </w:t>
      </w:r>
      <w:r w:rsidR="006C6C07" w:rsidRPr="007D529A">
        <w:rPr>
          <w:lang w:val="en-GB"/>
        </w:rPr>
        <w:t xml:space="preserve">patients </w:t>
      </w:r>
      <w:r w:rsidR="00B13C13" w:rsidRPr="007D529A">
        <w:rPr>
          <w:lang w:val="en-GB"/>
        </w:rPr>
        <w:t>at 1</w:t>
      </w:r>
      <w:r w:rsidR="000C71DB" w:rsidRPr="007D529A">
        <w:rPr>
          <w:lang w:val="en-GB"/>
        </w:rPr>
        <w:t xml:space="preserve"> </w:t>
      </w:r>
      <w:r w:rsidR="00B13C13" w:rsidRPr="007D529A">
        <w:rPr>
          <w:lang w:val="en-GB"/>
        </w:rPr>
        <w:t>y</w:t>
      </w:r>
      <w:r w:rsidR="000C71DB" w:rsidRPr="007D529A">
        <w:rPr>
          <w:lang w:val="en-GB"/>
        </w:rPr>
        <w:t>ear</w:t>
      </w:r>
      <w:r w:rsidR="00B13C13" w:rsidRPr="007D529A">
        <w:rPr>
          <w:lang w:val="en-GB"/>
        </w:rPr>
        <w:t xml:space="preserve"> (</w:t>
      </w:r>
      <w:r w:rsidR="00682919">
        <w:rPr>
          <w:lang w:val="en-GB"/>
        </w:rPr>
        <w:t>13</w:t>
      </w:r>
      <w:r w:rsidR="00B34168" w:rsidRPr="007D529A">
        <w:rPr>
          <w:lang w:val="en-GB"/>
        </w:rPr>
        <w:t xml:space="preserve">) and </w:t>
      </w:r>
      <w:r w:rsidR="00B13C13" w:rsidRPr="007D529A">
        <w:rPr>
          <w:bCs/>
          <w:lang w:val="en-GB"/>
        </w:rPr>
        <w:t xml:space="preserve">14% </w:t>
      </w:r>
      <w:r w:rsidR="00B34168" w:rsidRPr="007D529A">
        <w:rPr>
          <w:lang w:val="en-GB"/>
        </w:rPr>
        <w:t>at 2</w:t>
      </w:r>
      <w:r w:rsidR="000C71DB" w:rsidRPr="007D529A">
        <w:rPr>
          <w:lang w:val="en-GB"/>
        </w:rPr>
        <w:t xml:space="preserve"> </w:t>
      </w:r>
      <w:r w:rsidR="00B34168" w:rsidRPr="007D529A">
        <w:rPr>
          <w:lang w:val="en-GB"/>
        </w:rPr>
        <w:t>y</w:t>
      </w:r>
      <w:r w:rsidR="000C71DB" w:rsidRPr="007D529A">
        <w:rPr>
          <w:lang w:val="en-GB"/>
        </w:rPr>
        <w:t>ears</w:t>
      </w:r>
      <w:r w:rsidR="00B34168" w:rsidRPr="007D529A">
        <w:rPr>
          <w:lang w:val="en-GB"/>
        </w:rPr>
        <w:t xml:space="preserve"> </w:t>
      </w:r>
      <w:r w:rsidR="00B13C13" w:rsidRPr="00855B2D">
        <w:rPr>
          <w:lang w:val="en-GB"/>
        </w:rPr>
        <w:t>(</w:t>
      </w:r>
      <w:r w:rsidR="00614FD8">
        <w:rPr>
          <w:lang w:val="en-GB"/>
        </w:rPr>
        <w:t>20</w:t>
      </w:r>
      <w:r w:rsidR="00B13C13" w:rsidRPr="00855B2D">
        <w:rPr>
          <w:lang w:val="en-GB"/>
        </w:rPr>
        <w:t>)</w:t>
      </w:r>
      <w:r w:rsidR="00145B02">
        <w:rPr>
          <w:lang w:val="en-GB"/>
        </w:rPr>
        <w:t xml:space="preserve"> following </w:t>
      </w:r>
      <w:r w:rsidR="00614FD8">
        <w:rPr>
          <w:lang w:val="en-GB"/>
        </w:rPr>
        <w:t>chemo-IM</w:t>
      </w:r>
      <w:r w:rsidR="00145B02">
        <w:rPr>
          <w:lang w:val="en-GB"/>
        </w:rPr>
        <w:t>RT</w:t>
      </w:r>
      <w:r w:rsidR="00B13A1D" w:rsidRPr="00855B2D">
        <w:rPr>
          <w:lang w:val="en-GB"/>
        </w:rPr>
        <w:t>.</w:t>
      </w:r>
      <w:r w:rsidR="00B13A1D" w:rsidRPr="007D529A">
        <w:rPr>
          <w:lang w:val="en-GB"/>
        </w:rPr>
        <w:t xml:space="preserve"> </w:t>
      </w:r>
      <w:r w:rsidR="007161D1">
        <w:rPr>
          <w:lang w:val="en-GB"/>
        </w:rPr>
        <w:t>Furthermore, p</w:t>
      </w:r>
      <w:r w:rsidR="006C6C07" w:rsidRPr="007D529A">
        <w:rPr>
          <w:lang w:val="en-GB"/>
        </w:rPr>
        <w:t>atient-</w:t>
      </w:r>
      <w:r w:rsidR="003A3007" w:rsidRPr="007D529A">
        <w:rPr>
          <w:lang w:val="en-GB"/>
        </w:rPr>
        <w:t>reported impairment in swallowing function</w:t>
      </w:r>
      <w:r w:rsidR="007D529A">
        <w:rPr>
          <w:lang w:val="en-GB"/>
        </w:rPr>
        <w:t xml:space="preserve">, measured using the </w:t>
      </w:r>
      <w:r w:rsidR="006C6C07" w:rsidRPr="007D529A">
        <w:rPr>
          <w:lang w:val="en-GB"/>
        </w:rPr>
        <w:t>M.D. Anderson Dysphagia Inventory (MDADI)</w:t>
      </w:r>
      <w:r w:rsidR="007D529A">
        <w:rPr>
          <w:lang w:val="en-GB"/>
        </w:rPr>
        <w:t>,</w:t>
      </w:r>
      <w:r w:rsidRPr="007D529A">
        <w:rPr>
          <w:lang w:val="en-GB"/>
        </w:rPr>
        <w:t xml:space="preserve"> </w:t>
      </w:r>
      <w:r w:rsidR="007D529A">
        <w:rPr>
          <w:lang w:val="en-GB"/>
        </w:rPr>
        <w:t xml:space="preserve">is seen in </w:t>
      </w:r>
      <w:r w:rsidR="003A3007" w:rsidRPr="007D529A">
        <w:rPr>
          <w:lang w:val="en-GB"/>
        </w:rPr>
        <w:t xml:space="preserve">80% of patients at 12 months following </w:t>
      </w:r>
      <w:r w:rsidR="006C6C07" w:rsidRPr="007D529A">
        <w:rPr>
          <w:lang w:val="en-GB"/>
        </w:rPr>
        <w:t xml:space="preserve">treatment </w:t>
      </w:r>
      <w:r w:rsidR="003A3007" w:rsidRPr="007D529A">
        <w:rPr>
          <w:lang w:val="en-GB"/>
        </w:rPr>
        <w:t>(</w:t>
      </w:r>
      <w:r w:rsidR="00E32880">
        <w:rPr>
          <w:lang w:val="en-GB"/>
        </w:rPr>
        <w:t>21</w:t>
      </w:r>
      <w:r w:rsidR="007D529A">
        <w:rPr>
          <w:lang w:val="en-GB"/>
        </w:rPr>
        <w:t xml:space="preserve">). </w:t>
      </w:r>
      <w:r w:rsidR="003A3007" w:rsidRPr="007D529A">
        <w:t>Late d</w:t>
      </w:r>
      <w:r w:rsidR="00B13A1D" w:rsidRPr="007D529A">
        <w:t xml:space="preserve">ysphagia </w:t>
      </w:r>
      <w:r w:rsidR="006C6C07" w:rsidRPr="007D529A">
        <w:t xml:space="preserve">correlates </w:t>
      </w:r>
      <w:r w:rsidR="00B13A1D" w:rsidRPr="007D529A">
        <w:t xml:space="preserve">with mean radiation </w:t>
      </w:r>
      <w:r w:rsidR="00145B02">
        <w:t xml:space="preserve">dose </w:t>
      </w:r>
      <w:r w:rsidR="00A64A1E" w:rsidRPr="007D529A">
        <w:t xml:space="preserve">to </w:t>
      </w:r>
      <w:r w:rsidR="007D529A">
        <w:t xml:space="preserve">the </w:t>
      </w:r>
      <w:r w:rsidR="00A64A1E" w:rsidRPr="007D529A">
        <w:t>swallowing-related structures</w:t>
      </w:r>
      <w:r w:rsidR="008412D8">
        <w:t xml:space="preserve"> (pharyngeal constrictor </w:t>
      </w:r>
      <w:r w:rsidR="006C6C07" w:rsidRPr="007D529A">
        <w:t xml:space="preserve">muscles, </w:t>
      </w:r>
      <w:proofErr w:type="spellStart"/>
      <w:r w:rsidR="006C6C07" w:rsidRPr="007D529A">
        <w:t>glottic</w:t>
      </w:r>
      <w:proofErr w:type="spellEnd"/>
      <w:r w:rsidR="006C6C07" w:rsidRPr="007D529A">
        <w:t xml:space="preserve"> and </w:t>
      </w:r>
      <w:proofErr w:type="spellStart"/>
      <w:r w:rsidR="006C6C07" w:rsidRPr="007D529A">
        <w:t>supraglottic</w:t>
      </w:r>
      <w:proofErr w:type="spellEnd"/>
      <w:r w:rsidR="006C6C07" w:rsidRPr="007D529A">
        <w:t xml:space="preserve"> larynx, oral cavity,</w:t>
      </w:r>
      <w:r w:rsidR="00E22564">
        <w:t xml:space="preserve"> and cervical </w:t>
      </w:r>
      <w:proofErr w:type="spellStart"/>
      <w:r w:rsidR="00E22564">
        <w:t>oesophagus</w:t>
      </w:r>
      <w:proofErr w:type="spellEnd"/>
      <w:r w:rsidR="00E22564">
        <w:t>)</w:t>
      </w:r>
      <w:r w:rsidR="002D18C0">
        <w:t>,</w:t>
      </w:r>
      <w:r w:rsidR="00E22564">
        <w:t xml:space="preserve"> </w:t>
      </w:r>
      <w:r w:rsidR="00B13A1D" w:rsidRPr="007D529A">
        <w:t xml:space="preserve">with </w:t>
      </w:r>
      <w:r w:rsidR="00A026B7">
        <w:t>the</w:t>
      </w:r>
      <w:r w:rsidR="00E32880">
        <w:t xml:space="preserve"> correlation being highest for the</w:t>
      </w:r>
      <w:r w:rsidR="00A026B7">
        <w:t xml:space="preserve"> </w:t>
      </w:r>
      <w:r w:rsidR="00B13A1D" w:rsidRPr="007D529A">
        <w:t>superior pharyngeal constrictor</w:t>
      </w:r>
      <w:r w:rsidR="00E22564">
        <w:t xml:space="preserve">s </w:t>
      </w:r>
      <w:r w:rsidR="003A3007" w:rsidRPr="007D529A">
        <w:t>(</w:t>
      </w:r>
      <w:r w:rsidR="00E32880">
        <w:t>22</w:t>
      </w:r>
      <w:proofErr w:type="gramStart"/>
      <w:r w:rsidR="00E32880">
        <w:t>,23</w:t>
      </w:r>
      <w:proofErr w:type="gramEnd"/>
      <w:r w:rsidR="003A3007" w:rsidRPr="007D529A">
        <w:t>)</w:t>
      </w:r>
      <w:r w:rsidR="00B13A1D" w:rsidRPr="007D529A">
        <w:t xml:space="preserve">. </w:t>
      </w:r>
      <w:r w:rsidR="007D529A">
        <w:t xml:space="preserve">The </w:t>
      </w:r>
      <w:r w:rsidR="00B13A1D" w:rsidRPr="007D529A">
        <w:t xml:space="preserve">normal tissue complication probability curve </w:t>
      </w:r>
      <w:r w:rsidR="00C76CA2" w:rsidRPr="007D529A">
        <w:t>for the pharyngeal musculature</w:t>
      </w:r>
      <w:r w:rsidR="007D529A">
        <w:t xml:space="preserve"> is sigmoidal in shape and </w:t>
      </w:r>
      <w:r w:rsidR="00A026B7">
        <w:t xml:space="preserve">increasing </w:t>
      </w:r>
      <w:r w:rsidR="00B13A1D" w:rsidRPr="007D529A">
        <w:t xml:space="preserve">mean </w:t>
      </w:r>
      <w:r w:rsidR="00C76CA2" w:rsidRPr="007D529A">
        <w:t xml:space="preserve">radiation </w:t>
      </w:r>
      <w:r w:rsidR="00A026B7">
        <w:t xml:space="preserve">doses between </w:t>
      </w:r>
      <w:r w:rsidR="00B13A1D" w:rsidRPr="007D529A">
        <w:t>50Gy</w:t>
      </w:r>
      <w:r w:rsidR="00B13A1D" w:rsidRPr="00670AB6">
        <w:t xml:space="preserve"> </w:t>
      </w:r>
      <w:r w:rsidR="00A026B7">
        <w:t xml:space="preserve">and </w:t>
      </w:r>
      <w:r w:rsidR="00B13A1D" w:rsidRPr="00670AB6">
        <w:t>60Gy</w:t>
      </w:r>
      <w:r w:rsidR="00A026B7">
        <w:t xml:space="preserve"> are </w:t>
      </w:r>
      <w:r w:rsidR="00145B02">
        <w:t xml:space="preserve">in the critical range for </w:t>
      </w:r>
      <w:r w:rsidR="00E22564">
        <w:t xml:space="preserve">late </w:t>
      </w:r>
      <w:proofErr w:type="spellStart"/>
      <w:r w:rsidR="00C76CA2">
        <w:t>dysphagia</w:t>
      </w:r>
      <w:proofErr w:type="spellEnd"/>
      <w:r w:rsidR="007161D1">
        <w:t xml:space="preserve"> </w:t>
      </w:r>
      <w:r w:rsidR="003A3007">
        <w:t>(</w:t>
      </w:r>
      <w:r w:rsidR="00E32880">
        <w:t>22</w:t>
      </w:r>
      <w:r w:rsidR="003A3007">
        <w:t>)</w:t>
      </w:r>
      <w:r w:rsidR="00B13A1D" w:rsidRPr="00670AB6">
        <w:t xml:space="preserve">. </w:t>
      </w:r>
      <w:r w:rsidR="007D529A">
        <w:t xml:space="preserve">The potential of </w:t>
      </w:r>
      <w:r w:rsidR="00600B84">
        <w:t xml:space="preserve">dysphagia-optimized </w:t>
      </w:r>
      <w:r w:rsidR="00C76CA2">
        <w:t>IMRT</w:t>
      </w:r>
      <w:r w:rsidR="007D529A">
        <w:t xml:space="preserve"> to reduce </w:t>
      </w:r>
      <w:r w:rsidR="00A64A1E">
        <w:t xml:space="preserve">dysphagia </w:t>
      </w:r>
      <w:r w:rsidR="007161D1">
        <w:t>rates</w:t>
      </w:r>
      <w:r w:rsidR="00600B84">
        <w:t xml:space="preserve">, </w:t>
      </w:r>
      <w:r w:rsidR="007D529A">
        <w:t xml:space="preserve">by </w:t>
      </w:r>
      <w:r w:rsidR="00600B84">
        <w:t xml:space="preserve">reducing radiation doses to </w:t>
      </w:r>
      <w:r w:rsidR="007D529A">
        <w:t>s</w:t>
      </w:r>
      <w:r w:rsidR="007161D1">
        <w:t>wallowing-related structures</w:t>
      </w:r>
      <w:r w:rsidR="00D62259">
        <w:t>,</w:t>
      </w:r>
      <w:r w:rsidR="007161D1">
        <w:t xml:space="preserve"> is </w:t>
      </w:r>
      <w:r w:rsidR="007D529A">
        <w:t>being invest</w:t>
      </w:r>
      <w:r w:rsidR="007161D1">
        <w:t>i</w:t>
      </w:r>
      <w:r w:rsidR="007D529A">
        <w:t>gated in a</w:t>
      </w:r>
      <w:r w:rsidR="007161D1">
        <w:t>n ongoing</w:t>
      </w:r>
      <w:r w:rsidR="00E32880">
        <w:t xml:space="preserve"> UK trial (DARS</w:t>
      </w:r>
      <w:r w:rsidR="00A64A1E">
        <w:t xml:space="preserve">). </w:t>
      </w:r>
      <w:r w:rsidR="00600B84">
        <w:t xml:space="preserve">Omitting chemotherapy could also </w:t>
      </w:r>
      <w:r w:rsidR="00A026B7">
        <w:t xml:space="preserve">potentially </w:t>
      </w:r>
      <w:r w:rsidR="00600B84">
        <w:t xml:space="preserve">reduce </w:t>
      </w:r>
      <w:r w:rsidR="005802CB">
        <w:t xml:space="preserve">the risk of </w:t>
      </w:r>
      <w:proofErr w:type="spellStart"/>
      <w:r w:rsidR="00600B84">
        <w:t>dysphagia</w:t>
      </w:r>
      <w:proofErr w:type="spellEnd"/>
      <w:r w:rsidR="00600B84">
        <w:t xml:space="preserve"> in selected patients</w:t>
      </w:r>
      <w:r w:rsidR="002D18C0">
        <w:t>,</w:t>
      </w:r>
      <w:r w:rsidR="00600B84">
        <w:t xml:space="preserve"> as c</w:t>
      </w:r>
      <w:r w:rsidR="00950A43">
        <w:t xml:space="preserve">oncurrent chemotherapy </w:t>
      </w:r>
      <w:r w:rsidR="00600B84">
        <w:t>increases l</w:t>
      </w:r>
      <w:r w:rsidR="00950A43">
        <w:t>ate dysphagia rates compared to IMRT alone (</w:t>
      </w:r>
      <w:r w:rsidR="00E32880">
        <w:t>13</w:t>
      </w:r>
      <w:r w:rsidR="00600B84">
        <w:t>).</w:t>
      </w:r>
    </w:p>
    <w:p w:rsidR="00756FD4" w:rsidRPr="00CC3FD0" w:rsidRDefault="00756FD4" w:rsidP="00775429">
      <w:pPr>
        <w:spacing w:line="276" w:lineRule="auto"/>
        <w:jc w:val="both"/>
        <w:rPr>
          <w:b/>
          <w:u w:val="single"/>
          <w:lang w:val="en-GB"/>
        </w:rPr>
      </w:pPr>
      <w:r w:rsidRPr="00CC3FD0">
        <w:rPr>
          <w:b/>
          <w:u w:val="single"/>
          <w:lang w:val="en-GB"/>
        </w:rPr>
        <w:t>Primary surgery</w:t>
      </w:r>
      <w:r w:rsidR="008946C5" w:rsidRPr="00CC3FD0">
        <w:rPr>
          <w:b/>
          <w:u w:val="single"/>
          <w:lang w:val="en-GB"/>
        </w:rPr>
        <w:t>:</w:t>
      </w:r>
    </w:p>
    <w:p w:rsidR="008946C5" w:rsidRDefault="0031027B" w:rsidP="00775429">
      <w:pPr>
        <w:spacing w:line="276" w:lineRule="auto"/>
        <w:jc w:val="both"/>
        <w:rPr>
          <w:lang w:val="en-GB"/>
        </w:rPr>
      </w:pPr>
      <w:proofErr w:type="spellStart"/>
      <w:r w:rsidRPr="0031027B">
        <w:rPr>
          <w:rFonts w:asciiTheme="majorHAnsi" w:hAnsiTheme="majorHAnsi"/>
        </w:rPr>
        <w:t>Transoral</w:t>
      </w:r>
      <w:proofErr w:type="spellEnd"/>
      <w:r w:rsidRPr="0031027B">
        <w:rPr>
          <w:rFonts w:asciiTheme="majorHAnsi" w:hAnsiTheme="majorHAnsi"/>
        </w:rPr>
        <w:t xml:space="preserve"> Laser Microsurgery (TLM) and </w:t>
      </w:r>
      <w:proofErr w:type="spellStart"/>
      <w:r w:rsidRPr="0031027B">
        <w:rPr>
          <w:rFonts w:asciiTheme="majorHAnsi" w:hAnsiTheme="majorHAnsi"/>
        </w:rPr>
        <w:t>Transoral</w:t>
      </w:r>
      <w:proofErr w:type="spellEnd"/>
      <w:r w:rsidRPr="0031027B">
        <w:rPr>
          <w:rFonts w:asciiTheme="majorHAnsi" w:hAnsiTheme="majorHAnsi"/>
        </w:rPr>
        <w:t xml:space="preserve"> Robotic Surgery (TORS) are minimally invasive surgical techniques for OP</w:t>
      </w:r>
      <w:r>
        <w:rPr>
          <w:rFonts w:asciiTheme="majorHAnsi" w:hAnsiTheme="majorHAnsi"/>
        </w:rPr>
        <w:t>SCC</w:t>
      </w:r>
      <w:r w:rsidR="004A107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which have</w:t>
      </w:r>
      <w:r w:rsidR="001E4B26">
        <w:rPr>
          <w:rFonts w:asciiTheme="majorHAnsi" w:hAnsiTheme="majorHAnsi"/>
        </w:rPr>
        <w:t xml:space="preserve"> the potential to excise T1-T2 (and some T3)</w:t>
      </w:r>
      <w:r w:rsidRPr="0031027B"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tumours</w:t>
      </w:r>
      <w:proofErr w:type="spellEnd"/>
      <w:r>
        <w:rPr>
          <w:rFonts w:asciiTheme="majorHAnsi" w:hAnsiTheme="majorHAnsi"/>
        </w:rPr>
        <w:t xml:space="preserve"> </w:t>
      </w:r>
      <w:r w:rsidRPr="0031027B">
        <w:rPr>
          <w:rFonts w:asciiTheme="majorHAnsi" w:hAnsiTheme="majorHAnsi"/>
        </w:rPr>
        <w:t xml:space="preserve">with </w:t>
      </w:r>
      <w:r>
        <w:rPr>
          <w:rFonts w:asciiTheme="majorHAnsi" w:hAnsiTheme="majorHAnsi"/>
        </w:rPr>
        <w:t xml:space="preserve">considerably less </w:t>
      </w:r>
      <w:r w:rsidRPr="0031027B">
        <w:rPr>
          <w:rFonts w:asciiTheme="majorHAnsi" w:hAnsiTheme="majorHAnsi"/>
        </w:rPr>
        <w:t>long-term functional deficit</w:t>
      </w:r>
      <w:r>
        <w:rPr>
          <w:rFonts w:asciiTheme="majorHAnsi" w:hAnsiTheme="majorHAnsi"/>
        </w:rPr>
        <w:t xml:space="preserve"> than open surgery. </w:t>
      </w:r>
      <w:proofErr w:type="spellStart"/>
      <w:r>
        <w:rPr>
          <w:rFonts w:asciiTheme="majorHAnsi" w:hAnsiTheme="majorHAnsi"/>
          <w:lang w:val="en-GB"/>
        </w:rPr>
        <w:t>Transoral</w:t>
      </w:r>
      <w:proofErr w:type="spellEnd"/>
      <w:r>
        <w:rPr>
          <w:rFonts w:asciiTheme="majorHAnsi" w:hAnsiTheme="majorHAnsi"/>
          <w:lang w:val="en-GB"/>
        </w:rPr>
        <w:t xml:space="preserve"> surgery (TOS) of the primary </w:t>
      </w:r>
      <w:r w:rsidR="00CF14DA">
        <w:rPr>
          <w:rFonts w:asciiTheme="majorHAnsi" w:hAnsiTheme="majorHAnsi"/>
          <w:lang w:val="en-GB"/>
        </w:rPr>
        <w:t xml:space="preserve">tumour </w:t>
      </w:r>
      <w:r w:rsidR="00245076">
        <w:rPr>
          <w:lang w:val="en-GB"/>
        </w:rPr>
        <w:t xml:space="preserve">is usually performed in conjunction with a neck dissection, </w:t>
      </w:r>
      <w:r>
        <w:rPr>
          <w:lang w:val="en-GB"/>
        </w:rPr>
        <w:t xml:space="preserve">either </w:t>
      </w:r>
      <w:r w:rsidR="00CF14DA">
        <w:rPr>
          <w:lang w:val="en-GB"/>
        </w:rPr>
        <w:t xml:space="preserve">carried out </w:t>
      </w:r>
      <w:r w:rsidR="00245076">
        <w:rPr>
          <w:lang w:val="en-GB"/>
        </w:rPr>
        <w:t>at the same time</w:t>
      </w:r>
      <w:r w:rsidR="00AA5F66">
        <w:rPr>
          <w:lang w:val="en-GB"/>
        </w:rPr>
        <w:t>,</w:t>
      </w:r>
      <w:r w:rsidR="00245076">
        <w:rPr>
          <w:lang w:val="en-GB"/>
        </w:rPr>
        <w:t xml:space="preserve"> or as a staged procedure. </w:t>
      </w:r>
      <w:r w:rsidR="00095188">
        <w:rPr>
          <w:lang w:val="en-GB"/>
        </w:rPr>
        <w:t xml:space="preserve">Although </w:t>
      </w:r>
      <w:r w:rsidR="00095188">
        <w:rPr>
          <w:lang w:val="en-GB"/>
        </w:rPr>
        <w:lastRenderedPageBreak/>
        <w:t>early stage (T1-T2 N0-N1) OPSCC can be effectively treated with surgery alone (</w:t>
      </w:r>
      <w:r w:rsidR="00E32880">
        <w:rPr>
          <w:lang w:val="en-GB"/>
        </w:rPr>
        <w:t>24</w:t>
      </w:r>
      <w:r w:rsidR="00095188">
        <w:rPr>
          <w:lang w:val="en-GB"/>
        </w:rPr>
        <w:t>)</w:t>
      </w:r>
      <w:r w:rsidR="00CF14DA">
        <w:rPr>
          <w:lang w:val="en-GB"/>
        </w:rPr>
        <w:t xml:space="preserve">, </w:t>
      </w:r>
      <w:r w:rsidR="00095188">
        <w:rPr>
          <w:lang w:val="en-GB"/>
        </w:rPr>
        <w:t xml:space="preserve">adjuvant treatment </w:t>
      </w:r>
      <w:r w:rsidR="00CF14DA">
        <w:rPr>
          <w:lang w:val="en-GB"/>
        </w:rPr>
        <w:t xml:space="preserve">is required in most patients, usually due to </w:t>
      </w:r>
      <w:r w:rsidR="00095188">
        <w:rPr>
          <w:lang w:val="en-GB"/>
        </w:rPr>
        <w:t>advanced n</w:t>
      </w:r>
      <w:r w:rsidR="00CF14DA">
        <w:rPr>
          <w:lang w:val="en-GB"/>
        </w:rPr>
        <w:t xml:space="preserve">odal </w:t>
      </w:r>
      <w:r w:rsidR="00095188">
        <w:rPr>
          <w:lang w:val="en-GB"/>
        </w:rPr>
        <w:t xml:space="preserve">disease.  </w:t>
      </w:r>
    </w:p>
    <w:p w:rsidR="00557B26" w:rsidRDefault="005802CB" w:rsidP="00775429">
      <w:pPr>
        <w:spacing w:line="276" w:lineRule="auto"/>
        <w:jc w:val="both"/>
      </w:pPr>
      <w:r>
        <w:rPr>
          <w:rFonts w:asciiTheme="majorHAnsi" w:hAnsiTheme="majorHAnsi"/>
        </w:rPr>
        <w:t xml:space="preserve">A </w:t>
      </w:r>
      <w:r w:rsidR="00F5505B" w:rsidRPr="00F5505B">
        <w:rPr>
          <w:rFonts w:asciiTheme="majorHAnsi" w:hAnsiTheme="majorHAnsi"/>
        </w:rPr>
        <w:t xml:space="preserve">retrospective US study of 204 patients with stage III-IV OPC treated with primary TLM and neck dissection </w:t>
      </w:r>
      <w:r>
        <w:rPr>
          <w:rFonts w:asciiTheme="majorHAnsi" w:hAnsiTheme="majorHAnsi"/>
        </w:rPr>
        <w:t xml:space="preserve">reported </w:t>
      </w:r>
      <w:r w:rsidR="001E4B26">
        <w:rPr>
          <w:rFonts w:asciiTheme="majorHAnsi" w:hAnsiTheme="majorHAnsi"/>
        </w:rPr>
        <w:t xml:space="preserve">3 year </w:t>
      </w:r>
      <w:r w:rsidR="00F5505B" w:rsidRPr="00F5505B">
        <w:rPr>
          <w:rFonts w:asciiTheme="majorHAnsi" w:hAnsiTheme="majorHAnsi"/>
        </w:rPr>
        <w:t>rates of local control, overall survival and disease-free survival of 97%, 86% a</w:t>
      </w:r>
      <w:r w:rsidR="001E4B26">
        <w:rPr>
          <w:rFonts w:asciiTheme="majorHAnsi" w:hAnsiTheme="majorHAnsi"/>
        </w:rPr>
        <w:t xml:space="preserve">nd 82% respectively, </w:t>
      </w:r>
      <w:r>
        <w:rPr>
          <w:rFonts w:asciiTheme="majorHAnsi" w:hAnsiTheme="majorHAnsi"/>
        </w:rPr>
        <w:t xml:space="preserve">which were </w:t>
      </w:r>
      <w:r w:rsidR="00F5505B" w:rsidRPr="00F5505B">
        <w:rPr>
          <w:rFonts w:asciiTheme="majorHAnsi" w:hAnsiTheme="majorHAnsi"/>
        </w:rPr>
        <w:t>higher in HPV-positive patients</w:t>
      </w:r>
      <w:r w:rsidR="007E7B98" w:rsidRPr="00F5505B">
        <w:rPr>
          <w:rFonts w:asciiTheme="majorHAnsi" w:hAnsiTheme="majorHAnsi"/>
        </w:rPr>
        <w:t xml:space="preserve"> (</w:t>
      </w:r>
      <w:r w:rsidR="003D4039">
        <w:rPr>
          <w:rFonts w:asciiTheme="majorHAnsi" w:hAnsiTheme="majorHAnsi"/>
        </w:rPr>
        <w:t>25</w:t>
      </w:r>
      <w:r w:rsidR="007E7B98" w:rsidRPr="00F5505B">
        <w:rPr>
          <w:rFonts w:asciiTheme="majorHAnsi" w:hAnsiTheme="majorHAnsi"/>
        </w:rPr>
        <w:t xml:space="preserve">). </w:t>
      </w:r>
      <w:r w:rsidR="009B0711">
        <w:rPr>
          <w:rFonts w:asciiTheme="majorHAnsi" w:hAnsiTheme="majorHAnsi"/>
        </w:rPr>
        <w:t xml:space="preserve">A </w:t>
      </w:r>
      <w:r w:rsidR="001E4B26">
        <w:rPr>
          <w:rFonts w:asciiTheme="majorHAnsi" w:hAnsiTheme="majorHAnsi"/>
        </w:rPr>
        <w:t>retrospective series from Liverpool</w:t>
      </w:r>
      <w:r w:rsidR="00960D6D">
        <w:rPr>
          <w:rFonts w:asciiTheme="majorHAnsi" w:hAnsiTheme="majorHAnsi"/>
        </w:rPr>
        <w:t>, UK</w:t>
      </w:r>
      <w:r w:rsidR="001E4B26">
        <w:rPr>
          <w:rFonts w:asciiTheme="majorHAnsi" w:hAnsiTheme="majorHAnsi"/>
        </w:rPr>
        <w:t xml:space="preserve"> </w:t>
      </w:r>
      <w:r w:rsidR="00C70E26">
        <w:t xml:space="preserve">of </w:t>
      </w:r>
      <w:r w:rsidR="00C70E26" w:rsidRPr="00670AB6">
        <w:t>1</w:t>
      </w:r>
      <w:r w:rsidR="00C70E26">
        <w:t>53</w:t>
      </w:r>
      <w:r w:rsidR="00C70E26" w:rsidRPr="00670AB6">
        <w:t xml:space="preserve"> patients</w:t>
      </w:r>
      <w:r w:rsidR="00C70E26">
        <w:t xml:space="preserve"> </w:t>
      </w:r>
      <w:r w:rsidR="00C70E26" w:rsidRPr="00670AB6">
        <w:t>with T1-T3 OPSCC</w:t>
      </w:r>
      <w:r w:rsidR="00C70E26">
        <w:t xml:space="preserve"> (66% </w:t>
      </w:r>
      <w:r>
        <w:t xml:space="preserve">were </w:t>
      </w:r>
      <w:r w:rsidR="00C70E26">
        <w:t>HPV-positive)</w:t>
      </w:r>
      <w:r w:rsidR="00C70E26" w:rsidRPr="00670AB6">
        <w:t xml:space="preserve"> treated with TLM and neck dissection</w:t>
      </w:r>
      <w:r>
        <w:t>,</w:t>
      </w:r>
      <w:r w:rsidR="009B0711">
        <w:t xml:space="preserve"> reported </w:t>
      </w:r>
      <w:r w:rsidR="001E4B26">
        <w:t xml:space="preserve">3 year </w:t>
      </w:r>
      <w:r w:rsidR="00C70E26">
        <w:t xml:space="preserve">rates of </w:t>
      </w:r>
      <w:r w:rsidR="001E4B26">
        <w:t>disease-</w:t>
      </w:r>
      <w:r w:rsidR="00C70E26">
        <w:t>specific survival</w:t>
      </w:r>
      <w:r w:rsidR="001E4B26">
        <w:t>, overall survival</w:t>
      </w:r>
      <w:r w:rsidR="00C70E26" w:rsidRPr="00670AB6">
        <w:t xml:space="preserve"> </w:t>
      </w:r>
      <w:r w:rsidR="00C70E26">
        <w:t xml:space="preserve">and disease-free survival </w:t>
      </w:r>
      <w:r w:rsidR="001E4B26">
        <w:t xml:space="preserve">of </w:t>
      </w:r>
      <w:r w:rsidR="00C70E26">
        <w:t>91.7%</w:t>
      </w:r>
      <w:r w:rsidR="00E27B73">
        <w:t>, 84.5%</w:t>
      </w:r>
      <w:r w:rsidR="00C70E26">
        <w:t xml:space="preserve"> and 78.2% respectively</w:t>
      </w:r>
      <w:r w:rsidR="00095188">
        <w:t xml:space="preserve">, again better in </w:t>
      </w:r>
      <w:r w:rsidR="00CF14DA">
        <w:t xml:space="preserve">patients with </w:t>
      </w:r>
      <w:r w:rsidR="00C70E26">
        <w:t>HPV-positive disease</w:t>
      </w:r>
      <w:r w:rsidR="00C70E26" w:rsidRPr="00670AB6">
        <w:t xml:space="preserve"> (TMJ, manuscript </w:t>
      </w:r>
      <w:r w:rsidR="00C70E26">
        <w:t>submitted</w:t>
      </w:r>
      <w:r w:rsidR="00C70E26" w:rsidRPr="00670AB6">
        <w:t>)</w:t>
      </w:r>
      <w:r w:rsidR="00C70E26">
        <w:t>. Similarly good outcomes ha</w:t>
      </w:r>
      <w:r w:rsidR="00095188">
        <w:t xml:space="preserve">ve been reported following TORS: a </w:t>
      </w:r>
      <w:r w:rsidR="00C70E26">
        <w:t xml:space="preserve">cohort study of 410 patients </w:t>
      </w:r>
      <w:r w:rsidR="00CF14DA">
        <w:t xml:space="preserve">from </w:t>
      </w:r>
      <w:r w:rsidR="00C70E26">
        <w:t xml:space="preserve">11 </w:t>
      </w:r>
      <w:proofErr w:type="spellStart"/>
      <w:r w:rsidR="00C70E26">
        <w:t>centres</w:t>
      </w:r>
      <w:proofErr w:type="spellEnd"/>
      <w:r w:rsidR="00C70E26">
        <w:t xml:space="preserve"> </w:t>
      </w:r>
      <w:r w:rsidR="001E4B26">
        <w:t xml:space="preserve">treated </w:t>
      </w:r>
      <w:r w:rsidR="00C70E26">
        <w:t>with TORS</w:t>
      </w:r>
      <w:r w:rsidR="008D2346">
        <w:t>,</w:t>
      </w:r>
      <w:r w:rsidR="001E4B26">
        <w:t xml:space="preserve"> +/- </w:t>
      </w:r>
      <w:r w:rsidR="008D2346">
        <w:t xml:space="preserve">adjuvant RT/CRT, reported 2 year </w:t>
      </w:r>
      <w:r w:rsidR="001E4B26">
        <w:t xml:space="preserve">rates of </w:t>
      </w:r>
      <w:proofErr w:type="spellStart"/>
      <w:r w:rsidR="001E4B26">
        <w:t>locoregional</w:t>
      </w:r>
      <w:proofErr w:type="spellEnd"/>
      <w:r w:rsidR="001E4B26">
        <w:t xml:space="preserve"> control, disease-specific survival and overall survival of </w:t>
      </w:r>
      <w:r w:rsidR="008D2346">
        <w:t xml:space="preserve">91.8% </w:t>
      </w:r>
      <w:r w:rsidR="00095188">
        <w:t>(</w:t>
      </w:r>
      <w:r w:rsidR="008D2346">
        <w:t xml:space="preserve">95% CI, 87.6-94.7%), </w:t>
      </w:r>
      <w:r w:rsidR="00095188">
        <w:t xml:space="preserve">94.5% (95% CI, 90.6-96.8%) and </w:t>
      </w:r>
      <w:r w:rsidR="008D2346">
        <w:t>91% (95% CI, 86.5-94.0%)</w:t>
      </w:r>
      <w:r w:rsidR="00095188">
        <w:t xml:space="preserve"> respectively</w:t>
      </w:r>
      <w:r w:rsidR="008D2346">
        <w:t xml:space="preserve"> (</w:t>
      </w:r>
      <w:r w:rsidR="003D4039">
        <w:t>26</w:t>
      </w:r>
      <w:r w:rsidR="008D2346">
        <w:t xml:space="preserve">). </w:t>
      </w:r>
    </w:p>
    <w:p w:rsidR="007C759E" w:rsidRDefault="007C759E" w:rsidP="00775429">
      <w:pPr>
        <w:spacing w:line="276" w:lineRule="auto"/>
        <w:jc w:val="both"/>
      </w:pPr>
      <w:r>
        <w:t>N</w:t>
      </w:r>
      <w:r>
        <w:rPr>
          <w:rFonts w:asciiTheme="majorHAnsi" w:hAnsiTheme="majorHAnsi"/>
        </w:rPr>
        <w:t xml:space="preserve">o randomized studies </w:t>
      </w:r>
      <w:r w:rsidR="00095188">
        <w:rPr>
          <w:rFonts w:asciiTheme="majorHAnsi" w:hAnsiTheme="majorHAnsi"/>
        </w:rPr>
        <w:t xml:space="preserve">have </w:t>
      </w:r>
      <w:r w:rsidR="00CF14DA">
        <w:rPr>
          <w:rFonts w:asciiTheme="majorHAnsi" w:hAnsiTheme="majorHAnsi"/>
        </w:rPr>
        <w:t xml:space="preserve">yet compared outcomes following </w:t>
      </w:r>
      <w:proofErr w:type="spellStart"/>
      <w:r w:rsidR="00095188">
        <w:rPr>
          <w:rFonts w:asciiTheme="majorHAnsi" w:hAnsiTheme="majorHAnsi"/>
        </w:rPr>
        <w:t>transoral</w:t>
      </w:r>
      <w:proofErr w:type="spellEnd"/>
      <w:r w:rsidR="00095188">
        <w:rPr>
          <w:rFonts w:asciiTheme="majorHAnsi" w:hAnsiTheme="majorHAnsi"/>
        </w:rPr>
        <w:t xml:space="preserve"> surgery a</w:t>
      </w:r>
      <w:r w:rsidR="00CF14DA">
        <w:rPr>
          <w:rFonts w:asciiTheme="majorHAnsi" w:hAnsiTheme="majorHAnsi"/>
        </w:rPr>
        <w:t>nd RT/CRT</w:t>
      </w:r>
      <w:r w:rsidR="00095188">
        <w:rPr>
          <w:rFonts w:asciiTheme="majorHAnsi" w:hAnsiTheme="majorHAnsi"/>
        </w:rPr>
        <w:t xml:space="preserve"> for OPSCC</w:t>
      </w:r>
      <w:r>
        <w:rPr>
          <w:rFonts w:asciiTheme="majorHAnsi" w:hAnsiTheme="majorHAnsi"/>
        </w:rPr>
        <w:t xml:space="preserve">. </w:t>
      </w:r>
      <w:r w:rsidR="00CF14DA">
        <w:rPr>
          <w:rFonts w:asciiTheme="majorHAnsi" w:hAnsiTheme="majorHAnsi"/>
        </w:rPr>
        <w:t>Nevertheless, a</w:t>
      </w:r>
      <w:r w:rsidR="001E4B26">
        <w:t xml:space="preserve"> </w:t>
      </w:r>
      <w:r w:rsidR="00F21C31">
        <w:t xml:space="preserve">recent meta-analysis on early stage OPSCC reported </w:t>
      </w:r>
      <w:r w:rsidR="005802CB">
        <w:t xml:space="preserve">comparable </w:t>
      </w:r>
      <w:r w:rsidR="00F21C31">
        <w:t>5 year disease-specific survival rates of 90.4% (95% CI, 85.6-95.2%) for RT and 89.6% (95% CI, 81.8-97.3%) for TOS</w:t>
      </w:r>
      <w:r w:rsidR="006B3C34">
        <w:t xml:space="preserve"> in early stage OPSCC</w:t>
      </w:r>
      <w:r w:rsidR="00F21C31">
        <w:t xml:space="preserve"> (</w:t>
      </w:r>
      <w:r w:rsidR="003D4039">
        <w:t>27</w:t>
      </w:r>
      <w:r w:rsidR="00F21C31">
        <w:t xml:space="preserve">). Furthermore, a </w:t>
      </w:r>
      <w:r w:rsidR="001E4B26">
        <w:t xml:space="preserve">systematic review </w:t>
      </w:r>
      <w:r w:rsidR="00CF14DA">
        <w:t>co</w:t>
      </w:r>
      <w:r w:rsidR="008C02CD">
        <w:t>mparing</w:t>
      </w:r>
      <w:r w:rsidR="00CF14DA">
        <w:t xml:space="preserve"> the effectiveness of </w:t>
      </w:r>
      <w:r w:rsidR="00431CEB">
        <w:t xml:space="preserve">IMRT </w:t>
      </w:r>
      <w:r>
        <w:t xml:space="preserve">and TORS </w:t>
      </w:r>
      <w:r w:rsidR="00431CEB">
        <w:t>for</w:t>
      </w:r>
      <w:r w:rsidR="00CF14DA">
        <w:t xml:space="preserve"> T1-</w:t>
      </w:r>
      <w:r w:rsidR="005F20AA">
        <w:t>T2 OPSCC (</w:t>
      </w:r>
      <w:r w:rsidR="003D4039">
        <w:t>28</w:t>
      </w:r>
      <w:r w:rsidR="00CF14DA">
        <w:t>) reported similar s</w:t>
      </w:r>
      <w:r>
        <w:t>urvival outcomes in 1,287 IMRT patients (2 year overall survival 84-96%) and 702 TORS patients (2 year overall survival 82-94%). A different profile of adverse events were reported for IMRT and TORS</w:t>
      </w:r>
      <w:r w:rsidR="005802CB">
        <w:t>,</w:t>
      </w:r>
      <w:r w:rsidR="00F21C31">
        <w:t xml:space="preserve"> which for IMRT included </w:t>
      </w:r>
      <w:proofErr w:type="spellStart"/>
      <w:r w:rsidR="008C02CD">
        <w:t>gastrostomy</w:t>
      </w:r>
      <w:proofErr w:type="spellEnd"/>
      <w:r w:rsidR="008C02CD">
        <w:t xml:space="preserve"> tubes (43%), </w:t>
      </w:r>
      <w:proofErr w:type="spellStart"/>
      <w:r w:rsidR="008C02CD">
        <w:t>oesophageal</w:t>
      </w:r>
      <w:proofErr w:type="spellEnd"/>
      <w:r w:rsidR="008C02CD">
        <w:t xml:space="preserve"> </w:t>
      </w:r>
      <w:proofErr w:type="spellStart"/>
      <w:r w:rsidR="008C02CD">
        <w:t>stenosis</w:t>
      </w:r>
      <w:proofErr w:type="spellEnd"/>
      <w:r w:rsidR="008C02CD">
        <w:t xml:space="preserve"> (4.8%) and </w:t>
      </w:r>
      <w:proofErr w:type="spellStart"/>
      <w:r w:rsidR="008C02CD">
        <w:t>osteoradionecrosis</w:t>
      </w:r>
      <w:proofErr w:type="spellEnd"/>
      <w:r w:rsidR="008C02CD">
        <w:t xml:space="preserve"> (2.6%) and </w:t>
      </w:r>
      <w:r w:rsidR="00F21C31">
        <w:t xml:space="preserve">for TORS </w:t>
      </w:r>
      <w:r w:rsidR="0067644A">
        <w:t xml:space="preserve">as </w:t>
      </w:r>
      <w:r w:rsidR="00CC48A0">
        <w:t xml:space="preserve">described below. </w:t>
      </w:r>
    </w:p>
    <w:p w:rsidR="00C275A1" w:rsidRDefault="006B3C34" w:rsidP="00775429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Adjuvant treatment following </w:t>
      </w:r>
      <w:proofErr w:type="spellStart"/>
      <w:r>
        <w:rPr>
          <w:u w:val="single"/>
        </w:rPr>
        <w:t>transoral</w:t>
      </w:r>
      <w:proofErr w:type="spellEnd"/>
      <w:r>
        <w:rPr>
          <w:u w:val="single"/>
        </w:rPr>
        <w:t xml:space="preserve"> surgery for OPSCC: </w:t>
      </w:r>
    </w:p>
    <w:p w:rsidR="00B60F32" w:rsidRDefault="00C65607" w:rsidP="00775429">
      <w:pPr>
        <w:spacing w:line="276" w:lineRule="auto"/>
        <w:jc w:val="both"/>
      </w:pPr>
      <w:proofErr w:type="spellStart"/>
      <w:r>
        <w:t>Transoral</w:t>
      </w:r>
      <w:proofErr w:type="spellEnd"/>
      <w:r>
        <w:t xml:space="preserve"> surgery for early stage OPSCC </w:t>
      </w:r>
      <w:r w:rsidR="00C275A1">
        <w:t xml:space="preserve">is </w:t>
      </w:r>
      <w:r w:rsidR="00E517FC">
        <w:t xml:space="preserve">generally </w:t>
      </w:r>
      <w:r w:rsidR="00C275A1">
        <w:t>well tolerated</w:t>
      </w:r>
      <w:r w:rsidR="001F32BE">
        <w:t xml:space="preserve">, with a </w:t>
      </w:r>
      <w:r w:rsidR="00B60F32">
        <w:t xml:space="preserve">median length of hospital stay after surgery </w:t>
      </w:r>
      <w:r w:rsidR="001F32BE">
        <w:t xml:space="preserve">of </w:t>
      </w:r>
      <w:r w:rsidR="00B60F32">
        <w:t>approximately 4.4 days (</w:t>
      </w:r>
      <w:r w:rsidR="003D4039">
        <w:t>25</w:t>
      </w:r>
      <w:r w:rsidR="00B60F32">
        <w:t xml:space="preserve">). </w:t>
      </w:r>
      <w:r w:rsidR="00E517FC">
        <w:t>Acute complicati</w:t>
      </w:r>
      <w:r w:rsidR="00B60F32">
        <w:t xml:space="preserve">ons include </w:t>
      </w:r>
      <w:proofErr w:type="spellStart"/>
      <w:r w:rsidR="00B60F32">
        <w:t>haemorrhage</w:t>
      </w:r>
      <w:proofErr w:type="spellEnd"/>
      <w:r w:rsidR="00B60F32">
        <w:t xml:space="preserve"> (2.4%) and </w:t>
      </w:r>
      <w:r w:rsidR="00E517FC">
        <w:t>fistula (2.5%)</w:t>
      </w:r>
      <w:r w:rsidR="00B60F32">
        <w:t>. Temp</w:t>
      </w:r>
      <w:r w:rsidR="00E517FC">
        <w:t xml:space="preserve">orary tracheostomy tubes </w:t>
      </w:r>
      <w:r w:rsidR="00B60F32">
        <w:t xml:space="preserve">are needed in 12% of patients at the time of surgery but </w:t>
      </w:r>
      <w:r w:rsidR="00E517FC">
        <w:t xml:space="preserve">most </w:t>
      </w:r>
      <w:r w:rsidR="00B60F32">
        <w:t xml:space="preserve">are </w:t>
      </w:r>
      <w:proofErr w:type="spellStart"/>
      <w:r w:rsidR="00E517FC">
        <w:t>decannulated</w:t>
      </w:r>
      <w:proofErr w:type="spellEnd"/>
      <w:r w:rsidR="00E517FC">
        <w:t xml:space="preserve"> prior to discharge (</w:t>
      </w:r>
      <w:r w:rsidR="003D4039">
        <w:t>28</w:t>
      </w:r>
      <w:r w:rsidR="00E517FC">
        <w:t xml:space="preserve">). Temporary </w:t>
      </w:r>
      <w:proofErr w:type="spellStart"/>
      <w:r w:rsidR="00E517FC">
        <w:t>nasogastic</w:t>
      </w:r>
      <w:proofErr w:type="spellEnd"/>
      <w:r w:rsidR="00E517FC">
        <w:t xml:space="preserve"> tubes are required in up to 47% of patients post-operatively but most patients </w:t>
      </w:r>
      <w:r w:rsidR="005802CB">
        <w:t xml:space="preserve">can </w:t>
      </w:r>
      <w:r w:rsidR="00E517FC">
        <w:t xml:space="preserve">manage </w:t>
      </w:r>
      <w:r w:rsidR="001F32BE">
        <w:t xml:space="preserve">an </w:t>
      </w:r>
      <w:r w:rsidR="00E517FC">
        <w:t xml:space="preserve">oral diet without </w:t>
      </w:r>
      <w:r w:rsidR="001F32BE">
        <w:t xml:space="preserve">a </w:t>
      </w:r>
      <w:r w:rsidR="00E517FC">
        <w:t xml:space="preserve">tube </w:t>
      </w:r>
      <w:r w:rsidR="00B60F32">
        <w:t xml:space="preserve">by </w:t>
      </w:r>
      <w:r w:rsidR="00E517FC">
        <w:t xml:space="preserve">4 weeks </w:t>
      </w:r>
      <w:r w:rsidR="00B60F32">
        <w:t xml:space="preserve">following surgery </w:t>
      </w:r>
      <w:r w:rsidR="00E517FC">
        <w:t>(</w:t>
      </w:r>
      <w:r w:rsidR="003D4039">
        <w:t>29</w:t>
      </w:r>
      <w:proofErr w:type="gramStart"/>
      <w:r w:rsidR="003D4039">
        <w:t>,30</w:t>
      </w:r>
      <w:proofErr w:type="gramEnd"/>
      <w:r w:rsidR="00E517FC">
        <w:t xml:space="preserve">). </w:t>
      </w:r>
      <w:r w:rsidR="00B60F32">
        <w:t xml:space="preserve">Long-term functional outcomes </w:t>
      </w:r>
      <w:r w:rsidR="001F32BE">
        <w:t xml:space="preserve">after TOS </w:t>
      </w:r>
      <w:r w:rsidR="00CC48A0">
        <w:t>appear</w:t>
      </w:r>
      <w:r w:rsidR="001F32BE">
        <w:t xml:space="preserve"> </w:t>
      </w:r>
      <w:proofErr w:type="spellStart"/>
      <w:r w:rsidR="001F32BE">
        <w:t>favourable</w:t>
      </w:r>
      <w:proofErr w:type="spellEnd"/>
      <w:r w:rsidR="001F32BE">
        <w:t xml:space="preserve"> in small studies: in a </w:t>
      </w:r>
      <w:r w:rsidR="005747BB">
        <w:t xml:space="preserve">study of </w:t>
      </w:r>
      <w:r>
        <w:t>30 patients with</w:t>
      </w:r>
      <w:r w:rsidR="005747BB">
        <w:t xml:space="preserve"> early </w:t>
      </w:r>
      <w:r w:rsidR="001F32BE">
        <w:t xml:space="preserve">(mainly T1-2 N0-N1) </w:t>
      </w:r>
      <w:r w:rsidR="005747BB">
        <w:t>OPSCC</w:t>
      </w:r>
      <w:r>
        <w:t xml:space="preserve"> </w:t>
      </w:r>
      <w:r w:rsidR="00401B2C">
        <w:t>treated with TORS and</w:t>
      </w:r>
      <w:r w:rsidR="001F32BE">
        <w:t xml:space="preserve"> neck dissection (</w:t>
      </w:r>
      <w:r w:rsidR="005747BB">
        <w:t>without adjuvant tre</w:t>
      </w:r>
      <w:r w:rsidR="00401B2C">
        <w:t>atment</w:t>
      </w:r>
      <w:r w:rsidR="001F32BE">
        <w:t>)</w:t>
      </w:r>
      <w:r w:rsidR="00401B2C">
        <w:t xml:space="preserve">, </w:t>
      </w:r>
      <w:r w:rsidR="008A5A57">
        <w:t xml:space="preserve">all </w:t>
      </w:r>
      <w:r w:rsidR="001F32BE">
        <w:t xml:space="preserve">patients were taking </w:t>
      </w:r>
      <w:r w:rsidR="00401B2C">
        <w:t xml:space="preserve">a full oral diet </w:t>
      </w:r>
      <w:r w:rsidR="001F32BE">
        <w:t>without a feeding tube after a median follow-up of 2.7 years</w:t>
      </w:r>
      <w:r w:rsidR="005802CB">
        <w:t xml:space="preserve"> (</w:t>
      </w:r>
      <w:r w:rsidR="003D4039">
        <w:t>24</w:t>
      </w:r>
      <w:r w:rsidR="005802CB">
        <w:t>)</w:t>
      </w:r>
      <w:r w:rsidR="001F32BE">
        <w:t xml:space="preserve">. </w:t>
      </w:r>
    </w:p>
    <w:p w:rsidR="00797B8F" w:rsidRDefault="001F32BE" w:rsidP="00775429">
      <w:pPr>
        <w:spacing w:line="276" w:lineRule="auto"/>
        <w:jc w:val="both"/>
      </w:pPr>
      <w:r>
        <w:t>However, in most reported series of TOS, the majority of patients also undergo</w:t>
      </w:r>
      <w:r w:rsidR="00C275A1">
        <w:t xml:space="preserve"> </w:t>
      </w:r>
      <w:r w:rsidR="00181405">
        <w:t xml:space="preserve">adjuvant therapy, either </w:t>
      </w:r>
      <w:r>
        <w:t xml:space="preserve">with </w:t>
      </w:r>
      <w:r w:rsidR="00181405">
        <w:t>post-operative RT (PORT</w:t>
      </w:r>
      <w:r>
        <w:t xml:space="preserve">, </w:t>
      </w:r>
      <w:r w:rsidR="00C275A1">
        <w:t>21-58% of cases</w:t>
      </w:r>
      <w:r>
        <w:t>)</w:t>
      </w:r>
      <w:r w:rsidR="00181405">
        <w:t xml:space="preserve"> or post-operative CRT </w:t>
      </w:r>
      <w:r w:rsidR="00181405">
        <w:lastRenderedPageBreak/>
        <w:t>(POCRT</w:t>
      </w:r>
      <w:r>
        <w:t xml:space="preserve">, </w:t>
      </w:r>
      <w:r w:rsidR="00C275A1">
        <w:t>16-62% of cases (</w:t>
      </w:r>
      <w:r w:rsidR="003D4039">
        <w:t>25</w:t>
      </w:r>
      <w:r w:rsidR="00C275A1">
        <w:t>,</w:t>
      </w:r>
      <w:r w:rsidR="003D4039">
        <w:t>30</w:t>
      </w:r>
      <w:r w:rsidR="00C275A1">
        <w:t>,</w:t>
      </w:r>
      <w:r w:rsidR="003D4039">
        <w:t>31,32</w:t>
      </w:r>
      <w:r w:rsidR="00C275A1">
        <w:t xml:space="preserve">). </w:t>
      </w:r>
      <w:r w:rsidR="004C5373">
        <w:t>The decision to recommend a</w:t>
      </w:r>
      <w:r w:rsidR="00B90F4E">
        <w:t xml:space="preserve">djuvant treatment </w:t>
      </w:r>
      <w:r w:rsidR="004C5373">
        <w:t xml:space="preserve">may be based on primary </w:t>
      </w:r>
      <w:proofErr w:type="spellStart"/>
      <w:r w:rsidR="004C5373">
        <w:t>tumour</w:t>
      </w:r>
      <w:proofErr w:type="spellEnd"/>
      <w:r w:rsidR="004C5373">
        <w:t xml:space="preserve"> factors (</w:t>
      </w:r>
      <w:r w:rsidR="00B90F4E">
        <w:t>close (1-5mm) or positive (&lt;1mm) margins</w:t>
      </w:r>
      <w:r w:rsidR="004C5373">
        <w:t>,</w:t>
      </w:r>
      <w:r w:rsidR="004C5373" w:rsidRPr="004C5373">
        <w:t xml:space="preserve"> </w:t>
      </w:r>
      <w:r w:rsidR="004C5373">
        <w:t xml:space="preserve">T3-4 stage, </w:t>
      </w:r>
      <w:proofErr w:type="spellStart"/>
      <w:r w:rsidR="004C5373">
        <w:t>perineural</w:t>
      </w:r>
      <w:proofErr w:type="spellEnd"/>
      <w:r w:rsidR="004C5373">
        <w:t xml:space="preserve"> and/or </w:t>
      </w:r>
      <w:proofErr w:type="spellStart"/>
      <w:r w:rsidR="004C5373">
        <w:t>lymphovascular</w:t>
      </w:r>
      <w:proofErr w:type="spellEnd"/>
      <w:r w:rsidR="004C5373">
        <w:t xml:space="preserve"> invasion) or, more commonly, nodal factors (</w:t>
      </w:r>
      <w:proofErr w:type="spellStart"/>
      <w:r w:rsidR="004C5373">
        <w:t>extracapsular</w:t>
      </w:r>
      <w:proofErr w:type="spellEnd"/>
      <w:r w:rsidR="004C5373">
        <w:t xml:space="preserve"> spread of nodal disease and/or </w:t>
      </w:r>
      <w:r w:rsidR="00B90F4E">
        <w:t>N2-N3 nodal stage</w:t>
      </w:r>
      <w:r w:rsidR="004C5373">
        <w:t>)</w:t>
      </w:r>
      <w:r w:rsidR="00B90F4E">
        <w:t xml:space="preserve">. </w:t>
      </w:r>
      <w:r w:rsidR="004C5373">
        <w:t>These factors are variably interpreted</w:t>
      </w:r>
      <w:r w:rsidR="005802CB">
        <w:t xml:space="preserve"> (</w:t>
      </w:r>
      <w:r w:rsidR="003D4039">
        <w:t>33</w:t>
      </w:r>
      <w:r w:rsidR="005802CB">
        <w:t>)</w:t>
      </w:r>
      <w:r w:rsidR="004C5373">
        <w:t xml:space="preserve">, explaining the </w:t>
      </w:r>
      <w:r w:rsidR="00CC48A0">
        <w:t xml:space="preserve">different </w:t>
      </w:r>
      <w:r w:rsidR="004C5373">
        <w:t xml:space="preserve">proportion of patients undergoing PORT and POCRT in </w:t>
      </w:r>
      <w:r w:rsidR="00CC48A0">
        <w:t xml:space="preserve">reported </w:t>
      </w:r>
      <w:r w:rsidR="004C5373">
        <w:t xml:space="preserve">studies. </w:t>
      </w:r>
    </w:p>
    <w:p w:rsidR="003D28F5" w:rsidRPr="00950A43" w:rsidRDefault="004C5373" w:rsidP="00950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</w:pPr>
      <w:r>
        <w:t>It is clear that a</w:t>
      </w:r>
      <w:r w:rsidR="00C275A1">
        <w:t xml:space="preserve">djuvant treatment </w:t>
      </w:r>
      <w:r w:rsidR="00B90F4E">
        <w:t xml:space="preserve">increases </w:t>
      </w:r>
      <w:r w:rsidR="00181E62">
        <w:t xml:space="preserve">acute and late </w:t>
      </w:r>
      <w:r w:rsidR="00C275A1">
        <w:t>toxicity</w:t>
      </w:r>
      <w:r w:rsidR="00C74FEC">
        <w:t xml:space="preserve"> </w:t>
      </w:r>
      <w:r w:rsidR="00B90F4E">
        <w:t xml:space="preserve">associated with </w:t>
      </w:r>
      <w:proofErr w:type="spellStart"/>
      <w:r w:rsidR="00C74FEC">
        <w:t>tran</w:t>
      </w:r>
      <w:r w:rsidR="00B729EB">
        <w:t>soral</w:t>
      </w:r>
      <w:proofErr w:type="spellEnd"/>
      <w:r w:rsidR="00B729EB">
        <w:t xml:space="preserve"> surgery</w:t>
      </w:r>
      <w:r w:rsidR="00CC3FD0">
        <w:t>. In the largest TLM series (</w:t>
      </w:r>
      <w:r w:rsidR="00841FEA">
        <w:t>25</w:t>
      </w:r>
      <w:r w:rsidR="00CC3FD0">
        <w:t xml:space="preserve">), adjuvant treatment doubled </w:t>
      </w:r>
      <w:r w:rsidR="00CC3FD0" w:rsidRPr="007E7B98">
        <w:t>gastr</w:t>
      </w:r>
      <w:r w:rsidR="00CC3FD0">
        <w:t>o</w:t>
      </w:r>
      <w:r>
        <w:t xml:space="preserve">stomy tube use from 17% to 33% and </w:t>
      </w:r>
      <w:r w:rsidR="00CC3FD0" w:rsidRPr="007E7B98">
        <w:t xml:space="preserve">19% of patients </w:t>
      </w:r>
      <w:r>
        <w:t xml:space="preserve">remained </w:t>
      </w:r>
      <w:r w:rsidR="00CC3FD0" w:rsidRPr="007E7B98">
        <w:t>gastrostomy tube dependent 12</w:t>
      </w:r>
      <w:r w:rsidR="00CC3FD0">
        <w:t xml:space="preserve"> </w:t>
      </w:r>
      <w:r w:rsidR="00CC3FD0" w:rsidRPr="007E7B98">
        <w:t>m</w:t>
      </w:r>
      <w:r w:rsidR="00CC3FD0">
        <w:t>onths</w:t>
      </w:r>
      <w:r w:rsidR="00CC3FD0" w:rsidRPr="007E7B98">
        <w:t xml:space="preserve"> after treatment</w:t>
      </w:r>
      <w:r w:rsidR="00CC3FD0">
        <w:t xml:space="preserve">. </w:t>
      </w:r>
      <w:r w:rsidR="00B729EB">
        <w:t xml:space="preserve"> </w:t>
      </w:r>
      <w:r w:rsidR="00CC3FD0">
        <w:t xml:space="preserve">In </w:t>
      </w:r>
      <w:r w:rsidR="00C74FEC">
        <w:t xml:space="preserve">66 OPSCC patients </w:t>
      </w:r>
      <w:r w:rsidR="00B729EB">
        <w:t xml:space="preserve">treated with TORS </w:t>
      </w:r>
      <w:r w:rsidR="00B729EB" w:rsidRPr="005550F2">
        <w:rPr>
          <w:lang w:val="en-GB"/>
        </w:rPr>
        <w:t>(</w:t>
      </w:r>
      <w:r w:rsidR="00841FEA">
        <w:rPr>
          <w:lang w:val="en-GB"/>
        </w:rPr>
        <w:t>30</w:t>
      </w:r>
      <w:r w:rsidR="00B729EB" w:rsidRPr="005550F2">
        <w:rPr>
          <w:lang w:val="en-GB"/>
        </w:rPr>
        <w:t>)</w:t>
      </w:r>
      <w:r>
        <w:rPr>
          <w:lang w:val="en-GB"/>
        </w:rPr>
        <w:t xml:space="preserve">, </w:t>
      </w:r>
      <w:r w:rsidR="00B729EB" w:rsidRPr="005550F2">
        <w:rPr>
          <w:lang w:val="en-GB"/>
        </w:rPr>
        <w:t>9</w:t>
      </w:r>
      <w:r w:rsidR="00C74FEC" w:rsidRPr="005550F2">
        <w:rPr>
          <w:lang w:val="en-GB"/>
        </w:rPr>
        <w:t xml:space="preserve">7% were </w:t>
      </w:r>
      <w:r>
        <w:rPr>
          <w:lang w:val="en-GB"/>
        </w:rPr>
        <w:t xml:space="preserve">tube </w:t>
      </w:r>
      <w:r w:rsidR="00B729EB" w:rsidRPr="005550F2">
        <w:rPr>
          <w:lang w:val="en-GB"/>
        </w:rPr>
        <w:t xml:space="preserve">free and </w:t>
      </w:r>
      <w:r w:rsidR="00C74FEC" w:rsidRPr="005550F2">
        <w:rPr>
          <w:lang w:val="en-GB"/>
        </w:rPr>
        <w:t>managing an oral diet</w:t>
      </w:r>
      <w:r w:rsidR="00CC3FD0">
        <w:rPr>
          <w:lang w:val="en-GB"/>
        </w:rPr>
        <w:t xml:space="preserve"> 4 weeks </w:t>
      </w:r>
      <w:r>
        <w:rPr>
          <w:lang w:val="en-GB"/>
        </w:rPr>
        <w:t>after surgery</w:t>
      </w:r>
      <w:r w:rsidR="00181E62">
        <w:rPr>
          <w:lang w:val="en-GB"/>
        </w:rPr>
        <w:t>,</w:t>
      </w:r>
      <w:r>
        <w:rPr>
          <w:lang w:val="en-GB"/>
        </w:rPr>
        <w:t xml:space="preserve"> but </w:t>
      </w:r>
      <w:r w:rsidR="008A5A57" w:rsidRPr="005550F2">
        <w:rPr>
          <w:lang w:val="en-GB"/>
        </w:rPr>
        <w:t xml:space="preserve">27% (18/66) required </w:t>
      </w:r>
      <w:r w:rsidR="005550F2" w:rsidRPr="005550F2">
        <w:rPr>
          <w:lang w:val="en-GB"/>
        </w:rPr>
        <w:t xml:space="preserve">a </w:t>
      </w:r>
      <w:r>
        <w:rPr>
          <w:lang w:val="en-GB"/>
        </w:rPr>
        <w:t xml:space="preserve">gastrostomy </w:t>
      </w:r>
      <w:r w:rsidR="008A5A57" w:rsidRPr="005550F2">
        <w:rPr>
          <w:lang w:val="en-GB"/>
        </w:rPr>
        <w:t>tube during their adjuvant t</w:t>
      </w:r>
      <w:r w:rsidR="00122E87">
        <w:rPr>
          <w:lang w:val="en-GB"/>
        </w:rPr>
        <w:t xml:space="preserve">herapy </w:t>
      </w:r>
      <w:r w:rsidR="008A5A57" w:rsidRPr="005550F2">
        <w:rPr>
          <w:lang w:val="en-GB"/>
        </w:rPr>
        <w:t>and</w:t>
      </w:r>
      <w:r w:rsidR="005550F2">
        <w:rPr>
          <w:lang w:val="en-GB"/>
        </w:rPr>
        <w:t xml:space="preserve"> </w:t>
      </w:r>
      <w:r w:rsidR="00122E87">
        <w:rPr>
          <w:lang w:val="en-GB"/>
        </w:rPr>
        <w:t xml:space="preserve">3 </w:t>
      </w:r>
      <w:r w:rsidR="00B729EB" w:rsidRPr="005550F2">
        <w:rPr>
          <w:lang w:val="en-GB"/>
        </w:rPr>
        <w:t>(</w:t>
      </w:r>
      <w:r w:rsidR="00B729EB" w:rsidRPr="005550F2">
        <w:rPr>
          <w:bCs/>
          <w:lang w:val="en-GB"/>
        </w:rPr>
        <w:t>4.5%</w:t>
      </w:r>
      <w:r w:rsidR="00B729EB" w:rsidRPr="005550F2">
        <w:rPr>
          <w:lang w:val="en-GB"/>
        </w:rPr>
        <w:t>) rema</w:t>
      </w:r>
      <w:r w:rsidR="005550F2">
        <w:rPr>
          <w:lang w:val="en-GB"/>
        </w:rPr>
        <w:t>in</w:t>
      </w:r>
      <w:r w:rsidR="00B729EB" w:rsidRPr="005550F2">
        <w:rPr>
          <w:lang w:val="en-GB"/>
        </w:rPr>
        <w:t>e</w:t>
      </w:r>
      <w:r w:rsidR="00122E87">
        <w:rPr>
          <w:lang w:val="en-GB"/>
        </w:rPr>
        <w:t xml:space="preserve">d gastrostomy tube dependent more than </w:t>
      </w:r>
      <w:r w:rsidR="005550F2" w:rsidRPr="005550F2">
        <w:rPr>
          <w:lang w:val="en-GB"/>
        </w:rPr>
        <w:t xml:space="preserve">2 years </w:t>
      </w:r>
      <w:r w:rsidR="00CC48A0">
        <w:rPr>
          <w:lang w:val="en-GB"/>
        </w:rPr>
        <w:t xml:space="preserve">after </w:t>
      </w:r>
      <w:r w:rsidR="005550F2" w:rsidRPr="005550F2">
        <w:rPr>
          <w:lang w:val="en-GB"/>
        </w:rPr>
        <w:t>treatment</w:t>
      </w:r>
      <w:r w:rsidR="00B729EB" w:rsidRPr="005550F2">
        <w:rPr>
          <w:lang w:val="en-GB"/>
        </w:rPr>
        <w:t xml:space="preserve">. </w:t>
      </w:r>
      <w:r w:rsidR="008A5A57" w:rsidRPr="005550F2">
        <w:rPr>
          <w:lang w:val="en-GB"/>
        </w:rPr>
        <w:t xml:space="preserve">In </w:t>
      </w:r>
      <w:r w:rsidR="00181E62">
        <w:rPr>
          <w:lang w:val="en-GB"/>
        </w:rPr>
        <w:t xml:space="preserve">81 patients treated with TORS </w:t>
      </w:r>
      <w:r w:rsidR="005550F2" w:rsidRPr="005550F2">
        <w:rPr>
          <w:lang w:val="en-GB"/>
        </w:rPr>
        <w:t>(</w:t>
      </w:r>
      <w:r w:rsidR="00841FEA">
        <w:rPr>
          <w:lang w:val="en-GB"/>
        </w:rPr>
        <w:t>34</w:t>
      </w:r>
      <w:r w:rsidR="005550F2" w:rsidRPr="005550F2">
        <w:rPr>
          <w:lang w:val="en-GB"/>
        </w:rPr>
        <w:t>),</w:t>
      </w:r>
      <w:r w:rsidR="00181E62">
        <w:rPr>
          <w:lang w:val="en-GB"/>
        </w:rPr>
        <w:t xml:space="preserve"> </w:t>
      </w:r>
      <w:r w:rsidR="00122E87">
        <w:rPr>
          <w:lang w:val="en-GB"/>
        </w:rPr>
        <w:t xml:space="preserve">all patients were </w:t>
      </w:r>
      <w:r w:rsidR="008A5A57" w:rsidRPr="005550F2">
        <w:rPr>
          <w:lang w:val="en-GB"/>
        </w:rPr>
        <w:t>discharged post-op</w:t>
      </w:r>
      <w:r w:rsidR="005550F2" w:rsidRPr="005550F2">
        <w:rPr>
          <w:lang w:val="en-GB"/>
        </w:rPr>
        <w:t>eratively on full oral di</w:t>
      </w:r>
      <w:r>
        <w:rPr>
          <w:lang w:val="en-GB"/>
        </w:rPr>
        <w:t>et</w:t>
      </w:r>
      <w:r w:rsidR="00181E62">
        <w:rPr>
          <w:lang w:val="en-GB"/>
        </w:rPr>
        <w:t>,</w:t>
      </w:r>
      <w:r>
        <w:rPr>
          <w:lang w:val="en-GB"/>
        </w:rPr>
        <w:t xml:space="preserve"> but </w:t>
      </w:r>
      <w:r w:rsidR="003D28F5">
        <w:rPr>
          <w:lang w:val="en-GB"/>
        </w:rPr>
        <w:t xml:space="preserve">13 </w:t>
      </w:r>
      <w:r w:rsidR="00181E62">
        <w:rPr>
          <w:lang w:val="en-GB"/>
        </w:rPr>
        <w:t xml:space="preserve">(16%) </w:t>
      </w:r>
      <w:r w:rsidR="00122E87">
        <w:rPr>
          <w:lang w:val="en-GB"/>
        </w:rPr>
        <w:t xml:space="preserve">required </w:t>
      </w:r>
      <w:r w:rsidR="003D28F5">
        <w:rPr>
          <w:lang w:val="en-GB"/>
        </w:rPr>
        <w:t>gastrostomy tube</w:t>
      </w:r>
      <w:r w:rsidR="00CC3FD0">
        <w:rPr>
          <w:lang w:val="en-GB"/>
        </w:rPr>
        <w:t xml:space="preserve"> </w:t>
      </w:r>
      <w:r w:rsidR="00181E62">
        <w:rPr>
          <w:lang w:val="en-GB"/>
        </w:rPr>
        <w:t xml:space="preserve">placement </w:t>
      </w:r>
      <w:r w:rsidR="00CC3FD0">
        <w:rPr>
          <w:lang w:val="en-GB"/>
        </w:rPr>
        <w:t>during</w:t>
      </w:r>
      <w:r w:rsidR="00181E62">
        <w:rPr>
          <w:lang w:val="en-GB"/>
        </w:rPr>
        <w:t xml:space="preserve"> adjuvant treatment</w:t>
      </w:r>
      <w:r w:rsidR="00CC3FD0">
        <w:rPr>
          <w:lang w:val="en-GB"/>
        </w:rPr>
        <w:t xml:space="preserve">; </w:t>
      </w:r>
      <w:r w:rsidR="003D28F5">
        <w:rPr>
          <w:lang w:val="en-GB"/>
        </w:rPr>
        <w:t xml:space="preserve">of these, </w:t>
      </w:r>
      <w:r w:rsidR="003D28F5" w:rsidRPr="003D28F5">
        <w:rPr>
          <w:lang w:val="en-GB"/>
        </w:rPr>
        <w:t>5 remained</w:t>
      </w:r>
      <w:r w:rsidR="003D28F5">
        <w:rPr>
          <w:lang w:val="en-GB"/>
        </w:rPr>
        <w:t xml:space="preserve"> in place</w:t>
      </w:r>
      <w:r w:rsidR="00122E87">
        <w:rPr>
          <w:lang w:val="en-GB"/>
        </w:rPr>
        <w:t xml:space="preserve"> for over a </w:t>
      </w:r>
      <w:r w:rsidR="003D28F5" w:rsidRPr="003D28F5">
        <w:rPr>
          <w:lang w:val="en-GB"/>
        </w:rPr>
        <w:t>y</w:t>
      </w:r>
      <w:r w:rsidR="00797B8F">
        <w:rPr>
          <w:lang w:val="en-GB"/>
        </w:rPr>
        <w:t>ea</w:t>
      </w:r>
      <w:r w:rsidR="003D28F5" w:rsidRPr="003D28F5">
        <w:rPr>
          <w:lang w:val="en-GB"/>
        </w:rPr>
        <w:t xml:space="preserve">r. </w:t>
      </w:r>
      <w:r w:rsidR="00181E62">
        <w:rPr>
          <w:lang w:val="en-GB"/>
        </w:rPr>
        <w:t>E</w:t>
      </w:r>
      <w:r w:rsidR="00181E62" w:rsidRPr="003D28F5">
        <w:rPr>
          <w:lang w:val="en-GB"/>
        </w:rPr>
        <w:t xml:space="preserve">ating domain Health Related Quality of Life </w:t>
      </w:r>
      <w:r w:rsidR="00181E62">
        <w:rPr>
          <w:lang w:val="en-GB"/>
        </w:rPr>
        <w:t xml:space="preserve">(HRQOL) </w:t>
      </w:r>
      <w:r w:rsidR="00181E62" w:rsidRPr="003D28F5">
        <w:rPr>
          <w:lang w:val="en-GB"/>
        </w:rPr>
        <w:t xml:space="preserve">scores </w:t>
      </w:r>
      <w:r w:rsidR="00181E62">
        <w:rPr>
          <w:lang w:val="en-GB"/>
        </w:rPr>
        <w:t xml:space="preserve">were </w:t>
      </w:r>
      <w:r w:rsidR="00122E87">
        <w:rPr>
          <w:lang w:val="en-GB"/>
        </w:rPr>
        <w:t xml:space="preserve">also </w:t>
      </w:r>
      <w:r w:rsidR="00181E62" w:rsidRPr="003D28F5">
        <w:rPr>
          <w:lang w:val="en-GB"/>
        </w:rPr>
        <w:t>significantly worse in patients who underwent adjuvant treatment</w:t>
      </w:r>
      <w:r w:rsidR="00181E62">
        <w:rPr>
          <w:lang w:val="en-GB"/>
        </w:rPr>
        <w:t xml:space="preserve"> compared to those who did not. Increasing age (&gt; </w:t>
      </w:r>
      <w:r w:rsidR="003D28F5">
        <w:rPr>
          <w:lang w:val="en-GB"/>
        </w:rPr>
        <w:t>55</w:t>
      </w:r>
      <w:r w:rsidR="00797B8F">
        <w:rPr>
          <w:lang w:val="en-GB"/>
        </w:rPr>
        <w:t xml:space="preserve"> </w:t>
      </w:r>
      <w:r w:rsidR="003D28F5">
        <w:rPr>
          <w:lang w:val="en-GB"/>
        </w:rPr>
        <w:t>y</w:t>
      </w:r>
      <w:r w:rsidR="00797B8F">
        <w:rPr>
          <w:lang w:val="en-GB"/>
        </w:rPr>
        <w:t>ears</w:t>
      </w:r>
      <w:r w:rsidR="00181E62">
        <w:rPr>
          <w:lang w:val="en-GB"/>
        </w:rPr>
        <w:t>)</w:t>
      </w:r>
      <w:r w:rsidR="00797B8F">
        <w:rPr>
          <w:lang w:val="en-GB"/>
        </w:rPr>
        <w:t xml:space="preserve"> and </w:t>
      </w:r>
      <w:r w:rsidR="00B729EB" w:rsidRPr="00B729EB">
        <w:rPr>
          <w:lang w:val="en-GB"/>
        </w:rPr>
        <w:t>extent of TORS</w:t>
      </w:r>
      <w:r w:rsidR="00797B8F">
        <w:rPr>
          <w:lang w:val="en-GB"/>
        </w:rPr>
        <w:t xml:space="preserve"> resection</w:t>
      </w:r>
      <w:r w:rsidR="00B729EB" w:rsidRPr="00B729EB">
        <w:rPr>
          <w:lang w:val="en-GB"/>
        </w:rPr>
        <w:t xml:space="preserve"> predicted </w:t>
      </w:r>
      <w:r w:rsidR="00797B8F">
        <w:rPr>
          <w:lang w:val="en-GB"/>
        </w:rPr>
        <w:t xml:space="preserve">the </w:t>
      </w:r>
      <w:r w:rsidR="00B729EB" w:rsidRPr="00B729EB">
        <w:rPr>
          <w:lang w:val="en-GB"/>
        </w:rPr>
        <w:t xml:space="preserve">need for </w:t>
      </w:r>
      <w:r w:rsidR="005550F2">
        <w:rPr>
          <w:lang w:val="en-GB"/>
        </w:rPr>
        <w:t xml:space="preserve">a </w:t>
      </w:r>
      <w:r w:rsidR="00181E62">
        <w:rPr>
          <w:lang w:val="en-GB"/>
        </w:rPr>
        <w:t>gastrostomy</w:t>
      </w:r>
      <w:r w:rsidR="00B729EB" w:rsidRPr="00B729EB">
        <w:rPr>
          <w:lang w:val="en-GB"/>
        </w:rPr>
        <w:t xml:space="preserve"> tube</w:t>
      </w:r>
      <w:r w:rsidR="00797B8F">
        <w:rPr>
          <w:lang w:val="en-GB"/>
        </w:rPr>
        <w:t xml:space="preserve"> and high T stage </w:t>
      </w:r>
      <w:r w:rsidR="00CC3FD0">
        <w:rPr>
          <w:lang w:val="en-GB"/>
        </w:rPr>
        <w:t xml:space="preserve">(pT3/pT4) </w:t>
      </w:r>
      <w:r w:rsidR="00797B8F">
        <w:rPr>
          <w:lang w:val="en-GB"/>
        </w:rPr>
        <w:t>predicted</w:t>
      </w:r>
      <w:r w:rsidR="00CC3FD0">
        <w:rPr>
          <w:lang w:val="en-GB"/>
        </w:rPr>
        <w:t xml:space="preserve"> the need for permanent tube feeding</w:t>
      </w:r>
      <w:r w:rsidR="003D28F5">
        <w:rPr>
          <w:lang w:val="en-GB"/>
        </w:rPr>
        <w:t xml:space="preserve">. </w:t>
      </w:r>
      <w:r w:rsidR="00181E62">
        <w:rPr>
          <w:lang w:val="en-GB"/>
        </w:rPr>
        <w:t xml:space="preserve">Not surprisingly, functional outcomes following POCRT appear to be worse than after PORT. In 38 </w:t>
      </w:r>
      <w:r w:rsidR="00122E87">
        <w:rPr>
          <w:lang w:val="en-GB"/>
        </w:rPr>
        <w:t xml:space="preserve">OPSCC </w:t>
      </w:r>
      <w:r w:rsidR="00181E62">
        <w:rPr>
          <w:lang w:val="en-GB"/>
        </w:rPr>
        <w:t xml:space="preserve">patients, </w:t>
      </w:r>
      <w:r w:rsidR="00797B8F">
        <w:rPr>
          <w:lang w:val="en-GB"/>
        </w:rPr>
        <w:t>s</w:t>
      </w:r>
      <w:r w:rsidR="00AD2970" w:rsidRPr="00797B8F">
        <w:rPr>
          <w:lang w:val="en-GB"/>
        </w:rPr>
        <w:t xml:space="preserve">peech, diet and eating (PSS-H&amp;N) scores </w:t>
      </w:r>
      <w:r w:rsidR="00797B8F">
        <w:rPr>
          <w:lang w:val="en-GB"/>
        </w:rPr>
        <w:t xml:space="preserve">at 6 and </w:t>
      </w:r>
      <w:r w:rsidR="00122E87">
        <w:rPr>
          <w:lang w:val="en-GB"/>
        </w:rPr>
        <w:t>12 months following treatment wer</w:t>
      </w:r>
      <w:r w:rsidR="00797B8F">
        <w:rPr>
          <w:lang w:val="en-GB"/>
        </w:rPr>
        <w:t xml:space="preserve">e significantly better following </w:t>
      </w:r>
      <w:r w:rsidR="00AD2970" w:rsidRPr="00797B8F">
        <w:rPr>
          <w:lang w:val="en-GB"/>
        </w:rPr>
        <w:t>TORS</w:t>
      </w:r>
      <w:r w:rsidR="00797B8F">
        <w:rPr>
          <w:lang w:val="en-GB"/>
        </w:rPr>
        <w:t xml:space="preserve"> alone</w:t>
      </w:r>
      <w:r w:rsidR="00122E87">
        <w:rPr>
          <w:lang w:val="en-GB"/>
        </w:rPr>
        <w:t xml:space="preserve"> compared to TORS followed by PORT which were, in turn, better than after TORS and POCRT </w:t>
      </w:r>
      <w:r w:rsidR="00AD2970" w:rsidRPr="00797B8F">
        <w:rPr>
          <w:lang w:val="en-GB"/>
        </w:rPr>
        <w:t>(</w:t>
      </w:r>
      <w:r w:rsidR="00841FEA">
        <w:rPr>
          <w:lang w:val="en-GB"/>
        </w:rPr>
        <w:t>35</w:t>
      </w:r>
      <w:r w:rsidR="00AD2970" w:rsidRPr="00797B8F">
        <w:rPr>
          <w:lang w:val="en-GB"/>
        </w:rPr>
        <w:t>).</w:t>
      </w:r>
      <w:r w:rsidR="00950A43" w:rsidRPr="00950A43">
        <w:t xml:space="preserve"> </w:t>
      </w:r>
      <w:r w:rsidR="00950A43">
        <w:t>Furthermore, a</w:t>
      </w:r>
      <w:r w:rsidR="00950A43" w:rsidRPr="00670AB6">
        <w:t xml:space="preserve"> systematic review of TORS for OPSCC show</w:t>
      </w:r>
      <w:r w:rsidR="00950A43">
        <w:t>ed</w:t>
      </w:r>
      <w:r w:rsidR="00950A43" w:rsidRPr="00670AB6">
        <w:t xml:space="preserve"> clear demarcation in swallowing outcomes </w:t>
      </w:r>
      <w:r w:rsidR="00950A43">
        <w:t xml:space="preserve">across a variety of outcome measures </w:t>
      </w:r>
      <w:r w:rsidR="00950A43" w:rsidRPr="00670AB6">
        <w:t xml:space="preserve">in patients who received </w:t>
      </w:r>
      <w:r w:rsidR="00950A43">
        <w:t xml:space="preserve">PORT </w:t>
      </w:r>
      <w:r w:rsidR="00950A43" w:rsidRPr="00670AB6">
        <w:t xml:space="preserve">compared to </w:t>
      </w:r>
      <w:r w:rsidR="00950A43">
        <w:t>POCRT (</w:t>
      </w:r>
      <w:r w:rsidR="00B27ABE">
        <w:t>36</w:t>
      </w:r>
      <w:r w:rsidR="00950A43">
        <w:t>)</w:t>
      </w:r>
      <w:r w:rsidR="00950A43" w:rsidRPr="00670AB6">
        <w:t xml:space="preserve">. </w:t>
      </w:r>
    </w:p>
    <w:p w:rsidR="006D40B8" w:rsidRDefault="006D40B8" w:rsidP="00775429">
      <w:pPr>
        <w:spacing w:line="276" w:lineRule="auto"/>
        <w:jc w:val="both"/>
        <w:rPr>
          <w:u w:val="single"/>
          <w:lang w:val="en-GB"/>
        </w:rPr>
      </w:pPr>
      <w:r w:rsidRPr="006D40B8">
        <w:rPr>
          <w:u w:val="single"/>
          <w:lang w:val="en-GB"/>
        </w:rPr>
        <w:t>Optimizing the treatment paradigm for OPSCC:</w:t>
      </w:r>
    </w:p>
    <w:p w:rsidR="006D40B8" w:rsidRDefault="00436B43" w:rsidP="00775429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Early stage OPSCC, T1-T2 N0-N1, can be managed by primary </w:t>
      </w:r>
      <w:proofErr w:type="spellStart"/>
      <w:r>
        <w:rPr>
          <w:lang w:val="en-GB"/>
        </w:rPr>
        <w:t>transoral</w:t>
      </w:r>
      <w:proofErr w:type="spellEnd"/>
      <w:r>
        <w:rPr>
          <w:lang w:val="en-GB"/>
        </w:rPr>
        <w:t xml:space="preserve"> surgery or primary IMRT</w:t>
      </w:r>
      <w:r w:rsidR="00884B33">
        <w:rPr>
          <w:lang w:val="en-GB"/>
        </w:rPr>
        <w:t xml:space="preserve">, with </w:t>
      </w:r>
      <w:r w:rsidR="006A6708">
        <w:rPr>
          <w:lang w:val="en-GB"/>
        </w:rPr>
        <w:t>s</w:t>
      </w:r>
      <w:r>
        <w:rPr>
          <w:lang w:val="en-GB"/>
        </w:rPr>
        <w:t xml:space="preserve">imilar oncological outcomes </w:t>
      </w:r>
      <w:r w:rsidR="005F20AA">
        <w:rPr>
          <w:lang w:val="en-GB"/>
        </w:rPr>
        <w:t xml:space="preserve">in </w:t>
      </w:r>
      <w:r>
        <w:rPr>
          <w:lang w:val="en-GB"/>
        </w:rPr>
        <w:t>n</w:t>
      </w:r>
      <w:r w:rsidR="005F20AA">
        <w:rPr>
          <w:lang w:val="en-GB"/>
        </w:rPr>
        <w:t>on-randomised comparisons (</w:t>
      </w:r>
      <w:r w:rsidR="00B27ABE">
        <w:rPr>
          <w:lang w:val="en-GB"/>
        </w:rPr>
        <w:t>28</w:t>
      </w:r>
      <w:r w:rsidR="005F20AA">
        <w:rPr>
          <w:lang w:val="en-GB"/>
        </w:rPr>
        <w:t>)</w:t>
      </w:r>
      <w:r>
        <w:rPr>
          <w:lang w:val="en-GB"/>
        </w:rPr>
        <w:t xml:space="preserve">. </w:t>
      </w:r>
      <w:proofErr w:type="spellStart"/>
      <w:r>
        <w:rPr>
          <w:lang w:val="en-GB"/>
        </w:rPr>
        <w:t>Transoral</w:t>
      </w:r>
      <w:proofErr w:type="spellEnd"/>
      <w:r>
        <w:rPr>
          <w:lang w:val="en-GB"/>
        </w:rPr>
        <w:t xml:space="preserve"> surgery </w:t>
      </w:r>
      <w:r w:rsidR="009B7519">
        <w:rPr>
          <w:lang w:val="en-GB"/>
        </w:rPr>
        <w:t xml:space="preserve">may offer benefits </w:t>
      </w:r>
      <w:r>
        <w:rPr>
          <w:lang w:val="en-GB"/>
        </w:rPr>
        <w:t xml:space="preserve">in terms of reduced treatment duration, avoidance of acute radiation toxicities and enhanced late function, but only if adjuvant treatment is avoided. An EORTC </w:t>
      </w:r>
      <w:r w:rsidR="007E5B51">
        <w:rPr>
          <w:lang w:val="en-GB"/>
        </w:rPr>
        <w:t>phase III randomised study</w:t>
      </w:r>
      <w:r>
        <w:rPr>
          <w:lang w:val="en-GB"/>
        </w:rPr>
        <w:t xml:space="preserve"> (</w:t>
      </w:r>
      <w:r w:rsidR="007E5B51">
        <w:rPr>
          <w:lang w:val="en-GB"/>
        </w:rPr>
        <w:t>‘</w:t>
      </w:r>
      <w:r>
        <w:rPr>
          <w:lang w:val="en-GB"/>
        </w:rPr>
        <w:t>Best-Of</w:t>
      </w:r>
      <w:r w:rsidR="007E5B51">
        <w:rPr>
          <w:lang w:val="en-GB"/>
        </w:rPr>
        <w:t>’</w:t>
      </w:r>
      <w:r>
        <w:rPr>
          <w:lang w:val="en-GB"/>
        </w:rPr>
        <w:t xml:space="preserve">) </w:t>
      </w:r>
      <w:r w:rsidR="007E5B51">
        <w:rPr>
          <w:lang w:val="en-GB"/>
        </w:rPr>
        <w:t>comparing late function (MDADI at 12 months following treatment) after TOS and IMRT in patients with</w:t>
      </w:r>
      <w:r w:rsidR="00C639ED">
        <w:rPr>
          <w:lang w:val="en-GB"/>
        </w:rPr>
        <w:t xml:space="preserve"> (HPV-positive and negative)</w:t>
      </w:r>
      <w:r w:rsidR="009B7519">
        <w:rPr>
          <w:lang w:val="en-GB"/>
        </w:rPr>
        <w:t xml:space="preserve"> </w:t>
      </w:r>
      <w:r w:rsidR="00504289">
        <w:rPr>
          <w:lang w:val="en-GB"/>
        </w:rPr>
        <w:t xml:space="preserve">T1-T2 N0 </w:t>
      </w:r>
      <w:r w:rsidR="00E67E81">
        <w:rPr>
          <w:lang w:val="en-GB"/>
        </w:rPr>
        <w:t xml:space="preserve">M0 </w:t>
      </w:r>
      <w:r w:rsidR="009B7519">
        <w:rPr>
          <w:lang w:val="en-GB"/>
        </w:rPr>
        <w:t xml:space="preserve">OPSCC </w:t>
      </w:r>
      <w:r w:rsidR="00E67E81">
        <w:rPr>
          <w:lang w:val="en-GB"/>
        </w:rPr>
        <w:t xml:space="preserve">is due to </w:t>
      </w:r>
      <w:r w:rsidR="009B7519">
        <w:rPr>
          <w:lang w:val="en-GB"/>
        </w:rPr>
        <w:t>open</w:t>
      </w:r>
      <w:r w:rsidR="007E5B51">
        <w:rPr>
          <w:lang w:val="en-GB"/>
        </w:rPr>
        <w:t xml:space="preserve"> in 2016 and </w:t>
      </w:r>
      <w:r w:rsidR="005F20AA">
        <w:rPr>
          <w:lang w:val="en-GB"/>
        </w:rPr>
        <w:t xml:space="preserve">could </w:t>
      </w:r>
      <w:r w:rsidR="007E5B51">
        <w:rPr>
          <w:lang w:val="en-GB"/>
        </w:rPr>
        <w:t>inform future practice for early stage disease.</w:t>
      </w:r>
    </w:p>
    <w:p w:rsidR="0049570C" w:rsidRDefault="0049570C" w:rsidP="0049570C">
      <w:pPr>
        <w:spacing w:line="276" w:lineRule="auto"/>
        <w:jc w:val="both"/>
      </w:pPr>
      <w:r>
        <w:t xml:space="preserve">Patients with T3-4 OPSCCs, which are not </w:t>
      </w:r>
      <w:proofErr w:type="spellStart"/>
      <w:r>
        <w:t>transorally</w:t>
      </w:r>
      <w:proofErr w:type="spellEnd"/>
      <w:r>
        <w:t xml:space="preserve"> </w:t>
      </w:r>
      <w:proofErr w:type="spellStart"/>
      <w:r>
        <w:t>resectable</w:t>
      </w:r>
      <w:proofErr w:type="spellEnd"/>
      <w:r>
        <w:t>, should undergo primary CRT as the standard of care. Dysphagia optimized IMRT</w:t>
      </w:r>
      <w:r w:rsidR="00F2212B">
        <w:t>,</w:t>
      </w:r>
      <w:r>
        <w:t xml:space="preserve"> aiming to minimize radiation dose </w:t>
      </w:r>
      <w:r>
        <w:lastRenderedPageBreak/>
        <w:t>delivery to swallowing-related structures</w:t>
      </w:r>
      <w:r w:rsidR="00F2212B">
        <w:t xml:space="preserve">, </w:t>
      </w:r>
      <w:r>
        <w:t xml:space="preserve">and/or the use of </w:t>
      </w:r>
      <w:proofErr w:type="spellStart"/>
      <w:r>
        <w:t>Cetuximab</w:t>
      </w:r>
      <w:proofErr w:type="spellEnd"/>
      <w:r>
        <w:t xml:space="preserve"> instead of </w:t>
      </w:r>
      <w:proofErr w:type="spellStart"/>
      <w:r>
        <w:t>Cisplatin</w:t>
      </w:r>
      <w:proofErr w:type="spellEnd"/>
      <w:r>
        <w:t xml:space="preserve"> with RT</w:t>
      </w:r>
      <w:r w:rsidR="00B27ABE">
        <w:t>,</w:t>
      </w:r>
      <w:r>
        <w:t xml:space="preserve"> are being studied </w:t>
      </w:r>
      <w:r w:rsidR="00F2212B">
        <w:t>in ongoing UK clinical trials (DARS and De-</w:t>
      </w:r>
      <w:proofErr w:type="spellStart"/>
      <w:r w:rsidR="00B27ABE">
        <w:t>ESCALaTE</w:t>
      </w:r>
      <w:proofErr w:type="spellEnd"/>
      <w:r w:rsidR="00B27ABE">
        <w:t>-HPV</w:t>
      </w:r>
      <w:r w:rsidR="00F2212B">
        <w:t xml:space="preserve"> respectively), </w:t>
      </w:r>
      <w:r>
        <w:t xml:space="preserve">as means of reducing toxicities </w:t>
      </w:r>
      <w:r w:rsidR="00A75DC0">
        <w:t xml:space="preserve">in these </w:t>
      </w:r>
      <w:r>
        <w:t xml:space="preserve">patients. </w:t>
      </w:r>
      <w:r w:rsidR="007A2558">
        <w:t xml:space="preserve">Poor prognosis OPSCC, including </w:t>
      </w:r>
      <w:r w:rsidR="00864363">
        <w:t xml:space="preserve">HPV-positive current smokers (37) with advanced disease and patients with </w:t>
      </w:r>
      <w:r w:rsidR="007A2558">
        <w:t>HPV-negative disease, may benefit</w:t>
      </w:r>
      <w:r w:rsidR="00864363">
        <w:t xml:space="preserve"> from treatment intensification</w:t>
      </w:r>
      <w:r w:rsidR="004876ED">
        <w:t xml:space="preserve"> and </w:t>
      </w:r>
      <w:r w:rsidR="00864363">
        <w:t>an ongoing UK study (COMPARE) is</w:t>
      </w:r>
      <w:r w:rsidR="00504289">
        <w:t xml:space="preserve"> exploring this possibility. </w:t>
      </w:r>
    </w:p>
    <w:p w:rsidR="00A31B21" w:rsidRDefault="00884B33" w:rsidP="00775429">
      <w:pPr>
        <w:spacing w:line="276" w:lineRule="auto"/>
        <w:jc w:val="both"/>
      </w:pPr>
      <w:proofErr w:type="spellStart"/>
      <w:r>
        <w:t>Transoral</w:t>
      </w:r>
      <w:proofErr w:type="spellEnd"/>
      <w:r>
        <w:t xml:space="preserve"> surgery alone cannot replace radiation-based treatment for </w:t>
      </w:r>
      <w:r w:rsidR="006A6708">
        <w:t xml:space="preserve">T1-T2 </w:t>
      </w:r>
      <w:r w:rsidR="001E6163">
        <w:t xml:space="preserve">OPSCC </w:t>
      </w:r>
      <w:r w:rsidR="006A6708">
        <w:t xml:space="preserve">associated </w:t>
      </w:r>
      <w:r w:rsidR="001E6163">
        <w:t>with more advanced (N2</w:t>
      </w:r>
      <w:r w:rsidR="007E5B51">
        <w:t>-N3) nodal disease</w:t>
      </w:r>
      <w:r w:rsidR="001E6163">
        <w:t xml:space="preserve">, as </w:t>
      </w:r>
      <w:r w:rsidR="007E5B51">
        <w:t xml:space="preserve">most </w:t>
      </w:r>
      <w:r>
        <w:t xml:space="preserve">patients also </w:t>
      </w:r>
      <w:r w:rsidR="001E6163">
        <w:t xml:space="preserve">require </w:t>
      </w:r>
      <w:r w:rsidR="007E5B51">
        <w:t xml:space="preserve">adjuvant therapy. </w:t>
      </w:r>
      <w:r>
        <w:t xml:space="preserve">One could </w:t>
      </w:r>
      <w:r w:rsidR="00C639ED">
        <w:t xml:space="preserve">therefore </w:t>
      </w:r>
      <w:r>
        <w:t xml:space="preserve">reasonably </w:t>
      </w:r>
      <w:r w:rsidR="00C639ED">
        <w:t xml:space="preserve">argue that </w:t>
      </w:r>
      <w:r w:rsidR="00600B84">
        <w:t xml:space="preserve">these patients </w:t>
      </w:r>
      <w:r w:rsidR="00C639ED">
        <w:t xml:space="preserve">should </w:t>
      </w:r>
      <w:r w:rsidR="00D12280">
        <w:t xml:space="preserve">also </w:t>
      </w:r>
      <w:r w:rsidR="00C639ED">
        <w:t>be treated with primary CRT, in or</w:t>
      </w:r>
      <w:r>
        <w:t>der to avoid</w:t>
      </w:r>
      <w:r w:rsidR="00DE412B">
        <w:t xml:space="preserve"> the need for </w:t>
      </w:r>
      <w:r>
        <w:t>TOS+PORT or</w:t>
      </w:r>
      <w:r w:rsidR="00DE412B">
        <w:t xml:space="preserve"> even</w:t>
      </w:r>
      <w:r>
        <w:t xml:space="preserve"> </w:t>
      </w:r>
      <w:r w:rsidR="00C639ED">
        <w:t>‘triple modality’ (TOS+POC</w:t>
      </w:r>
      <w:r>
        <w:t xml:space="preserve">RT) </w:t>
      </w:r>
      <w:r w:rsidR="00C639ED">
        <w:t xml:space="preserve">therapy. However, </w:t>
      </w:r>
      <w:r w:rsidR="009B02E9">
        <w:t xml:space="preserve">there are </w:t>
      </w:r>
      <w:r w:rsidR="00BE1313">
        <w:t xml:space="preserve">a number of reasons </w:t>
      </w:r>
      <w:r w:rsidR="00C73C92">
        <w:t xml:space="preserve">that TOS combined with </w:t>
      </w:r>
      <w:r w:rsidR="00E16E79">
        <w:t>adjuvant therapy</w:t>
      </w:r>
      <w:r w:rsidR="00C73C92">
        <w:t>,</w:t>
      </w:r>
      <w:r w:rsidR="00E16E79">
        <w:t xml:space="preserve"> is a t</w:t>
      </w:r>
      <w:r w:rsidR="00BE1313">
        <w:t xml:space="preserve">reatment paradigm </w:t>
      </w:r>
      <w:r w:rsidR="00E16E79">
        <w:t xml:space="preserve">that </w:t>
      </w:r>
      <w:r w:rsidR="00600B84">
        <w:t xml:space="preserve">warrants further investigation in </w:t>
      </w:r>
      <w:r w:rsidR="006F5B4B">
        <w:t>these patients</w:t>
      </w:r>
      <w:r w:rsidR="00A31B21">
        <w:t>:</w:t>
      </w:r>
    </w:p>
    <w:p w:rsidR="00A31B21" w:rsidRDefault="009B02E9" w:rsidP="00BE1313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Reported complication rates after </w:t>
      </w:r>
      <w:r w:rsidR="00C639ED">
        <w:t xml:space="preserve">TOS </w:t>
      </w:r>
      <w:r>
        <w:t xml:space="preserve">are lower than after </w:t>
      </w:r>
      <w:r w:rsidR="00A31B21">
        <w:t>open surgery</w:t>
      </w:r>
      <w:r w:rsidR="00A75DC0">
        <w:t>.</w:t>
      </w:r>
    </w:p>
    <w:p w:rsidR="00BE1313" w:rsidRDefault="00324584" w:rsidP="00A31B21">
      <w:pPr>
        <w:pStyle w:val="ListParagraph"/>
        <w:numPr>
          <w:ilvl w:val="0"/>
          <w:numId w:val="17"/>
        </w:numPr>
        <w:spacing w:line="276" w:lineRule="auto"/>
        <w:jc w:val="both"/>
      </w:pPr>
      <w:r>
        <w:t>F</w:t>
      </w:r>
      <w:r w:rsidR="00C639ED">
        <w:t>unctional outcomes following T</w:t>
      </w:r>
      <w:r w:rsidR="009B02E9">
        <w:t xml:space="preserve">OS +/- </w:t>
      </w:r>
      <w:r w:rsidR="00DE412B">
        <w:t>PORT/POCRT</w:t>
      </w:r>
      <w:r w:rsidR="004876ED">
        <w:t xml:space="preserve"> </w:t>
      </w:r>
      <w:r w:rsidR="00F53E80">
        <w:t xml:space="preserve">and primary CRT </w:t>
      </w:r>
      <w:r>
        <w:t>have not been compared in a randomized study</w:t>
      </w:r>
      <w:r w:rsidR="006773EB">
        <w:t xml:space="preserve">. </w:t>
      </w:r>
      <w:r w:rsidR="00A75DC0">
        <w:t>S</w:t>
      </w:r>
      <w:r w:rsidR="00F53E80">
        <w:t>mall studies suggest a possible functional advantage to upfront TOS</w:t>
      </w:r>
      <w:r w:rsidR="00A75DC0">
        <w:t>, although further data is needed</w:t>
      </w:r>
      <w:r w:rsidR="00F53E80">
        <w:t>. I</w:t>
      </w:r>
      <w:r w:rsidR="00C639ED" w:rsidRPr="00C65607">
        <w:t xml:space="preserve">n a matched case-control study of 37 patients with </w:t>
      </w:r>
      <w:r w:rsidR="00F53E80">
        <w:t>stage III-IV</w:t>
      </w:r>
      <w:r w:rsidR="00C639ED" w:rsidRPr="00C65607">
        <w:t xml:space="preserve"> OP</w:t>
      </w:r>
      <w:r w:rsidR="00C639ED">
        <w:t>SC</w:t>
      </w:r>
      <w:r w:rsidR="00C639ED" w:rsidRPr="00C65607">
        <w:t xml:space="preserve">C, </w:t>
      </w:r>
      <w:r w:rsidR="00F53E80">
        <w:t>MDADI scores</w:t>
      </w:r>
      <w:r w:rsidR="00C639ED" w:rsidRPr="00C65607">
        <w:t xml:space="preserve"> were significantly better at 6- and 12</w:t>
      </w:r>
      <w:r w:rsidR="00F53E80">
        <w:t>-mon</w:t>
      </w:r>
      <w:r w:rsidR="009B02E9">
        <w:t>ths in pati</w:t>
      </w:r>
      <w:r w:rsidR="006773EB">
        <w:t xml:space="preserve">ents after TORS + </w:t>
      </w:r>
      <w:r w:rsidR="00DE412B">
        <w:t xml:space="preserve">PORT/POCRT </w:t>
      </w:r>
      <w:r w:rsidR="00C639ED" w:rsidRPr="00C65607">
        <w:t xml:space="preserve">compared to </w:t>
      </w:r>
      <w:r w:rsidR="00C639ED">
        <w:t xml:space="preserve">after </w:t>
      </w:r>
      <w:r w:rsidR="00C639ED" w:rsidRPr="00C65607">
        <w:t xml:space="preserve">primary </w:t>
      </w:r>
      <w:r w:rsidR="00C639ED">
        <w:t xml:space="preserve">CRT </w:t>
      </w:r>
      <w:r w:rsidR="00C639ED" w:rsidRPr="00401B2C">
        <w:t>(</w:t>
      </w:r>
      <w:r w:rsidR="00B27ABE">
        <w:t>3</w:t>
      </w:r>
      <w:r w:rsidR="00AF143D">
        <w:t>8</w:t>
      </w:r>
      <w:r w:rsidR="00C639ED" w:rsidRPr="00401B2C">
        <w:t>).</w:t>
      </w:r>
      <w:r w:rsidR="009B02E9">
        <w:t xml:space="preserve"> </w:t>
      </w:r>
      <w:r w:rsidR="004406C6">
        <w:t xml:space="preserve">A </w:t>
      </w:r>
      <w:r w:rsidR="00C639ED">
        <w:t xml:space="preserve">UK study </w:t>
      </w:r>
      <w:r w:rsidR="00A75DC0">
        <w:t xml:space="preserve">also </w:t>
      </w:r>
      <w:r w:rsidR="006773EB">
        <w:t xml:space="preserve">reported improved early </w:t>
      </w:r>
      <w:r w:rsidR="004406C6">
        <w:t>swallowing outcomes</w:t>
      </w:r>
      <w:r w:rsidR="006773EB">
        <w:t xml:space="preserve"> (including MDADI score)</w:t>
      </w:r>
      <w:r w:rsidR="004406C6">
        <w:t xml:space="preserve"> </w:t>
      </w:r>
      <w:r w:rsidR="006773EB">
        <w:t xml:space="preserve">3 months after treatment </w:t>
      </w:r>
      <w:r w:rsidR="004406C6">
        <w:t xml:space="preserve">in </w:t>
      </w:r>
      <w:r w:rsidR="00C639ED">
        <w:t xml:space="preserve">23 patients with </w:t>
      </w:r>
      <w:r w:rsidR="006773EB">
        <w:t xml:space="preserve">stage III-IVA </w:t>
      </w:r>
      <w:r w:rsidR="00C639ED">
        <w:t xml:space="preserve">OPSCC </w:t>
      </w:r>
      <w:r w:rsidR="004406C6">
        <w:t xml:space="preserve">treated with TLM +/- </w:t>
      </w:r>
      <w:r w:rsidR="00DE412B">
        <w:t xml:space="preserve">PORT/POCRT </w:t>
      </w:r>
      <w:r w:rsidR="006773EB">
        <w:t xml:space="preserve">compared to </w:t>
      </w:r>
      <w:r w:rsidR="004406C6">
        <w:t xml:space="preserve">a historical CRT cohort </w:t>
      </w:r>
      <w:r w:rsidR="00C639ED">
        <w:t>(</w:t>
      </w:r>
      <w:r w:rsidR="00AF143D">
        <w:t>39</w:t>
      </w:r>
      <w:r w:rsidR="00C639ED">
        <w:t>).</w:t>
      </w:r>
      <w:r w:rsidR="00BE1313" w:rsidRPr="00BE1313">
        <w:t xml:space="preserve"> </w:t>
      </w:r>
    </w:p>
    <w:p w:rsidR="00BE1313" w:rsidRDefault="00BE1313" w:rsidP="00BE1313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Up-front surgery can allow adjuvant treatment stratification, based on pathological risk factors for recurrence. This may allow </w:t>
      </w:r>
      <w:r w:rsidR="00E67E81">
        <w:t xml:space="preserve">concurrent </w:t>
      </w:r>
      <w:r>
        <w:t>chemotherapy to be withheld in the absence of ‘high risk’ pathological risk factors (positive margins and/or ECS).</w:t>
      </w:r>
      <w:r w:rsidR="005F5515">
        <w:t xml:space="preserve"> The corollary is </w:t>
      </w:r>
      <w:r w:rsidR="004876ED">
        <w:t xml:space="preserve">that </w:t>
      </w:r>
      <w:r w:rsidR="005F5515">
        <w:t>for patients who exhibit high</w:t>
      </w:r>
      <w:r w:rsidR="00B27ABE">
        <w:t>-</w:t>
      </w:r>
      <w:r w:rsidR="005F5515">
        <w:t>risk pathological features</w:t>
      </w:r>
      <w:r w:rsidR="00731D0D">
        <w:t xml:space="preserve">, </w:t>
      </w:r>
      <w:r w:rsidR="00B27ABE">
        <w:t>‘</w:t>
      </w:r>
      <w:r w:rsidR="00731D0D">
        <w:t>triple-modality</w:t>
      </w:r>
      <w:r w:rsidR="00B27ABE">
        <w:t>’</w:t>
      </w:r>
      <w:r w:rsidR="00731D0D">
        <w:t xml:space="preserve"> tr</w:t>
      </w:r>
      <w:r w:rsidR="005F5515">
        <w:t xml:space="preserve">eatment is likely to be mandated. </w:t>
      </w:r>
    </w:p>
    <w:p w:rsidR="00E16E79" w:rsidRDefault="00BE1313" w:rsidP="00E16E79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TOS +/- </w:t>
      </w:r>
      <w:r w:rsidR="00E16E79">
        <w:t xml:space="preserve">de-intensified </w:t>
      </w:r>
      <w:r w:rsidR="006A6708">
        <w:t xml:space="preserve">adjuvant therapy </w:t>
      </w:r>
      <w:r w:rsidR="00E16E79">
        <w:t xml:space="preserve">may be explored as a potential means of improving </w:t>
      </w:r>
      <w:r w:rsidR="00E67E81">
        <w:t>long-term function</w:t>
      </w:r>
      <w:r w:rsidR="00E16E79">
        <w:t>, whilst maintaining good oncological outcomes</w:t>
      </w:r>
      <w:r w:rsidR="00E67E81">
        <w:t>,</w:t>
      </w:r>
      <w:r w:rsidR="00A75DC0">
        <w:t xml:space="preserve"> in </w:t>
      </w:r>
      <w:r w:rsidR="00E67E81">
        <w:t xml:space="preserve">patients with HPV-positive OPSCC. This is being investigated in the </w:t>
      </w:r>
      <w:r w:rsidR="006A6708">
        <w:t xml:space="preserve">UK </w:t>
      </w:r>
      <w:r w:rsidR="00B03B53">
        <w:t>p</w:t>
      </w:r>
      <w:r w:rsidR="006A6708">
        <w:t xml:space="preserve">hase II/III </w:t>
      </w:r>
      <w:r w:rsidR="00E67E81">
        <w:t xml:space="preserve">PATHOS </w:t>
      </w:r>
      <w:r w:rsidR="00B03B53">
        <w:t>study</w:t>
      </w:r>
      <w:r w:rsidR="00E67E81">
        <w:t xml:space="preserve"> described below</w:t>
      </w:r>
      <w:r w:rsidR="00E16E79">
        <w:t xml:space="preserve"> </w:t>
      </w:r>
      <w:r w:rsidR="00073CA8">
        <w:t>(</w:t>
      </w:r>
      <w:r w:rsidR="003678D5" w:rsidRPr="00670AB6">
        <w:t xml:space="preserve">ClinicalTrials.gov </w:t>
      </w:r>
      <w:r w:rsidR="003678D5" w:rsidRPr="005802CB">
        <w:rPr>
          <w:rFonts w:asciiTheme="majorHAnsi" w:hAnsiTheme="majorHAnsi"/>
        </w:rPr>
        <w:t>NCT02215265</w:t>
      </w:r>
      <w:r w:rsidR="00073CA8" w:rsidRPr="005802CB">
        <w:rPr>
          <w:rFonts w:asciiTheme="majorHAnsi" w:hAnsiTheme="majorHAnsi"/>
        </w:rPr>
        <w:t>)</w:t>
      </w:r>
      <w:r w:rsidR="00AF143D">
        <w:rPr>
          <w:rFonts w:asciiTheme="majorHAnsi" w:hAnsiTheme="majorHAnsi"/>
        </w:rPr>
        <w:t xml:space="preserve"> (40</w:t>
      </w:r>
      <w:r w:rsidR="00B27ABE">
        <w:rPr>
          <w:rFonts w:asciiTheme="majorHAnsi" w:hAnsiTheme="majorHAnsi"/>
        </w:rPr>
        <w:t>)</w:t>
      </w:r>
      <w:r w:rsidR="00504289">
        <w:rPr>
          <w:rFonts w:asciiTheme="majorHAnsi" w:hAnsiTheme="majorHAnsi"/>
        </w:rPr>
        <w:t>,</w:t>
      </w:r>
      <w:r w:rsidR="00E67E81" w:rsidRPr="005802CB">
        <w:rPr>
          <w:rFonts w:asciiTheme="majorHAnsi" w:hAnsiTheme="majorHAnsi"/>
        </w:rPr>
        <w:t xml:space="preserve"> as well as in 2 </w:t>
      </w:r>
      <w:r w:rsidR="006773EB" w:rsidRPr="005802CB">
        <w:rPr>
          <w:rFonts w:asciiTheme="majorHAnsi" w:hAnsiTheme="majorHAnsi"/>
        </w:rPr>
        <w:t xml:space="preserve">ongoing </w:t>
      </w:r>
      <w:r w:rsidR="00E67E81" w:rsidRPr="005802CB">
        <w:rPr>
          <w:rFonts w:asciiTheme="majorHAnsi" w:hAnsiTheme="majorHAnsi"/>
        </w:rPr>
        <w:t>US studies (ECOG 3311</w:t>
      </w:r>
      <w:r w:rsidR="005802CB">
        <w:rPr>
          <w:rFonts w:asciiTheme="majorHAnsi" w:hAnsiTheme="majorHAnsi"/>
        </w:rPr>
        <w:t xml:space="preserve"> [</w:t>
      </w:r>
      <w:r w:rsidR="00145B02" w:rsidRPr="005802CB">
        <w:rPr>
          <w:rFonts w:asciiTheme="majorHAnsi" w:hAnsiTheme="majorHAnsi" w:cs="Arial"/>
          <w:lang w:val="en-GB"/>
        </w:rPr>
        <w:t>NCT01898494</w:t>
      </w:r>
      <w:r w:rsidR="005802CB">
        <w:rPr>
          <w:rFonts w:asciiTheme="majorHAnsi" w:hAnsiTheme="majorHAnsi" w:cs="Arial"/>
          <w:lang w:val="en-GB"/>
        </w:rPr>
        <w:t>]</w:t>
      </w:r>
      <w:r w:rsidR="00E67E81" w:rsidRPr="005802CB">
        <w:rPr>
          <w:rFonts w:asciiTheme="majorHAnsi" w:hAnsiTheme="majorHAnsi"/>
        </w:rPr>
        <w:t xml:space="preserve"> and ADEPT</w:t>
      </w:r>
      <w:r w:rsidR="005802CB">
        <w:rPr>
          <w:rFonts w:asciiTheme="majorHAnsi" w:hAnsiTheme="majorHAnsi"/>
        </w:rPr>
        <w:t xml:space="preserve"> [</w:t>
      </w:r>
      <w:r w:rsidR="00145B02" w:rsidRPr="005802CB">
        <w:rPr>
          <w:rFonts w:asciiTheme="majorHAnsi" w:hAnsiTheme="majorHAnsi" w:cs="Arial"/>
        </w:rPr>
        <w:t>NCT01687413</w:t>
      </w:r>
      <w:r w:rsidR="005802CB">
        <w:rPr>
          <w:rFonts w:asciiTheme="majorHAnsi" w:hAnsiTheme="majorHAnsi" w:cs="Arial"/>
        </w:rPr>
        <w:t>]</w:t>
      </w:r>
      <w:r w:rsidR="00E67E81" w:rsidRPr="005802CB">
        <w:rPr>
          <w:rFonts w:asciiTheme="majorHAnsi" w:hAnsiTheme="majorHAnsi"/>
        </w:rPr>
        <w:t>)</w:t>
      </w:r>
      <w:r w:rsidR="00B03B53" w:rsidRPr="005802CB">
        <w:rPr>
          <w:rFonts w:asciiTheme="majorHAnsi" w:hAnsiTheme="majorHAnsi"/>
        </w:rPr>
        <w:t>.</w:t>
      </w:r>
      <w:r w:rsidR="00B03B53">
        <w:t xml:space="preserve"> </w:t>
      </w:r>
    </w:p>
    <w:p w:rsidR="00E16E79" w:rsidRDefault="00E16E79" w:rsidP="00E16E79">
      <w:pPr>
        <w:pStyle w:val="ListParagraph"/>
        <w:numPr>
          <w:ilvl w:val="0"/>
          <w:numId w:val="17"/>
        </w:numPr>
        <w:spacing w:line="276" w:lineRule="auto"/>
        <w:jc w:val="both"/>
      </w:pPr>
      <w:r>
        <w:t xml:space="preserve">TOS +/- intensified adjuvant therapy could be explored as a potential means of improving </w:t>
      </w:r>
      <w:proofErr w:type="spellStart"/>
      <w:r>
        <w:t>oncological</w:t>
      </w:r>
      <w:proofErr w:type="spellEnd"/>
      <w:r>
        <w:t xml:space="preserve"> outcomes in poo</w:t>
      </w:r>
      <w:r w:rsidR="00C436A6">
        <w:t xml:space="preserve">r prognosis </w:t>
      </w:r>
      <w:r w:rsidR="00504289">
        <w:t xml:space="preserve">HPV-positive OPSCC and </w:t>
      </w:r>
      <w:r w:rsidR="00C436A6">
        <w:t xml:space="preserve">HPV-negative OPSCC. </w:t>
      </w:r>
      <w:r w:rsidR="00864363">
        <w:t xml:space="preserve">This is being explored, along with other strategies, in the COMPARE study. </w:t>
      </w:r>
    </w:p>
    <w:p w:rsidR="00111A8E" w:rsidRDefault="00C436A6" w:rsidP="00775429">
      <w:pPr>
        <w:spacing w:line="276" w:lineRule="auto"/>
        <w:jc w:val="both"/>
        <w:rPr>
          <w:u w:val="single"/>
        </w:rPr>
      </w:pPr>
      <w:r w:rsidRPr="00111A8E">
        <w:rPr>
          <w:u w:val="single"/>
        </w:rPr>
        <w:t xml:space="preserve">PATHOS: Post-operative </w:t>
      </w:r>
      <w:r w:rsidR="00800FF4">
        <w:rPr>
          <w:u w:val="single"/>
        </w:rPr>
        <w:t xml:space="preserve">adjuvant </w:t>
      </w:r>
      <w:r w:rsidRPr="00111A8E">
        <w:rPr>
          <w:u w:val="single"/>
        </w:rPr>
        <w:t xml:space="preserve">treatment for HPV-positive </w:t>
      </w:r>
      <w:proofErr w:type="spellStart"/>
      <w:r w:rsidRPr="00111A8E">
        <w:rPr>
          <w:u w:val="single"/>
        </w:rPr>
        <w:t>tumours</w:t>
      </w:r>
      <w:proofErr w:type="spellEnd"/>
    </w:p>
    <w:p w:rsidR="00111A8E" w:rsidRDefault="00DF4445" w:rsidP="00775429">
      <w:pPr>
        <w:spacing w:line="276" w:lineRule="auto"/>
        <w:jc w:val="both"/>
        <w:rPr>
          <w:u w:val="single"/>
        </w:rPr>
      </w:pPr>
      <w:r w:rsidRPr="00111A8E">
        <w:rPr>
          <w:rFonts w:asciiTheme="majorHAnsi" w:hAnsiTheme="majorHAnsi"/>
        </w:rPr>
        <w:lastRenderedPageBreak/>
        <w:t>Adjuvant treatment d</w:t>
      </w:r>
      <w:r w:rsidR="00E67E81" w:rsidRPr="00111A8E">
        <w:rPr>
          <w:rFonts w:asciiTheme="majorHAnsi" w:hAnsiTheme="majorHAnsi"/>
        </w:rPr>
        <w:t>ecision</w:t>
      </w:r>
      <w:r w:rsidR="002F1330" w:rsidRPr="00111A8E">
        <w:rPr>
          <w:rFonts w:asciiTheme="majorHAnsi" w:hAnsiTheme="majorHAnsi"/>
        </w:rPr>
        <w:t>s</w:t>
      </w:r>
      <w:r w:rsidR="00E67E81" w:rsidRPr="00111A8E">
        <w:rPr>
          <w:rFonts w:asciiTheme="majorHAnsi" w:hAnsiTheme="majorHAnsi"/>
        </w:rPr>
        <w:t xml:space="preserve"> </w:t>
      </w:r>
      <w:r w:rsidR="002F1330" w:rsidRPr="00111A8E">
        <w:rPr>
          <w:rFonts w:asciiTheme="majorHAnsi" w:hAnsiTheme="majorHAnsi"/>
        </w:rPr>
        <w:t>are</w:t>
      </w:r>
      <w:r w:rsidR="00E67E81" w:rsidRPr="00111A8E">
        <w:rPr>
          <w:rFonts w:asciiTheme="majorHAnsi" w:hAnsiTheme="majorHAnsi"/>
        </w:rPr>
        <w:t xml:space="preserve"> </w:t>
      </w:r>
      <w:r w:rsidR="003B6FEF" w:rsidRPr="00111A8E">
        <w:rPr>
          <w:rFonts w:asciiTheme="majorHAnsi" w:hAnsiTheme="majorHAnsi"/>
        </w:rPr>
        <w:t xml:space="preserve">based on pathological risk factors for recurrence established &gt;20 years ago in studies </w:t>
      </w:r>
      <w:r w:rsidRPr="00111A8E">
        <w:rPr>
          <w:rFonts w:asciiTheme="majorHAnsi" w:hAnsiTheme="majorHAnsi"/>
        </w:rPr>
        <w:t xml:space="preserve">that </w:t>
      </w:r>
      <w:r w:rsidR="003B6FEF" w:rsidRPr="00111A8E">
        <w:rPr>
          <w:rFonts w:asciiTheme="majorHAnsi" w:hAnsiTheme="majorHAnsi"/>
        </w:rPr>
        <w:t xml:space="preserve">included a </w:t>
      </w:r>
      <w:proofErr w:type="spellStart"/>
      <w:r w:rsidR="003B6FEF" w:rsidRPr="00111A8E">
        <w:rPr>
          <w:rFonts w:asciiTheme="majorHAnsi" w:hAnsiTheme="majorHAnsi"/>
        </w:rPr>
        <w:t>heterogenous</w:t>
      </w:r>
      <w:proofErr w:type="spellEnd"/>
      <w:r w:rsidR="003B6FEF" w:rsidRPr="00111A8E">
        <w:rPr>
          <w:rFonts w:asciiTheme="majorHAnsi" w:hAnsiTheme="majorHAnsi"/>
        </w:rPr>
        <w:t xml:space="preserve"> group of</w:t>
      </w:r>
      <w:r w:rsidR="002F1330" w:rsidRPr="00111A8E">
        <w:rPr>
          <w:rFonts w:asciiTheme="majorHAnsi" w:hAnsiTheme="majorHAnsi"/>
        </w:rPr>
        <w:t xml:space="preserve"> HNSCC</w:t>
      </w:r>
      <w:r w:rsidR="003B6FEF" w:rsidRPr="00111A8E">
        <w:rPr>
          <w:rFonts w:asciiTheme="majorHAnsi" w:hAnsiTheme="majorHAnsi"/>
        </w:rPr>
        <w:t xml:space="preserve">, none </w:t>
      </w:r>
      <w:r w:rsidRPr="00111A8E">
        <w:rPr>
          <w:rFonts w:asciiTheme="majorHAnsi" w:hAnsiTheme="majorHAnsi"/>
        </w:rPr>
        <w:t>of which were tested for HPV (</w:t>
      </w:r>
      <w:r w:rsidR="00AF143D">
        <w:rPr>
          <w:rFonts w:asciiTheme="majorHAnsi" w:hAnsiTheme="majorHAnsi"/>
        </w:rPr>
        <w:t>41</w:t>
      </w:r>
      <w:r w:rsidR="003B6FEF" w:rsidRPr="00111A8E">
        <w:rPr>
          <w:rFonts w:asciiTheme="majorHAnsi" w:hAnsiTheme="majorHAnsi"/>
        </w:rPr>
        <w:t>)</w:t>
      </w:r>
      <w:r w:rsidRPr="00111A8E">
        <w:rPr>
          <w:rFonts w:asciiTheme="majorHAnsi" w:hAnsiTheme="majorHAnsi"/>
        </w:rPr>
        <w:t xml:space="preserve">; </w:t>
      </w:r>
      <w:r w:rsidR="002F1330" w:rsidRPr="00111A8E">
        <w:rPr>
          <w:rFonts w:asciiTheme="majorHAnsi" w:hAnsiTheme="majorHAnsi"/>
        </w:rPr>
        <w:t xml:space="preserve">their relevance to </w:t>
      </w:r>
      <w:r w:rsidR="003B6FEF" w:rsidRPr="00111A8E">
        <w:rPr>
          <w:rFonts w:asciiTheme="majorHAnsi" w:hAnsiTheme="majorHAnsi"/>
        </w:rPr>
        <w:t xml:space="preserve">the selection of adjuvant therapy </w:t>
      </w:r>
      <w:r w:rsidR="002F1330" w:rsidRPr="00111A8E">
        <w:rPr>
          <w:rFonts w:asciiTheme="majorHAnsi" w:hAnsiTheme="majorHAnsi"/>
        </w:rPr>
        <w:t xml:space="preserve">regimens and doses </w:t>
      </w:r>
      <w:r w:rsidR="003B6FEF" w:rsidRPr="00111A8E">
        <w:rPr>
          <w:rFonts w:asciiTheme="majorHAnsi" w:hAnsiTheme="majorHAnsi"/>
        </w:rPr>
        <w:t xml:space="preserve">in the context of HPV-positive disease </w:t>
      </w:r>
      <w:r w:rsidR="002F1330" w:rsidRPr="00111A8E">
        <w:rPr>
          <w:rFonts w:asciiTheme="majorHAnsi" w:hAnsiTheme="majorHAnsi"/>
        </w:rPr>
        <w:t xml:space="preserve">have been </w:t>
      </w:r>
      <w:r w:rsidR="003B6FEF" w:rsidRPr="00111A8E">
        <w:rPr>
          <w:rFonts w:asciiTheme="majorHAnsi" w:hAnsiTheme="majorHAnsi"/>
        </w:rPr>
        <w:t>questioned</w:t>
      </w:r>
      <w:r w:rsidR="002F1330" w:rsidRPr="00111A8E">
        <w:rPr>
          <w:rFonts w:asciiTheme="majorHAnsi" w:hAnsiTheme="majorHAnsi"/>
        </w:rPr>
        <w:t xml:space="preserve"> </w:t>
      </w:r>
      <w:r w:rsidRPr="00111A8E">
        <w:rPr>
          <w:rFonts w:asciiTheme="majorHAnsi" w:hAnsiTheme="majorHAnsi"/>
        </w:rPr>
        <w:t>(</w:t>
      </w:r>
      <w:r w:rsidR="00AF143D">
        <w:rPr>
          <w:rFonts w:asciiTheme="majorHAnsi" w:hAnsiTheme="majorHAnsi"/>
        </w:rPr>
        <w:t>42</w:t>
      </w:r>
      <w:r w:rsidRPr="00111A8E">
        <w:rPr>
          <w:rFonts w:asciiTheme="majorHAnsi" w:hAnsiTheme="majorHAnsi"/>
        </w:rPr>
        <w:t>)</w:t>
      </w:r>
      <w:r w:rsidR="0087412C" w:rsidRPr="00111A8E">
        <w:rPr>
          <w:rFonts w:asciiTheme="majorHAnsi" w:hAnsiTheme="majorHAnsi"/>
        </w:rPr>
        <w:t xml:space="preserve">. </w:t>
      </w:r>
      <w:r w:rsidR="004942A2">
        <w:rPr>
          <w:rFonts w:asciiTheme="majorHAnsi" w:hAnsiTheme="majorHAnsi"/>
        </w:rPr>
        <w:t xml:space="preserve">HPV-positive cell lines have higher </w:t>
      </w:r>
      <w:proofErr w:type="spellStart"/>
      <w:r w:rsidR="004942A2">
        <w:rPr>
          <w:rFonts w:asciiTheme="majorHAnsi" w:hAnsiTheme="majorHAnsi"/>
        </w:rPr>
        <w:t>radiosensitivity</w:t>
      </w:r>
      <w:proofErr w:type="spellEnd"/>
      <w:r w:rsidR="004942A2">
        <w:rPr>
          <w:rFonts w:asciiTheme="majorHAnsi" w:hAnsiTheme="majorHAnsi"/>
        </w:rPr>
        <w:t xml:space="preserve"> compared to HPV-negative lines </w:t>
      </w:r>
      <w:r w:rsidR="004942A2" w:rsidRPr="004942A2">
        <w:rPr>
          <w:rFonts w:asciiTheme="majorHAnsi" w:hAnsiTheme="majorHAnsi"/>
          <w:i/>
        </w:rPr>
        <w:t>in vitro</w:t>
      </w:r>
      <w:r w:rsidR="00312213">
        <w:rPr>
          <w:rFonts w:asciiTheme="majorHAnsi" w:hAnsiTheme="majorHAnsi"/>
        </w:rPr>
        <w:t xml:space="preserve"> (</w:t>
      </w:r>
      <w:r w:rsidR="00AF143D">
        <w:rPr>
          <w:rFonts w:asciiTheme="majorHAnsi" w:hAnsiTheme="majorHAnsi"/>
        </w:rPr>
        <w:t>43,44</w:t>
      </w:r>
      <w:r w:rsidR="004942A2">
        <w:rPr>
          <w:rFonts w:asciiTheme="majorHAnsi" w:hAnsiTheme="majorHAnsi"/>
        </w:rPr>
        <w:t>) and</w:t>
      </w:r>
      <w:r w:rsidR="00312213">
        <w:rPr>
          <w:rFonts w:asciiTheme="majorHAnsi" w:hAnsiTheme="majorHAnsi"/>
        </w:rPr>
        <w:t xml:space="preserve"> preliminary results from </w:t>
      </w:r>
      <w:r w:rsidR="004942A2">
        <w:rPr>
          <w:rFonts w:asciiTheme="majorHAnsi" w:hAnsiTheme="majorHAnsi"/>
        </w:rPr>
        <w:t xml:space="preserve">a phase II study </w:t>
      </w:r>
      <w:r w:rsidR="00312213">
        <w:rPr>
          <w:rFonts w:asciiTheme="majorHAnsi" w:hAnsiTheme="majorHAnsi"/>
        </w:rPr>
        <w:t xml:space="preserve">(ECOG 1308) </w:t>
      </w:r>
      <w:r w:rsidR="004942A2">
        <w:rPr>
          <w:rFonts w:asciiTheme="majorHAnsi" w:hAnsiTheme="majorHAnsi"/>
        </w:rPr>
        <w:t>ha</w:t>
      </w:r>
      <w:r w:rsidR="004876ED">
        <w:rPr>
          <w:rFonts w:asciiTheme="majorHAnsi" w:hAnsiTheme="majorHAnsi"/>
        </w:rPr>
        <w:t>ve</w:t>
      </w:r>
      <w:r w:rsidR="004942A2">
        <w:rPr>
          <w:rFonts w:asciiTheme="majorHAnsi" w:hAnsiTheme="majorHAnsi"/>
        </w:rPr>
        <w:t xml:space="preserve"> </w:t>
      </w:r>
      <w:r w:rsidR="00312213">
        <w:rPr>
          <w:rFonts w:asciiTheme="majorHAnsi" w:hAnsiTheme="majorHAnsi"/>
        </w:rPr>
        <w:t xml:space="preserve">shown high local control and survival rates </w:t>
      </w:r>
      <w:r w:rsidR="00C73C92">
        <w:rPr>
          <w:rFonts w:asciiTheme="majorHAnsi" w:hAnsiTheme="majorHAnsi"/>
        </w:rPr>
        <w:t xml:space="preserve">after </w:t>
      </w:r>
      <w:r w:rsidR="00312213">
        <w:rPr>
          <w:rFonts w:asciiTheme="majorHAnsi" w:hAnsiTheme="majorHAnsi"/>
        </w:rPr>
        <w:t>reduced dose RT (</w:t>
      </w:r>
      <w:r w:rsidR="004942A2">
        <w:rPr>
          <w:rFonts w:asciiTheme="majorHAnsi" w:hAnsiTheme="majorHAnsi"/>
        </w:rPr>
        <w:t>54Gy in 27 fractions</w:t>
      </w:r>
      <w:r w:rsidR="00312213">
        <w:rPr>
          <w:rFonts w:asciiTheme="majorHAnsi" w:hAnsiTheme="majorHAnsi"/>
        </w:rPr>
        <w:t>)</w:t>
      </w:r>
      <w:r w:rsidR="004942A2">
        <w:rPr>
          <w:rFonts w:asciiTheme="majorHAnsi" w:hAnsiTheme="majorHAnsi"/>
        </w:rPr>
        <w:t xml:space="preserve"> </w:t>
      </w:r>
      <w:r w:rsidR="00312213">
        <w:rPr>
          <w:rFonts w:asciiTheme="majorHAnsi" w:hAnsiTheme="majorHAnsi"/>
        </w:rPr>
        <w:t>in 90 patients with stage III-IV OPSCC</w:t>
      </w:r>
      <w:r w:rsidR="008F150E">
        <w:rPr>
          <w:rFonts w:asciiTheme="majorHAnsi" w:hAnsiTheme="majorHAnsi"/>
        </w:rPr>
        <w:t>,</w:t>
      </w:r>
      <w:r w:rsidR="00312213">
        <w:rPr>
          <w:rFonts w:asciiTheme="majorHAnsi" w:hAnsiTheme="majorHAnsi"/>
        </w:rPr>
        <w:t xml:space="preserve"> </w:t>
      </w:r>
      <w:r w:rsidR="00C73C92">
        <w:rPr>
          <w:rFonts w:asciiTheme="majorHAnsi" w:hAnsiTheme="majorHAnsi"/>
        </w:rPr>
        <w:t>following a c</w:t>
      </w:r>
      <w:r w:rsidR="004942A2">
        <w:rPr>
          <w:rFonts w:asciiTheme="majorHAnsi" w:hAnsiTheme="majorHAnsi"/>
        </w:rPr>
        <w:t>omplete response to induction chemotherapy (</w:t>
      </w:r>
      <w:r w:rsidR="00AF143D">
        <w:rPr>
          <w:rFonts w:asciiTheme="majorHAnsi" w:hAnsiTheme="majorHAnsi"/>
        </w:rPr>
        <w:t>45</w:t>
      </w:r>
      <w:r w:rsidR="004942A2">
        <w:rPr>
          <w:rFonts w:asciiTheme="majorHAnsi" w:hAnsiTheme="majorHAnsi"/>
        </w:rPr>
        <w:t xml:space="preserve">). </w:t>
      </w:r>
      <w:r w:rsidRPr="00111A8E">
        <w:rPr>
          <w:rFonts w:asciiTheme="majorHAnsi" w:hAnsiTheme="majorHAnsi"/>
        </w:rPr>
        <w:t xml:space="preserve">POCRT </w:t>
      </w:r>
      <w:r w:rsidR="003225C4" w:rsidRPr="00111A8E">
        <w:rPr>
          <w:rFonts w:asciiTheme="majorHAnsi" w:hAnsiTheme="majorHAnsi"/>
        </w:rPr>
        <w:t xml:space="preserve">for HNSCC </w:t>
      </w:r>
      <w:r w:rsidRPr="00111A8E">
        <w:rPr>
          <w:rFonts w:asciiTheme="majorHAnsi" w:hAnsiTheme="majorHAnsi"/>
        </w:rPr>
        <w:t xml:space="preserve">is recommended for </w:t>
      </w:r>
      <w:r w:rsidR="0087412C" w:rsidRPr="00111A8E">
        <w:rPr>
          <w:rFonts w:asciiTheme="majorHAnsi" w:hAnsiTheme="majorHAnsi"/>
        </w:rPr>
        <w:t>‘high risk’ pathological features (</w:t>
      </w:r>
      <w:r w:rsidRPr="00111A8E">
        <w:rPr>
          <w:rFonts w:asciiTheme="majorHAnsi" w:hAnsiTheme="majorHAnsi"/>
        </w:rPr>
        <w:t>positive margins and</w:t>
      </w:r>
      <w:r w:rsidR="003225C4" w:rsidRPr="00111A8E">
        <w:rPr>
          <w:rFonts w:asciiTheme="majorHAnsi" w:hAnsiTheme="majorHAnsi"/>
        </w:rPr>
        <w:t>/or</w:t>
      </w:r>
      <w:r w:rsidRPr="00111A8E">
        <w:rPr>
          <w:rFonts w:asciiTheme="majorHAnsi" w:hAnsiTheme="majorHAnsi"/>
        </w:rPr>
        <w:t xml:space="preserve"> ECS</w:t>
      </w:r>
      <w:r w:rsidR="0087412C" w:rsidRPr="00111A8E">
        <w:rPr>
          <w:rFonts w:asciiTheme="majorHAnsi" w:hAnsiTheme="majorHAnsi"/>
        </w:rPr>
        <w:t>)</w:t>
      </w:r>
      <w:r w:rsidRPr="00111A8E">
        <w:rPr>
          <w:rFonts w:asciiTheme="majorHAnsi" w:hAnsiTheme="majorHAnsi"/>
        </w:rPr>
        <w:t xml:space="preserve"> based on combined analysis of the </w:t>
      </w:r>
      <w:r w:rsidRPr="00670AB6">
        <w:t>EORTC 22931</w:t>
      </w:r>
      <w:r>
        <w:t xml:space="preserve"> and </w:t>
      </w:r>
      <w:r w:rsidRPr="00670AB6">
        <w:t xml:space="preserve">RTOG 9501 </w:t>
      </w:r>
      <w:r w:rsidR="00FB37F7">
        <w:t>studies (</w:t>
      </w:r>
      <w:r w:rsidR="00AF143D">
        <w:t>46</w:t>
      </w:r>
      <w:r w:rsidR="0087412C">
        <w:t>)</w:t>
      </w:r>
      <w:r w:rsidR="00FB37F7">
        <w:t xml:space="preserve">. However, </w:t>
      </w:r>
      <w:r w:rsidR="00C73C92" w:rsidRPr="00111A8E">
        <w:rPr>
          <w:rFonts w:asciiTheme="majorHAnsi" w:hAnsiTheme="majorHAnsi"/>
        </w:rPr>
        <w:t>ECS does not appear to be prognostic in HPV-positive OP</w:t>
      </w:r>
      <w:r w:rsidR="00C73C92">
        <w:rPr>
          <w:rFonts w:asciiTheme="majorHAnsi" w:hAnsiTheme="majorHAnsi"/>
        </w:rPr>
        <w:t xml:space="preserve">SCC, </w:t>
      </w:r>
      <w:r w:rsidR="00C73C92" w:rsidRPr="00111A8E">
        <w:rPr>
          <w:rFonts w:asciiTheme="majorHAnsi" w:hAnsiTheme="majorHAnsi"/>
        </w:rPr>
        <w:t>at least in the absence of soft tissue deposits (</w:t>
      </w:r>
      <w:r w:rsidR="00AF143D">
        <w:rPr>
          <w:rFonts w:asciiTheme="majorHAnsi" w:hAnsiTheme="majorHAnsi"/>
        </w:rPr>
        <w:t>47</w:t>
      </w:r>
      <w:proofErr w:type="gramStart"/>
      <w:r w:rsidR="00AF143D">
        <w:rPr>
          <w:rFonts w:asciiTheme="majorHAnsi" w:hAnsiTheme="majorHAnsi"/>
        </w:rPr>
        <w:t>,48</w:t>
      </w:r>
      <w:proofErr w:type="gramEnd"/>
      <w:r w:rsidR="00141445">
        <w:rPr>
          <w:rFonts w:asciiTheme="majorHAnsi" w:hAnsiTheme="majorHAnsi"/>
        </w:rPr>
        <w:t>, TMJ unpublished data</w:t>
      </w:r>
      <w:r w:rsidR="00C73C92" w:rsidRPr="00111A8E">
        <w:rPr>
          <w:rFonts w:asciiTheme="majorHAnsi" w:hAnsiTheme="majorHAnsi"/>
        </w:rPr>
        <w:t xml:space="preserve">). </w:t>
      </w:r>
      <w:r w:rsidR="00D23BBC">
        <w:rPr>
          <w:rFonts w:asciiTheme="majorHAnsi" w:hAnsiTheme="majorHAnsi"/>
        </w:rPr>
        <w:t xml:space="preserve">In retrospective studies, </w:t>
      </w:r>
      <w:r>
        <w:t xml:space="preserve">POCRT </w:t>
      </w:r>
      <w:r w:rsidR="0087412C">
        <w:t xml:space="preserve">did not improve </w:t>
      </w:r>
      <w:r w:rsidR="003225C4">
        <w:t xml:space="preserve">overall </w:t>
      </w:r>
      <w:r w:rsidR="0087412C">
        <w:t xml:space="preserve">survival compared to </w:t>
      </w:r>
      <w:r>
        <w:t xml:space="preserve">PORT in </w:t>
      </w:r>
      <w:r w:rsidR="0087412C">
        <w:t>patients with ‘high risk</w:t>
      </w:r>
      <w:r w:rsidR="00FB37F7">
        <w:t>’ features</w:t>
      </w:r>
      <w:r w:rsidR="00C73C92">
        <w:t xml:space="preserve"> following TLM</w:t>
      </w:r>
      <w:r w:rsidR="00FB37F7">
        <w:t xml:space="preserve"> </w:t>
      </w:r>
      <w:r w:rsidR="0087412C">
        <w:t>(</w:t>
      </w:r>
      <w:r w:rsidR="00AF143D">
        <w:t>49</w:t>
      </w:r>
      <w:r w:rsidR="0087412C">
        <w:t xml:space="preserve">) </w:t>
      </w:r>
      <w:r w:rsidR="003225C4">
        <w:t xml:space="preserve">and had no effect on disease-free survival in </w:t>
      </w:r>
      <w:r w:rsidR="0087412C">
        <w:t>ECS</w:t>
      </w:r>
      <w:r w:rsidR="003225C4">
        <w:t xml:space="preserve">-positive patients </w:t>
      </w:r>
      <w:r w:rsidR="0087412C">
        <w:t>(</w:t>
      </w:r>
      <w:r w:rsidR="00AF143D">
        <w:t>47</w:t>
      </w:r>
      <w:r w:rsidR="0087412C">
        <w:t xml:space="preserve">). </w:t>
      </w:r>
    </w:p>
    <w:p w:rsidR="006A6708" w:rsidRPr="00111A8E" w:rsidRDefault="003225C4" w:rsidP="00775429">
      <w:pPr>
        <w:spacing w:line="276" w:lineRule="auto"/>
        <w:jc w:val="both"/>
        <w:rPr>
          <w:u w:val="single"/>
        </w:rPr>
      </w:pPr>
      <w:r w:rsidRPr="00111A8E">
        <w:rPr>
          <w:rFonts w:cs="Calibri"/>
          <w:color w:val="000000"/>
        </w:rPr>
        <w:t xml:space="preserve">Patients recruited into PATHOS will undergo TOS and neck dissection prior to pathological risk stratification as shown in Figure </w:t>
      </w:r>
      <w:r w:rsidR="006A4B12">
        <w:rPr>
          <w:rFonts w:cs="Calibri"/>
          <w:color w:val="000000"/>
        </w:rPr>
        <w:t>4</w:t>
      </w:r>
      <w:r w:rsidRPr="00111A8E">
        <w:rPr>
          <w:rFonts w:cs="Calibri"/>
          <w:color w:val="000000"/>
        </w:rPr>
        <w:t xml:space="preserve">. </w:t>
      </w:r>
      <w:r w:rsidR="00FB37F7">
        <w:rPr>
          <w:rFonts w:cs="Calibri"/>
          <w:color w:val="000000"/>
        </w:rPr>
        <w:t xml:space="preserve">Patients with </w:t>
      </w:r>
      <w:proofErr w:type="spellStart"/>
      <w:r w:rsidR="00FB37F7">
        <w:rPr>
          <w:rFonts w:cs="Calibri"/>
          <w:color w:val="000000"/>
        </w:rPr>
        <w:t>t</w:t>
      </w:r>
      <w:r w:rsidR="008C456F">
        <w:t>ransorally</w:t>
      </w:r>
      <w:proofErr w:type="spellEnd"/>
      <w:r w:rsidR="008C456F">
        <w:t xml:space="preserve"> </w:t>
      </w:r>
      <w:proofErr w:type="spellStart"/>
      <w:r w:rsidR="008C456F">
        <w:t>resectable</w:t>
      </w:r>
      <w:proofErr w:type="spellEnd"/>
      <w:r w:rsidR="008C456F">
        <w:t xml:space="preserve"> T1-T2 (and selected T3) </w:t>
      </w:r>
      <w:proofErr w:type="spellStart"/>
      <w:r w:rsidR="00FB37F7">
        <w:t>tumours</w:t>
      </w:r>
      <w:proofErr w:type="spellEnd"/>
      <w:r w:rsidR="008F150E">
        <w:t>,</w:t>
      </w:r>
      <w:r w:rsidR="008C456F">
        <w:t xml:space="preserve"> with N0-N2b nodal disease are eligible, whereas T4 and N2c-N3 disease are excluded because of their higher risk of distant metastatic disease (</w:t>
      </w:r>
      <w:r w:rsidR="00AF143D">
        <w:t>50</w:t>
      </w:r>
      <w:r w:rsidR="008C456F">
        <w:t xml:space="preserve">). </w:t>
      </w:r>
      <w:r w:rsidRPr="00111A8E">
        <w:rPr>
          <w:rFonts w:cs="Calibri"/>
          <w:color w:val="000000"/>
        </w:rPr>
        <w:t xml:space="preserve">The aim </w:t>
      </w:r>
      <w:r w:rsidR="008C456F" w:rsidRPr="00111A8E">
        <w:rPr>
          <w:rFonts w:cs="Calibri"/>
          <w:color w:val="000000"/>
        </w:rPr>
        <w:t xml:space="preserve">of PATHOS </w:t>
      </w:r>
      <w:r w:rsidRPr="00111A8E">
        <w:rPr>
          <w:rFonts w:cs="Calibri"/>
          <w:color w:val="000000"/>
        </w:rPr>
        <w:t>is to determine whether reducing the intensity of adjuvant treatment after TOS in HPV-positive OPSCC, either by lowering RT dose in</w:t>
      </w:r>
      <w:r w:rsidR="008C456F" w:rsidRPr="00111A8E">
        <w:rPr>
          <w:rFonts w:cs="Calibri"/>
          <w:color w:val="000000"/>
        </w:rPr>
        <w:t xml:space="preserve"> patients with</w:t>
      </w:r>
      <w:r w:rsidRPr="00111A8E">
        <w:rPr>
          <w:rFonts w:cs="Calibri"/>
          <w:color w:val="000000"/>
        </w:rPr>
        <w:t xml:space="preserve"> </w:t>
      </w:r>
      <w:r w:rsidR="008C456F" w:rsidRPr="00111A8E">
        <w:rPr>
          <w:rFonts w:cs="Calibri"/>
          <w:color w:val="000000"/>
        </w:rPr>
        <w:t>‘</w:t>
      </w:r>
      <w:r w:rsidRPr="00111A8E">
        <w:rPr>
          <w:rFonts w:cs="Calibri"/>
          <w:color w:val="000000"/>
        </w:rPr>
        <w:t>intermediate-risk</w:t>
      </w:r>
      <w:r w:rsidR="008C456F" w:rsidRPr="00111A8E">
        <w:rPr>
          <w:rFonts w:cs="Calibri"/>
          <w:color w:val="000000"/>
        </w:rPr>
        <w:t>’</w:t>
      </w:r>
      <w:r w:rsidRPr="00111A8E">
        <w:rPr>
          <w:rFonts w:cs="Calibri"/>
          <w:color w:val="000000"/>
        </w:rPr>
        <w:t xml:space="preserve"> </w:t>
      </w:r>
      <w:r w:rsidR="008C456F" w:rsidRPr="00111A8E">
        <w:rPr>
          <w:rFonts w:cs="Calibri"/>
          <w:color w:val="000000"/>
        </w:rPr>
        <w:t>pathological risk factors (</w:t>
      </w:r>
      <w:r w:rsidR="008C456F">
        <w:t xml:space="preserve">close margins, N2 disease, </w:t>
      </w:r>
      <w:proofErr w:type="spellStart"/>
      <w:r w:rsidR="008C456F">
        <w:t>perineural</w:t>
      </w:r>
      <w:proofErr w:type="spellEnd"/>
      <w:r w:rsidR="008C456F">
        <w:t xml:space="preserve"> invasion, vascular invasion)</w:t>
      </w:r>
      <w:r w:rsidR="008F150E">
        <w:t>,</w:t>
      </w:r>
      <w:r w:rsidR="008C456F" w:rsidRPr="00111A8E">
        <w:rPr>
          <w:rFonts w:cs="Calibri"/>
          <w:color w:val="000000"/>
        </w:rPr>
        <w:t xml:space="preserve"> </w:t>
      </w:r>
      <w:r w:rsidRPr="00111A8E">
        <w:rPr>
          <w:rFonts w:cs="Calibri"/>
          <w:color w:val="000000"/>
        </w:rPr>
        <w:t>or omitting chemotherapy in</w:t>
      </w:r>
      <w:r w:rsidR="008C456F" w:rsidRPr="00111A8E">
        <w:rPr>
          <w:rFonts w:cs="Calibri"/>
          <w:color w:val="000000"/>
        </w:rPr>
        <w:t xml:space="preserve"> patients with</w:t>
      </w:r>
      <w:r w:rsidRPr="00111A8E">
        <w:rPr>
          <w:rFonts w:cs="Calibri"/>
          <w:color w:val="000000"/>
        </w:rPr>
        <w:t xml:space="preserve"> </w:t>
      </w:r>
      <w:r w:rsidR="008C456F" w:rsidRPr="00111A8E">
        <w:rPr>
          <w:rFonts w:cs="Calibri"/>
          <w:color w:val="000000"/>
        </w:rPr>
        <w:t>‘</w:t>
      </w:r>
      <w:r w:rsidRPr="00111A8E">
        <w:rPr>
          <w:rFonts w:cs="Calibri"/>
          <w:color w:val="000000"/>
        </w:rPr>
        <w:t>high-risk</w:t>
      </w:r>
      <w:r w:rsidR="008C456F" w:rsidRPr="00111A8E">
        <w:rPr>
          <w:rFonts w:cs="Calibri"/>
          <w:color w:val="000000"/>
        </w:rPr>
        <w:t>’</w:t>
      </w:r>
      <w:r w:rsidRPr="00111A8E">
        <w:rPr>
          <w:rFonts w:cs="Calibri"/>
          <w:color w:val="000000"/>
        </w:rPr>
        <w:t xml:space="preserve"> </w:t>
      </w:r>
      <w:r w:rsidR="008C456F" w:rsidRPr="00111A8E">
        <w:rPr>
          <w:rFonts w:cs="Calibri"/>
          <w:color w:val="000000"/>
        </w:rPr>
        <w:t xml:space="preserve">pathological risk factors (positive margins </w:t>
      </w:r>
      <w:r w:rsidR="00A75DC0">
        <w:rPr>
          <w:rFonts w:cs="Calibri"/>
          <w:color w:val="000000"/>
        </w:rPr>
        <w:t>and/</w:t>
      </w:r>
      <w:r w:rsidR="008C456F" w:rsidRPr="00111A8E">
        <w:rPr>
          <w:rFonts w:cs="Calibri"/>
          <w:color w:val="000000"/>
        </w:rPr>
        <w:t>or ECS)</w:t>
      </w:r>
      <w:r w:rsidR="008F150E">
        <w:rPr>
          <w:rFonts w:cs="Calibri"/>
          <w:color w:val="000000"/>
        </w:rPr>
        <w:t>,</w:t>
      </w:r>
      <w:r w:rsidR="008C456F" w:rsidRPr="00111A8E">
        <w:rPr>
          <w:rFonts w:cs="Calibri"/>
          <w:color w:val="000000"/>
        </w:rPr>
        <w:t xml:space="preserve"> </w:t>
      </w:r>
      <w:r w:rsidRPr="00111A8E">
        <w:rPr>
          <w:rFonts w:cs="Calibri"/>
          <w:color w:val="000000"/>
        </w:rPr>
        <w:t>will result in better swallowing function, whilst maintaining excellent clinical outcomes. The primary outcome of the PATHOS phase II study will be long-term patient reported swallowing function measured using the MDADI score at 12 months post-treatment. Secondary outcomes will include local control rates and survival</w:t>
      </w:r>
      <w:r w:rsidR="008F150E">
        <w:rPr>
          <w:rFonts w:cs="Calibri"/>
          <w:color w:val="000000"/>
        </w:rPr>
        <w:t>,</w:t>
      </w:r>
      <w:r w:rsidRPr="00111A8E">
        <w:rPr>
          <w:rFonts w:cs="Calibri"/>
          <w:color w:val="000000"/>
        </w:rPr>
        <w:t xml:space="preserve"> as well as a panel of objective and self-reported swallowing assessments. If the phase II study is successful, PATHOS will continue to a </w:t>
      </w:r>
      <w:r w:rsidR="008C456F" w:rsidRPr="00111A8E">
        <w:rPr>
          <w:rFonts w:cs="Calibri"/>
          <w:color w:val="000000"/>
        </w:rPr>
        <w:t xml:space="preserve">pan-European </w:t>
      </w:r>
      <w:r w:rsidRPr="00111A8E">
        <w:rPr>
          <w:rFonts w:cs="Calibri"/>
          <w:color w:val="000000"/>
        </w:rPr>
        <w:t xml:space="preserve">phase III study with overall survival as the primary endpoint. </w:t>
      </w:r>
    </w:p>
    <w:p w:rsidR="00895A27" w:rsidRPr="00F2212B" w:rsidRDefault="00895A27" w:rsidP="00775429">
      <w:pPr>
        <w:spacing w:line="276" w:lineRule="auto"/>
        <w:jc w:val="both"/>
        <w:rPr>
          <w:b/>
          <w:u w:val="single"/>
        </w:rPr>
      </w:pPr>
      <w:r w:rsidRPr="00F2212B">
        <w:rPr>
          <w:b/>
          <w:u w:val="single"/>
        </w:rPr>
        <w:t>Discussion:</w:t>
      </w:r>
    </w:p>
    <w:p w:rsidR="00250E6D" w:rsidRDefault="008242E8" w:rsidP="00775429">
      <w:pPr>
        <w:spacing w:line="276" w:lineRule="auto"/>
        <w:jc w:val="both"/>
      </w:pPr>
      <w:r>
        <w:t xml:space="preserve">There is an unparalleled opportunity in the UK at the present time to shape the future management of OPSCC for patient benefit. Most oncology </w:t>
      </w:r>
      <w:proofErr w:type="spellStart"/>
      <w:r>
        <w:t>centres</w:t>
      </w:r>
      <w:proofErr w:type="spellEnd"/>
      <w:r>
        <w:t xml:space="preserve"> offer IMRT as a standard of care</w:t>
      </w:r>
      <w:r w:rsidR="00600B84">
        <w:t xml:space="preserve"> for HNSCC and, </w:t>
      </w:r>
      <w:r>
        <w:t xml:space="preserve">in </w:t>
      </w:r>
      <w:proofErr w:type="gramStart"/>
      <w:r>
        <w:t>parallel,</w:t>
      </w:r>
      <w:proofErr w:type="gramEnd"/>
      <w:r>
        <w:t xml:space="preserve"> many surgical uni</w:t>
      </w:r>
      <w:r w:rsidR="008C456F">
        <w:t xml:space="preserve">ts now offer </w:t>
      </w:r>
      <w:proofErr w:type="spellStart"/>
      <w:r w:rsidR="008C456F">
        <w:t>transoral</w:t>
      </w:r>
      <w:proofErr w:type="spellEnd"/>
      <w:r w:rsidR="008C456F">
        <w:t xml:space="preserve"> laser or robotic surgery </w:t>
      </w:r>
      <w:r>
        <w:t xml:space="preserve">to minimize the impact of surgery on the patient. There are </w:t>
      </w:r>
      <w:r w:rsidR="003678D5">
        <w:t xml:space="preserve">currently </w:t>
      </w:r>
      <w:r w:rsidR="00A75DC0">
        <w:t>4 UK randomized controlled trials</w:t>
      </w:r>
      <w:r>
        <w:t xml:space="preserve"> available for patients</w:t>
      </w:r>
      <w:r w:rsidR="00442DF1">
        <w:t xml:space="preserve"> with OPSCC</w:t>
      </w:r>
      <w:r w:rsidR="00111A8E">
        <w:t xml:space="preserve"> </w:t>
      </w:r>
      <w:r w:rsidR="00442DF1">
        <w:t>and</w:t>
      </w:r>
      <w:r w:rsidR="00381E39">
        <w:t>, whenever possible,</w:t>
      </w:r>
      <w:r w:rsidR="00442DF1">
        <w:t xml:space="preserve"> </w:t>
      </w:r>
      <w:r w:rsidR="00381E39">
        <w:t xml:space="preserve">patients should </w:t>
      </w:r>
      <w:r>
        <w:t xml:space="preserve">be offered </w:t>
      </w:r>
      <w:r w:rsidR="00381E39">
        <w:t xml:space="preserve">access to </w:t>
      </w:r>
      <w:r>
        <w:t xml:space="preserve">these studies </w:t>
      </w:r>
      <w:r w:rsidR="00381E39">
        <w:t xml:space="preserve">in order </w:t>
      </w:r>
      <w:r w:rsidR="00442DF1">
        <w:t xml:space="preserve">to build an evidence base </w:t>
      </w:r>
      <w:r w:rsidR="00111A8E">
        <w:t xml:space="preserve">to inform </w:t>
      </w:r>
      <w:r w:rsidR="00442DF1">
        <w:t xml:space="preserve">future management. It appears </w:t>
      </w:r>
      <w:r w:rsidR="00194B25">
        <w:t xml:space="preserve">likely </w:t>
      </w:r>
      <w:r w:rsidR="00442DF1">
        <w:t xml:space="preserve">that </w:t>
      </w:r>
      <w:r w:rsidR="00194B25">
        <w:t xml:space="preserve">future </w:t>
      </w:r>
      <w:r w:rsidR="00442DF1">
        <w:t>evidence-based, patient-cent</w:t>
      </w:r>
      <w:r w:rsidR="00600B84">
        <w:t xml:space="preserve">ered </w:t>
      </w:r>
      <w:r w:rsidR="00600B84">
        <w:lastRenderedPageBreak/>
        <w:t>decision-</w:t>
      </w:r>
      <w:r w:rsidR="00442DF1">
        <w:t xml:space="preserve">making </w:t>
      </w:r>
      <w:r w:rsidR="00600B84">
        <w:t xml:space="preserve">will </w:t>
      </w:r>
      <w:proofErr w:type="spellStart"/>
      <w:r w:rsidR="00442DF1">
        <w:t>ultilize</w:t>
      </w:r>
      <w:proofErr w:type="spellEnd"/>
      <w:r w:rsidR="00442DF1">
        <w:t xml:space="preserve"> both</w:t>
      </w:r>
      <w:r w:rsidR="001968F3">
        <w:t xml:space="preserve"> primary RT and primary surgical treatment</w:t>
      </w:r>
      <w:r w:rsidR="00442DF1">
        <w:t xml:space="preserve"> modalities </w:t>
      </w:r>
      <w:r w:rsidR="00194B25">
        <w:t>to</w:t>
      </w:r>
      <w:r w:rsidR="001968F3">
        <w:t xml:space="preserve"> effectively</w:t>
      </w:r>
      <w:r w:rsidR="00194B25">
        <w:t xml:space="preserve"> manage OPSCC</w:t>
      </w:r>
      <w:r w:rsidR="00381E39">
        <w:t>.</w:t>
      </w:r>
      <w:r w:rsidR="00250E6D">
        <w:br w:type="page"/>
      </w:r>
    </w:p>
    <w:p w:rsidR="00250E6D" w:rsidRPr="003678D5" w:rsidRDefault="00250E6D">
      <w:pPr>
        <w:spacing w:line="276" w:lineRule="auto"/>
        <w:rPr>
          <w:u w:val="single"/>
        </w:rPr>
      </w:pPr>
      <w:r w:rsidRPr="003678D5">
        <w:rPr>
          <w:u w:val="single"/>
        </w:rPr>
        <w:lastRenderedPageBreak/>
        <w:t>Acknowledgements:</w:t>
      </w:r>
    </w:p>
    <w:p w:rsidR="00A75DC0" w:rsidRDefault="003678D5" w:rsidP="003678D5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line="276" w:lineRule="auto"/>
        <w:jc w:val="both"/>
        <w:rPr>
          <w:rFonts w:cs="Calibri"/>
          <w:color w:val="000000"/>
        </w:rPr>
      </w:pPr>
      <w:r w:rsidRPr="00670AB6">
        <w:rPr>
          <w:rFonts w:cs="Calibri"/>
          <w:color w:val="000000"/>
        </w:rPr>
        <w:t>PATHOS is funded by Cancer Research UK (CRUK/13/025) and is supported by CR</w:t>
      </w:r>
      <w:r w:rsidR="008F150E">
        <w:rPr>
          <w:rFonts w:cs="Calibri"/>
          <w:color w:val="000000"/>
        </w:rPr>
        <w:t>-</w:t>
      </w:r>
      <w:r w:rsidRPr="00670AB6">
        <w:rPr>
          <w:rFonts w:cs="Calibri"/>
          <w:color w:val="000000"/>
        </w:rPr>
        <w:t xml:space="preserve">UK core funding at the Wales Cancer Trials Unit (WCTU). The trial is sponsored by Velindre NHS Trust. The authors would like to thank </w:t>
      </w:r>
      <w:r>
        <w:rPr>
          <w:rFonts w:cs="Calibri"/>
          <w:color w:val="000000"/>
        </w:rPr>
        <w:t xml:space="preserve">the Trial Management Group (TMG) for their contribution to the study. </w:t>
      </w:r>
    </w:p>
    <w:p w:rsidR="00250E6D" w:rsidRPr="003678D5" w:rsidRDefault="00A75DC0" w:rsidP="00F2212B">
      <w:pPr>
        <w:spacing w:line="276" w:lineRule="auto"/>
        <w:rPr>
          <w:rFonts w:cs="Calibri"/>
          <w:color w:val="000000"/>
        </w:rPr>
      </w:pPr>
      <w:r>
        <w:rPr>
          <w:rFonts w:cs="Calibri"/>
          <w:color w:val="000000"/>
        </w:rPr>
        <w:br w:type="page"/>
      </w:r>
    </w:p>
    <w:p w:rsidR="00250E6D" w:rsidRPr="00C4614C" w:rsidRDefault="00250E6D">
      <w:pPr>
        <w:spacing w:line="276" w:lineRule="auto"/>
        <w:rPr>
          <w:u w:val="single"/>
        </w:rPr>
      </w:pPr>
      <w:r w:rsidRPr="00C4614C">
        <w:rPr>
          <w:u w:val="single"/>
        </w:rPr>
        <w:lastRenderedPageBreak/>
        <w:t>References:</w:t>
      </w:r>
    </w:p>
    <w:p w:rsidR="00250E6D" w:rsidRPr="00250E6D" w:rsidRDefault="00250E6D" w:rsidP="003678D5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 w:cs="Calibri"/>
        </w:rPr>
        <w:t>Schache A, Powell N</w:t>
      </w:r>
      <w:r w:rsidR="00163B49">
        <w:rPr>
          <w:rFonts w:asciiTheme="majorHAnsi" w:hAnsiTheme="majorHAnsi" w:cs="Calibri"/>
        </w:rPr>
        <w:t xml:space="preserve">, </w:t>
      </w:r>
      <w:proofErr w:type="spellStart"/>
      <w:r w:rsidR="00163B49">
        <w:rPr>
          <w:rFonts w:asciiTheme="majorHAnsi" w:hAnsiTheme="majorHAnsi" w:cs="Calibri"/>
        </w:rPr>
        <w:t>Cuschieri</w:t>
      </w:r>
      <w:proofErr w:type="spellEnd"/>
      <w:r w:rsidR="00163B49">
        <w:rPr>
          <w:rFonts w:asciiTheme="majorHAnsi" w:hAnsiTheme="majorHAnsi" w:cs="Calibri"/>
        </w:rPr>
        <w:t xml:space="preserve"> K, Robinson M, Leary S, </w:t>
      </w:r>
      <w:proofErr w:type="spellStart"/>
      <w:r w:rsidR="00163B49">
        <w:rPr>
          <w:rFonts w:asciiTheme="majorHAnsi" w:hAnsiTheme="majorHAnsi" w:cs="Calibri"/>
        </w:rPr>
        <w:t>Rapozo</w:t>
      </w:r>
      <w:proofErr w:type="spellEnd"/>
      <w:r w:rsidR="00163B49">
        <w:rPr>
          <w:rFonts w:asciiTheme="majorHAnsi" w:hAnsiTheme="majorHAnsi" w:cs="Calibri"/>
        </w:rPr>
        <w:t xml:space="preserve"> D,</w:t>
      </w:r>
      <w:r>
        <w:rPr>
          <w:rFonts w:asciiTheme="majorHAnsi" w:hAnsiTheme="majorHAnsi" w:cs="Calibri"/>
        </w:rPr>
        <w:t xml:space="preserve"> </w:t>
      </w:r>
      <w:r w:rsidRPr="00250E6D">
        <w:rPr>
          <w:rFonts w:asciiTheme="majorHAnsi" w:hAnsiTheme="majorHAnsi" w:cs="Calibri"/>
          <w:i/>
        </w:rPr>
        <w:t>et al</w:t>
      </w:r>
      <w:r>
        <w:rPr>
          <w:rFonts w:asciiTheme="majorHAnsi" w:hAnsiTheme="majorHAnsi" w:cs="Calibri"/>
        </w:rPr>
        <w:t xml:space="preserve">. </w:t>
      </w:r>
      <w:r w:rsidRPr="00250E6D">
        <w:rPr>
          <w:rFonts w:asciiTheme="majorHAnsi" w:hAnsiTheme="majorHAnsi" w:cs="Calibri"/>
        </w:rPr>
        <w:t>The evolving influence of Human Papillomavirus on Oropharyngeal Squamous Cell Carcinoma in the UK: a cross-sectional study 2002-2011</w:t>
      </w:r>
      <w:r>
        <w:rPr>
          <w:rFonts w:asciiTheme="majorHAnsi" w:hAnsiTheme="majorHAnsi" w:cs="Calibri"/>
        </w:rPr>
        <w:t xml:space="preserve">. Submitted for publication. </w:t>
      </w:r>
    </w:p>
    <w:p w:rsidR="00250E6D" w:rsidRPr="00552132" w:rsidRDefault="00250E6D" w:rsidP="003678D5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ajorHAnsi" w:hAnsiTheme="majorHAnsi"/>
        </w:rPr>
      </w:pPr>
      <w:r w:rsidRPr="00250E6D">
        <w:rPr>
          <w:rFonts w:cs="Arial"/>
          <w:noProof/>
        </w:rPr>
        <w:t>Ang KK, Harris J, Wheeler R, Weber R, Rosenthal DI, Nguyen-Tan PF, Westra WH, Chung CH, Jordan RC, Lu C et al: Human Papillomavirus and Survival of Patients with Oropharyngeal Cancer. N Engl J Med 2010, 363(1):24-35.</w:t>
      </w:r>
    </w:p>
    <w:p w:rsidR="00552132" w:rsidRPr="00250E6D" w:rsidRDefault="00552132" w:rsidP="003678D5">
      <w:pPr>
        <w:pStyle w:val="ListParagraph"/>
        <w:numPr>
          <w:ilvl w:val="0"/>
          <w:numId w:val="6"/>
        </w:numPr>
        <w:spacing w:after="160" w:line="276" w:lineRule="auto"/>
        <w:jc w:val="both"/>
        <w:rPr>
          <w:rFonts w:asciiTheme="majorHAnsi" w:hAnsiTheme="majorHAnsi"/>
        </w:rPr>
      </w:pPr>
      <w:r>
        <w:rPr>
          <w:rFonts w:cs="Arial"/>
          <w:noProof/>
        </w:rPr>
        <w:t>National Head and Neck Cancer Audit 2014. 10</w:t>
      </w:r>
      <w:r w:rsidRPr="00552132">
        <w:rPr>
          <w:rFonts w:cs="Arial"/>
          <w:noProof/>
          <w:vertAlign w:val="superscript"/>
        </w:rPr>
        <w:t>th</w:t>
      </w:r>
      <w:r>
        <w:rPr>
          <w:rFonts w:cs="Arial"/>
          <w:noProof/>
        </w:rPr>
        <w:t xml:space="preserve"> Annual Report. Health and Social Care Information Centre 2015. </w:t>
      </w:r>
    </w:p>
    <w:p w:rsidR="00CB5E85" w:rsidRDefault="00552132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552132">
        <w:rPr>
          <w:rFonts w:eastAsia="Calibri" w:cs="Arial"/>
          <w:color w:val="000000"/>
          <w:lang w:eastAsia="en-GB"/>
        </w:rPr>
        <w:t xml:space="preserve">Parsons JT, Mendenhall WM, Stringer SP, </w:t>
      </w:r>
      <w:proofErr w:type="spellStart"/>
      <w:r w:rsidRPr="00552132">
        <w:rPr>
          <w:rFonts w:eastAsia="Calibri" w:cs="Arial"/>
          <w:color w:val="000000"/>
          <w:lang w:eastAsia="en-GB"/>
        </w:rPr>
        <w:t>Amdur</w:t>
      </w:r>
      <w:proofErr w:type="spellEnd"/>
      <w:r w:rsidRPr="00552132">
        <w:rPr>
          <w:rFonts w:eastAsia="Calibri" w:cs="Arial"/>
          <w:color w:val="000000"/>
          <w:lang w:eastAsia="en-GB"/>
        </w:rPr>
        <w:t xml:space="preserve"> RJ, </w:t>
      </w:r>
      <w:proofErr w:type="spellStart"/>
      <w:r w:rsidRPr="00552132">
        <w:rPr>
          <w:rFonts w:eastAsia="Calibri" w:cs="Arial"/>
          <w:color w:val="000000"/>
          <w:lang w:eastAsia="en-GB"/>
        </w:rPr>
        <w:t>Hinerman</w:t>
      </w:r>
      <w:proofErr w:type="spellEnd"/>
      <w:r w:rsidRPr="00552132">
        <w:rPr>
          <w:rFonts w:eastAsia="Calibri" w:cs="Arial"/>
          <w:color w:val="000000"/>
          <w:lang w:eastAsia="en-GB"/>
        </w:rPr>
        <w:t xml:space="preserve"> RW, </w:t>
      </w:r>
      <w:proofErr w:type="spellStart"/>
      <w:r w:rsidRPr="00552132">
        <w:rPr>
          <w:rFonts w:eastAsia="Calibri" w:cs="Arial"/>
          <w:color w:val="000000"/>
          <w:lang w:eastAsia="en-GB"/>
        </w:rPr>
        <w:t>Villaret</w:t>
      </w:r>
      <w:proofErr w:type="spellEnd"/>
      <w:r w:rsidRPr="00552132">
        <w:rPr>
          <w:rFonts w:eastAsia="Calibri" w:cs="Arial"/>
          <w:color w:val="000000"/>
          <w:lang w:eastAsia="en-GB"/>
        </w:rPr>
        <w:t xml:space="preserve"> DB. </w:t>
      </w:r>
      <w:r w:rsidRPr="00552132">
        <w:rPr>
          <w:rFonts w:eastAsia="Calibri" w:cs="Arial"/>
          <w:bCs/>
          <w:lang w:eastAsia="en-GB"/>
        </w:rPr>
        <w:t xml:space="preserve">Squamous Cell Carcinoma of the Oropharynx: </w:t>
      </w:r>
      <w:r w:rsidRPr="00552132">
        <w:rPr>
          <w:rFonts w:eastAsia="Calibri" w:cs="Arial"/>
          <w:bCs/>
          <w:iCs/>
          <w:lang w:eastAsia="en-GB"/>
        </w:rPr>
        <w:t xml:space="preserve">Surgery, Radiation Therapy, or Both. Cancer </w:t>
      </w:r>
      <w:r w:rsidRPr="00552132">
        <w:rPr>
          <w:rFonts w:eastAsia="Calibri" w:cs="Arial"/>
          <w:bCs/>
          <w:lang w:eastAsia="en-GB"/>
        </w:rPr>
        <w:t>2002</w:t>
      </w:r>
      <w:proofErr w:type="gramStart"/>
      <w:r w:rsidRPr="00552132">
        <w:rPr>
          <w:rFonts w:eastAsia="Calibri" w:cs="Arial"/>
          <w:bCs/>
          <w:lang w:eastAsia="en-GB"/>
        </w:rPr>
        <w:t>;94:2967</w:t>
      </w:r>
      <w:proofErr w:type="gramEnd"/>
      <w:r w:rsidRPr="00552132">
        <w:rPr>
          <w:rFonts w:eastAsia="Calibri" w:cs="Arial"/>
          <w:bCs/>
          <w:lang w:eastAsia="en-GB"/>
        </w:rPr>
        <w:t>–80.</w:t>
      </w:r>
    </w:p>
    <w:p w:rsidR="00CB5E85" w:rsidRPr="00CB5E85" w:rsidRDefault="00CB5E85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CB5E85">
        <w:rPr>
          <w:rFonts w:asciiTheme="majorHAnsi" w:eastAsiaTheme="minorHAnsi" w:hAnsiTheme="majorHAnsi" w:cs="AdvPSA88A"/>
        </w:rPr>
        <w:t xml:space="preserve">Garden AS, Morrison WH, Wong PF, et al. Disease-control rates following intensity-modulated radiation therapy for small primary oropharyngeal carcinoma. </w:t>
      </w:r>
      <w:proofErr w:type="spellStart"/>
      <w:r w:rsidRPr="00CB5E85">
        <w:rPr>
          <w:rFonts w:asciiTheme="majorHAnsi" w:eastAsiaTheme="minorHAnsi" w:hAnsiTheme="majorHAnsi" w:cs="AdvPSA88C"/>
        </w:rPr>
        <w:t>Int</w:t>
      </w:r>
      <w:proofErr w:type="spellEnd"/>
      <w:r w:rsidRPr="00CB5E85">
        <w:rPr>
          <w:rFonts w:asciiTheme="majorHAnsi" w:eastAsiaTheme="minorHAnsi" w:hAnsiTheme="majorHAnsi" w:cs="AdvPSA88C"/>
        </w:rPr>
        <w:t xml:space="preserve"> J </w:t>
      </w:r>
      <w:proofErr w:type="spellStart"/>
      <w:r w:rsidRPr="00CB5E85">
        <w:rPr>
          <w:rFonts w:asciiTheme="majorHAnsi" w:eastAsiaTheme="minorHAnsi" w:hAnsiTheme="majorHAnsi" w:cs="AdvPSA88C"/>
        </w:rPr>
        <w:t>Radiat</w:t>
      </w:r>
      <w:proofErr w:type="spellEnd"/>
      <w:r w:rsidRPr="00CB5E85">
        <w:rPr>
          <w:rFonts w:asciiTheme="majorHAnsi" w:eastAsiaTheme="minorHAnsi" w:hAnsiTheme="majorHAnsi" w:cs="AdvPSA88C"/>
        </w:rPr>
        <w:t xml:space="preserve"> </w:t>
      </w:r>
      <w:proofErr w:type="spellStart"/>
      <w:r w:rsidRPr="00CB5E85">
        <w:rPr>
          <w:rFonts w:asciiTheme="majorHAnsi" w:eastAsiaTheme="minorHAnsi" w:hAnsiTheme="majorHAnsi" w:cs="AdvPSA88C"/>
        </w:rPr>
        <w:t>Oncol</w:t>
      </w:r>
      <w:proofErr w:type="spellEnd"/>
      <w:r w:rsidRPr="00CB5E85">
        <w:rPr>
          <w:rFonts w:asciiTheme="majorHAnsi" w:eastAsiaTheme="minorHAnsi" w:hAnsiTheme="majorHAnsi" w:cs="AdvPSA88C"/>
        </w:rPr>
        <w:t xml:space="preserve"> </w:t>
      </w:r>
      <w:proofErr w:type="spellStart"/>
      <w:r w:rsidRPr="00CB5E85">
        <w:rPr>
          <w:rFonts w:asciiTheme="majorHAnsi" w:eastAsiaTheme="minorHAnsi" w:hAnsiTheme="majorHAnsi" w:cs="AdvPSA88C"/>
        </w:rPr>
        <w:t>Biol</w:t>
      </w:r>
      <w:proofErr w:type="spellEnd"/>
      <w:r w:rsidRPr="00CB5E85">
        <w:rPr>
          <w:rFonts w:asciiTheme="majorHAnsi" w:eastAsiaTheme="minorHAnsi" w:hAnsiTheme="majorHAnsi" w:cs="AdvPSA88C"/>
        </w:rPr>
        <w:t xml:space="preserve"> Phys </w:t>
      </w:r>
      <w:r w:rsidRPr="00CB5E85">
        <w:rPr>
          <w:rFonts w:asciiTheme="majorHAnsi" w:eastAsiaTheme="minorHAnsi" w:hAnsiTheme="majorHAnsi" w:cs="AdvPSA88A"/>
        </w:rPr>
        <w:t>2007</w:t>
      </w:r>
      <w:proofErr w:type="gramStart"/>
      <w:r w:rsidRPr="00CB5E85">
        <w:rPr>
          <w:rFonts w:asciiTheme="majorHAnsi" w:eastAsiaTheme="minorHAnsi" w:hAnsiTheme="majorHAnsi" w:cs="AdvPSA88A"/>
        </w:rPr>
        <w:t>;67:438</w:t>
      </w:r>
      <w:proofErr w:type="gramEnd"/>
      <w:r w:rsidRPr="00CB5E85">
        <w:rPr>
          <w:rFonts w:asciiTheme="majorHAnsi" w:eastAsiaTheme="minorHAnsi" w:hAnsiTheme="majorHAnsi" w:cs="AdvPSA88A"/>
        </w:rPr>
        <w:t>-</w:t>
      </w:r>
      <w:r>
        <w:rPr>
          <w:rFonts w:asciiTheme="majorHAnsi" w:eastAsiaTheme="minorHAnsi" w:hAnsiTheme="majorHAnsi" w:cs="AdvPSA88A"/>
        </w:rPr>
        <w:t>444.</w:t>
      </w:r>
    </w:p>
    <w:p w:rsidR="00CB5E85" w:rsidRPr="00CB5E85" w:rsidRDefault="00D356B1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CB5E85">
        <w:rPr>
          <w:lang w:val="en-GB"/>
        </w:rPr>
        <w:t>Calais</w:t>
      </w:r>
      <w:r w:rsidR="00656147" w:rsidRPr="00CB5E85">
        <w:rPr>
          <w:lang w:val="en-GB"/>
        </w:rPr>
        <w:t xml:space="preserve"> G, </w:t>
      </w:r>
      <w:proofErr w:type="spellStart"/>
      <w:r w:rsidR="00656147" w:rsidRPr="00CB5E85">
        <w:rPr>
          <w:lang w:val="en-GB"/>
        </w:rPr>
        <w:t>Alfonsi</w:t>
      </w:r>
      <w:proofErr w:type="spellEnd"/>
      <w:r w:rsidR="00656147" w:rsidRPr="00CB5E85">
        <w:rPr>
          <w:lang w:val="en-GB"/>
        </w:rPr>
        <w:t xml:space="preserve"> M, </w:t>
      </w:r>
      <w:proofErr w:type="spellStart"/>
      <w:r w:rsidR="00656147" w:rsidRPr="00CB5E85">
        <w:rPr>
          <w:lang w:val="en-GB"/>
        </w:rPr>
        <w:t>Bardet</w:t>
      </w:r>
      <w:proofErr w:type="spellEnd"/>
      <w:r w:rsidR="00656147" w:rsidRPr="00CB5E85">
        <w:rPr>
          <w:lang w:val="en-GB"/>
        </w:rPr>
        <w:t xml:space="preserve"> E</w:t>
      </w:r>
      <w:r w:rsidR="00C4614C" w:rsidRPr="00CB5E85">
        <w:rPr>
          <w:lang w:val="en-GB"/>
        </w:rPr>
        <w:t>,</w:t>
      </w:r>
      <w:r w:rsidR="00656147" w:rsidRPr="00CB5E85">
        <w:rPr>
          <w:lang w:val="en-GB"/>
        </w:rPr>
        <w:t xml:space="preserve"> et al.</w:t>
      </w:r>
      <w:r w:rsidR="00656147" w:rsidRPr="00CB5E85">
        <w:rPr>
          <w:rFonts w:ascii="Times New Roman" w:eastAsiaTheme="minorHAnsi" w:hAnsi="Times New Roman"/>
          <w:b/>
          <w:bCs/>
          <w:sz w:val="31"/>
          <w:szCs w:val="31"/>
        </w:rPr>
        <w:t xml:space="preserve"> </w:t>
      </w:r>
      <w:r w:rsidR="00656147" w:rsidRPr="00CB5E85">
        <w:rPr>
          <w:rFonts w:asciiTheme="majorHAnsi" w:eastAsiaTheme="minorHAnsi" w:hAnsiTheme="majorHAnsi"/>
          <w:bCs/>
        </w:rPr>
        <w:t xml:space="preserve">Randomized Trial of Radiation Therapy </w:t>
      </w:r>
      <w:proofErr w:type="gramStart"/>
      <w:r w:rsidR="00656147" w:rsidRPr="00CB5E85">
        <w:rPr>
          <w:rFonts w:asciiTheme="majorHAnsi" w:eastAsiaTheme="minorHAnsi" w:hAnsiTheme="majorHAnsi"/>
          <w:bCs/>
        </w:rPr>
        <w:t>Versus</w:t>
      </w:r>
      <w:proofErr w:type="gramEnd"/>
      <w:r w:rsidR="00656147" w:rsidRPr="00CB5E85">
        <w:rPr>
          <w:rFonts w:asciiTheme="majorHAnsi" w:eastAsiaTheme="minorHAnsi" w:hAnsiTheme="majorHAnsi"/>
          <w:bCs/>
        </w:rPr>
        <w:t xml:space="preserve"> Concomitant Chemotherapy and Radiation Therapy for Advanced-Stage Oropharynx Carcinoma. JNCI 1999; 91: 2081-6</w:t>
      </w:r>
    </w:p>
    <w:p w:rsidR="00CB5E85" w:rsidRPr="00CB5E85" w:rsidRDefault="00656147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CB5E85">
        <w:rPr>
          <w:rFonts w:asciiTheme="majorHAnsi" w:eastAsiaTheme="minorHAnsi" w:hAnsiTheme="majorHAnsi"/>
          <w:bCs/>
        </w:rPr>
        <w:t xml:space="preserve">Denis F, </w:t>
      </w:r>
      <w:proofErr w:type="spellStart"/>
      <w:r w:rsidRPr="00CB5E85">
        <w:rPr>
          <w:rFonts w:asciiTheme="majorHAnsi" w:eastAsiaTheme="minorHAnsi" w:hAnsiTheme="majorHAnsi"/>
          <w:bCs/>
        </w:rPr>
        <w:t>Garaud</w:t>
      </w:r>
      <w:proofErr w:type="spellEnd"/>
      <w:r w:rsidRPr="00CB5E85">
        <w:rPr>
          <w:rFonts w:asciiTheme="majorHAnsi" w:eastAsiaTheme="minorHAnsi" w:hAnsiTheme="majorHAnsi"/>
          <w:bCs/>
        </w:rPr>
        <w:t xml:space="preserve"> P, </w:t>
      </w:r>
      <w:proofErr w:type="spellStart"/>
      <w:r w:rsidRPr="00CB5E85">
        <w:rPr>
          <w:rFonts w:asciiTheme="majorHAnsi" w:eastAsiaTheme="minorHAnsi" w:hAnsiTheme="majorHAnsi"/>
          <w:bCs/>
        </w:rPr>
        <w:t>Bardet</w:t>
      </w:r>
      <w:proofErr w:type="spellEnd"/>
      <w:r w:rsidRPr="00CB5E85">
        <w:rPr>
          <w:rFonts w:asciiTheme="majorHAnsi" w:eastAsiaTheme="minorHAnsi" w:hAnsiTheme="majorHAnsi"/>
          <w:bCs/>
        </w:rPr>
        <w:t xml:space="preserve"> E, et al. </w:t>
      </w:r>
      <w:r w:rsidRPr="00CB5E85">
        <w:rPr>
          <w:rFonts w:asciiTheme="majorHAnsi" w:eastAsiaTheme="minorHAnsi" w:hAnsiTheme="majorHAnsi" w:cs="Minion-Regular"/>
        </w:rPr>
        <w:t xml:space="preserve">Final Results of the 94-01 French Head and Neck Oncology and Radiotherapy Group Randomized Trial Comparing Radiotherapy Alone With Concomitant </w:t>
      </w:r>
      <w:proofErr w:type="spellStart"/>
      <w:r w:rsidRPr="00CB5E85">
        <w:rPr>
          <w:rFonts w:asciiTheme="majorHAnsi" w:eastAsiaTheme="minorHAnsi" w:hAnsiTheme="majorHAnsi" w:cs="Minion-Regular"/>
        </w:rPr>
        <w:t>Radiochemotherapy</w:t>
      </w:r>
      <w:proofErr w:type="spellEnd"/>
      <w:r w:rsidRPr="00CB5E85">
        <w:rPr>
          <w:rFonts w:asciiTheme="majorHAnsi" w:eastAsiaTheme="minorHAnsi" w:hAnsiTheme="majorHAnsi" w:cs="Minion-Regular"/>
        </w:rPr>
        <w:t xml:space="preserve"> in Advanced-Stage </w:t>
      </w:r>
      <w:proofErr w:type="spellStart"/>
      <w:r w:rsidRPr="00CB5E85">
        <w:rPr>
          <w:rFonts w:asciiTheme="majorHAnsi" w:eastAsiaTheme="minorHAnsi" w:hAnsiTheme="majorHAnsi" w:cs="Minion-Regular"/>
        </w:rPr>
        <w:t>Oropharynx</w:t>
      </w:r>
      <w:proofErr w:type="spellEnd"/>
      <w:r w:rsidRPr="00CB5E85">
        <w:rPr>
          <w:rFonts w:asciiTheme="majorHAnsi" w:eastAsiaTheme="minorHAnsi" w:hAnsiTheme="majorHAnsi" w:cs="Minion-Regular"/>
        </w:rPr>
        <w:t xml:space="preserve"> Carcinoma. JCO 2004</w:t>
      </w:r>
      <w:proofErr w:type="gramStart"/>
      <w:r w:rsidRPr="00CB5E85">
        <w:rPr>
          <w:rFonts w:asciiTheme="majorHAnsi" w:eastAsiaTheme="minorHAnsi" w:hAnsiTheme="majorHAnsi" w:cs="Minion-Regular"/>
        </w:rPr>
        <w:t>;</w:t>
      </w:r>
      <w:r w:rsidR="00C4614C" w:rsidRPr="00CB5E85">
        <w:rPr>
          <w:rFonts w:asciiTheme="majorHAnsi" w:eastAsiaTheme="minorHAnsi" w:hAnsiTheme="majorHAnsi" w:cs="Minion-Regular"/>
        </w:rPr>
        <w:t>22:69</w:t>
      </w:r>
      <w:proofErr w:type="gramEnd"/>
      <w:r w:rsidR="00C4614C" w:rsidRPr="00CB5E85">
        <w:rPr>
          <w:rFonts w:asciiTheme="majorHAnsi" w:eastAsiaTheme="minorHAnsi" w:hAnsiTheme="majorHAnsi" w:cs="Minion-Regular"/>
        </w:rPr>
        <w:t>-76.</w:t>
      </w:r>
    </w:p>
    <w:p w:rsidR="00CB5E85" w:rsidRPr="00CB5E85" w:rsidRDefault="00D356B1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CB5E85">
        <w:rPr>
          <w:rFonts w:asciiTheme="majorHAnsi" w:hAnsiTheme="majorHAnsi"/>
          <w:lang w:val="en-GB"/>
        </w:rPr>
        <w:t xml:space="preserve">Denis </w:t>
      </w:r>
      <w:r w:rsidR="00C4614C" w:rsidRPr="00CB5E85">
        <w:rPr>
          <w:rFonts w:asciiTheme="majorHAnsi" w:hAnsiTheme="majorHAnsi"/>
          <w:i/>
          <w:iCs/>
          <w:lang w:val="en-GB"/>
        </w:rPr>
        <w:t xml:space="preserve">F, </w:t>
      </w:r>
      <w:proofErr w:type="spellStart"/>
      <w:r w:rsidR="00C4614C" w:rsidRPr="00CB5E85">
        <w:rPr>
          <w:rFonts w:asciiTheme="majorHAnsi" w:eastAsiaTheme="minorHAnsi" w:hAnsiTheme="majorHAnsi"/>
          <w:bCs/>
        </w:rPr>
        <w:t>Garaud</w:t>
      </w:r>
      <w:proofErr w:type="spellEnd"/>
      <w:r w:rsidR="00C4614C" w:rsidRPr="00CB5E85">
        <w:rPr>
          <w:rFonts w:asciiTheme="majorHAnsi" w:eastAsiaTheme="minorHAnsi" w:hAnsiTheme="majorHAnsi"/>
          <w:bCs/>
        </w:rPr>
        <w:t xml:space="preserve"> P, </w:t>
      </w:r>
      <w:proofErr w:type="spellStart"/>
      <w:r w:rsidR="00C4614C" w:rsidRPr="00CB5E85">
        <w:rPr>
          <w:rFonts w:asciiTheme="majorHAnsi" w:eastAsiaTheme="minorHAnsi" w:hAnsiTheme="majorHAnsi"/>
          <w:bCs/>
        </w:rPr>
        <w:t>Bardet</w:t>
      </w:r>
      <w:proofErr w:type="spellEnd"/>
      <w:r w:rsidR="00C4614C" w:rsidRPr="00CB5E85">
        <w:rPr>
          <w:rFonts w:asciiTheme="majorHAnsi" w:eastAsiaTheme="minorHAnsi" w:hAnsiTheme="majorHAnsi"/>
          <w:bCs/>
        </w:rPr>
        <w:t xml:space="preserve"> E, et al. Late toxicity results of the GORTEC 94-01 </w:t>
      </w:r>
      <w:proofErr w:type="spellStart"/>
      <w:r w:rsidR="00C4614C" w:rsidRPr="00CB5E85">
        <w:rPr>
          <w:rFonts w:asciiTheme="majorHAnsi" w:eastAsiaTheme="minorHAnsi" w:hAnsiTheme="majorHAnsi"/>
          <w:bCs/>
        </w:rPr>
        <w:t>randomised</w:t>
      </w:r>
      <w:proofErr w:type="spellEnd"/>
      <w:r w:rsidR="00C4614C" w:rsidRPr="00CB5E85">
        <w:rPr>
          <w:rFonts w:asciiTheme="majorHAnsi" w:eastAsiaTheme="minorHAnsi" w:hAnsiTheme="majorHAnsi"/>
          <w:bCs/>
        </w:rPr>
        <w:t xml:space="preserve"> trial comparing radiotherapy with concomitant </w:t>
      </w:r>
      <w:proofErr w:type="spellStart"/>
      <w:r w:rsidR="00C4614C" w:rsidRPr="00CB5E85">
        <w:rPr>
          <w:rFonts w:asciiTheme="majorHAnsi" w:eastAsiaTheme="minorHAnsi" w:hAnsiTheme="majorHAnsi"/>
          <w:bCs/>
        </w:rPr>
        <w:t>radiochemotherapy</w:t>
      </w:r>
      <w:proofErr w:type="spellEnd"/>
      <w:r w:rsidR="00C4614C" w:rsidRPr="00CB5E85">
        <w:rPr>
          <w:rFonts w:asciiTheme="majorHAnsi" w:eastAsiaTheme="minorHAnsi" w:hAnsiTheme="majorHAnsi"/>
          <w:bCs/>
        </w:rPr>
        <w:t xml:space="preserve"> for advanced stage oropharynx carcinoma: comparison of lens/soma, RTOG/EORTC, and NCI-CTC scoring systems. IJROBP 2003</w:t>
      </w:r>
      <w:proofErr w:type="gramStart"/>
      <w:r w:rsidR="00C4614C" w:rsidRPr="00CB5E85">
        <w:rPr>
          <w:rFonts w:asciiTheme="majorHAnsi" w:eastAsiaTheme="minorHAnsi" w:hAnsiTheme="majorHAnsi"/>
          <w:bCs/>
        </w:rPr>
        <w:t>;55:93</w:t>
      </w:r>
      <w:proofErr w:type="gramEnd"/>
      <w:r w:rsidR="00C4614C" w:rsidRPr="00CB5E85">
        <w:rPr>
          <w:rFonts w:asciiTheme="majorHAnsi" w:eastAsiaTheme="minorHAnsi" w:hAnsiTheme="majorHAnsi"/>
          <w:bCs/>
        </w:rPr>
        <w:t xml:space="preserve">-98. </w:t>
      </w:r>
    </w:p>
    <w:p w:rsidR="00CB5E85" w:rsidRPr="00CB5E85" w:rsidRDefault="00C4614C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proofErr w:type="spellStart"/>
      <w:r w:rsidRPr="00CB5E85">
        <w:rPr>
          <w:rFonts w:asciiTheme="majorHAnsi" w:eastAsiaTheme="minorHAnsi" w:hAnsiTheme="majorHAnsi" w:cs="AdvGulliv-R"/>
        </w:rPr>
        <w:t>Pignon</w:t>
      </w:r>
      <w:proofErr w:type="spellEnd"/>
      <w:r w:rsidRPr="00CB5E85">
        <w:rPr>
          <w:rFonts w:asciiTheme="majorHAnsi" w:eastAsiaTheme="minorHAnsi" w:hAnsiTheme="majorHAnsi" w:cs="AdvGulliv-R"/>
        </w:rPr>
        <w:t xml:space="preserve"> J-P, </w:t>
      </w:r>
      <w:proofErr w:type="spellStart"/>
      <w:r w:rsidRPr="00CB5E85">
        <w:rPr>
          <w:rFonts w:asciiTheme="majorHAnsi" w:eastAsiaTheme="minorHAnsi" w:hAnsiTheme="majorHAnsi" w:cs="AdvGulliv-R"/>
        </w:rPr>
        <w:t>Mitre</w:t>
      </w:r>
      <w:proofErr w:type="spellEnd"/>
      <w:r w:rsidRPr="00CB5E85">
        <w:rPr>
          <w:rFonts w:asciiTheme="majorHAnsi" w:eastAsiaTheme="minorHAnsi" w:hAnsiTheme="majorHAnsi" w:cs="AdvGulliv-R"/>
        </w:rPr>
        <w:t xml:space="preserve"> </w:t>
      </w:r>
      <w:proofErr w:type="gramStart"/>
      <w:r w:rsidRPr="00CB5E85">
        <w:rPr>
          <w:rFonts w:asciiTheme="majorHAnsi" w:eastAsiaTheme="minorHAnsi" w:hAnsiTheme="majorHAnsi" w:cs="AdvGulliv-R"/>
        </w:rPr>
        <w:t>A</w:t>
      </w:r>
      <w:proofErr w:type="gramEnd"/>
      <w:r w:rsidRPr="00CB5E85">
        <w:rPr>
          <w:rFonts w:asciiTheme="majorHAnsi" w:eastAsiaTheme="minorHAnsi" w:hAnsiTheme="majorHAnsi" w:cs="AdvGulliv-R"/>
        </w:rPr>
        <w:t xml:space="preserve">, </w:t>
      </w:r>
      <w:proofErr w:type="spellStart"/>
      <w:r w:rsidRPr="00CB5E85">
        <w:rPr>
          <w:rFonts w:asciiTheme="majorHAnsi" w:eastAsiaTheme="minorHAnsi" w:hAnsiTheme="majorHAnsi" w:cs="AdvGulliv-R"/>
        </w:rPr>
        <w:t>Maillard</w:t>
      </w:r>
      <w:proofErr w:type="spellEnd"/>
      <w:r w:rsidRPr="00CB5E85">
        <w:rPr>
          <w:rFonts w:asciiTheme="majorHAnsi" w:eastAsiaTheme="minorHAnsi" w:hAnsiTheme="majorHAnsi" w:cs="AdvGulliv-R"/>
        </w:rPr>
        <w:t xml:space="preserve"> E. Meta-analysis of chemotherapy in head and neck cancer (MACH-NC): An update. Radiotherapy Oncology 2009</w:t>
      </w:r>
      <w:proofErr w:type="gramStart"/>
      <w:r w:rsidRPr="00CB5E85">
        <w:rPr>
          <w:rFonts w:asciiTheme="majorHAnsi" w:eastAsiaTheme="minorHAnsi" w:hAnsiTheme="majorHAnsi" w:cs="AdvGulliv-R"/>
        </w:rPr>
        <w:t>;92</w:t>
      </w:r>
      <w:r w:rsidR="005E1401" w:rsidRPr="00CB5E85">
        <w:rPr>
          <w:rFonts w:asciiTheme="majorHAnsi" w:eastAsiaTheme="minorHAnsi" w:hAnsiTheme="majorHAnsi" w:cs="AdvGulliv-R"/>
        </w:rPr>
        <w:t>:4</w:t>
      </w:r>
      <w:proofErr w:type="gramEnd"/>
      <w:r w:rsidR="005E1401" w:rsidRPr="00CB5E85">
        <w:rPr>
          <w:rFonts w:asciiTheme="majorHAnsi" w:eastAsiaTheme="minorHAnsi" w:hAnsiTheme="majorHAnsi" w:cs="AdvGulliv-R"/>
        </w:rPr>
        <w:t>-14.</w:t>
      </w:r>
    </w:p>
    <w:p w:rsidR="00CB5E85" w:rsidRPr="00CB5E85" w:rsidRDefault="005E1401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CB5E85">
        <w:rPr>
          <w:rFonts w:asciiTheme="majorHAnsi" w:hAnsiTheme="majorHAnsi"/>
        </w:rPr>
        <w:t xml:space="preserve">Schache AG, </w:t>
      </w:r>
      <w:proofErr w:type="spellStart"/>
      <w:r w:rsidRPr="00CB5E85">
        <w:rPr>
          <w:rFonts w:asciiTheme="majorHAnsi" w:hAnsiTheme="majorHAnsi"/>
        </w:rPr>
        <w:t>Liloglou</w:t>
      </w:r>
      <w:proofErr w:type="spellEnd"/>
      <w:r w:rsidRPr="00CB5E85">
        <w:rPr>
          <w:rFonts w:asciiTheme="majorHAnsi" w:hAnsiTheme="majorHAnsi"/>
        </w:rPr>
        <w:t xml:space="preserve"> T, Risk JM, et al. Evaluation of human papilloma virus diagnostic testing in oropharyngeal squamous cell carcinoma: sensitivity, specificity, and prognostic discrimination. </w:t>
      </w:r>
      <w:proofErr w:type="spellStart"/>
      <w:r w:rsidRPr="00CB5E85">
        <w:rPr>
          <w:rFonts w:asciiTheme="majorHAnsi" w:hAnsiTheme="majorHAnsi"/>
        </w:rPr>
        <w:t>Clin</w:t>
      </w:r>
      <w:proofErr w:type="spellEnd"/>
      <w:r w:rsidRPr="00CB5E85">
        <w:rPr>
          <w:rFonts w:asciiTheme="majorHAnsi" w:hAnsiTheme="majorHAnsi"/>
        </w:rPr>
        <w:t xml:space="preserve"> Cancer Res 2011</w:t>
      </w:r>
      <w:proofErr w:type="gramStart"/>
      <w:r w:rsidRPr="00CB5E85">
        <w:rPr>
          <w:rFonts w:asciiTheme="majorHAnsi" w:hAnsiTheme="majorHAnsi"/>
        </w:rPr>
        <w:t>;</w:t>
      </w:r>
      <w:r w:rsidRPr="00CB5E85">
        <w:rPr>
          <w:rFonts w:asciiTheme="majorHAnsi" w:hAnsiTheme="majorHAnsi"/>
          <w:b/>
        </w:rPr>
        <w:t>17</w:t>
      </w:r>
      <w:proofErr w:type="gramEnd"/>
      <w:r w:rsidRPr="00CB5E85">
        <w:rPr>
          <w:rFonts w:asciiTheme="majorHAnsi" w:hAnsiTheme="majorHAnsi"/>
        </w:rPr>
        <w:t>(19):6262-71.</w:t>
      </w:r>
    </w:p>
    <w:p w:rsidR="00CB5E85" w:rsidRPr="00CB5E85" w:rsidRDefault="005E1401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proofErr w:type="spellStart"/>
      <w:r w:rsidRPr="00CB5E85">
        <w:rPr>
          <w:rFonts w:asciiTheme="majorHAnsi" w:hAnsiTheme="majorHAnsi"/>
        </w:rPr>
        <w:t>Junor</w:t>
      </w:r>
      <w:proofErr w:type="spellEnd"/>
      <w:r w:rsidRPr="00CB5E85">
        <w:rPr>
          <w:rFonts w:asciiTheme="majorHAnsi" w:hAnsiTheme="majorHAnsi"/>
        </w:rPr>
        <w:t xml:space="preserve"> E, Kerr G, Oniscu A, et al. Benefit of chemotherapy as part of treatment for HPV DNA-positive but p16-negative squamous cell carcinoma of the oropharynx. Br J Cancer 2012</w:t>
      </w:r>
      <w:proofErr w:type="gramStart"/>
      <w:r w:rsidRPr="00CB5E85">
        <w:rPr>
          <w:rFonts w:asciiTheme="majorHAnsi" w:hAnsiTheme="majorHAnsi"/>
        </w:rPr>
        <w:t>;</w:t>
      </w:r>
      <w:r w:rsidRPr="00CB5E85">
        <w:rPr>
          <w:rFonts w:asciiTheme="majorHAnsi" w:hAnsiTheme="majorHAnsi"/>
          <w:b/>
        </w:rPr>
        <w:t>106</w:t>
      </w:r>
      <w:proofErr w:type="gramEnd"/>
      <w:r w:rsidRPr="00CB5E85">
        <w:rPr>
          <w:rFonts w:asciiTheme="majorHAnsi" w:hAnsiTheme="majorHAnsi"/>
        </w:rPr>
        <w:t>(2):358-65.</w:t>
      </w:r>
    </w:p>
    <w:p w:rsidR="00CB5E85" w:rsidRPr="00CB5E85" w:rsidRDefault="005E1401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CB5E85">
        <w:rPr>
          <w:rFonts w:asciiTheme="majorHAnsi" w:hAnsiTheme="majorHAnsi"/>
        </w:rPr>
        <w:t xml:space="preserve">Evans M, </w:t>
      </w:r>
      <w:proofErr w:type="spellStart"/>
      <w:r w:rsidRPr="00CB5E85">
        <w:rPr>
          <w:rFonts w:asciiTheme="majorHAnsi" w:hAnsiTheme="majorHAnsi"/>
        </w:rPr>
        <w:t>Newcombe</w:t>
      </w:r>
      <w:proofErr w:type="spellEnd"/>
      <w:r w:rsidRPr="00CB5E85">
        <w:rPr>
          <w:rFonts w:asciiTheme="majorHAnsi" w:hAnsiTheme="majorHAnsi"/>
        </w:rPr>
        <w:t xml:space="preserve"> R, Fiander A, et al. Human Papillomavirus-associated oropharyngeal cancer: an observational study of diagnosis, prevalence and prognosis in a UK population. BMC Cancer 2013</w:t>
      </w:r>
      <w:proofErr w:type="gramStart"/>
      <w:r w:rsidRPr="00CB5E85">
        <w:rPr>
          <w:rFonts w:asciiTheme="majorHAnsi" w:hAnsiTheme="majorHAnsi"/>
        </w:rPr>
        <w:t>;</w:t>
      </w:r>
      <w:r w:rsidRPr="00CB5E85">
        <w:rPr>
          <w:rFonts w:asciiTheme="majorHAnsi" w:hAnsiTheme="majorHAnsi"/>
          <w:b/>
        </w:rPr>
        <w:t>13</w:t>
      </w:r>
      <w:r w:rsidRPr="00CB5E85">
        <w:rPr>
          <w:rFonts w:asciiTheme="majorHAnsi" w:hAnsiTheme="majorHAnsi"/>
        </w:rPr>
        <w:t>:220</w:t>
      </w:r>
      <w:proofErr w:type="gramEnd"/>
      <w:r w:rsidRPr="00CB5E85">
        <w:rPr>
          <w:rFonts w:asciiTheme="majorHAnsi" w:hAnsiTheme="majorHAnsi"/>
        </w:rPr>
        <w:t>.</w:t>
      </w:r>
    </w:p>
    <w:p w:rsidR="00CB5E85" w:rsidRPr="00CB5E85" w:rsidRDefault="00817900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proofErr w:type="spellStart"/>
      <w:r w:rsidRPr="00CB5E85">
        <w:rPr>
          <w:rFonts w:asciiTheme="majorHAnsi" w:eastAsia="Calibri" w:hAnsiTheme="majorHAnsi" w:cs="Arial"/>
          <w:color w:val="000000"/>
          <w:lang w:eastAsia="en-GB"/>
        </w:rPr>
        <w:lastRenderedPageBreak/>
        <w:t>Caudell</w:t>
      </w:r>
      <w:proofErr w:type="spellEnd"/>
      <w:r w:rsidRPr="00CB5E85">
        <w:rPr>
          <w:rFonts w:asciiTheme="majorHAnsi" w:eastAsia="Calibri" w:hAnsiTheme="majorHAnsi" w:cs="Arial"/>
          <w:color w:val="000000"/>
          <w:lang w:eastAsia="en-GB"/>
        </w:rPr>
        <w:t xml:space="preserve"> JJ, </w:t>
      </w:r>
      <w:proofErr w:type="spellStart"/>
      <w:r w:rsidRPr="00CB5E85">
        <w:rPr>
          <w:rFonts w:asciiTheme="majorHAnsi" w:eastAsia="Calibri" w:hAnsiTheme="majorHAnsi" w:cs="Arial"/>
          <w:color w:val="000000"/>
          <w:lang w:eastAsia="en-GB"/>
        </w:rPr>
        <w:t>Schaner</w:t>
      </w:r>
      <w:proofErr w:type="spellEnd"/>
      <w:r w:rsidRPr="00CB5E85">
        <w:rPr>
          <w:rFonts w:asciiTheme="majorHAnsi" w:eastAsia="Calibri" w:hAnsiTheme="majorHAnsi" w:cs="Arial"/>
          <w:color w:val="000000"/>
          <w:lang w:eastAsia="en-GB"/>
        </w:rPr>
        <w:t xml:space="preserve"> PE, Meredith RF, </w:t>
      </w:r>
      <w:proofErr w:type="spellStart"/>
      <w:r w:rsidRPr="00CB5E85">
        <w:rPr>
          <w:rFonts w:asciiTheme="majorHAnsi" w:eastAsia="Calibri" w:hAnsiTheme="majorHAnsi" w:cs="Arial"/>
          <w:color w:val="000000"/>
          <w:lang w:eastAsia="en-GB"/>
        </w:rPr>
        <w:t>Lochler</w:t>
      </w:r>
      <w:proofErr w:type="spellEnd"/>
      <w:r w:rsidRPr="00CB5E85">
        <w:rPr>
          <w:rFonts w:asciiTheme="majorHAnsi" w:eastAsia="Calibri" w:hAnsiTheme="majorHAnsi" w:cs="Arial"/>
          <w:color w:val="000000"/>
          <w:lang w:eastAsia="en-GB"/>
        </w:rPr>
        <w:t xml:space="preserve"> JL, </w:t>
      </w:r>
      <w:proofErr w:type="spellStart"/>
      <w:r w:rsidRPr="00CB5E85">
        <w:rPr>
          <w:rFonts w:asciiTheme="majorHAnsi" w:eastAsia="Calibri" w:hAnsiTheme="majorHAnsi" w:cs="Arial"/>
          <w:color w:val="000000"/>
          <w:lang w:eastAsia="en-GB"/>
        </w:rPr>
        <w:t>Nabell</w:t>
      </w:r>
      <w:proofErr w:type="spellEnd"/>
      <w:r w:rsidRPr="00CB5E85">
        <w:rPr>
          <w:rFonts w:asciiTheme="majorHAnsi" w:eastAsia="Calibri" w:hAnsiTheme="majorHAnsi" w:cs="Arial"/>
          <w:color w:val="000000"/>
          <w:lang w:eastAsia="en-GB"/>
        </w:rPr>
        <w:t xml:space="preserve"> LM, Carroll WR.  Factors associated with long-term dysphagia after definitive radiotherapy for locally advanced H&amp;N cancer. IJROBP 2009:73</w:t>
      </w:r>
      <w:proofErr w:type="gramStart"/>
      <w:r w:rsidRPr="00CB5E85">
        <w:rPr>
          <w:rFonts w:asciiTheme="majorHAnsi" w:eastAsia="Calibri" w:hAnsiTheme="majorHAnsi" w:cs="Arial"/>
          <w:color w:val="000000"/>
          <w:lang w:eastAsia="en-GB"/>
        </w:rPr>
        <w:t>;410</w:t>
      </w:r>
      <w:proofErr w:type="gramEnd"/>
      <w:r w:rsidRPr="00CB5E85">
        <w:rPr>
          <w:rFonts w:asciiTheme="majorHAnsi" w:eastAsia="Calibri" w:hAnsiTheme="majorHAnsi" w:cs="Arial"/>
          <w:color w:val="000000"/>
          <w:lang w:eastAsia="en-GB"/>
        </w:rPr>
        <w:t xml:space="preserve">-415. </w:t>
      </w:r>
    </w:p>
    <w:p w:rsidR="00CB5E85" w:rsidRPr="00CB5E85" w:rsidRDefault="00817900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proofErr w:type="spellStart"/>
      <w:r w:rsidRPr="00CB5E85">
        <w:rPr>
          <w:rFonts w:asciiTheme="majorHAnsi" w:eastAsia="Calibri" w:hAnsiTheme="majorHAnsi" w:cs="Arial"/>
          <w:iCs/>
          <w:lang w:eastAsia="en-GB"/>
        </w:rPr>
        <w:t>Machtay</w:t>
      </w:r>
      <w:proofErr w:type="spellEnd"/>
      <w:r w:rsidRPr="00CB5E85">
        <w:rPr>
          <w:rFonts w:asciiTheme="majorHAnsi" w:eastAsia="Calibri" w:hAnsiTheme="majorHAnsi" w:cs="Arial"/>
          <w:iCs/>
          <w:lang w:eastAsia="en-GB"/>
        </w:rPr>
        <w:t xml:space="preserve"> M, </w:t>
      </w:r>
      <w:proofErr w:type="spellStart"/>
      <w:r w:rsidRPr="00CB5E85">
        <w:rPr>
          <w:rFonts w:asciiTheme="majorHAnsi" w:eastAsia="Calibri" w:hAnsiTheme="majorHAnsi" w:cs="Arial"/>
          <w:iCs/>
          <w:lang w:eastAsia="en-GB"/>
        </w:rPr>
        <w:t>Moughan</w:t>
      </w:r>
      <w:proofErr w:type="spellEnd"/>
      <w:r w:rsidRPr="00CB5E85">
        <w:rPr>
          <w:rFonts w:asciiTheme="majorHAnsi" w:eastAsia="Calibri" w:hAnsiTheme="majorHAnsi" w:cs="Arial"/>
          <w:iCs/>
          <w:lang w:eastAsia="en-GB"/>
        </w:rPr>
        <w:t xml:space="preserve"> J, </w:t>
      </w:r>
      <w:proofErr w:type="spellStart"/>
      <w:r w:rsidRPr="00CB5E85">
        <w:rPr>
          <w:rFonts w:asciiTheme="majorHAnsi" w:eastAsia="Calibri" w:hAnsiTheme="majorHAnsi" w:cs="Arial"/>
          <w:iCs/>
          <w:lang w:eastAsia="en-GB"/>
        </w:rPr>
        <w:t>Trotti</w:t>
      </w:r>
      <w:proofErr w:type="spellEnd"/>
      <w:r w:rsidRPr="00CB5E85">
        <w:rPr>
          <w:rFonts w:asciiTheme="majorHAnsi" w:eastAsia="Calibri" w:hAnsiTheme="majorHAnsi" w:cs="Arial"/>
          <w:iCs/>
          <w:lang w:eastAsia="en-GB"/>
        </w:rPr>
        <w:t xml:space="preserve"> A, Garden AS, Weber RS, Cooper JS,</w:t>
      </w:r>
      <w:r w:rsidRPr="00CB5E85">
        <w:rPr>
          <w:rFonts w:asciiTheme="majorHAnsi" w:hAnsiTheme="majorHAnsi" w:cs="Arial"/>
          <w:noProof/>
        </w:rPr>
        <w:t xml:space="preserve"> </w:t>
      </w:r>
      <w:proofErr w:type="spellStart"/>
      <w:r w:rsidRPr="00CB5E85">
        <w:rPr>
          <w:rFonts w:asciiTheme="majorHAnsi" w:eastAsia="Calibri" w:hAnsiTheme="majorHAnsi" w:cs="Arial"/>
          <w:iCs/>
          <w:lang w:eastAsia="en-GB"/>
        </w:rPr>
        <w:t>Forastiere</w:t>
      </w:r>
      <w:proofErr w:type="spellEnd"/>
      <w:r w:rsidRPr="00CB5E85">
        <w:rPr>
          <w:rFonts w:asciiTheme="majorHAnsi" w:eastAsia="Calibri" w:hAnsiTheme="majorHAnsi" w:cs="Arial"/>
          <w:iCs/>
          <w:lang w:eastAsia="en-GB"/>
        </w:rPr>
        <w:t xml:space="preserve"> A,  </w:t>
      </w:r>
      <w:proofErr w:type="spellStart"/>
      <w:r w:rsidRPr="00CB5E85">
        <w:rPr>
          <w:rFonts w:asciiTheme="majorHAnsi" w:eastAsia="Calibri" w:hAnsiTheme="majorHAnsi" w:cs="Arial"/>
          <w:iCs/>
          <w:lang w:eastAsia="en-GB"/>
        </w:rPr>
        <w:t>Ang</w:t>
      </w:r>
      <w:proofErr w:type="spellEnd"/>
      <w:r w:rsidRPr="00CB5E85">
        <w:rPr>
          <w:rFonts w:asciiTheme="majorHAnsi" w:eastAsia="Calibri" w:hAnsiTheme="majorHAnsi" w:cs="Arial"/>
          <w:iCs/>
          <w:lang w:eastAsia="en-GB"/>
        </w:rPr>
        <w:t xml:space="preserve"> K. </w:t>
      </w:r>
      <w:r w:rsidRPr="00CB5E85">
        <w:rPr>
          <w:rFonts w:asciiTheme="majorHAnsi" w:eastAsia="Calibri" w:hAnsiTheme="majorHAnsi" w:cs="Arial"/>
          <w:lang w:eastAsia="en-GB"/>
        </w:rPr>
        <w:t xml:space="preserve">Factors Associated With Severe Late Toxicity After Concurrent </w:t>
      </w:r>
      <w:proofErr w:type="spellStart"/>
      <w:r w:rsidRPr="00CB5E85">
        <w:rPr>
          <w:rFonts w:asciiTheme="majorHAnsi" w:eastAsia="Calibri" w:hAnsiTheme="majorHAnsi" w:cs="Arial"/>
          <w:lang w:eastAsia="en-GB"/>
        </w:rPr>
        <w:t>Chemoradiation</w:t>
      </w:r>
      <w:proofErr w:type="spellEnd"/>
      <w:r w:rsidRPr="00CB5E85">
        <w:rPr>
          <w:rFonts w:asciiTheme="majorHAnsi" w:eastAsia="Calibri" w:hAnsiTheme="majorHAnsi" w:cs="Arial"/>
          <w:lang w:eastAsia="en-GB"/>
        </w:rPr>
        <w:t xml:space="preserve"> for Locally Advanced Head and Neck Cancer: An RTOG Analysis. JCO 2008:28:3582-3589.</w:t>
      </w:r>
    </w:p>
    <w:p w:rsidR="00CB5E85" w:rsidRPr="00CB5E85" w:rsidRDefault="00A14782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proofErr w:type="spellStart"/>
      <w:r w:rsidRPr="00CB5E85">
        <w:rPr>
          <w:rFonts w:asciiTheme="majorHAnsi" w:hAnsiTheme="majorHAnsi" w:cs="Arial"/>
          <w:bCs/>
        </w:rPr>
        <w:t>Langendijk</w:t>
      </w:r>
      <w:proofErr w:type="spellEnd"/>
      <w:r w:rsidRPr="00CB5E85">
        <w:rPr>
          <w:rFonts w:asciiTheme="majorHAnsi" w:hAnsiTheme="majorHAnsi" w:cs="Arial"/>
          <w:bCs/>
        </w:rPr>
        <w:t xml:space="preserve"> JA</w:t>
      </w:r>
      <w:r w:rsidRPr="00CB5E85">
        <w:rPr>
          <w:rFonts w:asciiTheme="majorHAnsi" w:hAnsiTheme="majorHAnsi" w:cs="Arial"/>
        </w:rPr>
        <w:t xml:space="preserve">, </w:t>
      </w:r>
      <w:proofErr w:type="spellStart"/>
      <w:r w:rsidRPr="00CB5E85">
        <w:rPr>
          <w:rFonts w:asciiTheme="majorHAnsi" w:hAnsiTheme="majorHAnsi" w:cs="Arial"/>
        </w:rPr>
        <w:t>Doornaert</w:t>
      </w:r>
      <w:proofErr w:type="spellEnd"/>
      <w:r w:rsidRPr="00CB5E85">
        <w:rPr>
          <w:rFonts w:asciiTheme="majorHAnsi" w:hAnsiTheme="majorHAnsi" w:cs="Arial"/>
        </w:rPr>
        <w:t xml:space="preserve"> P, </w:t>
      </w:r>
      <w:proofErr w:type="spellStart"/>
      <w:r w:rsidRPr="00CB5E85">
        <w:rPr>
          <w:rFonts w:asciiTheme="majorHAnsi" w:hAnsiTheme="majorHAnsi" w:cs="Arial"/>
        </w:rPr>
        <w:t>Verdonck</w:t>
      </w:r>
      <w:proofErr w:type="spellEnd"/>
      <w:r w:rsidRPr="00CB5E85">
        <w:rPr>
          <w:rFonts w:asciiTheme="majorHAnsi" w:hAnsiTheme="majorHAnsi" w:cs="Arial"/>
        </w:rPr>
        <w:t xml:space="preserve">-de </w:t>
      </w:r>
      <w:proofErr w:type="spellStart"/>
      <w:r w:rsidRPr="00CB5E85">
        <w:rPr>
          <w:rFonts w:asciiTheme="majorHAnsi" w:hAnsiTheme="majorHAnsi" w:cs="Arial"/>
        </w:rPr>
        <w:t>Leeuw</w:t>
      </w:r>
      <w:proofErr w:type="spellEnd"/>
      <w:r w:rsidRPr="00CB5E85">
        <w:rPr>
          <w:rFonts w:asciiTheme="majorHAnsi" w:hAnsiTheme="majorHAnsi" w:cs="Arial"/>
        </w:rPr>
        <w:t xml:space="preserve"> IM, </w:t>
      </w:r>
      <w:proofErr w:type="spellStart"/>
      <w:r w:rsidRPr="00CB5E85">
        <w:rPr>
          <w:rFonts w:asciiTheme="majorHAnsi" w:hAnsiTheme="majorHAnsi" w:cs="Arial"/>
        </w:rPr>
        <w:t>Leemans</w:t>
      </w:r>
      <w:proofErr w:type="spellEnd"/>
      <w:r w:rsidRPr="00CB5E85">
        <w:rPr>
          <w:rFonts w:asciiTheme="majorHAnsi" w:hAnsiTheme="majorHAnsi" w:cs="Arial"/>
        </w:rPr>
        <w:t xml:space="preserve"> CR, Aaronson NK, </w:t>
      </w:r>
      <w:proofErr w:type="spellStart"/>
      <w:r w:rsidRPr="00CB5E85">
        <w:rPr>
          <w:rFonts w:asciiTheme="majorHAnsi" w:hAnsiTheme="majorHAnsi" w:cs="Arial"/>
        </w:rPr>
        <w:t>Slotman</w:t>
      </w:r>
      <w:proofErr w:type="spellEnd"/>
      <w:r w:rsidRPr="00CB5E85">
        <w:rPr>
          <w:rFonts w:asciiTheme="majorHAnsi" w:hAnsiTheme="majorHAnsi" w:cs="Arial"/>
        </w:rPr>
        <w:t xml:space="preserve"> BJ. Impact of late treatment-related toxicity on quality of life among patients with head and neck cancer treated with radiotherapy. JCO 2008</w:t>
      </w:r>
      <w:proofErr w:type="gramStart"/>
      <w:r w:rsidRPr="00CB5E85">
        <w:rPr>
          <w:rFonts w:asciiTheme="majorHAnsi" w:hAnsiTheme="majorHAnsi" w:cs="Arial"/>
        </w:rPr>
        <w:t>;26:3770</w:t>
      </w:r>
      <w:proofErr w:type="gramEnd"/>
      <w:r w:rsidRPr="00CB5E85">
        <w:rPr>
          <w:rFonts w:asciiTheme="majorHAnsi" w:hAnsiTheme="majorHAnsi" w:cs="Arial"/>
        </w:rPr>
        <w:t>-3776.</w:t>
      </w:r>
    </w:p>
    <w:p w:rsidR="00CB5E85" w:rsidRPr="00CB5E85" w:rsidRDefault="00A14782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CB5E85">
        <w:rPr>
          <w:rFonts w:asciiTheme="majorHAnsi" w:hAnsiTheme="majorHAnsi" w:cs="Arial"/>
          <w:noProof/>
        </w:rPr>
        <w:t>Wilson JA, Carding PN, Patterson JM. Dysphagia after Nonsurgical Head and Neck Cancer Treatment: Patients’ Perspectives. Otolaryngology - Head &amp; Neck Surgery. 2011;145(5):767-71.</w:t>
      </w:r>
      <w:bookmarkStart w:id="0" w:name="_ENREF_2"/>
    </w:p>
    <w:p w:rsidR="00CB5E85" w:rsidRPr="00CB5E85" w:rsidRDefault="00A14782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CB5E85">
        <w:rPr>
          <w:rFonts w:asciiTheme="majorHAnsi" w:hAnsiTheme="majorHAnsi" w:cs="Arial"/>
          <w:noProof/>
        </w:rPr>
        <w:t>Patterson JM., Rapley T., Carding PN., Wilson JA., E. M. Head and neck cancer and dysphagia; caring for carers. Psycho-oncology. 2013;in press. Epub Article first published online: 4 DEC 2012.</w:t>
      </w:r>
      <w:bookmarkEnd w:id="0"/>
    </w:p>
    <w:p w:rsidR="00C468C4" w:rsidRPr="000D248D" w:rsidRDefault="009E5649" w:rsidP="003678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 w:rsidRPr="00CB5E85">
        <w:rPr>
          <w:rFonts w:asciiTheme="majorHAnsi" w:eastAsiaTheme="minorHAnsi" w:hAnsiTheme="majorHAnsi" w:cs="AdvPSA88A"/>
        </w:rPr>
        <w:t xml:space="preserve">Nutting C, </w:t>
      </w:r>
      <w:proofErr w:type="spellStart"/>
      <w:r w:rsidRPr="00CB5E85">
        <w:rPr>
          <w:rFonts w:asciiTheme="majorHAnsi" w:eastAsiaTheme="minorHAnsi" w:hAnsiTheme="majorHAnsi" w:cs="AdvPSA88A"/>
        </w:rPr>
        <w:t>Morden</w:t>
      </w:r>
      <w:proofErr w:type="spellEnd"/>
      <w:r w:rsidRPr="00CB5E85">
        <w:rPr>
          <w:rFonts w:asciiTheme="majorHAnsi" w:eastAsiaTheme="minorHAnsi" w:hAnsiTheme="majorHAnsi" w:cs="AdvPSA88A"/>
        </w:rPr>
        <w:t xml:space="preserve"> J, Harrington K, </w:t>
      </w:r>
      <w:r w:rsidRPr="00CB5E85">
        <w:rPr>
          <w:rFonts w:asciiTheme="majorHAnsi" w:eastAsiaTheme="minorHAnsi" w:hAnsiTheme="majorHAnsi" w:cs="AdvPSA88A"/>
          <w:i/>
        </w:rPr>
        <w:t>et al</w:t>
      </w:r>
      <w:r w:rsidRPr="00CB5E85">
        <w:rPr>
          <w:rFonts w:asciiTheme="majorHAnsi" w:eastAsiaTheme="minorHAnsi" w:hAnsiTheme="majorHAnsi" w:cs="AdvPSA88A"/>
        </w:rPr>
        <w:t>. Parotid-sparing intensity modulated versus conventional radiotherapy in head and neck cancer</w:t>
      </w:r>
      <w:r w:rsidR="00C468C4" w:rsidRPr="00CB5E85">
        <w:rPr>
          <w:rFonts w:asciiTheme="majorHAnsi" w:eastAsiaTheme="minorHAnsi" w:hAnsiTheme="majorHAnsi" w:cs="AdvPSA88A"/>
        </w:rPr>
        <w:t xml:space="preserve"> </w:t>
      </w:r>
      <w:r w:rsidRPr="00CB5E85">
        <w:rPr>
          <w:rFonts w:asciiTheme="majorHAnsi" w:eastAsiaTheme="minorHAnsi" w:hAnsiTheme="majorHAnsi" w:cs="AdvPSA88A"/>
        </w:rPr>
        <w:t xml:space="preserve">(PARSPORT): A phase 3 multicentre </w:t>
      </w:r>
      <w:proofErr w:type="spellStart"/>
      <w:r w:rsidRPr="00CB5E85">
        <w:rPr>
          <w:rFonts w:asciiTheme="majorHAnsi" w:eastAsiaTheme="minorHAnsi" w:hAnsiTheme="majorHAnsi" w:cs="AdvPSA88A"/>
        </w:rPr>
        <w:t>randomised</w:t>
      </w:r>
      <w:proofErr w:type="spellEnd"/>
      <w:r w:rsidRPr="00CB5E85">
        <w:rPr>
          <w:rFonts w:asciiTheme="majorHAnsi" w:eastAsiaTheme="minorHAnsi" w:hAnsiTheme="majorHAnsi" w:cs="AdvPSA88A"/>
        </w:rPr>
        <w:t xml:space="preserve"> controlled trial.</w:t>
      </w:r>
      <w:r w:rsidR="00C468C4" w:rsidRPr="00CB5E85">
        <w:rPr>
          <w:rFonts w:asciiTheme="majorHAnsi" w:eastAsiaTheme="minorHAnsi" w:hAnsiTheme="majorHAnsi" w:cs="AdvPSA88A"/>
        </w:rPr>
        <w:t xml:space="preserve"> </w:t>
      </w:r>
      <w:r w:rsidRPr="00CB5E85">
        <w:rPr>
          <w:rFonts w:asciiTheme="majorHAnsi" w:eastAsiaTheme="minorHAnsi" w:hAnsiTheme="majorHAnsi" w:cs="AdvPSA88C"/>
        </w:rPr>
        <w:t xml:space="preserve">Lancet </w:t>
      </w:r>
      <w:proofErr w:type="spellStart"/>
      <w:r w:rsidRPr="00CB5E85">
        <w:rPr>
          <w:rFonts w:asciiTheme="majorHAnsi" w:eastAsiaTheme="minorHAnsi" w:hAnsiTheme="majorHAnsi" w:cs="AdvPSA88C"/>
        </w:rPr>
        <w:t>Oncol</w:t>
      </w:r>
      <w:proofErr w:type="spellEnd"/>
      <w:r w:rsidRPr="00CB5E85">
        <w:rPr>
          <w:rFonts w:asciiTheme="majorHAnsi" w:eastAsiaTheme="minorHAnsi" w:hAnsiTheme="majorHAnsi" w:cs="AdvPSA88C"/>
        </w:rPr>
        <w:t xml:space="preserve"> </w:t>
      </w:r>
      <w:r w:rsidRPr="00CB5E85">
        <w:rPr>
          <w:rFonts w:asciiTheme="majorHAnsi" w:eastAsiaTheme="minorHAnsi" w:hAnsiTheme="majorHAnsi" w:cs="AdvPSA88A"/>
        </w:rPr>
        <w:t>2011</w:t>
      </w:r>
      <w:proofErr w:type="gramStart"/>
      <w:r w:rsidRPr="00CB5E85">
        <w:rPr>
          <w:rFonts w:asciiTheme="majorHAnsi" w:eastAsiaTheme="minorHAnsi" w:hAnsiTheme="majorHAnsi" w:cs="AdvPSA88A"/>
        </w:rPr>
        <w:t>;12:127</w:t>
      </w:r>
      <w:proofErr w:type="gramEnd"/>
      <w:r w:rsidRPr="00CB5E85">
        <w:rPr>
          <w:rFonts w:asciiTheme="majorHAnsi" w:eastAsiaTheme="minorHAnsi" w:hAnsiTheme="majorHAnsi" w:cs="AdvPSA88A"/>
        </w:rPr>
        <w:t>-136.</w:t>
      </w:r>
    </w:p>
    <w:p w:rsidR="00614FD8" w:rsidRPr="00614FD8" w:rsidRDefault="000D248D" w:rsidP="00614FD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Calibri" w:cs="Arial"/>
          <w:bCs/>
          <w:lang w:eastAsia="en-GB"/>
        </w:rPr>
      </w:pPr>
      <w:r>
        <w:t>S</w:t>
      </w:r>
      <w:r w:rsidRPr="004048C7">
        <w:t xml:space="preserve">taffurth J, Ball C, Hanna G, Ellison T, </w:t>
      </w:r>
      <w:proofErr w:type="spellStart"/>
      <w:r w:rsidRPr="004048C7">
        <w:t>Rowbottom</w:t>
      </w:r>
      <w:proofErr w:type="spellEnd"/>
      <w:r w:rsidRPr="004048C7">
        <w:t xml:space="preserve"> C on behalf of the Radiotherapy Board</w:t>
      </w:r>
      <w:r w:rsidR="004048C7">
        <w:t xml:space="preserve"> 2015. </w:t>
      </w:r>
      <w:r w:rsidR="004048C7" w:rsidRPr="004048C7">
        <w:rPr>
          <w:bCs/>
        </w:rPr>
        <w:t>Intensity Modulated Radiotherapy (IMRT) in the UK:</w:t>
      </w:r>
      <w:r w:rsidR="004048C7">
        <w:rPr>
          <w:bCs/>
        </w:rPr>
        <w:t xml:space="preserve"> Current access and predictions </w:t>
      </w:r>
      <w:r w:rsidR="004048C7" w:rsidRPr="004048C7">
        <w:rPr>
          <w:bCs/>
        </w:rPr>
        <w:t xml:space="preserve">of future access rates. </w:t>
      </w:r>
      <w:hyperlink r:id="rId6" w:history="1">
        <w:r w:rsidR="004048C7">
          <w:rPr>
            <w:rStyle w:val="Hyperlink"/>
          </w:rPr>
          <w:t>http://www.ipem.ac.uk/Portals/0/Documents/Partners/Radiotherapy%20Board/imrt_target_revisions_recommendations_for_colleges_final2.pdf</w:t>
        </w:r>
      </w:hyperlink>
    </w:p>
    <w:p w:rsidR="00E32880" w:rsidRPr="00E32880" w:rsidRDefault="00614FD8" w:rsidP="00E328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614FD8">
        <w:rPr>
          <w:rFonts w:asciiTheme="majorHAnsi" w:eastAsiaTheme="minorHAnsi" w:hAnsiTheme="majorHAnsi" w:cs="Minion-Italic"/>
          <w:iCs/>
        </w:rPr>
        <w:t xml:space="preserve">Nguyen-Tan PF, Zhang Q, </w:t>
      </w:r>
      <w:proofErr w:type="spellStart"/>
      <w:r w:rsidRPr="00614FD8">
        <w:rPr>
          <w:rFonts w:asciiTheme="majorHAnsi" w:eastAsiaTheme="minorHAnsi" w:hAnsiTheme="majorHAnsi" w:cs="Minion-Italic"/>
          <w:iCs/>
        </w:rPr>
        <w:t>Ang</w:t>
      </w:r>
      <w:proofErr w:type="spellEnd"/>
      <w:r w:rsidRPr="00614FD8">
        <w:rPr>
          <w:rFonts w:asciiTheme="majorHAnsi" w:eastAsiaTheme="minorHAnsi" w:hAnsiTheme="majorHAnsi" w:cs="Minion-Italic"/>
          <w:iCs/>
        </w:rPr>
        <w:t xml:space="preserve"> K, Weber R.S, Rosenthal D.I, </w:t>
      </w:r>
      <w:proofErr w:type="spellStart"/>
      <w:r w:rsidRPr="00614FD8">
        <w:rPr>
          <w:rFonts w:asciiTheme="majorHAnsi" w:eastAsiaTheme="minorHAnsi" w:hAnsiTheme="majorHAnsi" w:cs="Minion-Italic"/>
          <w:iCs/>
        </w:rPr>
        <w:t>Soulieres</w:t>
      </w:r>
      <w:proofErr w:type="spellEnd"/>
      <w:r w:rsidRPr="00614FD8">
        <w:rPr>
          <w:rFonts w:asciiTheme="majorHAnsi" w:eastAsiaTheme="minorHAnsi" w:hAnsiTheme="majorHAnsi" w:cs="Minion-Italic"/>
          <w:iCs/>
        </w:rPr>
        <w:t xml:space="preserve"> D, et al. </w:t>
      </w:r>
      <w:r w:rsidRPr="00614FD8">
        <w:rPr>
          <w:rFonts w:asciiTheme="majorHAnsi" w:eastAsiaTheme="minorHAnsi" w:hAnsiTheme="majorHAnsi" w:cs="Minion-Regular"/>
        </w:rPr>
        <w:t xml:space="preserve">Randomized Phase III Trial to Test Accelerated Versus Standard Fractionation in Combination With Concurrent </w:t>
      </w:r>
      <w:proofErr w:type="spellStart"/>
      <w:r w:rsidRPr="00614FD8">
        <w:rPr>
          <w:rFonts w:asciiTheme="majorHAnsi" w:eastAsiaTheme="minorHAnsi" w:hAnsiTheme="majorHAnsi" w:cs="Minion-Regular"/>
        </w:rPr>
        <w:t>Cisplatin</w:t>
      </w:r>
      <w:proofErr w:type="spellEnd"/>
      <w:r w:rsidRPr="00614FD8">
        <w:rPr>
          <w:rFonts w:asciiTheme="majorHAnsi" w:eastAsiaTheme="minorHAnsi" w:hAnsiTheme="majorHAnsi" w:cs="Minion-Regular"/>
        </w:rPr>
        <w:t xml:space="preserve"> for Head and Neck Carcinomas in the Radiation Therapy Oncology Group 0129 Trial: Long-Term Report of Efficacy and Toxicity. </w:t>
      </w:r>
      <w:r w:rsidRPr="00614FD8">
        <w:rPr>
          <w:rFonts w:asciiTheme="majorHAnsi" w:eastAsiaTheme="minorHAnsi" w:hAnsiTheme="majorHAnsi" w:cs="Univers-LightOblique"/>
          <w:i/>
          <w:iCs/>
        </w:rPr>
        <w:t xml:space="preserve">J </w:t>
      </w:r>
      <w:proofErr w:type="spellStart"/>
      <w:r w:rsidRPr="00614FD8">
        <w:rPr>
          <w:rFonts w:asciiTheme="majorHAnsi" w:eastAsiaTheme="minorHAnsi" w:hAnsiTheme="majorHAnsi" w:cs="Univers-LightOblique"/>
          <w:i/>
          <w:iCs/>
        </w:rPr>
        <w:t>Clin</w:t>
      </w:r>
      <w:proofErr w:type="spellEnd"/>
      <w:r w:rsidRPr="00614FD8">
        <w:rPr>
          <w:rFonts w:asciiTheme="majorHAnsi" w:eastAsiaTheme="minorHAnsi" w:hAnsiTheme="majorHAnsi" w:cs="Univers-LightOblique"/>
          <w:i/>
          <w:iCs/>
        </w:rPr>
        <w:t xml:space="preserve"> </w:t>
      </w:r>
      <w:proofErr w:type="spellStart"/>
      <w:r w:rsidRPr="00614FD8">
        <w:rPr>
          <w:rFonts w:asciiTheme="majorHAnsi" w:eastAsiaTheme="minorHAnsi" w:hAnsiTheme="majorHAnsi" w:cs="Univers-LightOblique"/>
          <w:i/>
          <w:iCs/>
        </w:rPr>
        <w:t>Oncol</w:t>
      </w:r>
      <w:proofErr w:type="spellEnd"/>
      <w:r w:rsidRPr="00614FD8">
        <w:rPr>
          <w:rFonts w:asciiTheme="majorHAnsi" w:eastAsiaTheme="minorHAnsi" w:hAnsiTheme="majorHAnsi" w:cs="Univers-LightOblique"/>
          <w:i/>
          <w:iCs/>
        </w:rPr>
        <w:t xml:space="preserve"> </w:t>
      </w:r>
      <w:r w:rsidRPr="00614FD8">
        <w:rPr>
          <w:rFonts w:asciiTheme="majorHAnsi" w:eastAsiaTheme="minorHAnsi" w:hAnsiTheme="majorHAnsi" w:cs="Univers-LightOblique"/>
          <w:iCs/>
        </w:rPr>
        <w:t>2014;</w:t>
      </w:r>
      <w:r w:rsidR="00E32880">
        <w:rPr>
          <w:rFonts w:asciiTheme="majorHAnsi" w:eastAsiaTheme="minorHAnsi" w:hAnsiTheme="majorHAnsi" w:cs="Univers-LightOblique"/>
          <w:iCs/>
        </w:rPr>
        <w:t xml:space="preserve"> 32:3858-3867.</w:t>
      </w:r>
      <w:r w:rsidRPr="00614FD8">
        <w:rPr>
          <w:rFonts w:asciiTheme="majorHAnsi" w:eastAsiaTheme="minorHAnsi" w:hAnsiTheme="majorHAnsi" w:cs="Minion-Regular"/>
        </w:rPr>
        <w:t xml:space="preserve"> Data Supplement.</w:t>
      </w:r>
    </w:p>
    <w:p w:rsidR="00E32880" w:rsidRPr="00E32880" w:rsidRDefault="007D529A" w:rsidP="00E328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E32880">
        <w:rPr>
          <w:rFonts w:asciiTheme="majorHAnsi" w:hAnsiTheme="majorHAnsi" w:cs="Arial"/>
          <w:noProof/>
        </w:rPr>
        <w:t>Patterson J. Swallowing in head and neck cancer patients treated with (chemo)radiotherapy: PhD Thesis, Newcastle University; 2011.</w:t>
      </w:r>
    </w:p>
    <w:p w:rsidR="00E32880" w:rsidRPr="00E32880" w:rsidRDefault="006C6C07" w:rsidP="00E328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E32880">
        <w:rPr>
          <w:rFonts w:asciiTheme="majorHAnsi" w:hAnsiTheme="majorHAnsi"/>
          <w:bCs/>
        </w:rPr>
        <w:t>Eisbruch</w:t>
      </w:r>
      <w:proofErr w:type="spellEnd"/>
      <w:r w:rsidRPr="00E32880">
        <w:rPr>
          <w:rFonts w:asciiTheme="majorHAnsi" w:hAnsiTheme="majorHAnsi"/>
          <w:bCs/>
        </w:rPr>
        <w:t xml:space="preserve"> A</w:t>
      </w:r>
      <w:r w:rsidRPr="00E32880">
        <w:rPr>
          <w:rFonts w:asciiTheme="majorHAnsi" w:hAnsiTheme="majorHAnsi"/>
        </w:rPr>
        <w:t xml:space="preserve">, Kim HM, </w:t>
      </w:r>
      <w:proofErr w:type="spellStart"/>
      <w:r w:rsidRPr="00E32880">
        <w:rPr>
          <w:rFonts w:asciiTheme="majorHAnsi" w:hAnsiTheme="majorHAnsi"/>
        </w:rPr>
        <w:t>Feng</w:t>
      </w:r>
      <w:proofErr w:type="spellEnd"/>
      <w:r w:rsidRPr="00E32880">
        <w:rPr>
          <w:rFonts w:asciiTheme="majorHAnsi" w:hAnsiTheme="majorHAnsi"/>
        </w:rPr>
        <w:t xml:space="preserve"> FY, </w:t>
      </w:r>
      <w:proofErr w:type="spellStart"/>
      <w:r w:rsidRPr="00E32880">
        <w:rPr>
          <w:rFonts w:asciiTheme="majorHAnsi" w:hAnsiTheme="majorHAnsi"/>
        </w:rPr>
        <w:t>Lyden</w:t>
      </w:r>
      <w:proofErr w:type="spellEnd"/>
      <w:r w:rsidRPr="00E32880">
        <w:rPr>
          <w:rFonts w:asciiTheme="majorHAnsi" w:hAnsiTheme="majorHAnsi"/>
        </w:rPr>
        <w:t xml:space="preserve"> TH, </w:t>
      </w:r>
      <w:proofErr w:type="spellStart"/>
      <w:r w:rsidRPr="00E32880">
        <w:rPr>
          <w:rFonts w:asciiTheme="majorHAnsi" w:hAnsiTheme="majorHAnsi"/>
        </w:rPr>
        <w:t>Haxer</w:t>
      </w:r>
      <w:proofErr w:type="spellEnd"/>
      <w:r w:rsidRPr="00E32880">
        <w:rPr>
          <w:rFonts w:asciiTheme="majorHAnsi" w:hAnsiTheme="majorHAnsi"/>
        </w:rPr>
        <w:t xml:space="preserve"> MJ, </w:t>
      </w:r>
      <w:proofErr w:type="spellStart"/>
      <w:r w:rsidRPr="00E32880">
        <w:rPr>
          <w:rFonts w:asciiTheme="majorHAnsi" w:hAnsiTheme="majorHAnsi"/>
        </w:rPr>
        <w:t>Feng</w:t>
      </w:r>
      <w:proofErr w:type="spellEnd"/>
      <w:r w:rsidRPr="00E32880">
        <w:rPr>
          <w:rFonts w:asciiTheme="majorHAnsi" w:hAnsiTheme="majorHAnsi"/>
        </w:rPr>
        <w:t xml:space="preserve"> M, Worden FP, Bradford CR, Prince ME, Moyer JS, Wolf GT, </w:t>
      </w:r>
      <w:proofErr w:type="spellStart"/>
      <w:r w:rsidRPr="00E32880">
        <w:rPr>
          <w:rFonts w:asciiTheme="majorHAnsi" w:hAnsiTheme="majorHAnsi"/>
        </w:rPr>
        <w:t>Chepeha</w:t>
      </w:r>
      <w:proofErr w:type="spellEnd"/>
      <w:r w:rsidRPr="00E32880">
        <w:rPr>
          <w:rFonts w:asciiTheme="majorHAnsi" w:hAnsiTheme="majorHAnsi"/>
        </w:rPr>
        <w:t xml:space="preserve"> DB, Ten </w:t>
      </w:r>
      <w:proofErr w:type="spellStart"/>
      <w:r w:rsidRPr="00E32880">
        <w:rPr>
          <w:rFonts w:asciiTheme="majorHAnsi" w:hAnsiTheme="majorHAnsi"/>
        </w:rPr>
        <w:t>Haken</w:t>
      </w:r>
      <w:proofErr w:type="spellEnd"/>
      <w:r w:rsidRPr="00E32880">
        <w:rPr>
          <w:rFonts w:asciiTheme="majorHAnsi" w:hAnsiTheme="majorHAnsi"/>
        </w:rPr>
        <w:t xml:space="preserve"> RK</w:t>
      </w:r>
      <w:r w:rsidRPr="00E32880">
        <w:rPr>
          <w:rFonts w:asciiTheme="majorHAnsi" w:hAnsiTheme="majorHAnsi" w:cs="Arial"/>
        </w:rPr>
        <w:t xml:space="preserve">. </w:t>
      </w:r>
      <w:r w:rsidRPr="00E32880">
        <w:rPr>
          <w:rFonts w:asciiTheme="majorHAnsi" w:hAnsiTheme="majorHAnsi"/>
        </w:rPr>
        <w:t xml:space="preserve">Chemo-IMRT of oropharyngeal cancer aiming to reduce dysphagia: swallowing organs late complication probabilities and </w:t>
      </w:r>
      <w:proofErr w:type="spellStart"/>
      <w:r w:rsidRPr="00E32880">
        <w:rPr>
          <w:rFonts w:asciiTheme="majorHAnsi" w:hAnsiTheme="majorHAnsi"/>
        </w:rPr>
        <w:t>dosimetric</w:t>
      </w:r>
      <w:proofErr w:type="spellEnd"/>
      <w:r w:rsidRPr="00E32880">
        <w:rPr>
          <w:rFonts w:asciiTheme="majorHAnsi" w:hAnsiTheme="majorHAnsi"/>
        </w:rPr>
        <w:t xml:space="preserve"> correlate. IJROBP 2011</w:t>
      </w:r>
      <w:proofErr w:type="gramStart"/>
      <w:r w:rsidRPr="00E32880">
        <w:rPr>
          <w:rFonts w:asciiTheme="majorHAnsi" w:hAnsiTheme="majorHAnsi"/>
        </w:rPr>
        <w:t>;81</w:t>
      </w:r>
      <w:proofErr w:type="gramEnd"/>
      <w:r w:rsidRPr="00E32880">
        <w:rPr>
          <w:rFonts w:asciiTheme="majorHAnsi" w:hAnsiTheme="majorHAnsi"/>
        </w:rPr>
        <w:t>(3):e93-9.</w:t>
      </w:r>
    </w:p>
    <w:p w:rsidR="00E32880" w:rsidRPr="00E32880" w:rsidRDefault="006C6C07" w:rsidP="00E328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E32880">
        <w:rPr>
          <w:rFonts w:asciiTheme="majorHAnsi" w:hAnsiTheme="majorHAnsi"/>
        </w:rPr>
        <w:t xml:space="preserve">Schwartz DL, Hutcheson K, </w:t>
      </w:r>
      <w:proofErr w:type="spellStart"/>
      <w:r w:rsidRPr="00E32880">
        <w:rPr>
          <w:rFonts w:asciiTheme="majorHAnsi" w:hAnsiTheme="majorHAnsi"/>
        </w:rPr>
        <w:t>Barringer</w:t>
      </w:r>
      <w:proofErr w:type="spellEnd"/>
      <w:r w:rsidRPr="00E32880">
        <w:rPr>
          <w:rFonts w:asciiTheme="majorHAnsi" w:hAnsiTheme="majorHAnsi"/>
        </w:rPr>
        <w:t xml:space="preserve"> D, Tucker SL, </w:t>
      </w:r>
      <w:proofErr w:type="spellStart"/>
      <w:r w:rsidRPr="00E32880">
        <w:rPr>
          <w:rFonts w:asciiTheme="majorHAnsi" w:hAnsiTheme="majorHAnsi"/>
        </w:rPr>
        <w:t>Kies</w:t>
      </w:r>
      <w:proofErr w:type="spellEnd"/>
      <w:r w:rsidRPr="00E32880">
        <w:rPr>
          <w:rFonts w:asciiTheme="majorHAnsi" w:hAnsiTheme="majorHAnsi"/>
        </w:rPr>
        <w:t xml:space="preserve"> M et al. Candidate </w:t>
      </w:r>
      <w:proofErr w:type="spellStart"/>
      <w:r w:rsidRPr="00E32880">
        <w:rPr>
          <w:rFonts w:asciiTheme="majorHAnsi" w:hAnsiTheme="majorHAnsi"/>
        </w:rPr>
        <w:t>dosimetric</w:t>
      </w:r>
      <w:proofErr w:type="spellEnd"/>
      <w:r w:rsidRPr="00E32880">
        <w:rPr>
          <w:rFonts w:asciiTheme="majorHAnsi" w:hAnsiTheme="majorHAnsi"/>
        </w:rPr>
        <w:t xml:space="preserve"> predictors of long term swallowing dysfunction after </w:t>
      </w:r>
      <w:proofErr w:type="spellStart"/>
      <w:r w:rsidRPr="00E32880">
        <w:rPr>
          <w:rFonts w:asciiTheme="majorHAnsi" w:hAnsiTheme="majorHAnsi"/>
        </w:rPr>
        <w:t>oropharyngeal</w:t>
      </w:r>
      <w:proofErr w:type="spellEnd"/>
      <w:r w:rsidRPr="00E32880">
        <w:rPr>
          <w:rFonts w:asciiTheme="majorHAnsi" w:hAnsiTheme="majorHAnsi"/>
        </w:rPr>
        <w:t xml:space="preserve"> IMRT. IJROBP 2010;78(5):1356-1365</w:t>
      </w:r>
    </w:p>
    <w:p w:rsidR="00E32880" w:rsidRPr="00E32880" w:rsidRDefault="008C02CD" w:rsidP="00E3288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E32880">
        <w:rPr>
          <w:rFonts w:asciiTheme="majorHAnsi" w:hAnsiTheme="majorHAnsi"/>
        </w:rPr>
        <w:lastRenderedPageBreak/>
        <w:t xml:space="preserve">Weinstein GS, </w:t>
      </w:r>
      <w:proofErr w:type="spellStart"/>
      <w:r w:rsidRPr="00E32880">
        <w:rPr>
          <w:rFonts w:asciiTheme="majorHAnsi" w:hAnsiTheme="majorHAnsi"/>
        </w:rPr>
        <w:t>Quon</w:t>
      </w:r>
      <w:proofErr w:type="spellEnd"/>
      <w:r w:rsidRPr="00E32880">
        <w:rPr>
          <w:rFonts w:asciiTheme="majorHAnsi" w:hAnsiTheme="majorHAnsi"/>
        </w:rPr>
        <w:t xml:space="preserve"> H, Newman HJ, et al. </w:t>
      </w:r>
      <w:proofErr w:type="spellStart"/>
      <w:r w:rsidRPr="00E32880">
        <w:rPr>
          <w:rFonts w:asciiTheme="majorHAnsi" w:hAnsiTheme="majorHAnsi"/>
        </w:rPr>
        <w:t>Transoral</w:t>
      </w:r>
      <w:proofErr w:type="spellEnd"/>
      <w:r w:rsidRPr="00E32880">
        <w:rPr>
          <w:rFonts w:asciiTheme="majorHAnsi" w:hAnsiTheme="majorHAnsi"/>
        </w:rPr>
        <w:t xml:space="preserve"> robotic surgery alone for early oropharyngeal cancer. Arch </w:t>
      </w:r>
      <w:proofErr w:type="spellStart"/>
      <w:r w:rsidRPr="00E32880">
        <w:rPr>
          <w:rFonts w:asciiTheme="majorHAnsi" w:hAnsiTheme="majorHAnsi"/>
        </w:rPr>
        <w:t>Otolaryngol</w:t>
      </w:r>
      <w:proofErr w:type="spellEnd"/>
      <w:r w:rsidRPr="00E32880">
        <w:rPr>
          <w:rFonts w:asciiTheme="majorHAnsi" w:hAnsiTheme="majorHAnsi"/>
        </w:rPr>
        <w:t xml:space="preserve"> Head Neck </w:t>
      </w:r>
      <w:proofErr w:type="spellStart"/>
      <w:r w:rsidRPr="00E32880">
        <w:rPr>
          <w:rFonts w:asciiTheme="majorHAnsi" w:hAnsiTheme="majorHAnsi"/>
        </w:rPr>
        <w:t>Surg</w:t>
      </w:r>
      <w:proofErr w:type="spellEnd"/>
      <w:r w:rsidRPr="00E32880">
        <w:rPr>
          <w:rFonts w:asciiTheme="majorHAnsi" w:hAnsiTheme="majorHAnsi"/>
        </w:rPr>
        <w:t xml:space="preserve"> 2012</w:t>
      </w:r>
      <w:proofErr w:type="gramStart"/>
      <w:r w:rsidRPr="00E32880">
        <w:rPr>
          <w:rFonts w:asciiTheme="majorHAnsi" w:hAnsiTheme="majorHAnsi"/>
        </w:rPr>
        <w:t>;138:628</w:t>
      </w:r>
      <w:proofErr w:type="gramEnd"/>
      <w:r w:rsidRPr="00E32880">
        <w:rPr>
          <w:rFonts w:asciiTheme="majorHAnsi" w:hAnsiTheme="majorHAnsi"/>
        </w:rPr>
        <w:t>-634.</w:t>
      </w:r>
    </w:p>
    <w:p w:rsidR="003D4039" w:rsidRPr="003D4039" w:rsidRDefault="008C02CD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E32880">
        <w:rPr>
          <w:rFonts w:asciiTheme="majorHAnsi" w:eastAsia="Calibri" w:hAnsiTheme="majorHAnsi" w:cs="Arial"/>
          <w:color w:val="241F20"/>
          <w:lang w:eastAsia="en-GB"/>
        </w:rPr>
        <w:t>Haughey</w:t>
      </w:r>
      <w:proofErr w:type="spellEnd"/>
      <w:r w:rsidRPr="00E32880">
        <w:rPr>
          <w:rFonts w:asciiTheme="majorHAnsi" w:eastAsia="Calibri" w:hAnsiTheme="majorHAnsi" w:cs="Arial"/>
          <w:color w:val="241F20"/>
          <w:lang w:eastAsia="en-GB"/>
        </w:rPr>
        <w:t xml:space="preserve"> BH, </w:t>
      </w:r>
      <w:proofErr w:type="spellStart"/>
      <w:r w:rsidRPr="00E32880">
        <w:rPr>
          <w:rFonts w:asciiTheme="majorHAnsi" w:eastAsia="Calibri" w:hAnsiTheme="majorHAnsi" w:cs="Arial"/>
          <w:color w:val="241F20"/>
          <w:lang w:eastAsia="en-GB"/>
        </w:rPr>
        <w:t>Hinni</w:t>
      </w:r>
      <w:proofErr w:type="spellEnd"/>
      <w:r w:rsidRPr="00E32880">
        <w:rPr>
          <w:rFonts w:asciiTheme="majorHAnsi" w:eastAsia="Calibri" w:hAnsiTheme="majorHAnsi" w:cs="Arial"/>
          <w:color w:val="241F20"/>
          <w:lang w:eastAsia="en-GB"/>
        </w:rPr>
        <w:t xml:space="preserve"> ML, </w:t>
      </w:r>
      <w:proofErr w:type="spellStart"/>
      <w:r w:rsidRPr="00E32880">
        <w:rPr>
          <w:rFonts w:asciiTheme="majorHAnsi" w:eastAsia="Calibri" w:hAnsiTheme="majorHAnsi" w:cs="Arial"/>
          <w:color w:val="241F20"/>
          <w:lang w:eastAsia="en-GB"/>
        </w:rPr>
        <w:t>Salassa</w:t>
      </w:r>
      <w:proofErr w:type="spellEnd"/>
      <w:r w:rsidRPr="00E32880">
        <w:rPr>
          <w:rFonts w:asciiTheme="majorHAnsi" w:eastAsia="Calibri" w:hAnsiTheme="majorHAnsi" w:cs="Arial"/>
          <w:color w:val="241F20"/>
          <w:lang w:eastAsia="en-GB"/>
        </w:rPr>
        <w:t xml:space="preserve"> JR, Hayden RE, Grant DG et al. </w:t>
      </w:r>
      <w:proofErr w:type="spellStart"/>
      <w:r w:rsidRPr="00E32880">
        <w:rPr>
          <w:rFonts w:asciiTheme="majorHAnsi" w:eastAsia="Calibri" w:hAnsiTheme="majorHAnsi" w:cs="Arial"/>
          <w:color w:val="241F20"/>
          <w:lang w:eastAsia="en-GB"/>
        </w:rPr>
        <w:t>Transoral</w:t>
      </w:r>
      <w:proofErr w:type="spellEnd"/>
      <w:r w:rsidRPr="00E32880">
        <w:rPr>
          <w:rFonts w:asciiTheme="majorHAnsi" w:eastAsia="Calibri" w:hAnsiTheme="majorHAnsi" w:cs="Arial"/>
          <w:color w:val="241F20"/>
          <w:lang w:eastAsia="en-GB"/>
        </w:rPr>
        <w:t xml:space="preserve"> laser microsurgery as primary treatment for advanced stage oropharyngeal cancer: a US multicenter study. Head Neck 2011;33: 1683–1694</w:t>
      </w:r>
    </w:p>
    <w:p w:rsidR="003D4039" w:rsidRPr="003D4039" w:rsidRDefault="00557B26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3D4039">
        <w:rPr>
          <w:rFonts w:asciiTheme="majorHAnsi" w:hAnsiTheme="majorHAnsi"/>
        </w:rPr>
        <w:t xml:space="preserve">Li RJ, de Almeida JR, </w:t>
      </w:r>
      <w:proofErr w:type="spellStart"/>
      <w:proofErr w:type="gramStart"/>
      <w:r w:rsidRPr="003D4039">
        <w:rPr>
          <w:rFonts w:asciiTheme="majorHAnsi" w:hAnsiTheme="majorHAnsi"/>
        </w:rPr>
        <w:t>Holsinger</w:t>
      </w:r>
      <w:proofErr w:type="spellEnd"/>
      <w:proofErr w:type="gramEnd"/>
      <w:r w:rsidRPr="003D4039">
        <w:rPr>
          <w:rFonts w:asciiTheme="majorHAnsi" w:hAnsiTheme="majorHAnsi"/>
        </w:rPr>
        <w:t xml:space="preserve"> FC: Oncologic outcomes following </w:t>
      </w:r>
      <w:proofErr w:type="spellStart"/>
      <w:r w:rsidRPr="003D4039">
        <w:rPr>
          <w:rFonts w:asciiTheme="majorHAnsi" w:hAnsiTheme="majorHAnsi"/>
        </w:rPr>
        <w:t>transoral</w:t>
      </w:r>
      <w:proofErr w:type="spellEnd"/>
      <w:r w:rsidRPr="003D4039">
        <w:rPr>
          <w:rFonts w:asciiTheme="majorHAnsi" w:hAnsiTheme="majorHAnsi"/>
        </w:rPr>
        <w:t xml:space="preserve"> robotic surgery (TORS): A multi-institutional study. 2105 Annual Meeting of the American Head and Neck Society, Boston, MA, April 22-23, 2015 (</w:t>
      </w:r>
      <w:proofErr w:type="spellStart"/>
      <w:r w:rsidRPr="003D4039">
        <w:rPr>
          <w:rFonts w:asciiTheme="majorHAnsi" w:hAnsiTheme="majorHAnsi"/>
        </w:rPr>
        <w:t>abstr</w:t>
      </w:r>
      <w:proofErr w:type="spellEnd"/>
      <w:r w:rsidRPr="003D4039">
        <w:rPr>
          <w:rFonts w:asciiTheme="majorHAnsi" w:hAnsiTheme="majorHAnsi"/>
        </w:rPr>
        <w:t xml:space="preserve"> C13</w:t>
      </w:r>
      <w:r w:rsidR="00381E39" w:rsidRPr="003D4039">
        <w:rPr>
          <w:rFonts w:asciiTheme="majorHAnsi" w:hAnsiTheme="majorHAnsi"/>
        </w:rPr>
        <w:t>8).</w:t>
      </w:r>
    </w:p>
    <w:p w:rsidR="003D4039" w:rsidRPr="003D4039" w:rsidRDefault="00F21C31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3D4039">
        <w:rPr>
          <w:rFonts w:asciiTheme="majorHAnsi" w:hAnsiTheme="majorHAnsi"/>
        </w:rPr>
        <w:t>Morisod</w:t>
      </w:r>
      <w:proofErr w:type="spellEnd"/>
      <w:r w:rsidRPr="003D4039">
        <w:rPr>
          <w:rFonts w:asciiTheme="majorHAnsi" w:hAnsiTheme="majorHAnsi"/>
        </w:rPr>
        <w:t xml:space="preserve"> B, Simon C. A meta-analysis on survival of patients treated with trans-oral surgery (TOS) versus radiotherapy (RT) for early stage squamous cell carcinoma of the oropharynx (OPSCC). Head Neck. 2014 Dec 24 </w:t>
      </w:r>
    </w:p>
    <w:p w:rsidR="003D4039" w:rsidRPr="003D4039" w:rsidRDefault="00AA5F66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3D4039">
        <w:rPr>
          <w:rFonts w:asciiTheme="majorHAnsi" w:hAnsiTheme="majorHAnsi"/>
        </w:rPr>
        <w:t xml:space="preserve">De Almeida, J.R., et al., A systematic review of </w:t>
      </w:r>
      <w:proofErr w:type="spellStart"/>
      <w:r w:rsidRPr="003D4039">
        <w:rPr>
          <w:rFonts w:asciiTheme="majorHAnsi" w:hAnsiTheme="majorHAnsi"/>
        </w:rPr>
        <w:t>transoral</w:t>
      </w:r>
      <w:proofErr w:type="spellEnd"/>
      <w:r w:rsidRPr="003D4039">
        <w:rPr>
          <w:rFonts w:asciiTheme="majorHAnsi" w:hAnsiTheme="majorHAnsi"/>
        </w:rPr>
        <w:t xml:space="preserve"> robotic surgery and radiotherapy for early oropharynx cancer: a systematic review. Laryngoscope, 2014. 124(9): p. 2096-102. </w:t>
      </w:r>
    </w:p>
    <w:p w:rsidR="003D4039" w:rsidRPr="003D4039" w:rsidRDefault="00F5505B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3D4039">
        <w:rPr>
          <w:rFonts w:asciiTheme="majorHAnsi" w:hAnsiTheme="majorHAnsi"/>
        </w:rPr>
        <w:t xml:space="preserve">Kelly, K., et al., Oncologic, functional and surgical outcomes of primary </w:t>
      </w:r>
      <w:proofErr w:type="spellStart"/>
      <w:r w:rsidRPr="003D4039">
        <w:rPr>
          <w:rFonts w:asciiTheme="majorHAnsi" w:hAnsiTheme="majorHAnsi"/>
        </w:rPr>
        <w:t>Transoral</w:t>
      </w:r>
      <w:proofErr w:type="spellEnd"/>
      <w:r w:rsidRPr="003D4039">
        <w:rPr>
          <w:rFonts w:asciiTheme="majorHAnsi" w:hAnsiTheme="majorHAnsi"/>
        </w:rPr>
        <w:t xml:space="preserve"> Robotic Surgery for early squamous cell cancer of the oropharynx: a systematic review. Oral </w:t>
      </w:r>
      <w:proofErr w:type="spellStart"/>
      <w:r w:rsidRPr="003D4039">
        <w:rPr>
          <w:rFonts w:asciiTheme="majorHAnsi" w:hAnsiTheme="majorHAnsi"/>
        </w:rPr>
        <w:t>Oncol</w:t>
      </w:r>
      <w:proofErr w:type="spellEnd"/>
      <w:r w:rsidRPr="003D4039">
        <w:rPr>
          <w:rFonts w:asciiTheme="majorHAnsi" w:hAnsiTheme="majorHAnsi"/>
        </w:rPr>
        <w:t xml:space="preserve">, 2014. 50(8): p. 696-703. </w:t>
      </w:r>
    </w:p>
    <w:p w:rsidR="003D4039" w:rsidRPr="003D4039" w:rsidRDefault="00A05D17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3D4039">
        <w:rPr>
          <w:rFonts w:asciiTheme="majorHAnsi" w:hAnsiTheme="majorHAnsi"/>
        </w:rPr>
        <w:t xml:space="preserve">Moore EJ, Olsen SM, </w:t>
      </w:r>
      <w:proofErr w:type="spellStart"/>
      <w:r w:rsidRPr="003D4039">
        <w:rPr>
          <w:rFonts w:asciiTheme="majorHAnsi" w:hAnsiTheme="majorHAnsi"/>
        </w:rPr>
        <w:t>Laborde</w:t>
      </w:r>
      <w:proofErr w:type="spellEnd"/>
      <w:r w:rsidRPr="003D4039">
        <w:rPr>
          <w:rFonts w:asciiTheme="majorHAnsi" w:hAnsiTheme="majorHAnsi"/>
        </w:rPr>
        <w:t xml:space="preserve"> RR, et al. </w:t>
      </w:r>
      <w:r w:rsidRPr="003D4039">
        <w:rPr>
          <w:rFonts w:asciiTheme="majorHAnsi" w:eastAsiaTheme="minorHAnsi" w:hAnsiTheme="majorHAnsi" w:cs="GillSans-Light"/>
        </w:rPr>
        <w:t>Long-term Functional and Oncologic Results of</w:t>
      </w:r>
      <w:r w:rsidRPr="003D4039">
        <w:rPr>
          <w:rFonts w:asciiTheme="majorHAnsi" w:hAnsiTheme="majorHAnsi" w:cs="GillSans-Light"/>
        </w:rPr>
        <w:t xml:space="preserve"> </w:t>
      </w:r>
      <w:proofErr w:type="spellStart"/>
      <w:r w:rsidRPr="003D4039">
        <w:rPr>
          <w:rFonts w:asciiTheme="majorHAnsi" w:eastAsiaTheme="minorHAnsi" w:hAnsiTheme="majorHAnsi" w:cs="GillSans-Light"/>
        </w:rPr>
        <w:t>Transoral</w:t>
      </w:r>
      <w:proofErr w:type="spellEnd"/>
      <w:r w:rsidRPr="003D4039">
        <w:rPr>
          <w:rFonts w:asciiTheme="majorHAnsi" w:eastAsiaTheme="minorHAnsi" w:hAnsiTheme="majorHAnsi" w:cs="GillSans-Light"/>
        </w:rPr>
        <w:t xml:space="preserve"> Robotic Surgery for Oropharyngeal</w:t>
      </w:r>
      <w:r w:rsidRPr="003D4039">
        <w:rPr>
          <w:rFonts w:asciiTheme="majorHAnsi" w:hAnsiTheme="majorHAnsi" w:cstheme="minorBidi"/>
        </w:rPr>
        <w:t xml:space="preserve"> </w:t>
      </w:r>
      <w:r w:rsidRPr="003D4039">
        <w:rPr>
          <w:rFonts w:asciiTheme="majorHAnsi" w:eastAsiaTheme="minorHAnsi" w:hAnsiTheme="majorHAnsi" w:cs="GillSans-Light"/>
        </w:rPr>
        <w:t>Squamous Cell Carcinoma</w:t>
      </w:r>
      <w:r w:rsidRPr="003D4039">
        <w:rPr>
          <w:rFonts w:asciiTheme="majorHAnsi" w:hAnsiTheme="majorHAnsi" w:cs="GillSans-Light"/>
        </w:rPr>
        <w:t>. Mayo Clinic Proc 2012:87:219-225.</w:t>
      </w:r>
    </w:p>
    <w:p w:rsidR="003D4039" w:rsidRPr="003D4039" w:rsidRDefault="00A05D17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3D4039">
        <w:rPr>
          <w:rFonts w:asciiTheme="majorHAnsi" w:hAnsiTheme="majorHAnsi" w:cs="GillSans-Light"/>
        </w:rPr>
        <w:t>Genden</w:t>
      </w:r>
      <w:proofErr w:type="spellEnd"/>
      <w:r w:rsidRPr="003D4039">
        <w:rPr>
          <w:rFonts w:asciiTheme="majorHAnsi" w:hAnsiTheme="majorHAnsi" w:cs="GillSans-Light"/>
        </w:rPr>
        <w:t xml:space="preserve"> EM, </w:t>
      </w:r>
      <w:proofErr w:type="spellStart"/>
      <w:r w:rsidRPr="003D4039">
        <w:rPr>
          <w:rFonts w:asciiTheme="majorHAnsi" w:hAnsiTheme="majorHAnsi" w:cs="GillSans-Light"/>
        </w:rPr>
        <w:t>Kotz</w:t>
      </w:r>
      <w:proofErr w:type="spellEnd"/>
      <w:r w:rsidRPr="003D4039">
        <w:rPr>
          <w:rFonts w:asciiTheme="majorHAnsi" w:hAnsiTheme="majorHAnsi" w:cs="GillSans-Light"/>
        </w:rPr>
        <w:t xml:space="preserve"> T, Tong CCL. </w:t>
      </w:r>
      <w:proofErr w:type="spellStart"/>
      <w:r w:rsidRPr="003D4039">
        <w:rPr>
          <w:rFonts w:asciiTheme="majorHAnsi" w:eastAsiaTheme="minorHAnsi" w:hAnsiTheme="majorHAnsi" w:cs="AdvP66FA"/>
          <w:color w:val="241F20"/>
        </w:rPr>
        <w:t>Transoral</w:t>
      </w:r>
      <w:proofErr w:type="spellEnd"/>
      <w:r w:rsidRPr="003D4039">
        <w:rPr>
          <w:rFonts w:asciiTheme="majorHAnsi" w:eastAsiaTheme="minorHAnsi" w:hAnsiTheme="majorHAnsi" w:cs="AdvP66FA"/>
          <w:color w:val="241F20"/>
        </w:rPr>
        <w:t xml:space="preserve"> Robotic Resection and Reconstruction for Head and</w:t>
      </w:r>
      <w:r w:rsidRPr="003D4039">
        <w:rPr>
          <w:rFonts w:asciiTheme="majorHAnsi" w:hAnsiTheme="majorHAnsi" w:cstheme="minorBidi"/>
        </w:rPr>
        <w:t xml:space="preserve"> </w:t>
      </w:r>
      <w:r w:rsidRPr="003D4039">
        <w:rPr>
          <w:rFonts w:asciiTheme="majorHAnsi" w:eastAsiaTheme="minorHAnsi" w:hAnsiTheme="majorHAnsi" w:cs="AdvP66FA"/>
          <w:color w:val="241F20"/>
        </w:rPr>
        <w:t>Neck Cancer</w:t>
      </w:r>
      <w:r w:rsidRPr="003D4039">
        <w:rPr>
          <w:rFonts w:asciiTheme="majorHAnsi" w:hAnsiTheme="majorHAnsi" w:cs="AdvP66FA"/>
          <w:color w:val="241F20"/>
        </w:rPr>
        <w:t xml:space="preserve">. Laryngoscope 2011; </w:t>
      </w:r>
      <w:r w:rsidRPr="003D4039">
        <w:rPr>
          <w:rFonts w:asciiTheme="majorHAnsi" w:eastAsiaTheme="minorHAnsi" w:hAnsiTheme="majorHAnsi" w:cs="AdvTT0eeac7f7.B"/>
          <w:color w:val="241F20"/>
        </w:rPr>
        <w:t>121:1668–1674</w:t>
      </w:r>
      <w:r w:rsidRPr="003D4039">
        <w:rPr>
          <w:rFonts w:asciiTheme="majorHAnsi" w:hAnsiTheme="majorHAnsi" w:cs="AdvTT0eeac7f7.B"/>
          <w:color w:val="241F20"/>
        </w:rPr>
        <w:t>.</w:t>
      </w:r>
    </w:p>
    <w:p w:rsidR="003D4039" w:rsidRPr="003D4039" w:rsidRDefault="00A05D17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3D4039">
        <w:rPr>
          <w:rFonts w:asciiTheme="majorHAnsi" w:hAnsiTheme="majorHAnsi" w:cs="AdvTT0eeac7f7.B"/>
          <w:color w:val="241F20"/>
        </w:rPr>
        <w:t>Quon</w:t>
      </w:r>
      <w:proofErr w:type="spellEnd"/>
      <w:r w:rsidRPr="003D4039">
        <w:rPr>
          <w:rFonts w:asciiTheme="majorHAnsi" w:hAnsiTheme="majorHAnsi" w:cs="AdvTT0eeac7f7.B"/>
          <w:color w:val="241F20"/>
        </w:rPr>
        <w:t xml:space="preserve"> H, Cohen MA, </w:t>
      </w:r>
      <w:proofErr w:type="spellStart"/>
      <w:r w:rsidRPr="003D4039">
        <w:rPr>
          <w:rFonts w:asciiTheme="majorHAnsi" w:hAnsiTheme="majorHAnsi" w:cs="AdvTT0eeac7f7.B"/>
          <w:color w:val="241F20"/>
        </w:rPr>
        <w:t>Montone</w:t>
      </w:r>
      <w:proofErr w:type="spellEnd"/>
      <w:r w:rsidRPr="003D4039">
        <w:rPr>
          <w:rFonts w:asciiTheme="majorHAnsi" w:hAnsiTheme="majorHAnsi" w:cs="AdvTT0eeac7f7.B"/>
          <w:color w:val="241F20"/>
        </w:rPr>
        <w:t xml:space="preserve"> KT. </w:t>
      </w:r>
      <w:proofErr w:type="spellStart"/>
      <w:r w:rsidRPr="003D4039">
        <w:rPr>
          <w:rFonts w:asciiTheme="majorHAnsi" w:eastAsiaTheme="minorHAnsi" w:hAnsiTheme="majorHAnsi" w:cs="AdvP66FA"/>
          <w:color w:val="231F20"/>
        </w:rPr>
        <w:t>Transoral</w:t>
      </w:r>
      <w:proofErr w:type="spellEnd"/>
      <w:r w:rsidRPr="003D4039">
        <w:rPr>
          <w:rFonts w:asciiTheme="majorHAnsi" w:eastAsiaTheme="minorHAnsi" w:hAnsiTheme="majorHAnsi" w:cs="AdvP66FA"/>
          <w:color w:val="231F20"/>
        </w:rPr>
        <w:t xml:space="preserve"> Robotic Surgery and Adjuvant Therapy for Oropharyngeal</w:t>
      </w:r>
      <w:r w:rsidRPr="003D4039">
        <w:rPr>
          <w:rFonts w:asciiTheme="majorHAnsi" w:hAnsiTheme="majorHAnsi" w:cstheme="minorBidi"/>
        </w:rPr>
        <w:t xml:space="preserve"> </w:t>
      </w:r>
      <w:r w:rsidRPr="003D4039">
        <w:rPr>
          <w:rFonts w:asciiTheme="majorHAnsi" w:eastAsiaTheme="minorHAnsi" w:hAnsiTheme="majorHAnsi" w:cs="AdvP66FA"/>
          <w:color w:val="231F20"/>
        </w:rPr>
        <w:t>Carcinomas and the Influence of p16INK4a on Treatment Outcomes</w:t>
      </w:r>
      <w:r w:rsidRPr="003D4039">
        <w:rPr>
          <w:rFonts w:asciiTheme="majorHAnsi" w:hAnsiTheme="majorHAnsi" w:cs="AdvP66FA"/>
          <w:color w:val="231F20"/>
        </w:rPr>
        <w:t xml:space="preserve">. </w:t>
      </w:r>
      <w:r w:rsidRPr="003D4039">
        <w:rPr>
          <w:rFonts w:asciiTheme="majorHAnsi" w:eastAsiaTheme="minorHAnsi" w:hAnsiTheme="majorHAnsi" w:cs="AdvTTbfd4e789.BI"/>
          <w:color w:val="231F20"/>
        </w:rPr>
        <w:t>Laryngoscope</w:t>
      </w:r>
      <w:r w:rsidRPr="003D4039">
        <w:rPr>
          <w:rFonts w:asciiTheme="majorHAnsi" w:hAnsiTheme="majorHAnsi" w:cs="AdvTTbfd4e789.BI"/>
          <w:color w:val="231F20"/>
        </w:rPr>
        <w:t xml:space="preserve"> 2013; </w:t>
      </w:r>
      <w:r w:rsidRPr="003D4039">
        <w:rPr>
          <w:rFonts w:asciiTheme="majorHAnsi" w:eastAsiaTheme="minorHAnsi" w:hAnsiTheme="majorHAnsi" w:cs="AdvTT0eeac7f7.B"/>
          <w:color w:val="231F20"/>
        </w:rPr>
        <w:t>123:635–640</w:t>
      </w:r>
      <w:r w:rsidRPr="003D4039">
        <w:rPr>
          <w:rFonts w:asciiTheme="majorHAnsi" w:hAnsiTheme="majorHAnsi" w:cs="AdvTT0eeac7f7.B"/>
          <w:color w:val="231F20"/>
        </w:rPr>
        <w:t xml:space="preserve">. </w:t>
      </w:r>
    </w:p>
    <w:p w:rsidR="003D4039" w:rsidRPr="003D4039" w:rsidRDefault="005802CB" w:rsidP="003D403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670AB6">
        <w:rPr>
          <w:noProof/>
        </w:rPr>
        <w:t>Rackley T, Caley A, Palaniappan N, Evans M</w:t>
      </w:r>
      <w:r>
        <w:rPr>
          <w:noProof/>
        </w:rPr>
        <w:t xml:space="preserve">. </w:t>
      </w:r>
      <w:r w:rsidRPr="00573FAB">
        <w:rPr>
          <w:noProof/>
        </w:rPr>
        <w:t>Management of oropharyngeal cancer – UK survey shows variations in practice.</w:t>
      </w:r>
      <w:r w:rsidRPr="003D4039">
        <w:rPr>
          <w:b/>
          <w:noProof/>
        </w:rPr>
        <w:t xml:space="preserve"> </w:t>
      </w:r>
      <w:r w:rsidRPr="00573FAB">
        <w:rPr>
          <w:noProof/>
        </w:rPr>
        <w:t>Clin Oncol</w:t>
      </w:r>
      <w:r>
        <w:rPr>
          <w:noProof/>
        </w:rPr>
        <w:t>.</w:t>
      </w:r>
      <w:r w:rsidRPr="00670AB6">
        <w:rPr>
          <w:noProof/>
        </w:rPr>
        <w:t xml:space="preserve"> 2014</w:t>
      </w:r>
      <w:r>
        <w:rPr>
          <w:noProof/>
        </w:rPr>
        <w:t>;</w:t>
      </w:r>
      <w:r w:rsidRPr="00573FAB">
        <w:rPr>
          <w:noProof/>
        </w:rPr>
        <w:t>26</w:t>
      </w:r>
      <w:r w:rsidRPr="00670AB6">
        <w:rPr>
          <w:noProof/>
        </w:rPr>
        <w:t>(3):175-7.</w:t>
      </w:r>
    </w:p>
    <w:p w:rsidR="00841FEA" w:rsidRPr="00841FEA" w:rsidRDefault="00917B22" w:rsidP="00841F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3D4039">
        <w:rPr>
          <w:rFonts w:asciiTheme="majorHAnsi" w:hAnsiTheme="majorHAnsi"/>
          <w:lang w:val="en-GB"/>
        </w:rPr>
        <w:t>Dziegielewski</w:t>
      </w:r>
      <w:proofErr w:type="spellEnd"/>
      <w:r w:rsidRPr="003D4039">
        <w:rPr>
          <w:rFonts w:asciiTheme="majorHAnsi" w:hAnsiTheme="majorHAnsi"/>
          <w:lang w:val="en-GB"/>
        </w:rPr>
        <w:t xml:space="preserve"> PT, </w:t>
      </w:r>
      <w:proofErr w:type="spellStart"/>
      <w:r w:rsidRPr="003D4039">
        <w:rPr>
          <w:rFonts w:asciiTheme="majorHAnsi" w:hAnsiTheme="majorHAnsi"/>
          <w:lang w:val="en-GB"/>
        </w:rPr>
        <w:t>Teknos</w:t>
      </w:r>
      <w:proofErr w:type="spellEnd"/>
      <w:r w:rsidRPr="003D4039">
        <w:rPr>
          <w:rFonts w:asciiTheme="majorHAnsi" w:hAnsiTheme="majorHAnsi"/>
          <w:lang w:val="en-GB"/>
        </w:rPr>
        <w:t xml:space="preserve"> TN, </w:t>
      </w:r>
      <w:proofErr w:type="spellStart"/>
      <w:r w:rsidRPr="003D4039">
        <w:rPr>
          <w:rFonts w:asciiTheme="majorHAnsi" w:hAnsiTheme="majorHAnsi"/>
          <w:lang w:val="en-GB"/>
        </w:rPr>
        <w:t>Durmus</w:t>
      </w:r>
      <w:proofErr w:type="spellEnd"/>
      <w:r w:rsidRPr="003D4039">
        <w:rPr>
          <w:rFonts w:asciiTheme="majorHAnsi" w:hAnsiTheme="majorHAnsi"/>
          <w:lang w:val="en-GB"/>
        </w:rPr>
        <w:t xml:space="preserve"> K, </w:t>
      </w:r>
      <w:r w:rsidRPr="003D4039">
        <w:rPr>
          <w:rFonts w:asciiTheme="majorHAnsi" w:hAnsiTheme="majorHAnsi"/>
          <w:i/>
          <w:iCs/>
          <w:lang w:val="en-GB"/>
        </w:rPr>
        <w:t xml:space="preserve">et al </w:t>
      </w:r>
      <w:r w:rsidRPr="003D4039">
        <w:rPr>
          <w:rFonts w:asciiTheme="majorHAnsi" w:hAnsiTheme="majorHAnsi"/>
          <w:lang w:val="en-GB"/>
        </w:rPr>
        <w:t>2013.</w:t>
      </w:r>
      <w:r w:rsidRPr="003D4039">
        <w:rPr>
          <w:rFonts w:asciiTheme="majorHAnsi" w:eastAsiaTheme="minorHAnsi" w:hAnsiTheme="majorHAnsi" w:cs="GuardianSans-Medium"/>
          <w:color w:val="231F20"/>
        </w:rPr>
        <w:t xml:space="preserve"> </w:t>
      </w:r>
      <w:proofErr w:type="spellStart"/>
      <w:r w:rsidRPr="003D4039">
        <w:rPr>
          <w:rFonts w:asciiTheme="majorHAnsi" w:eastAsiaTheme="minorHAnsi" w:hAnsiTheme="majorHAnsi" w:cs="GuardianSans-Medium"/>
          <w:color w:val="231F20"/>
        </w:rPr>
        <w:t>Transoral</w:t>
      </w:r>
      <w:proofErr w:type="spellEnd"/>
      <w:r w:rsidRPr="003D4039">
        <w:rPr>
          <w:rFonts w:asciiTheme="majorHAnsi" w:eastAsiaTheme="minorHAnsi" w:hAnsiTheme="majorHAnsi" w:cs="GuardianSans-Medium"/>
          <w:color w:val="231F20"/>
        </w:rPr>
        <w:t xml:space="preserve"> Robotic Surgery for Oropharyngeal Cancer</w:t>
      </w:r>
      <w:r w:rsidRPr="003D4039">
        <w:rPr>
          <w:rFonts w:asciiTheme="majorHAnsi" w:hAnsiTheme="majorHAnsi" w:cstheme="minorBidi"/>
        </w:rPr>
        <w:t xml:space="preserve"> </w:t>
      </w:r>
      <w:r w:rsidRPr="003D4039">
        <w:rPr>
          <w:rFonts w:asciiTheme="majorHAnsi" w:eastAsiaTheme="minorHAnsi" w:hAnsiTheme="majorHAnsi" w:cs="GuardianSansGR-Regular"/>
          <w:color w:val="231F20"/>
        </w:rPr>
        <w:t>Long-term Quality of Life and Functional Outcomes</w:t>
      </w:r>
      <w:r w:rsidRPr="003D4039">
        <w:rPr>
          <w:rFonts w:asciiTheme="majorHAnsi" w:hAnsiTheme="majorHAnsi" w:cs="GuardianSansGR-Regular"/>
          <w:color w:val="231F20"/>
        </w:rPr>
        <w:t>.</w:t>
      </w:r>
      <w:r w:rsidRPr="003D4039">
        <w:rPr>
          <w:rFonts w:asciiTheme="majorHAnsi" w:hAnsiTheme="majorHAnsi" w:cs="GuardianSans-RegularIt"/>
          <w:i/>
          <w:iCs/>
          <w:color w:val="231F20"/>
        </w:rPr>
        <w:t xml:space="preserve"> </w:t>
      </w:r>
      <w:r w:rsidRPr="003D4039">
        <w:rPr>
          <w:rFonts w:asciiTheme="majorHAnsi" w:eastAsiaTheme="minorHAnsi" w:hAnsiTheme="majorHAnsi" w:cs="GuardianSans-RegularIt"/>
          <w:i/>
          <w:iCs/>
          <w:color w:val="231F20"/>
        </w:rPr>
        <w:t xml:space="preserve">JAMA </w:t>
      </w:r>
      <w:proofErr w:type="spellStart"/>
      <w:r w:rsidRPr="003D4039">
        <w:rPr>
          <w:rFonts w:asciiTheme="majorHAnsi" w:eastAsiaTheme="minorHAnsi" w:hAnsiTheme="majorHAnsi" w:cs="GuardianSans-RegularIt"/>
          <w:i/>
          <w:iCs/>
          <w:color w:val="231F20"/>
        </w:rPr>
        <w:t>Otolaryngol</w:t>
      </w:r>
      <w:proofErr w:type="spellEnd"/>
      <w:r w:rsidRPr="003D4039">
        <w:rPr>
          <w:rFonts w:asciiTheme="majorHAnsi" w:eastAsiaTheme="minorHAnsi" w:hAnsiTheme="majorHAnsi" w:cs="GuardianSans-RegularIt"/>
          <w:i/>
          <w:iCs/>
          <w:color w:val="231F20"/>
        </w:rPr>
        <w:t xml:space="preserve"> Head Neck Surg</w:t>
      </w:r>
      <w:r w:rsidRPr="003D4039">
        <w:rPr>
          <w:rFonts w:asciiTheme="majorHAnsi" w:eastAsiaTheme="minorHAnsi" w:hAnsiTheme="majorHAnsi" w:cs="GuardianSansGR-Regular"/>
          <w:color w:val="231F20"/>
        </w:rPr>
        <w:t>. 2013</w:t>
      </w:r>
      <w:proofErr w:type="gramStart"/>
      <w:r w:rsidRPr="003D4039">
        <w:rPr>
          <w:rFonts w:asciiTheme="majorHAnsi" w:eastAsiaTheme="minorHAnsi" w:hAnsiTheme="majorHAnsi" w:cs="GuardianSansGR-Regular"/>
          <w:color w:val="231F20"/>
        </w:rPr>
        <w:t>;139</w:t>
      </w:r>
      <w:proofErr w:type="gramEnd"/>
      <w:r w:rsidRPr="003D4039">
        <w:rPr>
          <w:rFonts w:asciiTheme="majorHAnsi" w:eastAsiaTheme="minorHAnsi" w:hAnsiTheme="majorHAnsi" w:cs="GuardianSansGR-Regular"/>
          <w:color w:val="231F20"/>
        </w:rPr>
        <w:t>(11):1099-110</w:t>
      </w:r>
      <w:r w:rsidRPr="003D4039">
        <w:rPr>
          <w:rFonts w:asciiTheme="majorHAnsi" w:hAnsiTheme="majorHAnsi" w:cs="GuardianSansGR-Regular"/>
          <w:color w:val="231F20"/>
        </w:rPr>
        <w:t xml:space="preserve">8. </w:t>
      </w:r>
    </w:p>
    <w:p w:rsidR="00841FEA" w:rsidRPr="00841FEA" w:rsidRDefault="00E12D3E" w:rsidP="00841F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841FEA">
        <w:rPr>
          <w:rFonts w:asciiTheme="majorHAnsi" w:hAnsiTheme="majorHAnsi" w:cs="GuardianSansGR-Regular"/>
          <w:color w:val="231F20"/>
        </w:rPr>
        <w:t>Leonhardt</w:t>
      </w:r>
      <w:proofErr w:type="spellEnd"/>
      <w:r w:rsidRPr="00841FEA">
        <w:rPr>
          <w:rFonts w:asciiTheme="majorHAnsi" w:hAnsiTheme="majorHAnsi" w:cs="GuardianSansGR-Regular"/>
          <w:color w:val="231F20"/>
        </w:rPr>
        <w:t xml:space="preserve"> FD, </w:t>
      </w:r>
      <w:proofErr w:type="spellStart"/>
      <w:r w:rsidRPr="00841FEA">
        <w:rPr>
          <w:rFonts w:asciiTheme="majorHAnsi" w:hAnsiTheme="majorHAnsi" w:cs="GuardianSansGR-Regular"/>
          <w:color w:val="231F20"/>
        </w:rPr>
        <w:t>Quon</w:t>
      </w:r>
      <w:proofErr w:type="spellEnd"/>
      <w:r w:rsidRPr="00841FEA">
        <w:rPr>
          <w:rFonts w:asciiTheme="majorHAnsi" w:hAnsiTheme="majorHAnsi" w:cs="GuardianSansGR-Regular"/>
          <w:color w:val="231F20"/>
        </w:rPr>
        <w:t xml:space="preserve"> H, </w:t>
      </w:r>
      <w:proofErr w:type="spellStart"/>
      <w:r w:rsidRPr="00841FEA">
        <w:rPr>
          <w:rFonts w:asciiTheme="majorHAnsi" w:hAnsiTheme="majorHAnsi" w:cs="GuardianSansGR-Regular"/>
          <w:color w:val="231F20"/>
        </w:rPr>
        <w:t>Abraho</w:t>
      </w:r>
      <w:proofErr w:type="spellEnd"/>
      <w:r w:rsidRPr="00841FEA">
        <w:rPr>
          <w:rFonts w:asciiTheme="majorHAnsi" w:hAnsiTheme="majorHAnsi" w:cs="GuardianSansGR-Regular"/>
          <w:color w:val="231F20"/>
        </w:rPr>
        <w:t xml:space="preserve"> M. </w:t>
      </w:r>
      <w:proofErr w:type="spellStart"/>
      <w:r w:rsidRPr="00841FEA">
        <w:rPr>
          <w:rFonts w:asciiTheme="majorHAnsi" w:hAnsiTheme="majorHAnsi" w:cs="GuardianSansGR-Regular"/>
          <w:color w:val="231F20"/>
        </w:rPr>
        <w:t>Transoral</w:t>
      </w:r>
      <w:proofErr w:type="spellEnd"/>
      <w:r w:rsidRPr="00841FEA">
        <w:rPr>
          <w:rFonts w:asciiTheme="majorHAnsi" w:hAnsiTheme="majorHAnsi" w:cs="GuardianSansGR-Regular"/>
          <w:color w:val="231F20"/>
        </w:rPr>
        <w:t xml:space="preserve"> robotic surgery for oropharyngeal carcinoma and its impact on patient-reported quality of life and function.</w:t>
      </w:r>
      <w:r w:rsidRPr="00841FEA">
        <w:rPr>
          <w:rFonts w:asciiTheme="majorHAnsi" w:eastAsiaTheme="minorHAnsi" w:hAnsiTheme="majorHAnsi" w:cs="AdvP2E4A"/>
          <w:color w:val="241F20"/>
        </w:rPr>
        <w:t xml:space="preserve"> Head Neck 2012</w:t>
      </w:r>
      <w:proofErr w:type="gramStart"/>
      <w:r w:rsidRPr="00841FEA">
        <w:rPr>
          <w:rFonts w:asciiTheme="majorHAnsi" w:eastAsiaTheme="minorHAnsi" w:hAnsiTheme="majorHAnsi" w:cs="AdvP2E4A"/>
          <w:color w:val="241F20"/>
        </w:rPr>
        <w:t>;</w:t>
      </w:r>
      <w:r w:rsidRPr="00841FEA">
        <w:rPr>
          <w:rFonts w:asciiTheme="majorHAnsi" w:eastAsiaTheme="minorHAnsi" w:hAnsiTheme="majorHAnsi" w:cs="AdvHelv_B"/>
          <w:color w:val="241F20"/>
        </w:rPr>
        <w:t>34</w:t>
      </w:r>
      <w:proofErr w:type="gramEnd"/>
      <w:r w:rsidRPr="00841FEA">
        <w:rPr>
          <w:rFonts w:asciiTheme="majorHAnsi" w:eastAsiaTheme="minorHAnsi" w:hAnsiTheme="majorHAnsi" w:cs="AdvHelv_B"/>
          <w:color w:val="241F20"/>
        </w:rPr>
        <w:t xml:space="preserve">: </w:t>
      </w:r>
      <w:r w:rsidRPr="00841FEA">
        <w:rPr>
          <w:rFonts w:asciiTheme="majorHAnsi" w:eastAsiaTheme="minorHAnsi" w:hAnsiTheme="majorHAnsi" w:cs="AdvP159C"/>
          <w:color w:val="241F20"/>
        </w:rPr>
        <w:t>146–154.</w:t>
      </w:r>
    </w:p>
    <w:p w:rsidR="00841FEA" w:rsidRPr="00864363" w:rsidRDefault="00950A43" w:rsidP="00841F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670AB6">
        <w:rPr>
          <w:noProof/>
        </w:rPr>
        <w:t>Hutcheson KA, Holsinger FC, Kupferman ME, Lewin JS</w:t>
      </w:r>
      <w:r>
        <w:rPr>
          <w:noProof/>
        </w:rPr>
        <w:t xml:space="preserve">. </w:t>
      </w:r>
      <w:r w:rsidRPr="00573FAB">
        <w:rPr>
          <w:noProof/>
        </w:rPr>
        <w:t>Functional outcomes after TORS for oropharyngeal cancer: a systematic review.</w:t>
      </w:r>
      <w:r w:rsidRPr="00841FEA">
        <w:rPr>
          <w:b/>
          <w:noProof/>
        </w:rPr>
        <w:t xml:space="preserve"> </w:t>
      </w:r>
      <w:r w:rsidRPr="00573FAB">
        <w:rPr>
          <w:noProof/>
        </w:rPr>
        <w:t>Eur Arch Otorhinolaryngol</w:t>
      </w:r>
      <w:r>
        <w:rPr>
          <w:noProof/>
        </w:rPr>
        <w:t>.</w:t>
      </w:r>
      <w:r w:rsidRPr="00670AB6">
        <w:rPr>
          <w:noProof/>
        </w:rPr>
        <w:t xml:space="preserve"> 2015</w:t>
      </w:r>
      <w:r>
        <w:rPr>
          <w:noProof/>
        </w:rPr>
        <w:t>;</w:t>
      </w:r>
      <w:r w:rsidRPr="00670AB6">
        <w:rPr>
          <w:noProof/>
        </w:rPr>
        <w:t>272(2):463-71.</w:t>
      </w:r>
    </w:p>
    <w:p w:rsidR="00864363" w:rsidRPr="00864363" w:rsidRDefault="00864363" w:rsidP="0086436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Arial"/>
          <w:lang w:eastAsia="en-GB"/>
        </w:rPr>
      </w:pPr>
      <w:proofErr w:type="spellStart"/>
      <w:r w:rsidRPr="00864363">
        <w:rPr>
          <w:rFonts w:eastAsia="Calibri" w:cs="Arial"/>
          <w:iCs/>
          <w:lang w:eastAsia="en-GB"/>
        </w:rPr>
        <w:t>Gillison</w:t>
      </w:r>
      <w:proofErr w:type="spellEnd"/>
      <w:r w:rsidRPr="00864363">
        <w:rPr>
          <w:rFonts w:eastAsia="Calibri" w:cs="Arial"/>
          <w:iCs/>
          <w:lang w:eastAsia="en-GB"/>
        </w:rPr>
        <w:t xml:space="preserve"> ML, Zhang Q, Jordan R, Xiao W, </w:t>
      </w:r>
      <w:proofErr w:type="spellStart"/>
      <w:r w:rsidRPr="00864363">
        <w:rPr>
          <w:rFonts w:eastAsia="Calibri" w:cs="Arial"/>
          <w:iCs/>
          <w:lang w:eastAsia="en-GB"/>
        </w:rPr>
        <w:t>Westra</w:t>
      </w:r>
      <w:proofErr w:type="spellEnd"/>
      <w:r w:rsidRPr="00864363">
        <w:rPr>
          <w:rFonts w:eastAsia="Calibri" w:cs="Arial"/>
          <w:iCs/>
          <w:lang w:eastAsia="en-GB"/>
        </w:rPr>
        <w:t xml:space="preserve"> WH, </w:t>
      </w:r>
      <w:proofErr w:type="spellStart"/>
      <w:r w:rsidRPr="00864363">
        <w:rPr>
          <w:rFonts w:eastAsia="Calibri" w:cs="Arial"/>
          <w:iCs/>
          <w:lang w:eastAsia="en-GB"/>
        </w:rPr>
        <w:t>Trotti</w:t>
      </w:r>
      <w:proofErr w:type="spellEnd"/>
      <w:r w:rsidRPr="00864363">
        <w:rPr>
          <w:rFonts w:eastAsia="Calibri" w:cs="Arial"/>
          <w:iCs/>
          <w:lang w:eastAsia="en-GB"/>
        </w:rPr>
        <w:t xml:space="preserve"> A, Spencer S, Harris J, Chung CH, </w:t>
      </w:r>
      <w:proofErr w:type="spellStart"/>
      <w:r w:rsidRPr="00864363">
        <w:rPr>
          <w:rFonts w:eastAsia="Calibri" w:cs="Arial"/>
          <w:iCs/>
          <w:lang w:eastAsia="en-GB"/>
        </w:rPr>
        <w:t>Ang</w:t>
      </w:r>
      <w:proofErr w:type="spellEnd"/>
      <w:r w:rsidRPr="00864363">
        <w:rPr>
          <w:rFonts w:eastAsia="Calibri" w:cs="Arial"/>
          <w:iCs/>
          <w:lang w:eastAsia="en-GB"/>
        </w:rPr>
        <w:t xml:space="preserve"> K. </w:t>
      </w:r>
      <w:r w:rsidRPr="00864363">
        <w:rPr>
          <w:rFonts w:eastAsia="Calibri" w:cs="Arial"/>
          <w:lang w:eastAsia="en-GB"/>
        </w:rPr>
        <w:t xml:space="preserve">Tobacco Smoking and Increased Risk of Death and Progression for Patients With p16-Positive and p16-Negative </w:t>
      </w:r>
      <w:proofErr w:type="spellStart"/>
      <w:r w:rsidRPr="00864363">
        <w:rPr>
          <w:rFonts w:eastAsia="Calibri" w:cs="Arial"/>
          <w:lang w:eastAsia="en-GB"/>
        </w:rPr>
        <w:t>Oropharyngeal</w:t>
      </w:r>
      <w:proofErr w:type="spellEnd"/>
      <w:r w:rsidRPr="00864363">
        <w:rPr>
          <w:rFonts w:eastAsia="Calibri" w:cs="Arial"/>
          <w:lang w:eastAsia="en-GB"/>
        </w:rPr>
        <w:t xml:space="preserve"> Cancer. JCO 2012:30.</w:t>
      </w:r>
    </w:p>
    <w:p w:rsidR="00841FEA" w:rsidRPr="00841FEA" w:rsidRDefault="00111A8E" w:rsidP="00841F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841FEA">
        <w:rPr>
          <w:rFonts w:asciiTheme="majorHAnsi" w:hAnsiTheme="majorHAnsi" w:cs="GuardianSansGR-Regular"/>
          <w:color w:val="231F20"/>
        </w:rPr>
        <w:lastRenderedPageBreak/>
        <w:t xml:space="preserve">More YI, </w:t>
      </w:r>
      <w:proofErr w:type="spellStart"/>
      <w:r w:rsidRPr="00841FEA">
        <w:rPr>
          <w:rFonts w:asciiTheme="majorHAnsi" w:hAnsiTheme="majorHAnsi" w:cs="GuardianSansGR-Regular"/>
          <w:color w:val="231F20"/>
        </w:rPr>
        <w:t>Tsue</w:t>
      </w:r>
      <w:proofErr w:type="spellEnd"/>
      <w:r w:rsidRPr="00841FEA">
        <w:rPr>
          <w:rFonts w:asciiTheme="majorHAnsi" w:hAnsiTheme="majorHAnsi" w:cs="GuardianSansGR-Regular"/>
          <w:color w:val="231F20"/>
        </w:rPr>
        <w:t xml:space="preserve"> TT, </w:t>
      </w:r>
      <w:proofErr w:type="spellStart"/>
      <w:r w:rsidRPr="00841FEA">
        <w:rPr>
          <w:rFonts w:asciiTheme="majorHAnsi" w:hAnsiTheme="majorHAnsi" w:cs="GuardianSansGR-Regular"/>
          <w:color w:val="231F20"/>
        </w:rPr>
        <w:t>Girod</w:t>
      </w:r>
      <w:proofErr w:type="spellEnd"/>
      <w:r w:rsidRPr="00841FEA">
        <w:rPr>
          <w:rFonts w:asciiTheme="majorHAnsi" w:hAnsiTheme="majorHAnsi" w:cs="GuardianSansGR-Regular"/>
          <w:color w:val="231F20"/>
        </w:rPr>
        <w:t xml:space="preserve"> DA et al. </w:t>
      </w:r>
      <w:r w:rsidRPr="00841FEA">
        <w:rPr>
          <w:rFonts w:asciiTheme="majorHAnsi" w:eastAsiaTheme="minorHAnsi" w:hAnsiTheme="majorHAnsi" w:cs="Berkeley-Bold"/>
          <w:bCs/>
          <w:color w:val="231F20"/>
        </w:rPr>
        <w:t xml:space="preserve">Functional Swallowing Outcomes Following </w:t>
      </w:r>
      <w:proofErr w:type="spellStart"/>
      <w:r w:rsidRPr="00841FEA">
        <w:rPr>
          <w:rFonts w:asciiTheme="majorHAnsi" w:eastAsiaTheme="minorHAnsi" w:hAnsiTheme="majorHAnsi" w:cs="Berkeley-Bold"/>
          <w:bCs/>
          <w:color w:val="231F20"/>
        </w:rPr>
        <w:t>Transoral</w:t>
      </w:r>
      <w:proofErr w:type="spellEnd"/>
      <w:r w:rsidRPr="00841FEA">
        <w:rPr>
          <w:rFonts w:asciiTheme="majorHAnsi" w:eastAsiaTheme="minorHAnsi" w:hAnsiTheme="majorHAnsi" w:cs="Berkeley-Bold"/>
          <w:bCs/>
          <w:color w:val="231F20"/>
        </w:rPr>
        <w:t xml:space="preserve"> Robotic Surgery </w:t>
      </w:r>
      <w:proofErr w:type="spellStart"/>
      <w:r w:rsidRPr="00841FEA">
        <w:rPr>
          <w:rFonts w:asciiTheme="majorHAnsi" w:eastAsiaTheme="minorHAnsi" w:hAnsiTheme="majorHAnsi" w:cs="Berkeley-Bold"/>
          <w:bCs/>
          <w:color w:val="231F20"/>
        </w:rPr>
        <w:t>vs</w:t>
      </w:r>
      <w:proofErr w:type="spellEnd"/>
      <w:r w:rsidRPr="00841FEA">
        <w:rPr>
          <w:rFonts w:asciiTheme="majorHAnsi" w:eastAsiaTheme="minorHAnsi" w:hAnsiTheme="majorHAnsi" w:cs="Berkeley-Bold"/>
          <w:bCs/>
          <w:color w:val="231F20"/>
        </w:rPr>
        <w:t xml:space="preserve"> Primary </w:t>
      </w:r>
      <w:proofErr w:type="spellStart"/>
      <w:r w:rsidRPr="00841FEA">
        <w:rPr>
          <w:rFonts w:asciiTheme="majorHAnsi" w:eastAsiaTheme="minorHAnsi" w:hAnsiTheme="majorHAnsi" w:cs="Berkeley-Bold"/>
          <w:bCs/>
          <w:color w:val="231F20"/>
        </w:rPr>
        <w:t>Chemoradiotherapy</w:t>
      </w:r>
      <w:proofErr w:type="spellEnd"/>
      <w:r w:rsidRPr="00841FEA">
        <w:rPr>
          <w:rFonts w:asciiTheme="majorHAnsi" w:eastAsiaTheme="minorHAnsi" w:hAnsiTheme="majorHAnsi" w:cs="Berkeley-Bold"/>
          <w:bCs/>
          <w:color w:val="231F20"/>
        </w:rPr>
        <w:t xml:space="preserve"> in Patients With Advanced-Stage </w:t>
      </w:r>
      <w:proofErr w:type="spellStart"/>
      <w:r w:rsidRPr="00841FEA">
        <w:rPr>
          <w:rFonts w:asciiTheme="majorHAnsi" w:eastAsiaTheme="minorHAnsi" w:hAnsiTheme="majorHAnsi" w:cs="Berkeley-Bold"/>
          <w:bCs/>
          <w:color w:val="231F20"/>
        </w:rPr>
        <w:t>Oropharynx</w:t>
      </w:r>
      <w:proofErr w:type="spellEnd"/>
      <w:r w:rsidRPr="00841FEA">
        <w:rPr>
          <w:rFonts w:asciiTheme="majorHAnsi" w:eastAsiaTheme="minorHAnsi" w:hAnsiTheme="majorHAnsi" w:cs="Berkeley-Bold"/>
          <w:bCs/>
          <w:color w:val="231F20"/>
        </w:rPr>
        <w:t xml:space="preserve"> and </w:t>
      </w:r>
      <w:proofErr w:type="spellStart"/>
      <w:r w:rsidRPr="00841FEA">
        <w:rPr>
          <w:rFonts w:asciiTheme="majorHAnsi" w:eastAsiaTheme="minorHAnsi" w:hAnsiTheme="majorHAnsi" w:cs="Berkeley-Bold"/>
          <w:bCs/>
          <w:color w:val="231F20"/>
        </w:rPr>
        <w:t>Supraglottis</w:t>
      </w:r>
      <w:proofErr w:type="spellEnd"/>
      <w:r w:rsidRPr="00841FEA">
        <w:rPr>
          <w:rFonts w:asciiTheme="majorHAnsi" w:eastAsiaTheme="minorHAnsi" w:hAnsiTheme="majorHAnsi" w:cs="Berkeley-Bold"/>
          <w:bCs/>
          <w:color w:val="231F20"/>
        </w:rPr>
        <w:t xml:space="preserve"> Cancers. </w:t>
      </w:r>
      <w:r w:rsidR="004406C6" w:rsidRPr="00841FEA">
        <w:rPr>
          <w:rFonts w:asciiTheme="majorHAnsi" w:eastAsiaTheme="minorHAnsi" w:hAnsiTheme="majorHAnsi" w:cs="Berkeley-Italic"/>
          <w:i/>
          <w:iCs/>
          <w:color w:val="231F20"/>
        </w:rPr>
        <w:t xml:space="preserve">Arch </w:t>
      </w:r>
      <w:proofErr w:type="spellStart"/>
      <w:r w:rsidR="004406C6" w:rsidRPr="00841FEA">
        <w:rPr>
          <w:rFonts w:asciiTheme="majorHAnsi" w:eastAsiaTheme="minorHAnsi" w:hAnsiTheme="majorHAnsi" w:cs="Berkeley-Italic"/>
          <w:i/>
          <w:iCs/>
          <w:color w:val="231F20"/>
        </w:rPr>
        <w:t>Otolaryngol</w:t>
      </w:r>
      <w:proofErr w:type="spellEnd"/>
      <w:r w:rsidR="004406C6" w:rsidRPr="00841FEA">
        <w:rPr>
          <w:rFonts w:asciiTheme="majorHAnsi" w:eastAsiaTheme="minorHAnsi" w:hAnsiTheme="majorHAnsi" w:cs="Berkeley-Italic"/>
          <w:i/>
          <w:iCs/>
          <w:color w:val="231F20"/>
        </w:rPr>
        <w:t xml:space="preserve"> Head Neck </w:t>
      </w:r>
      <w:proofErr w:type="spellStart"/>
      <w:r w:rsidR="004406C6" w:rsidRPr="00841FEA">
        <w:rPr>
          <w:rFonts w:asciiTheme="majorHAnsi" w:eastAsiaTheme="minorHAnsi" w:hAnsiTheme="majorHAnsi" w:cs="Berkeley-Italic"/>
          <w:i/>
          <w:iCs/>
          <w:color w:val="231F20"/>
        </w:rPr>
        <w:t>Surg</w:t>
      </w:r>
      <w:proofErr w:type="spellEnd"/>
      <w:r w:rsidR="004406C6" w:rsidRPr="00841FEA">
        <w:rPr>
          <w:rFonts w:asciiTheme="majorHAnsi" w:eastAsiaTheme="minorHAnsi" w:hAnsiTheme="majorHAnsi" w:cs="Berkeley-Italic"/>
          <w:i/>
          <w:iCs/>
          <w:color w:val="231F20"/>
        </w:rPr>
        <w:t xml:space="preserve"> 2012: doi:10.1001/jamaoto.2013.1074.</w:t>
      </w:r>
    </w:p>
    <w:p w:rsidR="00841FEA" w:rsidRPr="00841FEA" w:rsidRDefault="006773EB" w:rsidP="00841F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841FEA">
        <w:rPr>
          <w:rFonts w:asciiTheme="majorHAnsi" w:hAnsiTheme="majorHAnsi" w:cs="GuardianSansGR-Regular"/>
          <w:color w:val="231F20"/>
        </w:rPr>
        <w:t xml:space="preserve">O’Hara J, </w:t>
      </w:r>
      <w:proofErr w:type="spellStart"/>
      <w:r w:rsidRPr="00841FEA">
        <w:rPr>
          <w:rFonts w:asciiTheme="majorHAnsi" w:hAnsiTheme="majorHAnsi" w:cs="GuardianSansGR-Regular"/>
          <w:color w:val="231F20"/>
        </w:rPr>
        <w:t>Cosway</w:t>
      </w:r>
      <w:proofErr w:type="spellEnd"/>
      <w:r w:rsidRPr="00841FEA">
        <w:rPr>
          <w:rFonts w:asciiTheme="majorHAnsi" w:hAnsiTheme="majorHAnsi" w:cs="GuardianSansGR-Regular"/>
          <w:color w:val="231F20"/>
        </w:rPr>
        <w:t xml:space="preserve"> B, </w:t>
      </w:r>
      <w:proofErr w:type="spellStart"/>
      <w:r w:rsidRPr="00841FEA">
        <w:rPr>
          <w:rFonts w:asciiTheme="majorHAnsi" w:hAnsiTheme="majorHAnsi" w:cs="GuardianSansGR-Regular"/>
          <w:color w:val="231F20"/>
        </w:rPr>
        <w:t>Muirhead</w:t>
      </w:r>
      <w:proofErr w:type="spellEnd"/>
      <w:r w:rsidRPr="00841FEA">
        <w:rPr>
          <w:rFonts w:asciiTheme="majorHAnsi" w:hAnsiTheme="majorHAnsi" w:cs="GuardianSansGR-Regular"/>
          <w:color w:val="231F20"/>
        </w:rPr>
        <w:t xml:space="preserve"> C, et al.</w:t>
      </w:r>
      <w:r w:rsidRPr="00841FEA">
        <w:rPr>
          <w:rFonts w:asciiTheme="majorHAnsi" w:hAnsiTheme="majorHAnsi" w:cstheme="minorBidi"/>
        </w:rPr>
        <w:t xml:space="preserve"> </w:t>
      </w:r>
      <w:proofErr w:type="spellStart"/>
      <w:r w:rsidRPr="00841FEA">
        <w:rPr>
          <w:rFonts w:asciiTheme="majorHAnsi" w:eastAsiaTheme="minorHAnsi" w:hAnsiTheme="majorHAnsi" w:cs="AdvHNe-MCd"/>
          <w:color w:val="231F20"/>
        </w:rPr>
        <w:t>Transoral</w:t>
      </w:r>
      <w:proofErr w:type="spellEnd"/>
      <w:r w:rsidRPr="00841FEA">
        <w:rPr>
          <w:rFonts w:asciiTheme="majorHAnsi" w:eastAsiaTheme="minorHAnsi" w:hAnsiTheme="majorHAnsi" w:cs="AdvHNe-MCd"/>
          <w:color w:val="231F20"/>
        </w:rPr>
        <w:t xml:space="preserve"> laser microsurgery</w:t>
      </w:r>
      <w:r w:rsidRPr="00841FEA">
        <w:rPr>
          <w:rFonts w:asciiTheme="majorHAnsi" w:eastAsiaTheme="minorHAnsi" w:hAnsiTheme="majorHAnsi" w:cs="AdvP80675"/>
          <w:color w:val="231F20"/>
        </w:rPr>
        <w:t xml:space="preserve"> +/- </w:t>
      </w:r>
      <w:r w:rsidRPr="00841FEA">
        <w:rPr>
          <w:rFonts w:asciiTheme="majorHAnsi" w:eastAsiaTheme="minorHAnsi" w:hAnsiTheme="majorHAnsi" w:cs="AdvHNe-MCd"/>
          <w:color w:val="231F20"/>
        </w:rPr>
        <w:t xml:space="preserve">adjuvant therapy versus </w:t>
      </w:r>
      <w:proofErr w:type="spellStart"/>
      <w:r w:rsidRPr="00841FEA">
        <w:rPr>
          <w:rFonts w:asciiTheme="majorHAnsi" w:eastAsiaTheme="minorHAnsi" w:hAnsiTheme="majorHAnsi" w:cs="AdvHNe-MCd"/>
          <w:color w:val="231F20"/>
        </w:rPr>
        <w:t>chemoradiotherapy</w:t>
      </w:r>
      <w:proofErr w:type="spellEnd"/>
      <w:r w:rsidRPr="00841FEA">
        <w:rPr>
          <w:rFonts w:asciiTheme="majorHAnsi" w:eastAsiaTheme="minorHAnsi" w:hAnsiTheme="majorHAnsi" w:cs="AdvHNe-MCd"/>
          <w:color w:val="231F20"/>
        </w:rPr>
        <w:t xml:space="preserve"> for stage III and IVA oropharyngeal squamous cell carcinoma: Preliminary comparison of early swallowing outcomes. Head Neck 2014;</w:t>
      </w:r>
      <w:r w:rsidRPr="00841FEA">
        <w:rPr>
          <w:rFonts w:asciiTheme="majorHAnsi" w:eastAsiaTheme="minorHAnsi" w:hAnsiTheme="majorHAnsi" w:cs="AdvPSHLLCO"/>
          <w:color w:val="231F20"/>
        </w:rPr>
        <w:t xml:space="preserve"> DOI 10.1002/hed.23790.</w:t>
      </w:r>
    </w:p>
    <w:p w:rsidR="00841FEA" w:rsidRPr="00841FEA" w:rsidRDefault="004F1952" w:rsidP="00841F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>
        <w:t>Owadally W, Hurt C, Timmins H, et al. PATHOS: a</w:t>
      </w:r>
      <w:r w:rsidRPr="00670AB6">
        <w:t xml:space="preserve"> phase II/III trial of risk-stratified, reduced intensity adjuvant treatment in patients undergoing </w:t>
      </w:r>
      <w:proofErr w:type="spellStart"/>
      <w:r w:rsidRPr="00670AB6">
        <w:t>transoral</w:t>
      </w:r>
      <w:proofErr w:type="spellEnd"/>
      <w:r w:rsidRPr="00670AB6">
        <w:t xml:space="preserve"> surgery for </w:t>
      </w:r>
      <w:r>
        <w:t>Human</w:t>
      </w:r>
      <w:r w:rsidRPr="00670AB6">
        <w:t xml:space="preserve"> </w:t>
      </w:r>
      <w:r>
        <w:t>papillomavirus</w:t>
      </w:r>
      <w:r w:rsidRPr="00670AB6">
        <w:t xml:space="preserve"> (HPV) – positive oropharyngeal cancer.</w:t>
      </w:r>
      <w:r>
        <w:t xml:space="preserve"> BMC Cancer 2015.</w:t>
      </w:r>
    </w:p>
    <w:p w:rsidR="00B27ABE" w:rsidRPr="00B27ABE" w:rsidRDefault="004F1952" w:rsidP="00B27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841FEA">
        <w:rPr>
          <w:rFonts w:asciiTheme="majorHAnsi" w:hAnsiTheme="majorHAnsi" w:cs="Arial"/>
          <w:noProof/>
        </w:rPr>
        <w:t>Ang KK, Trotti A, Brown BW, Garden AS, Foote RL, Morrison WH et al. Randomized trial addressing risk features and time factors of surgery plus radiotherapy in advanced H&amp;N cancer. IJROBP 2001;51:571-578.</w:t>
      </w:r>
    </w:p>
    <w:p w:rsidR="00B27ABE" w:rsidRPr="00B27ABE" w:rsidRDefault="004F1952" w:rsidP="00B27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B27ABE">
        <w:rPr>
          <w:rFonts w:asciiTheme="majorHAnsi" w:hAnsiTheme="majorHAnsi"/>
          <w:lang w:val="fr-FR"/>
        </w:rPr>
        <w:t>Adelstein</w:t>
      </w:r>
      <w:proofErr w:type="spellEnd"/>
      <w:r w:rsidRPr="00B27ABE">
        <w:rPr>
          <w:rFonts w:asciiTheme="majorHAnsi" w:hAnsiTheme="majorHAnsi"/>
          <w:lang w:val="fr-FR"/>
        </w:rPr>
        <w:t xml:space="preserve"> DJ, </w:t>
      </w:r>
      <w:proofErr w:type="spellStart"/>
      <w:r w:rsidRPr="00B27ABE">
        <w:rPr>
          <w:rFonts w:asciiTheme="majorHAnsi" w:hAnsiTheme="majorHAnsi"/>
          <w:lang w:val="fr-FR"/>
        </w:rPr>
        <w:t>Ridge</w:t>
      </w:r>
      <w:proofErr w:type="spellEnd"/>
      <w:r w:rsidRPr="00B27ABE">
        <w:rPr>
          <w:rFonts w:asciiTheme="majorHAnsi" w:hAnsiTheme="majorHAnsi"/>
          <w:lang w:val="fr-FR"/>
        </w:rPr>
        <w:t xml:space="preserve"> JA, </w:t>
      </w:r>
      <w:proofErr w:type="spellStart"/>
      <w:r w:rsidRPr="00B27ABE">
        <w:rPr>
          <w:rFonts w:asciiTheme="majorHAnsi" w:hAnsiTheme="majorHAnsi"/>
          <w:lang w:val="fr-FR"/>
        </w:rPr>
        <w:t>Brizel</w:t>
      </w:r>
      <w:proofErr w:type="spellEnd"/>
      <w:r w:rsidRPr="00B27ABE">
        <w:rPr>
          <w:rFonts w:asciiTheme="majorHAnsi" w:hAnsiTheme="majorHAnsi"/>
          <w:lang w:val="fr-FR"/>
        </w:rPr>
        <w:t xml:space="preserve"> DM et al. </w:t>
      </w:r>
      <w:proofErr w:type="spellStart"/>
      <w:r w:rsidRPr="00B27ABE">
        <w:rPr>
          <w:rFonts w:asciiTheme="majorHAnsi" w:hAnsiTheme="majorHAnsi"/>
        </w:rPr>
        <w:t>Transoral</w:t>
      </w:r>
      <w:proofErr w:type="spellEnd"/>
      <w:r w:rsidRPr="00B27ABE">
        <w:rPr>
          <w:rFonts w:asciiTheme="majorHAnsi" w:hAnsiTheme="majorHAnsi"/>
        </w:rPr>
        <w:t xml:space="preserve"> resection of pharyngeal cancer: Summary of a National Cancer Institute Head and Neck Cancer Steering Committee Clinical Trials Planning Meeting, November 6-7, November 2011, Arlington, Virginia. Head &amp; Neck 2012 – DOI 10.1002</w:t>
      </w:r>
    </w:p>
    <w:p w:rsidR="00B27ABE" w:rsidRPr="00B27ABE" w:rsidRDefault="00312213" w:rsidP="00B27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B27ABE">
        <w:rPr>
          <w:rFonts w:asciiTheme="majorHAnsi" w:hAnsiTheme="majorHAnsi" w:cs="Arial"/>
        </w:rPr>
        <w:t>Kimple</w:t>
      </w:r>
      <w:proofErr w:type="spellEnd"/>
      <w:r w:rsidRPr="00B27ABE">
        <w:rPr>
          <w:rFonts w:asciiTheme="majorHAnsi" w:hAnsiTheme="majorHAnsi" w:cs="Arial"/>
        </w:rPr>
        <w:t xml:space="preserve"> RJ, Smith MA, Blitzer GC et al. Enhanced radiation sensitivity in HPV-positive Head and Neck Cancer. Cancer Research 2013</w:t>
      </w:r>
      <w:proofErr w:type="gramStart"/>
      <w:r w:rsidRPr="00B27ABE">
        <w:rPr>
          <w:rFonts w:asciiTheme="majorHAnsi" w:hAnsiTheme="majorHAnsi" w:cs="Arial"/>
        </w:rPr>
        <w:t>;73</w:t>
      </w:r>
      <w:proofErr w:type="gramEnd"/>
      <w:r w:rsidRPr="00B27ABE">
        <w:rPr>
          <w:rFonts w:asciiTheme="majorHAnsi" w:hAnsiTheme="majorHAnsi" w:cs="Arial"/>
        </w:rPr>
        <w:t xml:space="preserve">(15):4791-800. </w:t>
      </w:r>
    </w:p>
    <w:p w:rsidR="00B27ABE" w:rsidRPr="00B27ABE" w:rsidRDefault="00312213" w:rsidP="00B27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B27ABE">
        <w:rPr>
          <w:rFonts w:asciiTheme="majorHAnsi" w:hAnsiTheme="majorHAnsi" w:cs="Arial"/>
        </w:rPr>
        <w:t>Rieckmann</w:t>
      </w:r>
      <w:proofErr w:type="spellEnd"/>
      <w:r w:rsidRPr="00B27ABE">
        <w:rPr>
          <w:rFonts w:asciiTheme="majorHAnsi" w:hAnsiTheme="majorHAnsi" w:cs="Arial"/>
        </w:rPr>
        <w:t xml:space="preserve"> T, </w:t>
      </w:r>
      <w:proofErr w:type="spellStart"/>
      <w:r w:rsidRPr="00B27ABE">
        <w:rPr>
          <w:rFonts w:asciiTheme="majorHAnsi" w:hAnsiTheme="majorHAnsi" w:cs="Arial"/>
        </w:rPr>
        <w:t>Tribius</w:t>
      </w:r>
      <w:proofErr w:type="spellEnd"/>
      <w:r w:rsidRPr="00B27ABE">
        <w:rPr>
          <w:rFonts w:asciiTheme="majorHAnsi" w:hAnsiTheme="majorHAnsi" w:cs="Arial"/>
        </w:rPr>
        <w:t xml:space="preserve"> S, </w:t>
      </w:r>
      <w:proofErr w:type="spellStart"/>
      <w:r w:rsidRPr="00B27ABE">
        <w:rPr>
          <w:rFonts w:asciiTheme="majorHAnsi" w:hAnsiTheme="majorHAnsi" w:cs="Arial"/>
        </w:rPr>
        <w:t>Grob</w:t>
      </w:r>
      <w:proofErr w:type="spellEnd"/>
      <w:r w:rsidRPr="00B27ABE">
        <w:rPr>
          <w:rFonts w:asciiTheme="majorHAnsi" w:hAnsiTheme="majorHAnsi" w:cs="Arial"/>
        </w:rPr>
        <w:t xml:space="preserve"> TJ, Meyer F, Busch C-J et al. HNSCC cell lines positive for HPV and p16 possess higher cellular </w:t>
      </w:r>
      <w:proofErr w:type="spellStart"/>
      <w:r w:rsidRPr="00B27ABE">
        <w:rPr>
          <w:rFonts w:asciiTheme="majorHAnsi" w:hAnsiTheme="majorHAnsi" w:cs="Arial"/>
        </w:rPr>
        <w:t>radiosensitivity</w:t>
      </w:r>
      <w:proofErr w:type="spellEnd"/>
      <w:r w:rsidRPr="00B27ABE">
        <w:rPr>
          <w:rFonts w:asciiTheme="majorHAnsi" w:hAnsiTheme="majorHAnsi" w:cs="Arial"/>
        </w:rPr>
        <w:t xml:space="preserve"> due to an impaired DSB capacity. Radiotherapy and Oncology 2013</w:t>
      </w:r>
      <w:proofErr w:type="gramStart"/>
      <w:r w:rsidRPr="00B27ABE">
        <w:rPr>
          <w:rFonts w:asciiTheme="majorHAnsi" w:hAnsiTheme="majorHAnsi" w:cs="Arial"/>
        </w:rPr>
        <w:t>;107:242</w:t>
      </w:r>
      <w:proofErr w:type="gramEnd"/>
      <w:r w:rsidRPr="00B27ABE">
        <w:rPr>
          <w:rFonts w:asciiTheme="majorHAnsi" w:hAnsiTheme="majorHAnsi" w:cs="Arial"/>
        </w:rPr>
        <w:t>-246.</w:t>
      </w:r>
    </w:p>
    <w:p w:rsidR="00B27ABE" w:rsidRPr="00610BC4" w:rsidRDefault="00C73C92" w:rsidP="00B27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proofErr w:type="spellStart"/>
      <w:r w:rsidRPr="00B27ABE">
        <w:rPr>
          <w:rFonts w:asciiTheme="majorHAnsi" w:hAnsiTheme="majorHAnsi" w:cs="Arial"/>
        </w:rPr>
        <w:t>Marur</w:t>
      </w:r>
      <w:proofErr w:type="spellEnd"/>
      <w:r w:rsidRPr="00B27ABE">
        <w:rPr>
          <w:rFonts w:asciiTheme="majorHAnsi" w:hAnsiTheme="majorHAnsi" w:cs="Arial"/>
        </w:rPr>
        <w:t xml:space="preserve"> S, </w:t>
      </w:r>
      <w:proofErr w:type="spellStart"/>
      <w:r w:rsidRPr="00B27ABE">
        <w:rPr>
          <w:rFonts w:asciiTheme="majorHAnsi" w:hAnsiTheme="majorHAnsi" w:cs="Arial"/>
        </w:rPr>
        <w:t>Cmelak</w:t>
      </w:r>
      <w:proofErr w:type="spellEnd"/>
      <w:r w:rsidRPr="00B27ABE">
        <w:rPr>
          <w:rFonts w:asciiTheme="majorHAnsi" w:hAnsiTheme="majorHAnsi" w:cs="Arial"/>
        </w:rPr>
        <w:t xml:space="preserve"> A, </w:t>
      </w:r>
      <w:proofErr w:type="spellStart"/>
      <w:r w:rsidRPr="00B27ABE">
        <w:rPr>
          <w:rFonts w:asciiTheme="majorHAnsi" w:hAnsiTheme="majorHAnsi" w:cs="Arial"/>
        </w:rPr>
        <w:t>Gillison</w:t>
      </w:r>
      <w:proofErr w:type="spellEnd"/>
      <w:r w:rsidRPr="00B27ABE">
        <w:rPr>
          <w:rFonts w:asciiTheme="majorHAnsi" w:hAnsiTheme="majorHAnsi" w:cs="Arial"/>
        </w:rPr>
        <w:t xml:space="preserve"> ML, Ferris RL, Bauman JE et al. E1308: A phase II trial of induction chemotherapy followed by </w:t>
      </w:r>
      <w:proofErr w:type="spellStart"/>
      <w:r w:rsidRPr="00B27ABE">
        <w:rPr>
          <w:rFonts w:asciiTheme="majorHAnsi" w:hAnsiTheme="majorHAnsi" w:cs="Arial"/>
        </w:rPr>
        <w:t>cetuximab</w:t>
      </w:r>
      <w:proofErr w:type="spellEnd"/>
      <w:r w:rsidRPr="00B27ABE">
        <w:rPr>
          <w:rFonts w:asciiTheme="majorHAnsi" w:hAnsiTheme="majorHAnsi" w:cs="Arial"/>
        </w:rPr>
        <w:t xml:space="preserve"> with low dose vs standard dose IMRT in patients with HPV-associated </w:t>
      </w:r>
      <w:proofErr w:type="spellStart"/>
      <w:r w:rsidRPr="00B27ABE">
        <w:rPr>
          <w:rFonts w:asciiTheme="majorHAnsi" w:hAnsiTheme="majorHAnsi" w:cs="Arial"/>
        </w:rPr>
        <w:t>resectable</w:t>
      </w:r>
      <w:proofErr w:type="spellEnd"/>
      <w:r w:rsidRPr="00B27ABE">
        <w:rPr>
          <w:rFonts w:asciiTheme="majorHAnsi" w:hAnsiTheme="majorHAnsi" w:cs="Arial"/>
        </w:rPr>
        <w:t xml:space="preserve"> </w:t>
      </w:r>
      <w:proofErr w:type="spellStart"/>
      <w:r w:rsidRPr="00B27ABE">
        <w:rPr>
          <w:rFonts w:asciiTheme="majorHAnsi" w:hAnsiTheme="majorHAnsi" w:cs="Arial"/>
        </w:rPr>
        <w:t>squamous</w:t>
      </w:r>
      <w:proofErr w:type="spellEnd"/>
      <w:r w:rsidRPr="00B27ABE">
        <w:rPr>
          <w:rFonts w:asciiTheme="majorHAnsi" w:hAnsiTheme="majorHAnsi" w:cs="Arial"/>
        </w:rPr>
        <w:t xml:space="preserve"> cell carcinoma of the oropharynx (OPSCC). JCO 2013</w:t>
      </w:r>
      <w:proofErr w:type="gramStart"/>
      <w:r w:rsidRPr="00B27ABE">
        <w:rPr>
          <w:rFonts w:asciiTheme="majorHAnsi" w:hAnsiTheme="majorHAnsi" w:cs="Arial"/>
        </w:rPr>
        <w:t>;31:suppl</w:t>
      </w:r>
      <w:proofErr w:type="gramEnd"/>
      <w:r w:rsidRPr="00B27ABE">
        <w:rPr>
          <w:rFonts w:asciiTheme="majorHAnsi" w:hAnsiTheme="majorHAnsi" w:cs="Arial"/>
        </w:rPr>
        <w:t xml:space="preserve"> 15</w:t>
      </w:r>
      <w:r w:rsidRPr="00B27ABE">
        <w:rPr>
          <w:rFonts w:asciiTheme="majorHAnsi" w:hAnsiTheme="majorHAnsi"/>
        </w:rPr>
        <w:t>.</w:t>
      </w:r>
    </w:p>
    <w:p w:rsidR="00610BC4" w:rsidRPr="00610BC4" w:rsidRDefault="00610BC4" w:rsidP="00610B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B27ABE">
        <w:rPr>
          <w:rFonts w:asciiTheme="majorHAnsi" w:hAnsiTheme="majorHAnsi"/>
          <w:noProof/>
        </w:rPr>
        <w:t>Bernier J, Cooper JS, Pajak TF, van Glabbeke M, Bourhis J, Forastiere A, et al.</w:t>
      </w:r>
      <w:r w:rsidRPr="00B27ABE">
        <w:rPr>
          <w:rFonts w:asciiTheme="majorHAnsi" w:hAnsiTheme="majorHAnsi"/>
          <w:i/>
          <w:noProof/>
        </w:rPr>
        <w:t xml:space="preserve"> </w:t>
      </w:r>
      <w:r w:rsidRPr="00B27ABE">
        <w:rPr>
          <w:rFonts w:asciiTheme="majorHAnsi" w:hAnsiTheme="majorHAnsi"/>
          <w:noProof/>
        </w:rPr>
        <w:t>Defining risk levels in locally advanced head and neck cancers: a comparative analysis of concurrent postoperative radiation plus chemotherapy trials of the EORTC (#22931) and RTOG (#9501). Head Neck. 2005;27(10):843-50.</w:t>
      </w:r>
    </w:p>
    <w:p w:rsidR="00B27ABE" w:rsidRPr="00B27ABE" w:rsidRDefault="004F1952" w:rsidP="00B27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B27ABE">
        <w:rPr>
          <w:rFonts w:asciiTheme="majorHAnsi" w:hAnsiTheme="majorHAnsi"/>
          <w:noProof/>
        </w:rPr>
        <w:t>Sinha P, Lewis JS Jr, Piccirillo JF, Kallogieri D, Haughey BH. Extracapsular spread and adjuvant therapy in Human papillomavirus-related, p16-positive oropharyngeal carcinoma. Cancer. 2012;118(14):3519-30.</w:t>
      </w:r>
    </w:p>
    <w:p w:rsidR="00B27ABE" w:rsidRPr="00B27ABE" w:rsidRDefault="00FB37F7" w:rsidP="00B27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B27ABE">
        <w:rPr>
          <w:rFonts w:asciiTheme="majorHAnsi" w:eastAsiaTheme="minorHAnsi" w:hAnsiTheme="majorHAnsi" w:cs="AdvPS3D5C76"/>
        </w:rPr>
        <w:t xml:space="preserve">Lewis JS </w:t>
      </w:r>
      <w:proofErr w:type="spellStart"/>
      <w:r w:rsidRPr="00B27ABE">
        <w:rPr>
          <w:rFonts w:asciiTheme="majorHAnsi" w:eastAsiaTheme="minorHAnsi" w:hAnsiTheme="majorHAnsi" w:cs="AdvPS3D5C76"/>
        </w:rPr>
        <w:t>Jr</w:t>
      </w:r>
      <w:proofErr w:type="spellEnd"/>
      <w:r w:rsidRPr="00B27ABE">
        <w:rPr>
          <w:rFonts w:asciiTheme="majorHAnsi" w:eastAsiaTheme="minorHAnsi" w:hAnsiTheme="majorHAnsi" w:cs="AdvPS3D5C76"/>
        </w:rPr>
        <w:t xml:space="preserve">, Carpenter DH, </w:t>
      </w:r>
      <w:proofErr w:type="spellStart"/>
      <w:r w:rsidRPr="00B27ABE">
        <w:rPr>
          <w:rFonts w:asciiTheme="majorHAnsi" w:eastAsiaTheme="minorHAnsi" w:hAnsiTheme="majorHAnsi" w:cs="AdvPS3D5C76"/>
        </w:rPr>
        <w:t>Thorstad</w:t>
      </w:r>
      <w:proofErr w:type="spellEnd"/>
      <w:r w:rsidRPr="00B27ABE">
        <w:rPr>
          <w:rFonts w:asciiTheme="majorHAnsi" w:eastAsiaTheme="minorHAnsi" w:hAnsiTheme="majorHAnsi" w:cs="AdvPS3D5C76"/>
        </w:rPr>
        <w:t xml:space="preserve"> WL, Zhang Q, Haughey BH. </w:t>
      </w:r>
      <w:proofErr w:type="spellStart"/>
      <w:r w:rsidRPr="00B27ABE">
        <w:rPr>
          <w:rFonts w:asciiTheme="majorHAnsi" w:eastAsiaTheme="minorHAnsi" w:hAnsiTheme="majorHAnsi" w:cs="AdvPS3D5C76"/>
        </w:rPr>
        <w:t>Extracapsular</w:t>
      </w:r>
      <w:proofErr w:type="spellEnd"/>
      <w:r w:rsidRPr="00B27ABE">
        <w:rPr>
          <w:rFonts w:asciiTheme="majorHAnsi" w:eastAsiaTheme="minorHAnsi" w:hAnsiTheme="majorHAnsi" w:cs="AdvPS3D5C76"/>
        </w:rPr>
        <w:t xml:space="preserve"> extension is a poor predictor of disease recurrence in surgically treated oropharyngeal squamous cell carcinoma. </w:t>
      </w:r>
      <w:r w:rsidRPr="00B27ABE">
        <w:rPr>
          <w:rFonts w:asciiTheme="majorHAnsi" w:eastAsiaTheme="minorHAnsi" w:hAnsiTheme="majorHAnsi" w:cs="AdvPSADA2"/>
        </w:rPr>
        <w:t>Modern Pathol</w:t>
      </w:r>
      <w:r w:rsidR="00481A71" w:rsidRPr="00B27ABE">
        <w:rPr>
          <w:rFonts w:asciiTheme="majorHAnsi" w:eastAsiaTheme="minorHAnsi" w:hAnsiTheme="majorHAnsi" w:cs="AdvPS3D5C76"/>
        </w:rPr>
        <w:t>ogy 2011</w:t>
      </w:r>
      <w:proofErr w:type="gramStart"/>
      <w:r w:rsidR="00481A71" w:rsidRPr="00B27ABE">
        <w:rPr>
          <w:rFonts w:asciiTheme="majorHAnsi" w:eastAsiaTheme="minorHAnsi" w:hAnsiTheme="majorHAnsi" w:cs="AdvPS3D5C76"/>
        </w:rPr>
        <w:t>;24:1413</w:t>
      </w:r>
      <w:proofErr w:type="gramEnd"/>
      <w:r w:rsidR="00481A71" w:rsidRPr="00B27ABE">
        <w:rPr>
          <w:rFonts w:asciiTheme="majorHAnsi" w:eastAsiaTheme="minorHAnsi" w:hAnsiTheme="majorHAnsi" w:cs="AdvPS3D5C76"/>
        </w:rPr>
        <w:t>-1420.</w:t>
      </w:r>
    </w:p>
    <w:p w:rsidR="00B27ABE" w:rsidRPr="00B27ABE" w:rsidRDefault="00194B25" w:rsidP="00B27A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B27ABE">
        <w:rPr>
          <w:rFonts w:asciiTheme="majorHAnsi" w:hAnsiTheme="majorHAnsi"/>
          <w:noProof/>
        </w:rPr>
        <w:t xml:space="preserve">Rich JT, Milov S, Lewis JS, et al. </w:t>
      </w:r>
      <w:proofErr w:type="spellStart"/>
      <w:r w:rsidRPr="00B27ABE">
        <w:rPr>
          <w:rFonts w:asciiTheme="majorHAnsi" w:eastAsiaTheme="minorHAnsi" w:hAnsiTheme="majorHAnsi" w:cs="AdvP66FA"/>
          <w:color w:val="231F20"/>
        </w:rPr>
        <w:t>Transoral</w:t>
      </w:r>
      <w:proofErr w:type="spellEnd"/>
      <w:r w:rsidRPr="00B27ABE">
        <w:rPr>
          <w:rFonts w:asciiTheme="majorHAnsi" w:eastAsiaTheme="minorHAnsi" w:hAnsiTheme="majorHAnsi" w:cs="AdvP66FA"/>
          <w:color w:val="231F20"/>
        </w:rPr>
        <w:t xml:space="preserve"> Laser Microsurgery (TLM) </w:t>
      </w:r>
      <w:r w:rsidRPr="00B27ABE">
        <w:rPr>
          <w:rFonts w:asciiTheme="majorHAnsi" w:eastAsiaTheme="minorHAnsi" w:hAnsiTheme="majorHAnsi" w:cs="AdvP4C4E74"/>
          <w:color w:val="231F20"/>
        </w:rPr>
        <w:t xml:space="preserve">- </w:t>
      </w:r>
      <w:r w:rsidRPr="00B27ABE">
        <w:rPr>
          <w:rFonts w:asciiTheme="majorHAnsi" w:eastAsiaTheme="minorHAnsi" w:hAnsiTheme="majorHAnsi" w:cs="AdvP66FA"/>
          <w:color w:val="231F20"/>
        </w:rPr>
        <w:t>Adjuvant Therapy for Advanced Stage Oropharyngeal Cancer: Outcomes and Prognostic Factors.</w:t>
      </w:r>
      <w:r w:rsidRPr="00B27ABE">
        <w:rPr>
          <w:rFonts w:asciiTheme="majorHAnsi" w:eastAsiaTheme="minorHAnsi" w:hAnsiTheme="majorHAnsi" w:cs="AdvP66F8"/>
          <w:color w:val="231F20"/>
        </w:rPr>
        <w:t xml:space="preserve"> Laryngoscope 2009; </w:t>
      </w:r>
      <w:r w:rsidRPr="00B27ABE">
        <w:rPr>
          <w:rFonts w:asciiTheme="majorHAnsi" w:eastAsiaTheme="minorHAnsi" w:hAnsiTheme="majorHAnsi" w:cs="AdvP66F7"/>
          <w:color w:val="231F20"/>
        </w:rPr>
        <w:t>119:1709–1719.</w:t>
      </w:r>
    </w:p>
    <w:p w:rsidR="00F95D2A" w:rsidRPr="00610BC4" w:rsidRDefault="00481A71" w:rsidP="00610BC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ajorHAnsi" w:eastAsia="Calibri" w:hAnsiTheme="majorHAnsi" w:cs="Arial"/>
          <w:bCs/>
          <w:lang w:eastAsia="en-GB"/>
        </w:rPr>
      </w:pPr>
      <w:r w:rsidRPr="00B27ABE">
        <w:rPr>
          <w:rFonts w:asciiTheme="majorHAnsi" w:hAnsiTheme="majorHAnsi"/>
          <w:noProof/>
        </w:rPr>
        <w:lastRenderedPageBreak/>
        <w:t xml:space="preserve">O’Sullivan B, Huang SH, Siu LL. </w:t>
      </w:r>
      <w:proofErr w:type="spellStart"/>
      <w:r w:rsidRPr="00B27ABE">
        <w:rPr>
          <w:rFonts w:asciiTheme="majorHAnsi" w:eastAsiaTheme="minorHAnsi" w:hAnsiTheme="majorHAnsi" w:cs="Minion-Regular"/>
        </w:rPr>
        <w:t>Deintensification</w:t>
      </w:r>
      <w:proofErr w:type="spellEnd"/>
      <w:r w:rsidRPr="00B27ABE">
        <w:rPr>
          <w:rFonts w:asciiTheme="majorHAnsi" w:eastAsiaTheme="minorHAnsi" w:hAnsiTheme="majorHAnsi" w:cs="Minion-Regular"/>
        </w:rPr>
        <w:t xml:space="preserve"> Candidate Subgroups in Human Papillomavirus–Related Oropharyngeal Cancer According to Minimal Risk of Distant Metastasis. JCO 2013;30:</w:t>
      </w:r>
    </w:p>
    <w:sectPr w:rsidR="00F95D2A" w:rsidRPr="00610BC4" w:rsidSect="00F95D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vPSA88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88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Gulliv-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66F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0eeac7f7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Tbfd4e789.B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Sans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SansGR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ardianSans-Regula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2E4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Helv_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159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HNe-MC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8067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HLLC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3D5C7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DA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66F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66F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2E64"/>
    <w:multiLevelType w:val="hybridMultilevel"/>
    <w:tmpl w:val="B73C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0E42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5C4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C7F37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0498F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C70B1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73BD1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A7D08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D7C99"/>
    <w:multiLevelType w:val="hybridMultilevel"/>
    <w:tmpl w:val="CEF4F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85232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07DCC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F7553"/>
    <w:multiLevelType w:val="hybridMultilevel"/>
    <w:tmpl w:val="2B3C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43553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D2329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237C7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F5E4F"/>
    <w:multiLevelType w:val="hybridMultilevel"/>
    <w:tmpl w:val="864C87FE"/>
    <w:lvl w:ilvl="0" w:tplc="A66E7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C6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702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A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06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6A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8E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507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E1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A746348"/>
    <w:multiLevelType w:val="hybridMultilevel"/>
    <w:tmpl w:val="FB4E724C"/>
    <w:lvl w:ilvl="0" w:tplc="712E7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49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A6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7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01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0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E5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4E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EAD6E39"/>
    <w:multiLevelType w:val="hybridMultilevel"/>
    <w:tmpl w:val="2B3C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5683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82318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22BB2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25E05"/>
    <w:multiLevelType w:val="hybridMultilevel"/>
    <w:tmpl w:val="44EEC01A"/>
    <w:lvl w:ilvl="0" w:tplc="1C94A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E0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28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68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A7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DE9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25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4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AD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CF04B8"/>
    <w:multiLevelType w:val="hybridMultilevel"/>
    <w:tmpl w:val="B07CF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B7EF5"/>
    <w:multiLevelType w:val="hybridMultilevel"/>
    <w:tmpl w:val="42E84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16"/>
  </w:num>
  <w:num w:numId="5">
    <w:abstractNumId w:val="15"/>
  </w:num>
  <w:num w:numId="6">
    <w:abstractNumId w:val="23"/>
  </w:num>
  <w:num w:numId="7">
    <w:abstractNumId w:val="3"/>
  </w:num>
  <w:num w:numId="8">
    <w:abstractNumId w:val="7"/>
  </w:num>
  <w:num w:numId="9">
    <w:abstractNumId w:val="18"/>
  </w:num>
  <w:num w:numId="10">
    <w:abstractNumId w:val="19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22"/>
  </w:num>
  <w:num w:numId="17">
    <w:abstractNumId w:val="0"/>
  </w:num>
  <w:num w:numId="18">
    <w:abstractNumId w:val="20"/>
  </w:num>
  <w:num w:numId="19">
    <w:abstractNumId w:val="9"/>
  </w:num>
  <w:num w:numId="20">
    <w:abstractNumId w:val="8"/>
  </w:num>
  <w:num w:numId="21">
    <w:abstractNumId w:val="10"/>
  </w:num>
  <w:num w:numId="22">
    <w:abstractNumId w:val="1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12983"/>
    <w:rsid w:val="00027838"/>
    <w:rsid w:val="0005372B"/>
    <w:rsid w:val="000625E4"/>
    <w:rsid w:val="00073CA8"/>
    <w:rsid w:val="00095188"/>
    <w:rsid w:val="000A26FD"/>
    <w:rsid w:val="000C71DB"/>
    <w:rsid w:val="000D248D"/>
    <w:rsid w:val="000F73BF"/>
    <w:rsid w:val="00111A8E"/>
    <w:rsid w:val="001168E1"/>
    <w:rsid w:val="00122E87"/>
    <w:rsid w:val="00134794"/>
    <w:rsid w:val="00141445"/>
    <w:rsid w:val="00145B02"/>
    <w:rsid w:val="00163B49"/>
    <w:rsid w:val="00170C3A"/>
    <w:rsid w:val="00181405"/>
    <w:rsid w:val="00181E62"/>
    <w:rsid w:val="00194B25"/>
    <w:rsid w:val="001968F3"/>
    <w:rsid w:val="001E4B26"/>
    <w:rsid w:val="001E4FB2"/>
    <w:rsid w:val="001E6163"/>
    <w:rsid w:val="001F32BE"/>
    <w:rsid w:val="0021188E"/>
    <w:rsid w:val="00215FB0"/>
    <w:rsid w:val="002277AC"/>
    <w:rsid w:val="002367DF"/>
    <w:rsid w:val="00245076"/>
    <w:rsid w:val="00247FF9"/>
    <w:rsid w:val="00250E6D"/>
    <w:rsid w:val="00251CB4"/>
    <w:rsid w:val="002D18C0"/>
    <w:rsid w:val="002D3B5E"/>
    <w:rsid w:val="002D5B69"/>
    <w:rsid w:val="002E58D5"/>
    <w:rsid w:val="002F1330"/>
    <w:rsid w:val="0031027B"/>
    <w:rsid w:val="00312213"/>
    <w:rsid w:val="003225C4"/>
    <w:rsid w:val="00324584"/>
    <w:rsid w:val="003423D5"/>
    <w:rsid w:val="00343EC5"/>
    <w:rsid w:val="00366229"/>
    <w:rsid w:val="003678D5"/>
    <w:rsid w:val="00381E39"/>
    <w:rsid w:val="003A3007"/>
    <w:rsid w:val="003B6FEF"/>
    <w:rsid w:val="003D08A3"/>
    <w:rsid w:val="003D28F5"/>
    <w:rsid w:val="003D4039"/>
    <w:rsid w:val="003D66F8"/>
    <w:rsid w:val="00401B2C"/>
    <w:rsid w:val="004048C7"/>
    <w:rsid w:val="00431CEB"/>
    <w:rsid w:val="00436B43"/>
    <w:rsid w:val="004406C6"/>
    <w:rsid w:val="00442DF1"/>
    <w:rsid w:val="00481A71"/>
    <w:rsid w:val="004876ED"/>
    <w:rsid w:val="004942A2"/>
    <w:rsid w:val="0049570C"/>
    <w:rsid w:val="004A0C99"/>
    <w:rsid w:val="004A1070"/>
    <w:rsid w:val="004B7491"/>
    <w:rsid w:val="004C5373"/>
    <w:rsid w:val="004F1952"/>
    <w:rsid w:val="00504289"/>
    <w:rsid w:val="00504C4D"/>
    <w:rsid w:val="00517CEC"/>
    <w:rsid w:val="00552132"/>
    <w:rsid w:val="00553519"/>
    <w:rsid w:val="005550F2"/>
    <w:rsid w:val="00557B26"/>
    <w:rsid w:val="005747BB"/>
    <w:rsid w:val="005802CB"/>
    <w:rsid w:val="0058354F"/>
    <w:rsid w:val="00596348"/>
    <w:rsid w:val="005A2097"/>
    <w:rsid w:val="005E1401"/>
    <w:rsid w:val="005F20AA"/>
    <w:rsid w:val="005F5515"/>
    <w:rsid w:val="00600B84"/>
    <w:rsid w:val="00610BC4"/>
    <w:rsid w:val="00614FD8"/>
    <w:rsid w:val="0061553A"/>
    <w:rsid w:val="006270B2"/>
    <w:rsid w:val="00656147"/>
    <w:rsid w:val="0067644A"/>
    <w:rsid w:val="006773EB"/>
    <w:rsid w:val="00682919"/>
    <w:rsid w:val="00687447"/>
    <w:rsid w:val="006A4B12"/>
    <w:rsid w:val="006A6708"/>
    <w:rsid w:val="006B3C34"/>
    <w:rsid w:val="006C6C07"/>
    <w:rsid w:val="006D08F3"/>
    <w:rsid w:val="006D40B8"/>
    <w:rsid w:val="006F511D"/>
    <w:rsid w:val="006F5B4B"/>
    <w:rsid w:val="0071051A"/>
    <w:rsid w:val="007161D1"/>
    <w:rsid w:val="00725BD1"/>
    <w:rsid w:val="00731D0D"/>
    <w:rsid w:val="007467E6"/>
    <w:rsid w:val="007506F9"/>
    <w:rsid w:val="00756FD4"/>
    <w:rsid w:val="0075742F"/>
    <w:rsid w:val="00775429"/>
    <w:rsid w:val="00783166"/>
    <w:rsid w:val="00797B8F"/>
    <w:rsid w:val="007A2558"/>
    <w:rsid w:val="007C180B"/>
    <w:rsid w:val="007C4A5A"/>
    <w:rsid w:val="007C759E"/>
    <w:rsid w:val="007D529A"/>
    <w:rsid w:val="007E5B51"/>
    <w:rsid w:val="007E7B98"/>
    <w:rsid w:val="00800FF4"/>
    <w:rsid w:val="00817900"/>
    <w:rsid w:val="008242E8"/>
    <w:rsid w:val="008412D8"/>
    <w:rsid w:val="00841FEA"/>
    <w:rsid w:val="00855B2D"/>
    <w:rsid w:val="00864363"/>
    <w:rsid w:val="0087412C"/>
    <w:rsid w:val="00884B33"/>
    <w:rsid w:val="00893274"/>
    <w:rsid w:val="008946C5"/>
    <w:rsid w:val="00895A27"/>
    <w:rsid w:val="008A5A57"/>
    <w:rsid w:val="008C02CD"/>
    <w:rsid w:val="008C456F"/>
    <w:rsid w:val="008D2346"/>
    <w:rsid w:val="008F150E"/>
    <w:rsid w:val="008F54F4"/>
    <w:rsid w:val="00917B22"/>
    <w:rsid w:val="009333DA"/>
    <w:rsid w:val="00942400"/>
    <w:rsid w:val="00950A43"/>
    <w:rsid w:val="00960D6D"/>
    <w:rsid w:val="009672E1"/>
    <w:rsid w:val="009B02E9"/>
    <w:rsid w:val="009B0711"/>
    <w:rsid w:val="009B52BE"/>
    <w:rsid w:val="009B7519"/>
    <w:rsid w:val="009D386D"/>
    <w:rsid w:val="009D7202"/>
    <w:rsid w:val="009E5649"/>
    <w:rsid w:val="00A026B7"/>
    <w:rsid w:val="00A05D17"/>
    <w:rsid w:val="00A11980"/>
    <w:rsid w:val="00A12983"/>
    <w:rsid w:val="00A14782"/>
    <w:rsid w:val="00A2063F"/>
    <w:rsid w:val="00A31B21"/>
    <w:rsid w:val="00A520F4"/>
    <w:rsid w:val="00A64A1E"/>
    <w:rsid w:val="00A75DC0"/>
    <w:rsid w:val="00AA5F66"/>
    <w:rsid w:val="00AC5A6D"/>
    <w:rsid w:val="00AD2970"/>
    <w:rsid w:val="00AE0D69"/>
    <w:rsid w:val="00AF143D"/>
    <w:rsid w:val="00B03B53"/>
    <w:rsid w:val="00B13A1D"/>
    <w:rsid w:val="00B13C13"/>
    <w:rsid w:val="00B20C46"/>
    <w:rsid w:val="00B275F1"/>
    <w:rsid w:val="00B27ABE"/>
    <w:rsid w:val="00B34168"/>
    <w:rsid w:val="00B54BE7"/>
    <w:rsid w:val="00B60F32"/>
    <w:rsid w:val="00B729EB"/>
    <w:rsid w:val="00B75AB0"/>
    <w:rsid w:val="00B90F4E"/>
    <w:rsid w:val="00BC770D"/>
    <w:rsid w:val="00BE1313"/>
    <w:rsid w:val="00C26745"/>
    <w:rsid w:val="00C275A1"/>
    <w:rsid w:val="00C353D9"/>
    <w:rsid w:val="00C436A6"/>
    <w:rsid w:val="00C4614C"/>
    <w:rsid w:val="00C468C4"/>
    <w:rsid w:val="00C5603E"/>
    <w:rsid w:val="00C56D8F"/>
    <w:rsid w:val="00C639ED"/>
    <w:rsid w:val="00C65607"/>
    <w:rsid w:val="00C70E26"/>
    <w:rsid w:val="00C73C92"/>
    <w:rsid w:val="00C74FEC"/>
    <w:rsid w:val="00C76CA2"/>
    <w:rsid w:val="00C8374B"/>
    <w:rsid w:val="00CA676E"/>
    <w:rsid w:val="00CB5E85"/>
    <w:rsid w:val="00CC3FD0"/>
    <w:rsid w:val="00CC48A0"/>
    <w:rsid w:val="00CD2E84"/>
    <w:rsid w:val="00CE7A69"/>
    <w:rsid w:val="00CF14DA"/>
    <w:rsid w:val="00D12280"/>
    <w:rsid w:val="00D23BBC"/>
    <w:rsid w:val="00D356B1"/>
    <w:rsid w:val="00D362F9"/>
    <w:rsid w:val="00D50327"/>
    <w:rsid w:val="00D62259"/>
    <w:rsid w:val="00D95AA1"/>
    <w:rsid w:val="00DB7248"/>
    <w:rsid w:val="00DE412B"/>
    <w:rsid w:val="00DF4445"/>
    <w:rsid w:val="00E108E2"/>
    <w:rsid w:val="00E12D3E"/>
    <w:rsid w:val="00E16E79"/>
    <w:rsid w:val="00E22564"/>
    <w:rsid w:val="00E27B73"/>
    <w:rsid w:val="00E32880"/>
    <w:rsid w:val="00E36037"/>
    <w:rsid w:val="00E41EB8"/>
    <w:rsid w:val="00E517FC"/>
    <w:rsid w:val="00E64A58"/>
    <w:rsid w:val="00E67E81"/>
    <w:rsid w:val="00ED1751"/>
    <w:rsid w:val="00F168B2"/>
    <w:rsid w:val="00F17747"/>
    <w:rsid w:val="00F21C31"/>
    <w:rsid w:val="00F2212B"/>
    <w:rsid w:val="00F42CA3"/>
    <w:rsid w:val="00F53E80"/>
    <w:rsid w:val="00F5505B"/>
    <w:rsid w:val="00F85D9C"/>
    <w:rsid w:val="00F95D2A"/>
    <w:rsid w:val="00FB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983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12983"/>
    <w:pPr>
      <w:keepNext/>
      <w:spacing w:after="0"/>
      <w:outlineLvl w:val="1"/>
    </w:pPr>
    <w:rPr>
      <w:rFonts w:ascii="Times New Roman" w:eastAsia="Times New Roman" w:hAnsi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2983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1298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170C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E8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50E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E6D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E6D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E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E6D"/>
    <w:rPr>
      <w:rFonts w:ascii="Tahoma" w:eastAsia="Cambria" w:hAnsi="Tahoma" w:cs="Tahoma"/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5E1401"/>
    <w:pPr>
      <w:spacing w:after="160"/>
    </w:pPr>
    <w:rPr>
      <w:rFonts w:ascii="Calibri" w:eastAsiaTheme="minorHAnsi" w:hAnsi="Calibri" w:cstheme="minorBidi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5E1401"/>
    <w:rPr>
      <w:rFonts w:ascii="Calibri" w:hAnsi="Calibri"/>
      <w:noProof/>
    </w:rPr>
  </w:style>
  <w:style w:type="paragraph" w:customStyle="1" w:styleId="Default">
    <w:name w:val="Default"/>
    <w:rsid w:val="00AA5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99"/>
    <w:rsid w:val="004F1952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7AC"/>
    <w:pPr>
      <w:spacing w:after="200"/>
    </w:pPr>
    <w:rPr>
      <w:rFonts w:ascii="Cambria" w:eastAsia="Cambria" w:hAnsi="Cambria" w:cs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7AC"/>
    <w:rPr>
      <w:rFonts w:ascii="Cambria" w:eastAsia="Cambria" w:hAnsi="Cambria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1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1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2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em.ac.uk/Portals/0/Documents/Partners/Radiotherapy%20Board/imrt_target_revisions_recommendations_for_colleges_final2.pdf" TargetMode="External"/><Relationship Id="rId5" Type="http://schemas.openxmlformats.org/officeDocument/2006/relationships/hyperlink" Target="mailto:Mererid.Evans@wales.nhs.u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Velindre NHS Trust</Company>
  <LinksUpToDate>false</LinksUpToDate>
  <CharactersWithSpaces>34023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me120319</dc:creator>
  <cp:lastModifiedBy>me120319</cp:lastModifiedBy>
  <cp:revision>12</cp:revision>
  <cp:lastPrinted>2015-11-04T15:27:00Z</cp:lastPrinted>
  <dcterms:created xsi:type="dcterms:W3CDTF">2015-11-12T06:31:00Z</dcterms:created>
  <dcterms:modified xsi:type="dcterms:W3CDTF">2015-11-12T17:15:00Z</dcterms:modified>
</cp:coreProperties>
</file>