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6BA01" w14:textId="77777777" w:rsidR="00E33665" w:rsidRDefault="00E33665" w:rsidP="00DE157C">
      <w:pPr>
        <w:rPr>
          <w:b/>
          <w:sz w:val="24"/>
          <w:szCs w:val="24"/>
        </w:rPr>
      </w:pPr>
      <w:bookmarkStart w:id="0" w:name="_GoBack"/>
      <w:bookmarkEnd w:id="0"/>
      <w:r>
        <w:rPr>
          <w:b/>
          <w:sz w:val="24"/>
          <w:szCs w:val="24"/>
        </w:rPr>
        <w:t>First Prospective Cohort Study of Diabetic Retinopathy from Sub-Saharan Africa</w:t>
      </w:r>
    </w:p>
    <w:p w14:paraId="4CCA7C06" w14:textId="77777777" w:rsidR="00DE157C" w:rsidRPr="00E33665" w:rsidRDefault="002256FE" w:rsidP="00DE157C">
      <w:pPr>
        <w:rPr>
          <w:i/>
          <w:sz w:val="24"/>
          <w:szCs w:val="24"/>
        </w:rPr>
      </w:pPr>
      <w:r w:rsidRPr="00E33665">
        <w:rPr>
          <w:i/>
          <w:sz w:val="24"/>
          <w:szCs w:val="24"/>
        </w:rPr>
        <w:t>High Incidence and Progression of R</w:t>
      </w:r>
      <w:r w:rsidR="001E5A68" w:rsidRPr="00E33665">
        <w:rPr>
          <w:i/>
          <w:sz w:val="24"/>
          <w:szCs w:val="24"/>
        </w:rPr>
        <w:t xml:space="preserve">etinopathy </w:t>
      </w:r>
      <w:r w:rsidRPr="00E33665">
        <w:rPr>
          <w:i/>
          <w:sz w:val="24"/>
          <w:szCs w:val="24"/>
        </w:rPr>
        <w:t>and</w:t>
      </w:r>
      <w:r w:rsidR="00E33665" w:rsidRPr="00E33665">
        <w:rPr>
          <w:i/>
          <w:sz w:val="24"/>
          <w:szCs w:val="24"/>
        </w:rPr>
        <w:t xml:space="preserve"> Relationship to HIV Infection</w:t>
      </w:r>
    </w:p>
    <w:p w14:paraId="0F04CCD9" w14:textId="77777777" w:rsidR="007B2E7B" w:rsidRPr="00EA1839" w:rsidRDefault="007B2E7B" w:rsidP="00DE157C">
      <w:pPr>
        <w:spacing w:line="240" w:lineRule="auto"/>
        <w:rPr>
          <w:b/>
          <w:sz w:val="24"/>
          <w:szCs w:val="24"/>
        </w:rPr>
      </w:pPr>
    </w:p>
    <w:p w14:paraId="46334C11" w14:textId="77777777" w:rsidR="00EA1839" w:rsidRPr="00EA1839" w:rsidRDefault="00EA1839" w:rsidP="00DE157C">
      <w:pPr>
        <w:spacing w:line="240" w:lineRule="auto"/>
        <w:rPr>
          <w:b/>
          <w:sz w:val="24"/>
          <w:szCs w:val="24"/>
        </w:rPr>
      </w:pPr>
      <w:r w:rsidRPr="00EA1839">
        <w:rPr>
          <w:b/>
          <w:sz w:val="24"/>
          <w:szCs w:val="24"/>
        </w:rPr>
        <w:t>Running Head:</w:t>
      </w:r>
      <w:r>
        <w:rPr>
          <w:b/>
          <w:sz w:val="24"/>
          <w:szCs w:val="24"/>
        </w:rPr>
        <w:t xml:space="preserve"> Diabetic Retinopathy in Sub-Saharan Africa</w:t>
      </w:r>
    </w:p>
    <w:p w14:paraId="38F9FA99" w14:textId="77777777" w:rsidR="005D7E96" w:rsidRPr="00EA1839" w:rsidRDefault="005D7E96" w:rsidP="00D00E40">
      <w:pPr>
        <w:spacing w:line="240" w:lineRule="auto"/>
        <w:rPr>
          <w:rFonts w:cs="Calibri"/>
          <w:b/>
          <w:bCs/>
          <w:sz w:val="24"/>
          <w:szCs w:val="24"/>
        </w:rPr>
      </w:pPr>
    </w:p>
    <w:p w14:paraId="690F91ED" w14:textId="77777777" w:rsidR="00D00E40" w:rsidRDefault="00D00E40" w:rsidP="00D00E40">
      <w:pPr>
        <w:spacing w:line="240" w:lineRule="auto"/>
        <w:rPr>
          <w:rFonts w:cs="Calibri"/>
          <w:b/>
          <w:bCs/>
          <w:sz w:val="24"/>
          <w:szCs w:val="24"/>
        </w:rPr>
      </w:pPr>
      <w:r>
        <w:rPr>
          <w:rFonts w:cs="Calibri"/>
          <w:b/>
          <w:bCs/>
          <w:sz w:val="24"/>
          <w:szCs w:val="24"/>
        </w:rPr>
        <w:t>Authorship</w:t>
      </w:r>
    </w:p>
    <w:p w14:paraId="155E22D7" w14:textId="77777777" w:rsidR="00B375B4" w:rsidRPr="00D00E40" w:rsidRDefault="00B375B4" w:rsidP="00D00E40">
      <w:pPr>
        <w:spacing w:line="240" w:lineRule="auto"/>
        <w:rPr>
          <w:b/>
        </w:rPr>
      </w:pPr>
    </w:p>
    <w:p w14:paraId="576B619A" w14:textId="77777777" w:rsidR="00D00E40" w:rsidRDefault="00D00E40" w:rsidP="0099610E">
      <w:pPr>
        <w:pStyle w:val="whs2"/>
        <w:spacing w:line="360" w:lineRule="auto"/>
        <w:rPr>
          <w:rFonts w:ascii="Calibri" w:hAnsi="Calibri" w:cs="Calibri"/>
          <w:sz w:val="24"/>
          <w:szCs w:val="24"/>
        </w:rPr>
      </w:pPr>
      <w:r w:rsidRPr="0082275C">
        <w:rPr>
          <w:rFonts w:ascii="Calibri" w:hAnsi="Calibri" w:cs="Calibri"/>
          <w:b/>
          <w:sz w:val="24"/>
          <w:szCs w:val="24"/>
        </w:rPr>
        <w:t>1.</w:t>
      </w:r>
      <w:r>
        <w:rPr>
          <w:rFonts w:ascii="Calibri" w:hAnsi="Calibri" w:cs="Calibri"/>
          <w:b/>
          <w:sz w:val="24"/>
          <w:szCs w:val="24"/>
        </w:rPr>
        <w:t xml:space="preserve"> </w:t>
      </w:r>
      <w:r w:rsidRPr="002D49C2">
        <w:rPr>
          <w:rFonts w:ascii="Calibri" w:hAnsi="Calibri" w:cs="Calibri"/>
          <w:b/>
          <w:sz w:val="24"/>
          <w:szCs w:val="24"/>
        </w:rPr>
        <w:t>Philip I Burgess</w:t>
      </w:r>
      <w:r w:rsidR="0099610E">
        <w:rPr>
          <w:rFonts w:ascii="Calibri" w:hAnsi="Calibri" w:cs="Calibri"/>
          <w:sz w:val="24"/>
          <w:szCs w:val="24"/>
        </w:rPr>
        <w:t xml:space="preserve"> </w:t>
      </w:r>
      <w:r w:rsidR="00EA1839">
        <w:rPr>
          <w:rFonts w:ascii="Calibri" w:hAnsi="Calibri" w:cs="Calibri"/>
          <w:sz w:val="24"/>
          <w:szCs w:val="24"/>
        </w:rPr>
        <w:tab/>
      </w:r>
      <w:r w:rsidR="00EA1839">
        <w:rPr>
          <w:rFonts w:ascii="Calibri" w:hAnsi="Calibri" w:cs="Calibri"/>
          <w:sz w:val="24"/>
          <w:szCs w:val="24"/>
        </w:rPr>
        <w:tab/>
      </w:r>
      <w:proofErr w:type="gramStart"/>
      <w:r w:rsidR="00EA1839">
        <w:rPr>
          <w:rFonts w:ascii="Calibri" w:hAnsi="Calibri" w:cs="Calibri"/>
          <w:sz w:val="24"/>
          <w:szCs w:val="24"/>
        </w:rPr>
        <w:t>MRCS(</w:t>
      </w:r>
      <w:proofErr w:type="gramEnd"/>
      <w:r w:rsidR="00EA1839">
        <w:rPr>
          <w:rFonts w:ascii="Calibri" w:hAnsi="Calibri" w:cs="Calibri"/>
          <w:sz w:val="24"/>
          <w:szCs w:val="24"/>
        </w:rPr>
        <w:t>Ed.) PhD</w:t>
      </w:r>
      <w:r w:rsidR="00EA1839">
        <w:rPr>
          <w:rFonts w:ascii="Calibri" w:hAnsi="Calibri" w:cs="Calibri"/>
          <w:sz w:val="24"/>
          <w:szCs w:val="24"/>
        </w:rPr>
        <w:tab/>
      </w:r>
      <w:r>
        <w:rPr>
          <w:rFonts w:ascii="Calibri" w:hAnsi="Calibri" w:cs="Calibri"/>
          <w:sz w:val="24"/>
          <w:szCs w:val="24"/>
        </w:rPr>
        <w:t>(</w:t>
      </w:r>
      <w:r w:rsidRPr="00D74619">
        <w:rPr>
          <w:rFonts w:ascii="Calibri" w:hAnsi="Calibri" w:cs="Calibri"/>
          <w:sz w:val="24"/>
          <w:szCs w:val="24"/>
        </w:rPr>
        <w:t>First and corresponding author</w:t>
      </w:r>
      <w:r>
        <w:rPr>
          <w:rFonts w:ascii="Calibri" w:hAnsi="Calibri" w:cs="Calibri"/>
          <w:sz w:val="24"/>
          <w:szCs w:val="24"/>
        </w:rPr>
        <w:t>)</w:t>
      </w:r>
    </w:p>
    <w:p w14:paraId="4D8C466F" w14:textId="77777777" w:rsidR="00D00E40" w:rsidRDefault="00D00E40" w:rsidP="00D00E40">
      <w:pPr>
        <w:pStyle w:val="whs2"/>
        <w:spacing w:line="360" w:lineRule="auto"/>
        <w:ind w:left="2880" w:hanging="2880"/>
        <w:rPr>
          <w:rFonts w:ascii="Calibri" w:hAnsi="Calibri" w:cs="Calibri"/>
          <w:sz w:val="24"/>
          <w:szCs w:val="24"/>
        </w:rPr>
      </w:pPr>
      <w:r>
        <w:rPr>
          <w:rFonts w:ascii="Calibri" w:hAnsi="Calibri" w:cs="Calibri"/>
          <w:sz w:val="24"/>
          <w:szCs w:val="24"/>
        </w:rPr>
        <w:t xml:space="preserve">Affiliation: </w:t>
      </w:r>
      <w:r>
        <w:rPr>
          <w:rFonts w:ascii="Calibri" w:hAnsi="Calibri" w:cs="Calibri"/>
          <w:sz w:val="24"/>
          <w:szCs w:val="24"/>
        </w:rPr>
        <w:tab/>
        <w:t>Malawi-Liverpool-</w:t>
      </w:r>
      <w:proofErr w:type="spellStart"/>
      <w:r>
        <w:rPr>
          <w:rFonts w:ascii="Calibri" w:hAnsi="Calibri" w:cs="Calibri"/>
          <w:sz w:val="24"/>
          <w:szCs w:val="24"/>
        </w:rPr>
        <w:t>Wellcome</w:t>
      </w:r>
      <w:proofErr w:type="spellEnd"/>
      <w:r>
        <w:rPr>
          <w:rFonts w:ascii="Calibri" w:hAnsi="Calibri" w:cs="Calibri"/>
          <w:sz w:val="24"/>
          <w:szCs w:val="24"/>
        </w:rPr>
        <w:t xml:space="preserve"> Trust Clinical Research Programme and</w:t>
      </w:r>
    </w:p>
    <w:p w14:paraId="1976E2F9" w14:textId="77777777" w:rsidR="00D00E40" w:rsidRDefault="001B2411" w:rsidP="00D00E40">
      <w:pPr>
        <w:pStyle w:val="whs2"/>
        <w:spacing w:line="36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D00E40">
        <w:rPr>
          <w:rFonts w:ascii="Calibri" w:hAnsi="Calibri" w:cs="Calibri"/>
          <w:sz w:val="24"/>
          <w:szCs w:val="24"/>
        </w:rPr>
        <w:t>Department of Eye and Vision Science, University of Liverpool</w:t>
      </w:r>
    </w:p>
    <w:p w14:paraId="00EE2B59" w14:textId="77777777" w:rsidR="00D00E40" w:rsidRPr="00D74619" w:rsidRDefault="00D00E40" w:rsidP="00D00E40">
      <w:pPr>
        <w:pStyle w:val="whs2"/>
        <w:spacing w:line="360" w:lineRule="auto"/>
        <w:rPr>
          <w:rStyle w:val="apple-style-span"/>
          <w:rFonts w:ascii="Calibri" w:hAnsi="Calibri" w:cs="Calibri"/>
          <w:sz w:val="24"/>
          <w:szCs w:val="24"/>
        </w:rPr>
      </w:pPr>
      <w:r w:rsidRPr="00D74619">
        <w:rPr>
          <w:rStyle w:val="apple-style-span"/>
          <w:rFonts w:ascii="Calibri" w:hAnsi="Calibri" w:cs="Calibri"/>
          <w:sz w:val="24"/>
          <w:szCs w:val="24"/>
        </w:rPr>
        <w:t xml:space="preserve">Address: </w:t>
      </w:r>
      <w:r w:rsidRPr="00D74619">
        <w:rPr>
          <w:rStyle w:val="apple-style-span"/>
          <w:rFonts w:ascii="Calibri" w:hAnsi="Calibri" w:cs="Calibri"/>
          <w:sz w:val="24"/>
          <w:szCs w:val="24"/>
        </w:rPr>
        <w:tab/>
      </w:r>
      <w:r>
        <w:rPr>
          <w:rStyle w:val="apple-style-span"/>
          <w:rFonts w:ascii="Calibri" w:hAnsi="Calibri" w:cs="Calibri"/>
          <w:sz w:val="24"/>
          <w:szCs w:val="24"/>
        </w:rPr>
        <w:tab/>
      </w:r>
      <w:r>
        <w:rPr>
          <w:rStyle w:val="apple-style-span"/>
          <w:rFonts w:ascii="Calibri" w:hAnsi="Calibri" w:cs="Calibri"/>
          <w:sz w:val="24"/>
          <w:szCs w:val="24"/>
        </w:rPr>
        <w:tab/>
      </w:r>
      <w:r w:rsidRPr="00D74619">
        <w:rPr>
          <w:rStyle w:val="apple-style-span"/>
          <w:rFonts w:ascii="Calibri" w:hAnsi="Calibri" w:cs="Calibri"/>
          <w:sz w:val="24"/>
          <w:szCs w:val="24"/>
        </w:rPr>
        <w:t>Malawi-Liverpool-</w:t>
      </w:r>
      <w:proofErr w:type="spellStart"/>
      <w:r w:rsidRPr="00D74619">
        <w:rPr>
          <w:rStyle w:val="apple-style-span"/>
          <w:rFonts w:ascii="Calibri" w:hAnsi="Calibri" w:cs="Calibri"/>
          <w:sz w:val="24"/>
          <w:szCs w:val="24"/>
        </w:rPr>
        <w:t>Wellcome</w:t>
      </w:r>
      <w:proofErr w:type="spellEnd"/>
      <w:r w:rsidRPr="00D74619">
        <w:rPr>
          <w:rStyle w:val="apple-style-span"/>
          <w:rFonts w:ascii="Calibri" w:hAnsi="Calibri" w:cs="Calibri"/>
          <w:sz w:val="24"/>
          <w:szCs w:val="24"/>
        </w:rPr>
        <w:t xml:space="preserve"> Trust Clinical Research </w:t>
      </w:r>
      <w:r>
        <w:rPr>
          <w:rStyle w:val="apple-style-span"/>
          <w:rFonts w:ascii="Calibri" w:hAnsi="Calibri" w:cs="Calibri"/>
          <w:sz w:val="24"/>
          <w:szCs w:val="24"/>
        </w:rPr>
        <w:tab/>
      </w:r>
      <w:r>
        <w:rPr>
          <w:rStyle w:val="apple-style-span"/>
          <w:rFonts w:ascii="Calibri" w:hAnsi="Calibri" w:cs="Calibri"/>
          <w:sz w:val="24"/>
          <w:szCs w:val="24"/>
        </w:rPr>
        <w:tab/>
      </w:r>
      <w:r>
        <w:rPr>
          <w:rStyle w:val="apple-style-span"/>
          <w:rFonts w:ascii="Calibri" w:hAnsi="Calibri" w:cs="Calibri"/>
          <w:sz w:val="24"/>
          <w:szCs w:val="24"/>
        </w:rPr>
        <w:tab/>
      </w:r>
      <w:r>
        <w:rPr>
          <w:rStyle w:val="apple-style-span"/>
          <w:rFonts w:ascii="Calibri" w:hAnsi="Calibri" w:cs="Calibri"/>
          <w:sz w:val="24"/>
          <w:szCs w:val="24"/>
        </w:rPr>
        <w:tab/>
      </w:r>
      <w:r>
        <w:rPr>
          <w:rStyle w:val="apple-style-span"/>
          <w:rFonts w:ascii="Calibri" w:hAnsi="Calibri" w:cs="Calibri"/>
          <w:sz w:val="24"/>
          <w:szCs w:val="24"/>
        </w:rPr>
        <w:tab/>
      </w:r>
      <w:r w:rsidRPr="00D74619">
        <w:rPr>
          <w:rStyle w:val="apple-style-span"/>
          <w:rFonts w:ascii="Calibri" w:hAnsi="Calibri" w:cs="Calibri"/>
          <w:sz w:val="24"/>
          <w:szCs w:val="24"/>
        </w:rPr>
        <w:t>Programme</w:t>
      </w:r>
      <w:r>
        <w:rPr>
          <w:rFonts w:ascii="Calibri" w:hAnsi="Calibri" w:cs="Calibri"/>
          <w:iCs/>
          <w:sz w:val="24"/>
          <w:szCs w:val="24"/>
          <w:shd w:val="clear" w:color="auto" w:fill="FFFFFF"/>
        </w:rPr>
        <w:t xml:space="preserve">, </w:t>
      </w:r>
      <w:r w:rsidRPr="00D74619">
        <w:rPr>
          <w:rStyle w:val="apple-style-span"/>
          <w:rFonts w:ascii="Calibri" w:hAnsi="Calibri" w:cs="Calibri"/>
          <w:sz w:val="24"/>
          <w:szCs w:val="24"/>
        </w:rPr>
        <w:t>Queen Elizabeth Central Hospital</w:t>
      </w:r>
      <w:r>
        <w:rPr>
          <w:rFonts w:ascii="Calibri" w:hAnsi="Calibri" w:cs="Calibri"/>
          <w:iCs/>
          <w:sz w:val="24"/>
          <w:szCs w:val="24"/>
          <w:shd w:val="clear" w:color="auto" w:fill="FFFFFF"/>
        </w:rPr>
        <w:t xml:space="preserve">, </w:t>
      </w:r>
      <w:r w:rsidRPr="00D74619">
        <w:rPr>
          <w:rStyle w:val="apple-style-span"/>
          <w:rFonts w:ascii="Calibri" w:hAnsi="Calibri" w:cs="Calibri"/>
          <w:sz w:val="24"/>
          <w:szCs w:val="24"/>
        </w:rPr>
        <w:t xml:space="preserve">College of </w:t>
      </w:r>
      <w:r>
        <w:rPr>
          <w:rStyle w:val="apple-style-span"/>
          <w:rFonts w:ascii="Calibri" w:hAnsi="Calibri" w:cs="Calibri"/>
          <w:sz w:val="24"/>
          <w:szCs w:val="24"/>
        </w:rPr>
        <w:tab/>
      </w:r>
      <w:r>
        <w:rPr>
          <w:rStyle w:val="apple-style-span"/>
          <w:rFonts w:ascii="Calibri" w:hAnsi="Calibri" w:cs="Calibri"/>
          <w:sz w:val="24"/>
          <w:szCs w:val="24"/>
        </w:rPr>
        <w:tab/>
      </w:r>
      <w:r>
        <w:rPr>
          <w:rStyle w:val="apple-style-span"/>
          <w:rFonts w:ascii="Calibri" w:hAnsi="Calibri" w:cs="Calibri"/>
          <w:sz w:val="24"/>
          <w:szCs w:val="24"/>
        </w:rPr>
        <w:tab/>
      </w:r>
      <w:r>
        <w:rPr>
          <w:rStyle w:val="apple-style-span"/>
          <w:rFonts w:ascii="Calibri" w:hAnsi="Calibri" w:cs="Calibri"/>
          <w:sz w:val="24"/>
          <w:szCs w:val="24"/>
        </w:rPr>
        <w:tab/>
      </w:r>
      <w:r>
        <w:rPr>
          <w:rStyle w:val="apple-style-span"/>
          <w:rFonts w:ascii="Calibri" w:hAnsi="Calibri" w:cs="Calibri"/>
          <w:sz w:val="24"/>
          <w:szCs w:val="24"/>
        </w:rPr>
        <w:tab/>
      </w:r>
      <w:r w:rsidRPr="00D74619">
        <w:rPr>
          <w:rStyle w:val="apple-style-span"/>
          <w:rFonts w:ascii="Calibri" w:hAnsi="Calibri" w:cs="Calibri"/>
          <w:sz w:val="24"/>
          <w:szCs w:val="24"/>
        </w:rPr>
        <w:t>Medicine</w:t>
      </w:r>
      <w:r>
        <w:rPr>
          <w:rFonts w:ascii="Calibri" w:hAnsi="Calibri" w:cs="Calibri"/>
          <w:iCs/>
          <w:sz w:val="24"/>
          <w:szCs w:val="24"/>
          <w:shd w:val="clear" w:color="auto" w:fill="FFFFFF"/>
        </w:rPr>
        <w:t xml:space="preserve">, </w:t>
      </w:r>
      <w:r w:rsidRPr="00D74619">
        <w:rPr>
          <w:rStyle w:val="apple-style-span"/>
          <w:rFonts w:ascii="Calibri" w:hAnsi="Calibri" w:cs="Calibri"/>
          <w:sz w:val="24"/>
          <w:szCs w:val="24"/>
        </w:rPr>
        <w:t>P.O. Box 30096</w:t>
      </w:r>
      <w:r>
        <w:rPr>
          <w:rFonts w:ascii="Calibri" w:hAnsi="Calibri" w:cs="Calibri"/>
          <w:iCs/>
          <w:sz w:val="24"/>
          <w:szCs w:val="24"/>
          <w:shd w:val="clear" w:color="auto" w:fill="FFFFFF"/>
        </w:rPr>
        <w:t xml:space="preserve">, </w:t>
      </w:r>
      <w:proofErr w:type="spellStart"/>
      <w:r w:rsidRPr="00D74619">
        <w:rPr>
          <w:rStyle w:val="apple-style-span"/>
          <w:rFonts w:ascii="Calibri" w:hAnsi="Calibri" w:cs="Calibri"/>
          <w:sz w:val="24"/>
          <w:szCs w:val="24"/>
        </w:rPr>
        <w:t>Chichiri</w:t>
      </w:r>
      <w:proofErr w:type="spellEnd"/>
      <w:r w:rsidRPr="00D74619">
        <w:rPr>
          <w:rStyle w:val="apple-style-span"/>
          <w:rFonts w:ascii="Calibri" w:hAnsi="Calibri" w:cs="Calibri"/>
          <w:sz w:val="24"/>
          <w:szCs w:val="24"/>
        </w:rPr>
        <w:t>, Blantyre 3, Malawi</w:t>
      </w:r>
    </w:p>
    <w:p w14:paraId="4C01B459" w14:textId="77777777" w:rsidR="00D00E40" w:rsidRPr="00D74619" w:rsidRDefault="00D00E40" w:rsidP="00D00E40">
      <w:pPr>
        <w:pStyle w:val="whs2"/>
        <w:spacing w:line="360" w:lineRule="auto"/>
        <w:rPr>
          <w:rStyle w:val="apple-style-span"/>
          <w:rFonts w:ascii="Calibri" w:hAnsi="Calibri" w:cs="Calibri"/>
          <w:sz w:val="24"/>
          <w:szCs w:val="24"/>
        </w:rPr>
      </w:pPr>
      <w:r>
        <w:rPr>
          <w:rStyle w:val="apple-style-span"/>
          <w:rFonts w:ascii="Calibri" w:hAnsi="Calibri" w:cs="Calibri"/>
          <w:sz w:val="24"/>
          <w:szCs w:val="24"/>
        </w:rPr>
        <w:t xml:space="preserve">Email and telephone: </w:t>
      </w:r>
      <w:r>
        <w:rPr>
          <w:rStyle w:val="apple-style-span"/>
          <w:rFonts w:ascii="Calibri" w:hAnsi="Calibri" w:cs="Calibri"/>
          <w:sz w:val="24"/>
          <w:szCs w:val="24"/>
        </w:rPr>
        <w:tab/>
      </w:r>
      <w:r>
        <w:rPr>
          <w:rStyle w:val="apple-style-span"/>
          <w:rFonts w:ascii="Calibri" w:hAnsi="Calibri" w:cs="Calibri"/>
          <w:sz w:val="24"/>
          <w:szCs w:val="24"/>
        </w:rPr>
        <w:tab/>
      </w:r>
      <w:r w:rsidRPr="00D74619">
        <w:rPr>
          <w:rStyle w:val="apple-style-span"/>
          <w:rFonts w:ascii="Calibri" w:hAnsi="Calibri" w:cs="Calibri"/>
          <w:sz w:val="24"/>
          <w:szCs w:val="24"/>
        </w:rPr>
        <w:t>philipburgess@doctors.org.uk</w:t>
      </w:r>
      <w:r>
        <w:rPr>
          <w:rStyle w:val="apple-style-span"/>
          <w:rFonts w:ascii="Calibri" w:hAnsi="Calibri" w:cs="Calibri"/>
          <w:sz w:val="24"/>
          <w:szCs w:val="24"/>
        </w:rPr>
        <w:tab/>
        <w:t>+44</w:t>
      </w:r>
      <w:r w:rsidRPr="00D74619">
        <w:rPr>
          <w:rStyle w:val="apple-style-span"/>
          <w:rFonts w:ascii="Calibri" w:hAnsi="Calibri" w:cs="Calibri"/>
          <w:sz w:val="24"/>
          <w:szCs w:val="24"/>
        </w:rPr>
        <w:t xml:space="preserve"> </w:t>
      </w:r>
      <w:r>
        <w:rPr>
          <w:rStyle w:val="apple-style-span"/>
          <w:rFonts w:ascii="Calibri" w:hAnsi="Calibri" w:cs="Calibri"/>
          <w:sz w:val="24"/>
          <w:szCs w:val="24"/>
        </w:rPr>
        <w:t>07984 530 613</w:t>
      </w:r>
    </w:p>
    <w:p w14:paraId="78708AF4" w14:textId="77777777" w:rsidR="00D00E40" w:rsidRDefault="00D00E40" w:rsidP="00D00E40">
      <w:pPr>
        <w:pStyle w:val="whs2"/>
        <w:spacing w:line="360" w:lineRule="auto"/>
        <w:rPr>
          <w:rFonts w:ascii="Calibri" w:hAnsi="Calibri" w:cs="Calibri"/>
          <w:sz w:val="24"/>
          <w:szCs w:val="24"/>
        </w:rPr>
      </w:pPr>
      <w:r>
        <w:rPr>
          <w:rStyle w:val="apple-style-span"/>
          <w:rFonts w:ascii="Calibri" w:hAnsi="Calibri" w:cs="Calibri"/>
          <w:sz w:val="24"/>
          <w:szCs w:val="24"/>
        </w:rPr>
        <w:tab/>
      </w:r>
      <w:r>
        <w:rPr>
          <w:rStyle w:val="apple-style-span"/>
          <w:rFonts w:ascii="Calibri" w:hAnsi="Calibri" w:cs="Calibri"/>
          <w:sz w:val="24"/>
          <w:szCs w:val="24"/>
        </w:rPr>
        <w:tab/>
      </w:r>
      <w:r w:rsidRPr="00D74619">
        <w:rPr>
          <w:rStyle w:val="apple-style-span"/>
          <w:rFonts w:ascii="Calibri" w:hAnsi="Calibri" w:cs="Calibri"/>
          <w:sz w:val="24"/>
          <w:szCs w:val="24"/>
        </w:rPr>
        <w:t xml:space="preserve"> </w:t>
      </w:r>
    </w:p>
    <w:p w14:paraId="108FA908" w14:textId="77777777" w:rsidR="001B2411" w:rsidRDefault="00D00E40" w:rsidP="00A409EC">
      <w:pPr>
        <w:pStyle w:val="whs2"/>
        <w:spacing w:line="360" w:lineRule="auto"/>
        <w:rPr>
          <w:rFonts w:ascii="Calibri" w:hAnsi="Calibri" w:cs="Calibri"/>
          <w:b/>
          <w:sz w:val="24"/>
          <w:szCs w:val="24"/>
        </w:rPr>
      </w:pPr>
      <w:r>
        <w:rPr>
          <w:rFonts w:ascii="Calibri" w:hAnsi="Calibri" w:cs="Calibri"/>
          <w:b/>
          <w:sz w:val="24"/>
          <w:szCs w:val="24"/>
        </w:rPr>
        <w:t xml:space="preserve">2. </w:t>
      </w:r>
      <w:r w:rsidR="00A409EC" w:rsidRPr="00E60A3E">
        <w:rPr>
          <w:rFonts w:ascii="Calibri" w:hAnsi="Calibri" w:cs="Calibri"/>
          <w:b/>
          <w:sz w:val="24"/>
          <w:szCs w:val="24"/>
        </w:rPr>
        <w:t>Simon P Harding</w:t>
      </w:r>
      <w:r w:rsidR="00A409EC">
        <w:rPr>
          <w:rFonts w:ascii="Calibri" w:hAnsi="Calibri" w:cs="Calibri"/>
          <w:sz w:val="24"/>
          <w:szCs w:val="24"/>
        </w:rPr>
        <w:t xml:space="preserve"> </w:t>
      </w:r>
      <w:proofErr w:type="spellStart"/>
      <w:r w:rsidR="00EA1839" w:rsidRPr="00EA1839">
        <w:rPr>
          <w:rFonts w:ascii="Calibri" w:hAnsi="Calibri" w:cs="Calibri"/>
          <w:b/>
          <w:sz w:val="24"/>
          <w:szCs w:val="24"/>
        </w:rPr>
        <w:t>FRCOphth</w:t>
      </w:r>
      <w:proofErr w:type="spellEnd"/>
      <w:r w:rsidR="00EA1839" w:rsidRPr="00EA1839">
        <w:rPr>
          <w:rFonts w:ascii="Calibri" w:hAnsi="Calibri" w:cs="Calibri"/>
          <w:b/>
          <w:sz w:val="24"/>
          <w:szCs w:val="24"/>
        </w:rPr>
        <w:t xml:space="preserve"> MD</w:t>
      </w:r>
    </w:p>
    <w:p w14:paraId="72544B14" w14:textId="77777777" w:rsidR="00A409EC" w:rsidRDefault="00A409EC" w:rsidP="00A409EC">
      <w:pPr>
        <w:pStyle w:val="whs2"/>
        <w:spacing w:line="360" w:lineRule="auto"/>
        <w:rPr>
          <w:rFonts w:ascii="Calibri" w:hAnsi="Calibri" w:cs="Calibri"/>
          <w:sz w:val="24"/>
          <w:szCs w:val="24"/>
        </w:rPr>
      </w:pPr>
      <w:r>
        <w:rPr>
          <w:rFonts w:ascii="Calibri" w:hAnsi="Calibri" w:cs="Calibri"/>
          <w:sz w:val="24"/>
          <w:szCs w:val="24"/>
        </w:rPr>
        <w:t>Department of Eye and Vision Science, University of Liverpool and</w:t>
      </w:r>
    </w:p>
    <w:p w14:paraId="26D140CB" w14:textId="77777777" w:rsidR="00A409EC" w:rsidRPr="00B90C7F" w:rsidRDefault="00A409EC" w:rsidP="00A409EC">
      <w:pPr>
        <w:pStyle w:val="whs2"/>
        <w:spacing w:line="360" w:lineRule="auto"/>
        <w:rPr>
          <w:rFonts w:ascii="Calibri" w:hAnsi="Calibri" w:cs="Calibri"/>
          <w:sz w:val="24"/>
          <w:szCs w:val="24"/>
        </w:rPr>
      </w:pPr>
      <w:r>
        <w:rPr>
          <w:rFonts w:ascii="Calibri" w:hAnsi="Calibri" w:cs="Calibri"/>
          <w:sz w:val="24"/>
          <w:szCs w:val="24"/>
        </w:rPr>
        <w:t>St. Paul’s Eye Unit, Royal Liverpool University Hospital, UK</w:t>
      </w:r>
    </w:p>
    <w:p w14:paraId="44AF6F68" w14:textId="77777777" w:rsidR="00D00E40" w:rsidRDefault="00A409EC" w:rsidP="00D00E40">
      <w:pPr>
        <w:pStyle w:val="whs2"/>
        <w:spacing w:line="360" w:lineRule="auto"/>
        <w:rPr>
          <w:rFonts w:ascii="Calibri" w:hAnsi="Calibri" w:cs="Calibri"/>
          <w:b/>
          <w:sz w:val="24"/>
          <w:szCs w:val="24"/>
        </w:rPr>
      </w:pPr>
      <w:r>
        <w:rPr>
          <w:rFonts w:ascii="Calibri" w:hAnsi="Calibri" w:cs="Calibri"/>
          <w:b/>
          <w:sz w:val="24"/>
          <w:szCs w:val="24"/>
        </w:rPr>
        <w:t xml:space="preserve">3. </w:t>
      </w:r>
      <w:r w:rsidR="00D00E40">
        <w:rPr>
          <w:rFonts w:ascii="Calibri" w:hAnsi="Calibri" w:cs="Calibri"/>
          <w:b/>
          <w:sz w:val="24"/>
          <w:szCs w:val="24"/>
        </w:rPr>
        <w:t xml:space="preserve">Marta </w:t>
      </w:r>
      <w:proofErr w:type="spellStart"/>
      <w:r w:rsidR="00D00E40">
        <w:rPr>
          <w:rFonts w:ascii="Calibri" w:hAnsi="Calibri" w:cs="Calibri"/>
          <w:b/>
          <w:sz w:val="24"/>
          <w:szCs w:val="24"/>
        </w:rPr>
        <w:t>García-Fiñana</w:t>
      </w:r>
      <w:proofErr w:type="spellEnd"/>
      <w:r w:rsidR="00EA1839">
        <w:rPr>
          <w:rFonts w:ascii="Calibri" w:hAnsi="Calibri" w:cs="Calibri"/>
          <w:b/>
          <w:sz w:val="24"/>
          <w:szCs w:val="24"/>
        </w:rPr>
        <w:t xml:space="preserve"> PhD</w:t>
      </w:r>
    </w:p>
    <w:p w14:paraId="1951C372" w14:textId="77777777" w:rsidR="00D00E40" w:rsidRPr="00B90C7F" w:rsidRDefault="00D00E40" w:rsidP="00A409EC">
      <w:pPr>
        <w:pStyle w:val="whs2"/>
        <w:spacing w:line="360" w:lineRule="auto"/>
        <w:rPr>
          <w:rFonts w:ascii="Calibri" w:hAnsi="Calibri" w:cs="Calibri"/>
          <w:sz w:val="24"/>
          <w:szCs w:val="24"/>
        </w:rPr>
      </w:pPr>
      <w:r>
        <w:rPr>
          <w:rFonts w:ascii="Calibri" w:hAnsi="Calibri" w:cs="Calibri"/>
          <w:sz w:val="24"/>
          <w:szCs w:val="24"/>
        </w:rPr>
        <w:t>Department of Biostatistics, University of Liverpool</w:t>
      </w:r>
      <w:r w:rsidRPr="00D74619">
        <w:rPr>
          <w:rFonts w:ascii="Calibri" w:hAnsi="Calibri" w:cs="Calibri"/>
          <w:sz w:val="24"/>
          <w:szCs w:val="24"/>
        </w:rPr>
        <w:t xml:space="preserve"> </w:t>
      </w:r>
    </w:p>
    <w:p w14:paraId="70C3BE02" w14:textId="77777777" w:rsidR="00D00E40" w:rsidRPr="0099610E" w:rsidRDefault="00D00E40" w:rsidP="00D00E40">
      <w:pPr>
        <w:pStyle w:val="whs2"/>
        <w:spacing w:line="360" w:lineRule="auto"/>
        <w:rPr>
          <w:rFonts w:ascii="Calibri" w:hAnsi="Calibri" w:cs="Calibri"/>
          <w:b/>
          <w:sz w:val="24"/>
          <w:szCs w:val="24"/>
        </w:rPr>
      </w:pPr>
      <w:r>
        <w:rPr>
          <w:rFonts w:ascii="Calibri" w:hAnsi="Calibri" w:cs="Calibri"/>
          <w:b/>
          <w:sz w:val="24"/>
          <w:szCs w:val="24"/>
        </w:rPr>
        <w:t>4</w:t>
      </w:r>
      <w:r w:rsidRPr="00E60A3E">
        <w:rPr>
          <w:rFonts w:ascii="Calibri" w:hAnsi="Calibri" w:cs="Calibri"/>
          <w:b/>
          <w:sz w:val="24"/>
          <w:szCs w:val="24"/>
        </w:rPr>
        <w:t xml:space="preserve">. </w:t>
      </w:r>
      <w:r>
        <w:rPr>
          <w:rFonts w:ascii="Calibri" w:hAnsi="Calibri" w:cs="Calibri"/>
          <w:b/>
          <w:sz w:val="24"/>
          <w:szCs w:val="24"/>
        </w:rPr>
        <w:t>Nicholas</w:t>
      </w:r>
      <w:r w:rsidRPr="00E60A3E">
        <w:rPr>
          <w:rFonts w:ascii="Calibri" w:hAnsi="Calibri" w:cs="Calibri"/>
          <w:b/>
          <w:sz w:val="24"/>
          <w:szCs w:val="24"/>
        </w:rPr>
        <w:t xml:space="preserve"> AV </w:t>
      </w:r>
      <w:proofErr w:type="spellStart"/>
      <w:r w:rsidRPr="00E60A3E">
        <w:rPr>
          <w:rFonts w:ascii="Calibri" w:hAnsi="Calibri" w:cs="Calibri"/>
          <w:b/>
          <w:sz w:val="24"/>
          <w:szCs w:val="24"/>
        </w:rPr>
        <w:t>Beare</w:t>
      </w:r>
      <w:proofErr w:type="spellEnd"/>
      <w:r w:rsidR="0099610E">
        <w:rPr>
          <w:rFonts w:ascii="Calibri" w:hAnsi="Calibri" w:cs="Calibri"/>
          <w:sz w:val="24"/>
          <w:szCs w:val="24"/>
        </w:rPr>
        <w:t xml:space="preserve"> </w:t>
      </w:r>
      <w:proofErr w:type="spellStart"/>
      <w:r w:rsidR="0099610E" w:rsidRPr="0099610E">
        <w:rPr>
          <w:rFonts w:ascii="Calibri" w:hAnsi="Calibri" w:cs="Calibri"/>
          <w:b/>
          <w:sz w:val="24"/>
          <w:szCs w:val="24"/>
        </w:rPr>
        <w:t>FRCOphth</w:t>
      </w:r>
      <w:proofErr w:type="spellEnd"/>
      <w:r w:rsidR="00EA1839" w:rsidRPr="00EA1839">
        <w:rPr>
          <w:rFonts w:ascii="Calibri" w:hAnsi="Calibri" w:cs="Calibri"/>
          <w:b/>
          <w:sz w:val="24"/>
          <w:szCs w:val="24"/>
        </w:rPr>
        <w:t xml:space="preserve"> MD</w:t>
      </w:r>
    </w:p>
    <w:p w14:paraId="205D4B83" w14:textId="77777777" w:rsidR="00D00E40" w:rsidRDefault="00D00E40" w:rsidP="00D00E40">
      <w:pPr>
        <w:pStyle w:val="whs2"/>
        <w:spacing w:line="360" w:lineRule="auto"/>
        <w:rPr>
          <w:rFonts w:ascii="Calibri" w:hAnsi="Calibri" w:cs="Calibri"/>
          <w:sz w:val="24"/>
          <w:szCs w:val="24"/>
        </w:rPr>
      </w:pPr>
      <w:r>
        <w:rPr>
          <w:rFonts w:ascii="Calibri" w:hAnsi="Calibri" w:cs="Calibri"/>
          <w:sz w:val="24"/>
          <w:szCs w:val="24"/>
        </w:rPr>
        <w:t>St Pauls Eye Unit, Royal Liverpool University Hospital and</w:t>
      </w:r>
    </w:p>
    <w:p w14:paraId="3626B2F0" w14:textId="77777777" w:rsidR="00D00E40" w:rsidRPr="00B90C7F" w:rsidRDefault="00D00E40" w:rsidP="00D00E40">
      <w:pPr>
        <w:pStyle w:val="whs2"/>
        <w:spacing w:line="360" w:lineRule="auto"/>
        <w:rPr>
          <w:rFonts w:ascii="Calibri" w:hAnsi="Calibri" w:cs="Calibri"/>
          <w:sz w:val="24"/>
          <w:szCs w:val="24"/>
        </w:rPr>
      </w:pPr>
      <w:r>
        <w:rPr>
          <w:rFonts w:ascii="Calibri" w:hAnsi="Calibri" w:cs="Calibri"/>
          <w:sz w:val="24"/>
          <w:szCs w:val="24"/>
        </w:rPr>
        <w:t>Department of Eye and Vision Science, University of Liverpool, UK</w:t>
      </w:r>
    </w:p>
    <w:p w14:paraId="05AB6C92" w14:textId="77777777" w:rsidR="00D00E40" w:rsidRPr="0082275C" w:rsidRDefault="00C2156D" w:rsidP="00D00E40">
      <w:pPr>
        <w:pStyle w:val="whs2"/>
        <w:spacing w:line="360" w:lineRule="auto"/>
        <w:rPr>
          <w:rFonts w:ascii="Calibri" w:hAnsi="Calibri" w:cs="Calibri"/>
          <w:sz w:val="24"/>
          <w:szCs w:val="24"/>
        </w:rPr>
      </w:pPr>
      <w:r>
        <w:rPr>
          <w:rFonts w:ascii="Calibri" w:hAnsi="Calibri" w:cs="Calibri"/>
          <w:b/>
          <w:sz w:val="24"/>
          <w:szCs w:val="24"/>
        </w:rPr>
        <w:t>5</w:t>
      </w:r>
      <w:r w:rsidR="00D00E40">
        <w:rPr>
          <w:rFonts w:ascii="Calibri" w:hAnsi="Calibri" w:cs="Calibri"/>
          <w:b/>
          <w:sz w:val="24"/>
          <w:szCs w:val="24"/>
        </w:rPr>
        <w:t xml:space="preserve">. Gerald </w:t>
      </w:r>
      <w:proofErr w:type="spellStart"/>
      <w:r w:rsidR="00D00E40">
        <w:rPr>
          <w:rFonts w:ascii="Calibri" w:hAnsi="Calibri" w:cs="Calibri"/>
          <w:b/>
          <w:sz w:val="24"/>
          <w:szCs w:val="24"/>
        </w:rPr>
        <w:t>Msukwa</w:t>
      </w:r>
      <w:proofErr w:type="spellEnd"/>
      <w:r w:rsidR="00EA1839">
        <w:rPr>
          <w:rFonts w:ascii="Calibri" w:hAnsi="Calibri" w:cs="Calibri"/>
          <w:b/>
          <w:sz w:val="24"/>
          <w:szCs w:val="24"/>
        </w:rPr>
        <w:t xml:space="preserve"> </w:t>
      </w:r>
      <w:proofErr w:type="spellStart"/>
      <w:r w:rsidR="00EA1839">
        <w:rPr>
          <w:rFonts w:ascii="Calibri" w:hAnsi="Calibri" w:cs="Calibri"/>
          <w:b/>
          <w:sz w:val="24"/>
          <w:szCs w:val="24"/>
        </w:rPr>
        <w:t>FRCOphth</w:t>
      </w:r>
      <w:proofErr w:type="spellEnd"/>
    </w:p>
    <w:p w14:paraId="1C70C62D" w14:textId="77777777" w:rsidR="00D00E40" w:rsidRDefault="00FC7165" w:rsidP="00D00E40">
      <w:pPr>
        <w:pStyle w:val="whs2"/>
        <w:spacing w:line="360" w:lineRule="auto"/>
        <w:rPr>
          <w:rFonts w:ascii="Calibri" w:hAnsi="Calibri" w:cs="Calibri"/>
          <w:sz w:val="24"/>
          <w:szCs w:val="24"/>
        </w:rPr>
      </w:pPr>
      <w:r>
        <w:rPr>
          <w:rFonts w:ascii="Calibri" w:hAnsi="Calibri" w:cs="Calibri"/>
          <w:sz w:val="24"/>
          <w:szCs w:val="24"/>
        </w:rPr>
        <w:t>Lions Sight First Eye Unit</w:t>
      </w:r>
      <w:r w:rsidR="00D00E40">
        <w:rPr>
          <w:rFonts w:ascii="Calibri" w:hAnsi="Calibri" w:cs="Calibri"/>
          <w:sz w:val="24"/>
          <w:szCs w:val="24"/>
        </w:rPr>
        <w:t>, Queen Elizabeth Central Hospital, Blantyre, Malawi</w:t>
      </w:r>
    </w:p>
    <w:p w14:paraId="2D6F7B79" w14:textId="77777777" w:rsidR="00D00E40" w:rsidRPr="0082275C" w:rsidRDefault="00C2156D" w:rsidP="00D00E40">
      <w:pPr>
        <w:pStyle w:val="whs2"/>
        <w:spacing w:line="360" w:lineRule="auto"/>
        <w:rPr>
          <w:rFonts w:ascii="Calibri" w:hAnsi="Calibri" w:cs="Calibri"/>
          <w:sz w:val="24"/>
          <w:szCs w:val="24"/>
        </w:rPr>
      </w:pPr>
      <w:r>
        <w:rPr>
          <w:rFonts w:ascii="Calibri" w:hAnsi="Calibri" w:cs="Calibri"/>
          <w:b/>
          <w:sz w:val="24"/>
          <w:szCs w:val="24"/>
        </w:rPr>
        <w:t>6</w:t>
      </w:r>
      <w:r w:rsidR="00D00E40" w:rsidRPr="00E60A3E">
        <w:rPr>
          <w:rFonts w:ascii="Calibri" w:hAnsi="Calibri" w:cs="Calibri"/>
          <w:b/>
          <w:sz w:val="24"/>
          <w:szCs w:val="24"/>
        </w:rPr>
        <w:t xml:space="preserve">. </w:t>
      </w:r>
      <w:r w:rsidR="00D00E40">
        <w:rPr>
          <w:rFonts w:ascii="Calibri" w:hAnsi="Calibri" w:cs="Calibri"/>
          <w:b/>
          <w:sz w:val="24"/>
          <w:szCs w:val="24"/>
        </w:rPr>
        <w:t xml:space="preserve">Theresa J </w:t>
      </w:r>
      <w:proofErr w:type="spellStart"/>
      <w:r w:rsidR="00D00E40">
        <w:rPr>
          <w:rFonts w:ascii="Calibri" w:hAnsi="Calibri" w:cs="Calibri"/>
          <w:b/>
          <w:sz w:val="24"/>
          <w:szCs w:val="24"/>
        </w:rPr>
        <w:t>Allain</w:t>
      </w:r>
      <w:proofErr w:type="spellEnd"/>
      <w:r w:rsidR="00EA1839">
        <w:rPr>
          <w:rFonts w:ascii="Calibri" w:hAnsi="Calibri" w:cs="Calibri"/>
          <w:b/>
          <w:sz w:val="24"/>
          <w:szCs w:val="24"/>
        </w:rPr>
        <w:t xml:space="preserve"> FRCP PhD</w:t>
      </w:r>
    </w:p>
    <w:p w14:paraId="28E0A39B" w14:textId="77777777" w:rsidR="00D00E40" w:rsidRDefault="00D00E40" w:rsidP="00D00E40">
      <w:pPr>
        <w:pStyle w:val="whs2"/>
        <w:spacing w:line="360" w:lineRule="auto"/>
        <w:rPr>
          <w:rFonts w:ascii="Calibri" w:hAnsi="Calibri" w:cs="Calibri"/>
          <w:sz w:val="24"/>
          <w:szCs w:val="24"/>
        </w:rPr>
      </w:pPr>
      <w:r w:rsidRPr="0004157F">
        <w:rPr>
          <w:rFonts w:ascii="Calibri" w:hAnsi="Calibri" w:cs="Calibri"/>
          <w:sz w:val="24"/>
          <w:szCs w:val="24"/>
        </w:rPr>
        <w:t>College of Medicine, University of Malawi</w:t>
      </w:r>
      <w:r>
        <w:rPr>
          <w:rFonts w:ascii="Calibri" w:hAnsi="Calibri" w:cs="Calibri"/>
          <w:sz w:val="24"/>
          <w:szCs w:val="24"/>
        </w:rPr>
        <w:t>, Blantyre, Malawi</w:t>
      </w:r>
    </w:p>
    <w:p w14:paraId="4CF13232" w14:textId="77777777" w:rsidR="00D00E40" w:rsidRPr="00B90C7F" w:rsidRDefault="00D00E40" w:rsidP="00D00E40">
      <w:pPr>
        <w:pStyle w:val="whs2"/>
        <w:spacing w:line="360" w:lineRule="auto"/>
        <w:rPr>
          <w:rFonts w:ascii="Calibri" w:hAnsi="Calibri" w:cs="Calibri"/>
          <w:sz w:val="24"/>
          <w:szCs w:val="24"/>
        </w:rPr>
      </w:pPr>
    </w:p>
    <w:p w14:paraId="5C1F8D8A" w14:textId="77777777" w:rsidR="00D00E40" w:rsidRDefault="00D00E40" w:rsidP="00D00E40">
      <w:pPr>
        <w:pStyle w:val="whs2"/>
        <w:spacing w:line="360" w:lineRule="auto"/>
        <w:rPr>
          <w:rStyle w:val="apple-style-span"/>
          <w:rFonts w:ascii="Calibri" w:hAnsi="Calibri" w:cs="Calibri"/>
          <w:color w:val="403838"/>
          <w:sz w:val="24"/>
          <w:szCs w:val="24"/>
        </w:rPr>
      </w:pPr>
    </w:p>
    <w:p w14:paraId="4185DE1F" w14:textId="77777777" w:rsidR="00D00E40" w:rsidRPr="001714FB" w:rsidRDefault="00D00E40" w:rsidP="00D00E40">
      <w:pPr>
        <w:pStyle w:val="whs2"/>
        <w:spacing w:line="360" w:lineRule="auto"/>
        <w:rPr>
          <w:rFonts w:ascii="Calibri" w:hAnsi="Calibri" w:cs="Calibri"/>
          <w:sz w:val="24"/>
          <w:szCs w:val="24"/>
        </w:rPr>
      </w:pPr>
      <w:r w:rsidRPr="001714FB">
        <w:rPr>
          <w:rFonts w:ascii="Calibri" w:hAnsi="Calibri" w:cs="Calibri"/>
          <w:sz w:val="24"/>
          <w:szCs w:val="24"/>
        </w:rPr>
        <w:t xml:space="preserve">Word Count </w:t>
      </w:r>
      <w:r w:rsidRPr="001714FB">
        <w:rPr>
          <w:rFonts w:ascii="Calibri" w:hAnsi="Calibri" w:cs="Calibri"/>
          <w:sz w:val="24"/>
          <w:szCs w:val="24"/>
        </w:rPr>
        <w:tab/>
      </w:r>
      <w:r w:rsidRPr="001714FB">
        <w:rPr>
          <w:rFonts w:ascii="Calibri" w:hAnsi="Calibri" w:cs="Calibri"/>
          <w:sz w:val="24"/>
          <w:szCs w:val="24"/>
        </w:rPr>
        <w:tab/>
        <w:t>Main text:</w:t>
      </w:r>
      <w:r w:rsidR="006136C5" w:rsidRPr="001714FB">
        <w:rPr>
          <w:rFonts w:ascii="Calibri" w:hAnsi="Calibri" w:cs="Calibri"/>
          <w:sz w:val="24"/>
          <w:szCs w:val="24"/>
        </w:rPr>
        <w:t xml:space="preserve"> </w:t>
      </w:r>
      <w:r w:rsidR="002D30F9" w:rsidRPr="001714FB">
        <w:rPr>
          <w:rFonts w:ascii="Calibri" w:hAnsi="Calibri" w:cs="Calibri"/>
          <w:sz w:val="24"/>
          <w:szCs w:val="24"/>
        </w:rPr>
        <w:t>33</w:t>
      </w:r>
      <w:r w:rsidR="00863E57" w:rsidRPr="001714FB">
        <w:rPr>
          <w:rFonts w:ascii="Calibri" w:hAnsi="Calibri" w:cs="Calibri"/>
          <w:sz w:val="24"/>
          <w:szCs w:val="24"/>
        </w:rPr>
        <w:t>00</w:t>
      </w:r>
      <w:r w:rsidRPr="001714FB">
        <w:rPr>
          <w:rFonts w:ascii="Calibri" w:hAnsi="Calibri" w:cs="Calibri"/>
          <w:sz w:val="24"/>
          <w:szCs w:val="24"/>
        </w:rPr>
        <w:tab/>
        <w:t xml:space="preserve">Abstract: </w:t>
      </w:r>
      <w:r w:rsidR="00C96964" w:rsidRPr="001714FB">
        <w:rPr>
          <w:rFonts w:ascii="Calibri" w:hAnsi="Calibri" w:cs="Calibri"/>
          <w:sz w:val="24"/>
          <w:szCs w:val="24"/>
        </w:rPr>
        <w:t>2</w:t>
      </w:r>
      <w:r w:rsidR="001714FB" w:rsidRPr="001714FB">
        <w:rPr>
          <w:rFonts w:ascii="Calibri" w:hAnsi="Calibri" w:cs="Calibri"/>
          <w:sz w:val="24"/>
          <w:szCs w:val="24"/>
        </w:rPr>
        <w:t>45</w:t>
      </w:r>
    </w:p>
    <w:p w14:paraId="47A70FD2" w14:textId="77777777" w:rsidR="00D00E40" w:rsidRPr="001714FB" w:rsidRDefault="00D00E40" w:rsidP="00D00E40">
      <w:pPr>
        <w:pStyle w:val="whs2"/>
        <w:spacing w:line="360" w:lineRule="auto"/>
        <w:rPr>
          <w:rStyle w:val="apple-style-span"/>
          <w:rFonts w:ascii="Calibri" w:hAnsi="Calibri" w:cs="Calibri"/>
          <w:sz w:val="24"/>
          <w:szCs w:val="24"/>
        </w:rPr>
      </w:pPr>
      <w:r w:rsidRPr="001714FB">
        <w:rPr>
          <w:rStyle w:val="apple-style-span"/>
          <w:rFonts w:ascii="Calibri" w:hAnsi="Calibri" w:cs="Calibri"/>
          <w:sz w:val="24"/>
          <w:szCs w:val="24"/>
        </w:rPr>
        <w:t>Number of tables</w:t>
      </w:r>
      <w:r w:rsidR="001714FB">
        <w:rPr>
          <w:rStyle w:val="apple-style-span"/>
          <w:rFonts w:ascii="Calibri" w:hAnsi="Calibri" w:cs="Calibri"/>
          <w:sz w:val="24"/>
          <w:szCs w:val="24"/>
        </w:rPr>
        <w:t>: 3</w:t>
      </w:r>
      <w:r w:rsidRPr="001714FB">
        <w:rPr>
          <w:rStyle w:val="apple-style-span"/>
          <w:rFonts w:ascii="Calibri" w:hAnsi="Calibri" w:cs="Calibri"/>
          <w:sz w:val="24"/>
          <w:szCs w:val="24"/>
        </w:rPr>
        <w:tab/>
      </w:r>
      <w:r w:rsidR="00C623A8" w:rsidRPr="001714FB">
        <w:rPr>
          <w:rStyle w:val="apple-style-span"/>
          <w:rFonts w:ascii="Calibri" w:hAnsi="Calibri" w:cs="Calibri"/>
          <w:sz w:val="24"/>
          <w:szCs w:val="24"/>
        </w:rPr>
        <w:tab/>
      </w:r>
      <w:r w:rsidRPr="001714FB">
        <w:rPr>
          <w:rStyle w:val="apple-style-span"/>
          <w:rFonts w:ascii="Calibri" w:hAnsi="Calibri" w:cs="Calibri"/>
          <w:sz w:val="24"/>
          <w:szCs w:val="24"/>
        </w:rPr>
        <w:t>Electronic</w:t>
      </w:r>
      <w:r w:rsidR="001714FB">
        <w:rPr>
          <w:rStyle w:val="apple-style-span"/>
          <w:rFonts w:ascii="Calibri" w:hAnsi="Calibri" w:cs="Calibri"/>
          <w:sz w:val="24"/>
          <w:szCs w:val="24"/>
        </w:rPr>
        <w:t xml:space="preserve"> supplementary tables: 4</w:t>
      </w:r>
      <w:r w:rsidRPr="001714FB">
        <w:rPr>
          <w:rStyle w:val="apple-style-span"/>
          <w:rFonts w:ascii="Calibri" w:hAnsi="Calibri" w:cs="Calibri"/>
          <w:sz w:val="24"/>
          <w:szCs w:val="24"/>
        </w:rPr>
        <w:t xml:space="preserve"> </w:t>
      </w:r>
      <w:r w:rsidRPr="001714FB">
        <w:rPr>
          <w:rStyle w:val="apple-style-span"/>
          <w:rFonts w:ascii="Calibri" w:hAnsi="Calibri" w:cs="Calibri"/>
          <w:sz w:val="24"/>
          <w:szCs w:val="24"/>
        </w:rPr>
        <w:tab/>
      </w:r>
    </w:p>
    <w:p w14:paraId="6F16CCD8" w14:textId="77777777" w:rsidR="00D00E40" w:rsidRDefault="00D00E40" w:rsidP="00D00E40">
      <w:pPr>
        <w:pStyle w:val="whs2"/>
        <w:spacing w:line="360" w:lineRule="auto"/>
        <w:rPr>
          <w:rFonts w:ascii="Calibri" w:hAnsi="Calibri" w:cs="Calibri"/>
          <w:bCs/>
          <w:sz w:val="24"/>
          <w:szCs w:val="24"/>
        </w:rPr>
      </w:pPr>
      <w:r w:rsidRPr="001714FB">
        <w:rPr>
          <w:rStyle w:val="apple-style-span"/>
          <w:rFonts w:ascii="Calibri" w:hAnsi="Calibri" w:cs="Calibri"/>
          <w:sz w:val="24"/>
          <w:szCs w:val="24"/>
        </w:rPr>
        <w:t>Number of figures:</w:t>
      </w:r>
      <w:r w:rsidR="001714FB">
        <w:rPr>
          <w:rStyle w:val="apple-style-span"/>
          <w:rFonts w:ascii="Calibri" w:hAnsi="Calibri" w:cs="Calibri"/>
          <w:sz w:val="24"/>
          <w:szCs w:val="24"/>
        </w:rPr>
        <w:t xml:space="preserve"> 1</w:t>
      </w:r>
      <w:r w:rsidRPr="001714FB">
        <w:rPr>
          <w:rStyle w:val="apple-style-span"/>
          <w:rFonts w:ascii="Calibri" w:hAnsi="Calibri" w:cs="Calibri"/>
          <w:sz w:val="24"/>
          <w:szCs w:val="24"/>
        </w:rPr>
        <w:t xml:space="preserve"> </w:t>
      </w:r>
      <w:r w:rsidRPr="001714FB">
        <w:rPr>
          <w:rStyle w:val="apple-style-span"/>
          <w:rFonts w:ascii="Calibri" w:hAnsi="Calibri" w:cs="Calibri"/>
          <w:sz w:val="24"/>
          <w:szCs w:val="24"/>
        </w:rPr>
        <w:tab/>
      </w:r>
      <w:r w:rsidRPr="001714FB">
        <w:rPr>
          <w:rStyle w:val="apple-style-span"/>
          <w:rFonts w:ascii="Calibri" w:hAnsi="Calibri" w:cs="Calibri"/>
          <w:sz w:val="24"/>
          <w:szCs w:val="24"/>
        </w:rPr>
        <w:tab/>
      </w:r>
      <w:r w:rsidRPr="001714FB">
        <w:rPr>
          <w:rFonts w:ascii="Calibri" w:hAnsi="Calibri" w:cs="Calibri"/>
          <w:bCs/>
          <w:sz w:val="24"/>
          <w:szCs w:val="24"/>
        </w:rPr>
        <w:t xml:space="preserve">Electronic supplementary figures: </w:t>
      </w:r>
      <w:r w:rsidR="001714FB">
        <w:rPr>
          <w:rFonts w:ascii="Calibri" w:hAnsi="Calibri" w:cs="Calibri"/>
          <w:bCs/>
          <w:sz w:val="24"/>
          <w:szCs w:val="24"/>
        </w:rPr>
        <w:t>2</w:t>
      </w:r>
      <w:r w:rsidRPr="001502E9">
        <w:rPr>
          <w:rFonts w:ascii="Calibri" w:hAnsi="Calibri" w:cs="Calibri"/>
          <w:bCs/>
          <w:sz w:val="24"/>
          <w:szCs w:val="24"/>
        </w:rPr>
        <w:t xml:space="preserve"> </w:t>
      </w:r>
      <w:r w:rsidRPr="001502E9">
        <w:rPr>
          <w:rFonts w:ascii="Calibri" w:hAnsi="Calibri" w:cs="Calibri"/>
          <w:bCs/>
          <w:sz w:val="24"/>
          <w:szCs w:val="24"/>
        </w:rPr>
        <w:tab/>
      </w:r>
    </w:p>
    <w:p w14:paraId="58BD6757" w14:textId="77777777" w:rsidR="00CA3F46" w:rsidRDefault="00CA3F46" w:rsidP="007433C0">
      <w:pPr>
        <w:pStyle w:val="NoSpacing"/>
        <w:rPr>
          <w:rFonts w:cs="Calibri"/>
          <w:b/>
          <w:sz w:val="28"/>
          <w:szCs w:val="28"/>
        </w:rPr>
      </w:pPr>
    </w:p>
    <w:p w14:paraId="75324B98" w14:textId="77777777" w:rsidR="00EA1839" w:rsidRDefault="00EA1839" w:rsidP="00EA1839">
      <w:pPr>
        <w:pStyle w:val="NoSpacing"/>
        <w:rPr>
          <w:rFonts w:cs="ScalaLancetPro"/>
        </w:rPr>
      </w:pPr>
      <w:r>
        <w:rPr>
          <w:b/>
        </w:rPr>
        <w:t>Financial support</w:t>
      </w:r>
    </w:p>
    <w:p w14:paraId="258B0201" w14:textId="77777777" w:rsidR="00EA1839" w:rsidRDefault="00EA1839" w:rsidP="00EA1839">
      <w:pPr>
        <w:pStyle w:val="NoSpacing"/>
        <w:rPr>
          <w:rFonts w:cs="ScalaLancetPro"/>
        </w:rPr>
      </w:pPr>
      <w:r w:rsidRPr="000035EE">
        <w:rPr>
          <w:rFonts w:cs="AdvPSSAB-R"/>
        </w:rPr>
        <w:t>This work was funded by th</w:t>
      </w:r>
      <w:r>
        <w:rPr>
          <w:rFonts w:cs="AdvPSSAB-R"/>
        </w:rPr>
        <w:t xml:space="preserve">e </w:t>
      </w:r>
      <w:proofErr w:type="spellStart"/>
      <w:r>
        <w:rPr>
          <w:rFonts w:cs="AdvPSSAB-R"/>
        </w:rPr>
        <w:t>Wellcome</w:t>
      </w:r>
      <w:proofErr w:type="spellEnd"/>
      <w:r>
        <w:rPr>
          <w:rFonts w:cs="AdvPSSAB-R"/>
        </w:rPr>
        <w:t xml:space="preserve"> Trust via a Clinical </w:t>
      </w:r>
      <w:r w:rsidRPr="000035EE">
        <w:rPr>
          <w:rFonts w:cs="AdvPSSAB-R"/>
        </w:rPr>
        <w:t>PhD Fellowship (P.B. G</w:t>
      </w:r>
      <w:r>
        <w:rPr>
          <w:rFonts w:cs="AdvPSSAB-R"/>
        </w:rPr>
        <w:t xml:space="preserve">rant number 094015/Z/10/A). The </w:t>
      </w:r>
      <w:r w:rsidRPr="000035EE">
        <w:rPr>
          <w:rFonts w:cs="AdvPSSAB-R"/>
        </w:rPr>
        <w:t>funding body had no role in st</w:t>
      </w:r>
      <w:r>
        <w:rPr>
          <w:rFonts w:cs="AdvPSSAB-R"/>
        </w:rPr>
        <w:t xml:space="preserve">udy design, data collection and </w:t>
      </w:r>
      <w:r w:rsidRPr="000035EE">
        <w:rPr>
          <w:rFonts w:cs="AdvPSSAB-R"/>
        </w:rPr>
        <w:t>analysis, decision to publish, or preparation of the manuscript.</w:t>
      </w:r>
      <w:r>
        <w:rPr>
          <w:rFonts w:cs="ScalaLancetPro"/>
        </w:rPr>
        <w:t xml:space="preserve">  </w:t>
      </w:r>
    </w:p>
    <w:p w14:paraId="60D89689" w14:textId="77777777" w:rsidR="00EA1839" w:rsidRDefault="00EA1839" w:rsidP="00EA1839">
      <w:pPr>
        <w:pStyle w:val="NoSpacing"/>
        <w:rPr>
          <w:b/>
        </w:rPr>
      </w:pPr>
    </w:p>
    <w:p w14:paraId="7013EC1E" w14:textId="77777777" w:rsidR="00EA1839" w:rsidRDefault="00EA1839" w:rsidP="00EA1839">
      <w:pPr>
        <w:pStyle w:val="NoSpacing"/>
        <w:rPr>
          <w:rFonts w:cs="ScalaLancetPro"/>
        </w:rPr>
      </w:pPr>
      <w:r>
        <w:rPr>
          <w:b/>
        </w:rPr>
        <w:t>Conflicts of I</w:t>
      </w:r>
      <w:r w:rsidRPr="000035EE">
        <w:rPr>
          <w:b/>
        </w:rPr>
        <w:t>nterest</w:t>
      </w:r>
    </w:p>
    <w:p w14:paraId="47563FBF" w14:textId="77777777" w:rsidR="001E5A68" w:rsidRPr="00EA1839" w:rsidRDefault="00EA1839">
      <w:pPr>
        <w:rPr>
          <w:rFonts w:asciiTheme="minorHAnsi" w:hAnsiTheme="minorHAnsi" w:cstheme="minorHAnsi"/>
          <w:b/>
          <w:sz w:val="24"/>
          <w:szCs w:val="24"/>
        </w:rPr>
      </w:pPr>
      <w:r w:rsidRPr="00EA1839">
        <w:rPr>
          <w:rFonts w:asciiTheme="minorHAnsi" w:hAnsiTheme="minorHAnsi" w:cstheme="minorHAnsi"/>
          <w:color w:val="333333"/>
          <w:sz w:val="24"/>
          <w:szCs w:val="24"/>
          <w:shd w:val="clear" w:color="auto" w:fill="FFFFFF"/>
        </w:rPr>
        <w:t>No conflicting relationship exists for any author</w:t>
      </w:r>
      <w:r w:rsidR="001E5A68" w:rsidRPr="00EA1839">
        <w:rPr>
          <w:rFonts w:asciiTheme="minorHAnsi" w:hAnsiTheme="minorHAnsi" w:cstheme="minorHAnsi"/>
          <w:b/>
          <w:sz w:val="24"/>
          <w:szCs w:val="24"/>
        </w:rPr>
        <w:br w:type="page"/>
      </w:r>
    </w:p>
    <w:p w14:paraId="52D85E2C" w14:textId="77777777" w:rsidR="007433C0" w:rsidRDefault="003561AC" w:rsidP="007433C0">
      <w:pPr>
        <w:pStyle w:val="NoSpacing"/>
        <w:rPr>
          <w:rFonts w:cs="Calibri"/>
          <w:b/>
          <w:sz w:val="28"/>
          <w:szCs w:val="28"/>
        </w:rPr>
      </w:pPr>
      <w:r w:rsidRPr="003561AC">
        <w:rPr>
          <w:rFonts w:cs="Calibri"/>
          <w:b/>
          <w:sz w:val="28"/>
          <w:szCs w:val="28"/>
        </w:rPr>
        <w:lastRenderedPageBreak/>
        <w:t>Abstract</w:t>
      </w:r>
    </w:p>
    <w:p w14:paraId="51A1AB61" w14:textId="77777777" w:rsidR="002B5373" w:rsidRPr="00A60F4D" w:rsidRDefault="00043593" w:rsidP="00A73351">
      <w:pPr>
        <w:pStyle w:val="NoSpacing"/>
        <w:rPr>
          <w:rFonts w:cs="AdvPSSAB-R"/>
        </w:rPr>
      </w:pPr>
      <w:r>
        <w:rPr>
          <w:b/>
        </w:rPr>
        <w:t xml:space="preserve">Purpose  </w:t>
      </w:r>
      <w:r w:rsidR="00E33665">
        <w:t>T</w:t>
      </w:r>
      <w:r w:rsidR="002B5373" w:rsidRPr="00A60F4D">
        <w:t xml:space="preserve">o describe the </w:t>
      </w:r>
      <w:r w:rsidR="00E159D7">
        <w:t xml:space="preserve">prevalence, </w:t>
      </w:r>
      <w:r w:rsidR="004738A7" w:rsidRPr="00A60F4D">
        <w:t xml:space="preserve">incidence and progression of </w:t>
      </w:r>
      <w:r w:rsidR="002B5373" w:rsidRPr="00A60F4D">
        <w:t xml:space="preserve">retinopathy and to report </w:t>
      </w:r>
      <w:r w:rsidR="002B5373" w:rsidRPr="00A60F4D">
        <w:rPr>
          <w:rFonts w:cs="AdvPSSAB-R"/>
        </w:rPr>
        <w:t>associations with demographic, clinical and biochemical variables in people wi</w:t>
      </w:r>
      <w:r w:rsidR="00A73351" w:rsidRPr="00A60F4D">
        <w:rPr>
          <w:rFonts w:cs="AdvPSSAB-R"/>
        </w:rPr>
        <w:t>th diabetes in Southern Malawi.</w:t>
      </w:r>
    </w:p>
    <w:p w14:paraId="42388992" w14:textId="77777777" w:rsidR="00024E1B" w:rsidRPr="00A60F4D" w:rsidRDefault="00024E1B" w:rsidP="00A73351">
      <w:pPr>
        <w:pStyle w:val="NoSpacing"/>
        <w:rPr>
          <w:b/>
        </w:rPr>
      </w:pPr>
    </w:p>
    <w:p w14:paraId="0E027E02" w14:textId="77777777" w:rsidR="00E33665" w:rsidRPr="00E33665" w:rsidRDefault="00E33665" w:rsidP="001E5A68">
      <w:pPr>
        <w:pStyle w:val="NoSpacing"/>
      </w:pPr>
      <w:r>
        <w:rPr>
          <w:b/>
        </w:rPr>
        <w:t xml:space="preserve">Design </w:t>
      </w:r>
      <w:r w:rsidRPr="00E33665">
        <w:t>Prospective cohort study</w:t>
      </w:r>
      <w:r>
        <w:t xml:space="preserve"> of subjects attending primary care diabetes clinics</w:t>
      </w:r>
      <w:r w:rsidR="00EA1839">
        <w:t>.</w:t>
      </w:r>
    </w:p>
    <w:p w14:paraId="10A8CFA5" w14:textId="77777777" w:rsidR="00E33665" w:rsidRDefault="00E33665" w:rsidP="001E5A68">
      <w:pPr>
        <w:pStyle w:val="NoSpacing"/>
        <w:rPr>
          <w:b/>
        </w:rPr>
      </w:pPr>
    </w:p>
    <w:p w14:paraId="3732BA45" w14:textId="77777777" w:rsidR="00E80047" w:rsidRDefault="001E5A68" w:rsidP="001E5A68">
      <w:pPr>
        <w:pStyle w:val="NoSpacing"/>
        <w:rPr>
          <w:rFonts w:cs="AdvPSSAB-R"/>
        </w:rPr>
      </w:pPr>
      <w:r>
        <w:rPr>
          <w:b/>
        </w:rPr>
        <w:t xml:space="preserve">Methods </w:t>
      </w:r>
      <w:r w:rsidR="00A41D93" w:rsidRPr="00A73351">
        <w:rPr>
          <w:rFonts w:cs="AdvPSSAB-R"/>
        </w:rPr>
        <w:t xml:space="preserve">We </w:t>
      </w:r>
      <w:r w:rsidR="002F42EF">
        <w:rPr>
          <w:rFonts w:cs="AdvPSSAB-R"/>
        </w:rPr>
        <w:t>performed the first</w:t>
      </w:r>
      <w:r w:rsidR="002F42EF">
        <w:t xml:space="preserve"> prospective cohort study</w:t>
      </w:r>
      <w:r w:rsidR="002F42EF" w:rsidRPr="00A73351">
        <w:rPr>
          <w:rFonts w:cs="AdvPSSAB-R"/>
        </w:rPr>
        <w:t xml:space="preserve"> </w:t>
      </w:r>
      <w:r w:rsidR="00043593">
        <w:rPr>
          <w:rFonts w:cs="AdvPSSAB-R"/>
        </w:rPr>
        <w:t>of diabetic retinopathy from S</w:t>
      </w:r>
      <w:r w:rsidR="002F42EF">
        <w:rPr>
          <w:rFonts w:cs="AdvPSSAB-R"/>
        </w:rPr>
        <w:t>ub-Saharan Africa over</w:t>
      </w:r>
      <w:r w:rsidR="004C5597">
        <w:rPr>
          <w:rFonts w:cs="AdvPSSAB-R"/>
        </w:rPr>
        <w:t xml:space="preserve"> </w:t>
      </w:r>
      <w:r w:rsidR="002F42EF">
        <w:t>24 months</w:t>
      </w:r>
      <w:r w:rsidR="00A73351" w:rsidRPr="00A73351">
        <w:rPr>
          <w:rFonts w:cs="AdvPSSAB-R"/>
        </w:rPr>
        <w:t xml:space="preserve">.  </w:t>
      </w:r>
      <w:r w:rsidR="00A41D93" w:rsidRPr="00A73351">
        <w:rPr>
          <w:rFonts w:cs="AdvPSSAB-R"/>
        </w:rPr>
        <w:t>Subje</w:t>
      </w:r>
      <w:r w:rsidR="00A73351">
        <w:rPr>
          <w:rFonts w:cs="AdvPSSAB-R"/>
        </w:rPr>
        <w:t xml:space="preserve">cts were systematically sampled </w:t>
      </w:r>
      <w:r w:rsidR="00A41D93" w:rsidRPr="00A73351">
        <w:rPr>
          <w:rFonts w:cs="AdvPSSAB-R"/>
        </w:rPr>
        <w:t>from two primary care diabet</w:t>
      </w:r>
      <w:r w:rsidR="00BF45BD">
        <w:rPr>
          <w:rFonts w:cs="AdvPSSAB-R"/>
        </w:rPr>
        <w:t xml:space="preserve">es clinics. </w:t>
      </w:r>
      <w:r w:rsidR="002F42EF">
        <w:rPr>
          <w:rFonts w:cs="AdvPSSAB-R"/>
        </w:rPr>
        <w:t xml:space="preserve"> </w:t>
      </w:r>
      <w:r w:rsidR="00BF45BD">
        <w:rPr>
          <w:rFonts w:cs="AdvPSSAB-R"/>
        </w:rPr>
        <w:t xml:space="preserve">Visual acuity, </w:t>
      </w:r>
      <w:proofErr w:type="spellStart"/>
      <w:r w:rsidR="004C48B6">
        <w:rPr>
          <w:rFonts w:cs="AdvPSSAB-R"/>
        </w:rPr>
        <w:t>glyc</w:t>
      </w:r>
      <w:r w:rsidR="004C48B6" w:rsidRPr="00A73351">
        <w:rPr>
          <w:rFonts w:cs="AdvPSSAB-R"/>
        </w:rPr>
        <w:t>emic</w:t>
      </w:r>
      <w:proofErr w:type="spellEnd"/>
      <w:r w:rsidR="00A41D93" w:rsidRPr="00A73351">
        <w:rPr>
          <w:rFonts w:cs="AdvPSSAB-R"/>
        </w:rPr>
        <w:t xml:space="preserve"> contro</w:t>
      </w:r>
      <w:r w:rsidR="00A73351">
        <w:rPr>
          <w:rFonts w:cs="AdvPSSAB-R"/>
        </w:rPr>
        <w:t xml:space="preserve">l, blood pressure, HIV </w:t>
      </w:r>
      <w:r w:rsidR="00A41D93" w:rsidRPr="00A73351">
        <w:rPr>
          <w:rFonts w:cs="AdvPSSAB-R"/>
        </w:rPr>
        <w:t>status, urine albumin</w:t>
      </w:r>
      <w:r w:rsidR="00A41D93" w:rsidRPr="00A73351">
        <w:rPr>
          <w:rFonts w:cs="AdvTT3713a231+20"/>
        </w:rPr>
        <w:t>–</w:t>
      </w:r>
      <w:r w:rsidR="00BF45BD">
        <w:rPr>
          <w:rFonts w:cs="AdvPSSAB-R"/>
        </w:rPr>
        <w:t xml:space="preserve">creatinine ratio, </w:t>
      </w:r>
      <w:proofErr w:type="spellStart"/>
      <w:r w:rsidR="004C48B6">
        <w:rPr>
          <w:rFonts w:cs="AdvPSSAB-R"/>
        </w:rPr>
        <w:t>h</w:t>
      </w:r>
      <w:r w:rsidR="004C48B6" w:rsidRPr="00A73351">
        <w:rPr>
          <w:rFonts w:cs="AdvPSSAB-R"/>
        </w:rPr>
        <w:t>emoglobin</w:t>
      </w:r>
      <w:proofErr w:type="spellEnd"/>
      <w:r w:rsidR="00A41D93" w:rsidRPr="00A73351">
        <w:rPr>
          <w:rFonts w:cs="AdvPSSAB-R"/>
        </w:rPr>
        <w:t xml:space="preserve"> and </w:t>
      </w:r>
      <w:r w:rsidR="002F42EF">
        <w:rPr>
          <w:rFonts w:cs="AdvPSSAB-R"/>
        </w:rPr>
        <w:t>lipid</w:t>
      </w:r>
      <w:r w:rsidR="00A41D93" w:rsidRPr="00A73351">
        <w:rPr>
          <w:rFonts w:cs="AdvPSSAB-R"/>
        </w:rPr>
        <w:t>s were assessed. Retinopathy was graded at</w:t>
      </w:r>
      <w:r>
        <w:rPr>
          <w:b/>
        </w:rPr>
        <w:t xml:space="preserve"> </w:t>
      </w:r>
      <w:r w:rsidR="00A41D93" w:rsidRPr="00A73351">
        <w:rPr>
          <w:rFonts w:cs="AdvPSSAB-R"/>
        </w:rPr>
        <w:t xml:space="preserve">an accredited reading centre using modified Wisconsin grading of four-field </w:t>
      </w:r>
      <w:proofErr w:type="spellStart"/>
      <w:r w:rsidR="00A41D93" w:rsidRPr="00A73351">
        <w:rPr>
          <w:rFonts w:cs="AdvPSSAB-R"/>
        </w:rPr>
        <w:t>mydriatic</w:t>
      </w:r>
      <w:proofErr w:type="spellEnd"/>
      <w:r w:rsidR="00A41D93" w:rsidRPr="00A73351">
        <w:rPr>
          <w:rFonts w:cs="AdvPSSAB-R"/>
        </w:rPr>
        <w:t xml:space="preserve"> photographs.</w:t>
      </w:r>
      <w:r w:rsidR="002F42EF" w:rsidRPr="002F42EF">
        <w:rPr>
          <w:rFonts w:cs="AdvPSSAB-R"/>
        </w:rPr>
        <w:t xml:space="preserve"> </w:t>
      </w:r>
    </w:p>
    <w:p w14:paraId="3020ADED" w14:textId="77777777" w:rsidR="00024E1B" w:rsidRDefault="00024E1B" w:rsidP="001E5A68">
      <w:pPr>
        <w:pStyle w:val="NoSpacing"/>
        <w:rPr>
          <w:b/>
        </w:rPr>
      </w:pPr>
    </w:p>
    <w:p w14:paraId="70BD3429" w14:textId="77777777" w:rsidR="00043593" w:rsidRPr="00043593" w:rsidRDefault="00043593" w:rsidP="001E5A68">
      <w:pPr>
        <w:pStyle w:val="NoSpacing"/>
      </w:pPr>
      <w:r w:rsidRPr="006E307D">
        <w:rPr>
          <w:b/>
        </w:rPr>
        <w:t xml:space="preserve">Main Outcome Measures </w:t>
      </w:r>
      <w:r w:rsidRPr="006E307D">
        <w:t>Incidence of sight</w:t>
      </w:r>
      <w:r>
        <w:t xml:space="preserve"> threatening retinopathy and progression of retinopathy by 2 steps on the Liverpool Diabetic Eye Study Scale</w:t>
      </w:r>
    </w:p>
    <w:p w14:paraId="25870BA5" w14:textId="77777777" w:rsidR="00043593" w:rsidRPr="001E5A68" w:rsidRDefault="00043593" w:rsidP="001E5A68">
      <w:pPr>
        <w:pStyle w:val="NoSpacing"/>
        <w:rPr>
          <w:b/>
        </w:rPr>
      </w:pPr>
    </w:p>
    <w:p w14:paraId="48D6916E" w14:textId="77777777" w:rsidR="00E159D7" w:rsidRPr="00C96964" w:rsidRDefault="005D7E96" w:rsidP="00CA3F46">
      <w:pPr>
        <w:pStyle w:val="NoSpacing"/>
        <w:rPr>
          <w:rFonts w:cs="AdvPSSAB-R"/>
        </w:rPr>
      </w:pPr>
      <w:r>
        <w:rPr>
          <w:b/>
        </w:rPr>
        <w:t>Results</w:t>
      </w:r>
      <w:r w:rsidR="001E5A68" w:rsidRPr="00A60F4D">
        <w:rPr>
          <w:b/>
        </w:rPr>
        <w:t xml:space="preserve"> </w:t>
      </w:r>
      <w:r w:rsidR="002F42EF" w:rsidRPr="00DA34B0">
        <w:rPr>
          <w:rFonts w:asciiTheme="minorHAnsi" w:eastAsiaTheme="minorHAnsi" w:hAnsiTheme="minorHAnsi"/>
        </w:rPr>
        <w:t>357 subjects were recruited to the 24 month cohort study</w:t>
      </w:r>
      <w:r w:rsidR="00236964" w:rsidRPr="00A60F4D">
        <w:t xml:space="preserve">.  </w:t>
      </w:r>
      <w:r w:rsidR="00236964" w:rsidRPr="00A60F4D">
        <w:rPr>
          <w:rFonts w:cs="AdvPSSAB-R"/>
        </w:rPr>
        <w:t xml:space="preserve">At baseline </w:t>
      </w:r>
      <w:r w:rsidR="00A41D93" w:rsidRPr="00A60F4D">
        <w:rPr>
          <w:rFonts w:cs="AdvPSSAB-R"/>
        </w:rPr>
        <w:t>13.4%</w:t>
      </w:r>
      <w:r w:rsidR="00D6511C" w:rsidRPr="00A60F4D">
        <w:rPr>
          <w:rFonts w:cs="AdvPSSAB-R"/>
        </w:rPr>
        <w:t xml:space="preserve"> </w:t>
      </w:r>
      <w:r w:rsidR="00A41D93" w:rsidRPr="00A60F4D">
        <w:rPr>
          <w:rFonts w:cs="AdvPSSAB-R"/>
        </w:rPr>
        <w:t>subjects were HIV-positive and 15.1%</w:t>
      </w:r>
      <w:r w:rsidR="00BF45BD">
        <w:rPr>
          <w:rFonts w:cs="AdvPSSAB-R"/>
        </w:rPr>
        <w:t xml:space="preserve"> </w:t>
      </w:r>
      <w:proofErr w:type="spellStart"/>
      <w:r w:rsidR="00043593">
        <w:rPr>
          <w:rFonts w:cs="AdvPSSAB-R"/>
        </w:rPr>
        <w:t>an</w:t>
      </w:r>
      <w:r w:rsidR="004C48B6">
        <w:rPr>
          <w:rFonts w:cs="AdvPSSAB-R"/>
        </w:rPr>
        <w:t>emic</w:t>
      </w:r>
      <w:proofErr w:type="spellEnd"/>
      <w:r w:rsidR="006039BE">
        <w:rPr>
          <w:rFonts w:cs="AdvPSSAB-R"/>
        </w:rPr>
        <w:t xml:space="preserve">.  </w:t>
      </w:r>
      <w:r w:rsidR="006772DA">
        <w:t>2-year incidence</w:t>
      </w:r>
      <w:r w:rsidR="00A42334" w:rsidRPr="00A60F4D">
        <w:t xml:space="preserve"> </w:t>
      </w:r>
      <w:r w:rsidR="00236964" w:rsidRPr="00A60F4D">
        <w:t xml:space="preserve">of </w:t>
      </w:r>
      <w:r w:rsidR="00D6473A" w:rsidRPr="00A60F4D">
        <w:t>sight threatening d</w:t>
      </w:r>
      <w:r w:rsidR="00F427D4" w:rsidRPr="00A60F4D">
        <w:t xml:space="preserve">iabetic </w:t>
      </w:r>
      <w:r w:rsidR="00D6473A" w:rsidRPr="00A60F4D">
        <w:t>r</w:t>
      </w:r>
      <w:r w:rsidR="00F427D4" w:rsidRPr="00A60F4D">
        <w:t>etinopathy</w:t>
      </w:r>
      <w:r w:rsidR="00236964" w:rsidRPr="00A60F4D">
        <w:t xml:space="preserve"> </w:t>
      </w:r>
      <w:r w:rsidR="006039BE">
        <w:t>for subjects with l</w:t>
      </w:r>
      <w:r w:rsidR="00A42334" w:rsidRPr="00A60F4D">
        <w:t xml:space="preserve">evel 10 (no </w:t>
      </w:r>
      <w:r w:rsidR="006039BE">
        <w:t>retinopathy), l</w:t>
      </w:r>
      <w:r w:rsidR="00236964" w:rsidRPr="00A60F4D">
        <w:t>evel 20 (background) a</w:t>
      </w:r>
      <w:r w:rsidR="006039BE">
        <w:t>nd l</w:t>
      </w:r>
      <w:r w:rsidR="00D6473A" w:rsidRPr="00A60F4D">
        <w:t>evel 30</w:t>
      </w:r>
      <w:r w:rsidR="00236964" w:rsidRPr="00A60F4D">
        <w:t xml:space="preserve"> </w:t>
      </w:r>
      <w:r w:rsidR="00D60772">
        <w:t>(pre</w:t>
      </w:r>
      <w:r w:rsidR="004C48B6">
        <w:t>-</w:t>
      </w:r>
      <w:r w:rsidR="00D60772">
        <w:t>proliferative</w:t>
      </w:r>
      <w:r w:rsidR="00BA7B26">
        <w:t>) retinopathy</w:t>
      </w:r>
      <w:r w:rsidR="00D60772" w:rsidRPr="00A60F4D">
        <w:t xml:space="preserve"> </w:t>
      </w:r>
      <w:r w:rsidR="00236964" w:rsidRPr="00A60F4D">
        <w:t>at bas</w:t>
      </w:r>
      <w:r w:rsidR="00BE7871" w:rsidRPr="00A60F4D">
        <w:t>eline was</w:t>
      </w:r>
      <w:r w:rsidR="00C96964">
        <w:t xml:space="preserve"> </w:t>
      </w:r>
      <w:r w:rsidR="00236964" w:rsidRPr="00A60F4D">
        <w:t xml:space="preserve">2.7% (95% CI </w:t>
      </w:r>
      <w:r w:rsidR="00236964" w:rsidRPr="00A60F4D">
        <w:rPr>
          <w:rFonts w:cs="Calibri"/>
        </w:rPr>
        <w:t>0.1-5.3</w:t>
      </w:r>
      <w:r w:rsidR="00236964" w:rsidRPr="00A60F4D">
        <w:t xml:space="preserve">), </w:t>
      </w:r>
      <w:r w:rsidR="00236964" w:rsidRPr="00A60F4D">
        <w:rPr>
          <w:rFonts w:cs="Calibri"/>
        </w:rPr>
        <w:t>27.3% (</w:t>
      </w:r>
      <w:r w:rsidR="00236964" w:rsidRPr="00A60F4D">
        <w:t>16.4-38.2</w:t>
      </w:r>
      <w:r w:rsidR="00236964" w:rsidRPr="00A60F4D">
        <w:rPr>
          <w:rFonts w:cs="Calibri"/>
        </w:rPr>
        <w:t>)</w:t>
      </w:r>
      <w:r w:rsidR="00236964" w:rsidRPr="00A60F4D">
        <w:t xml:space="preserve"> and </w:t>
      </w:r>
      <w:r w:rsidR="00236964" w:rsidRPr="00A60F4D">
        <w:rPr>
          <w:rFonts w:cs="Calibri"/>
        </w:rPr>
        <w:t>25.0% (0-67.4),</w:t>
      </w:r>
      <w:r w:rsidR="00236964" w:rsidRPr="00A60F4D">
        <w:t xml:space="preserve"> respectively.</w:t>
      </w:r>
      <w:r w:rsidR="006039BE">
        <w:t xml:space="preserve">  </w:t>
      </w:r>
      <w:r w:rsidR="006039BE" w:rsidRPr="00A60F4D">
        <w:t xml:space="preserve">In </w:t>
      </w:r>
      <w:r w:rsidR="006039BE">
        <w:t xml:space="preserve">a </w:t>
      </w:r>
      <w:r w:rsidR="006039BE" w:rsidRPr="00A60F4D">
        <w:t xml:space="preserve">multivariate logistic analysis 2 step progression of diabetic retinopathy was associated with HbA1c (OR 1.27, 95%CI </w:t>
      </w:r>
      <w:r w:rsidR="006039BE">
        <w:t>1.12-1.45), baseline grade of retinopathy</w:t>
      </w:r>
      <w:r w:rsidR="006039BE" w:rsidRPr="00A60F4D">
        <w:t xml:space="preserve"> (1.39, 1.02-1.91) and HIV infection (OR 0.16, 0.03-0.78).</w:t>
      </w:r>
      <w:r w:rsidR="006039BE">
        <w:rPr>
          <w:rFonts w:cs="AdvPSSAB-R"/>
        </w:rPr>
        <w:t xml:space="preserve">  </w:t>
      </w:r>
      <w:r w:rsidR="006039BE" w:rsidRPr="00A60F4D">
        <w:t>At 2 years 17 subjects (5.8%)</w:t>
      </w:r>
      <w:r w:rsidR="006039BE">
        <w:t xml:space="preserve"> lost </w:t>
      </w:r>
      <w:r w:rsidR="006039BE" w:rsidRPr="00A60F4D">
        <w:t>≥15 letters</w:t>
      </w:r>
      <w:r w:rsidR="006039BE">
        <w:t xml:space="preserve">.  </w:t>
      </w:r>
      <w:r w:rsidR="00A42334" w:rsidRPr="00A60F4D">
        <w:t xml:space="preserve">  </w:t>
      </w:r>
    </w:p>
    <w:p w14:paraId="6A9616A7" w14:textId="77777777" w:rsidR="00024E1B" w:rsidRPr="00A60F4D" w:rsidRDefault="00024E1B" w:rsidP="00CA3F46">
      <w:pPr>
        <w:pStyle w:val="NoSpacing"/>
        <w:rPr>
          <w:b/>
        </w:rPr>
      </w:pPr>
    </w:p>
    <w:p w14:paraId="1AF001E0" w14:textId="77777777" w:rsidR="00D6473A" w:rsidRDefault="005D7E96" w:rsidP="00CA3F46">
      <w:pPr>
        <w:pStyle w:val="NoSpacing"/>
      </w:pPr>
      <w:r>
        <w:rPr>
          <w:rFonts w:cs="AdvPSFT-B"/>
          <w:b/>
        </w:rPr>
        <w:t>Conclusions</w:t>
      </w:r>
      <w:r w:rsidR="001E5A68">
        <w:rPr>
          <w:rFonts w:cs="AdvPSFT-B"/>
          <w:b/>
        </w:rPr>
        <w:t xml:space="preserve"> </w:t>
      </w:r>
      <w:r w:rsidR="00C96964">
        <w:t>I</w:t>
      </w:r>
      <w:r w:rsidR="006039BE" w:rsidRPr="00C96964">
        <w:t xml:space="preserve">ncidence of </w:t>
      </w:r>
      <w:r w:rsidR="00D6473A" w:rsidRPr="00C96964">
        <w:t>sight</w:t>
      </w:r>
      <w:r w:rsidR="00D6473A" w:rsidRPr="00CA3F46">
        <w:t xml:space="preserve"> threatening</w:t>
      </w:r>
      <w:r w:rsidR="00D6473A" w:rsidRPr="00C17EAB">
        <w:t xml:space="preserve"> diabetic retinopathy </w:t>
      </w:r>
      <w:r w:rsidR="002256FE">
        <w:t xml:space="preserve">was </w:t>
      </w:r>
      <w:r w:rsidR="00D6473A" w:rsidRPr="00C17EAB">
        <w:t xml:space="preserve">approximately 3 times </w:t>
      </w:r>
      <w:r w:rsidR="002256FE">
        <w:t>that</w:t>
      </w:r>
      <w:r w:rsidR="00D6473A" w:rsidRPr="00C17EAB">
        <w:t xml:space="preserve"> reported in recent European studies.</w:t>
      </w:r>
      <w:r w:rsidR="00C17EAB" w:rsidRPr="00C17EAB">
        <w:t xml:space="preserve">  </w:t>
      </w:r>
      <w:r w:rsidR="00D6473A" w:rsidRPr="00C17EAB">
        <w:t>The negative asso</w:t>
      </w:r>
      <w:r w:rsidR="00CA3F46">
        <w:t>ciation of HIV infection with retinopathy</w:t>
      </w:r>
      <w:r w:rsidR="00D6473A" w:rsidRPr="00C17EAB">
        <w:t xml:space="preserve"> progression is a new finding.</w:t>
      </w:r>
      <w:r w:rsidR="00C17EAB" w:rsidRPr="00C17EAB">
        <w:t xml:space="preserve"> </w:t>
      </w:r>
    </w:p>
    <w:p w14:paraId="0484B5DC" w14:textId="77777777" w:rsidR="00725596" w:rsidRDefault="00725596" w:rsidP="00CA3F46">
      <w:pPr>
        <w:pStyle w:val="NoSpacing"/>
      </w:pPr>
    </w:p>
    <w:p w14:paraId="72417756" w14:textId="77777777" w:rsidR="00725596" w:rsidRDefault="00725596">
      <w:pPr>
        <w:autoSpaceDN/>
        <w:spacing w:line="240" w:lineRule="auto"/>
        <w:textAlignment w:val="auto"/>
        <w:rPr>
          <w:sz w:val="24"/>
          <w:szCs w:val="24"/>
        </w:rPr>
      </w:pPr>
      <w:r>
        <w:br w:type="page"/>
      </w:r>
    </w:p>
    <w:p w14:paraId="548C03D8" w14:textId="77777777" w:rsidR="00725596" w:rsidRDefault="00725596" w:rsidP="00CA3F46">
      <w:pPr>
        <w:pStyle w:val="NoSpacing"/>
        <w:rPr>
          <w:rFonts w:cs="AdvPSFT-B"/>
          <w:b/>
        </w:rPr>
      </w:pPr>
      <w:r>
        <w:rPr>
          <w:rFonts w:cs="AdvPSFT-B"/>
          <w:b/>
        </w:rPr>
        <w:lastRenderedPageBreak/>
        <w:t>Keywords</w:t>
      </w:r>
    </w:p>
    <w:p w14:paraId="1A7C5B00" w14:textId="77777777" w:rsidR="00725596" w:rsidRDefault="00725596" w:rsidP="00CA3F46">
      <w:pPr>
        <w:pStyle w:val="NoSpacing"/>
        <w:rPr>
          <w:rFonts w:cs="AdvPSFT-B"/>
        </w:rPr>
      </w:pPr>
      <w:r w:rsidRPr="00725596">
        <w:rPr>
          <w:rFonts w:cs="AdvPSFT-B"/>
        </w:rPr>
        <w:t xml:space="preserve">Diabetes Mellitus; diabetes complications; diabetic retinopathy; HIV; </w:t>
      </w:r>
      <w:proofErr w:type="spellStart"/>
      <w:r w:rsidRPr="00725596">
        <w:rPr>
          <w:rFonts w:cs="AdvPSFT-B"/>
        </w:rPr>
        <w:t>anemia</w:t>
      </w:r>
      <w:proofErr w:type="spellEnd"/>
      <w:r w:rsidRPr="00725596">
        <w:rPr>
          <w:rFonts w:cs="AdvPSFT-B"/>
        </w:rPr>
        <w:t>; Africa</w:t>
      </w:r>
      <w:r>
        <w:rPr>
          <w:rFonts w:cs="AdvPSFT-B"/>
        </w:rPr>
        <w:t xml:space="preserve"> South of the Sahara.</w:t>
      </w:r>
    </w:p>
    <w:p w14:paraId="2FBBC733" w14:textId="77777777" w:rsidR="00725596" w:rsidRDefault="00725596" w:rsidP="00CA3F46">
      <w:pPr>
        <w:pStyle w:val="NoSpacing"/>
        <w:rPr>
          <w:rFonts w:cs="AdvPSFT-B"/>
        </w:rPr>
      </w:pPr>
    </w:p>
    <w:p w14:paraId="51D5ABD8" w14:textId="77777777" w:rsidR="00725596" w:rsidRPr="00725596" w:rsidRDefault="00725596" w:rsidP="00CA3F46">
      <w:pPr>
        <w:pStyle w:val="NoSpacing"/>
        <w:rPr>
          <w:rFonts w:cs="AdvPSFT-B"/>
          <w:b/>
        </w:rPr>
      </w:pPr>
      <w:r w:rsidRPr="00725596">
        <w:rPr>
          <w:rFonts w:cs="AdvPSFT-B"/>
          <w:b/>
        </w:rPr>
        <w:t>Abbreviations</w:t>
      </w:r>
    </w:p>
    <w:p w14:paraId="0D2E5FC7" w14:textId="77777777" w:rsidR="00860164" w:rsidRPr="006642D7" w:rsidRDefault="00860164" w:rsidP="00860164">
      <w:r w:rsidRPr="006642D7">
        <w:t xml:space="preserve">ACCORD  </w:t>
      </w:r>
      <w:r w:rsidRPr="006642D7">
        <w:tab/>
        <w:t xml:space="preserve">Action to Control Cardiovascular Risk in Diabetes Study </w:t>
      </w:r>
    </w:p>
    <w:p w14:paraId="471D14C2" w14:textId="77777777" w:rsidR="00725596" w:rsidRPr="006642D7" w:rsidRDefault="00725596" w:rsidP="00725596">
      <w:pPr>
        <w:rPr>
          <w:rFonts w:cs="AdvPECFD34"/>
        </w:rPr>
      </w:pPr>
      <w:r w:rsidRPr="006642D7">
        <w:rPr>
          <w:rFonts w:cs="AdvPECFD34"/>
        </w:rPr>
        <w:t>ADA</w:t>
      </w:r>
      <w:r w:rsidRPr="006642D7">
        <w:rPr>
          <w:rFonts w:cs="AdvPECFD34"/>
        </w:rPr>
        <w:tab/>
      </w:r>
      <w:r w:rsidRPr="006642D7">
        <w:rPr>
          <w:rFonts w:cs="AdvPECFD34"/>
        </w:rPr>
        <w:tab/>
        <w:t>American Diabetes Association</w:t>
      </w:r>
    </w:p>
    <w:p w14:paraId="41B22A8C" w14:textId="77777777" w:rsidR="00725596" w:rsidRPr="006642D7" w:rsidRDefault="00725596" w:rsidP="00725596">
      <w:pPr>
        <w:rPr>
          <w:rFonts w:cs="AdvPECFD34"/>
        </w:rPr>
      </w:pPr>
      <w:r w:rsidRPr="006642D7">
        <w:rPr>
          <w:rFonts w:cs="AdvPECFD34"/>
        </w:rPr>
        <w:t>ART</w:t>
      </w:r>
      <w:r w:rsidRPr="006642D7">
        <w:rPr>
          <w:rFonts w:cs="AdvPECFD34"/>
        </w:rPr>
        <w:tab/>
      </w:r>
      <w:r w:rsidRPr="006642D7">
        <w:rPr>
          <w:rFonts w:cs="AdvPECFD34"/>
        </w:rPr>
        <w:tab/>
        <w:t>Anti-retroviral therapy</w:t>
      </w:r>
    </w:p>
    <w:p w14:paraId="6B170F0E" w14:textId="77777777" w:rsidR="00725596" w:rsidRPr="006642D7" w:rsidRDefault="00725596" w:rsidP="00725596">
      <w:pPr>
        <w:rPr>
          <w:rFonts w:cs="Calibri"/>
        </w:rPr>
      </w:pPr>
      <w:r w:rsidRPr="006642D7">
        <w:rPr>
          <w:rFonts w:cs="Calibri"/>
        </w:rPr>
        <w:t xml:space="preserve">BCVA </w:t>
      </w:r>
      <w:r w:rsidRPr="006642D7">
        <w:rPr>
          <w:rFonts w:cs="Calibri"/>
        </w:rPr>
        <w:tab/>
      </w:r>
      <w:r w:rsidRPr="006642D7">
        <w:rPr>
          <w:rFonts w:cs="Calibri"/>
        </w:rPr>
        <w:tab/>
        <w:t>Best corrected visual acuity</w:t>
      </w:r>
    </w:p>
    <w:p w14:paraId="6EA96FE3" w14:textId="77777777" w:rsidR="00725596" w:rsidRPr="006642D7" w:rsidRDefault="00725596" w:rsidP="00725596">
      <w:pPr>
        <w:shd w:val="clear" w:color="auto" w:fill="FFFFFF"/>
        <w:rPr>
          <w:rFonts w:cs="AdvPECFD34"/>
        </w:rPr>
      </w:pPr>
      <w:r w:rsidRPr="006642D7">
        <w:rPr>
          <w:rFonts w:cs="AdvPECFD34"/>
        </w:rPr>
        <w:t>BMI</w:t>
      </w:r>
      <w:r w:rsidRPr="006642D7">
        <w:rPr>
          <w:rFonts w:cs="AdvPECFD34"/>
        </w:rPr>
        <w:tab/>
      </w:r>
      <w:r w:rsidRPr="006642D7">
        <w:rPr>
          <w:rFonts w:cs="AdvPECFD34"/>
        </w:rPr>
        <w:tab/>
        <w:t>Body mass index</w:t>
      </w:r>
    </w:p>
    <w:p w14:paraId="75365591" w14:textId="77777777" w:rsidR="00725596" w:rsidRPr="006642D7" w:rsidRDefault="00725596" w:rsidP="00725596">
      <w:pPr>
        <w:shd w:val="clear" w:color="auto" w:fill="FFFFFF"/>
        <w:rPr>
          <w:rFonts w:cs="AdvPECFD34"/>
        </w:rPr>
      </w:pPr>
      <w:r w:rsidRPr="006642D7">
        <w:rPr>
          <w:rFonts w:cs="AdvPECFD34"/>
        </w:rPr>
        <w:t>BP</w:t>
      </w:r>
      <w:r w:rsidRPr="006642D7">
        <w:rPr>
          <w:rFonts w:cs="AdvPECFD34"/>
        </w:rPr>
        <w:tab/>
      </w:r>
      <w:r w:rsidRPr="006642D7">
        <w:rPr>
          <w:rFonts w:cs="AdvPECFD34"/>
        </w:rPr>
        <w:tab/>
        <w:t>Blood pressure</w:t>
      </w:r>
    </w:p>
    <w:p w14:paraId="407D907D" w14:textId="77777777" w:rsidR="00725596" w:rsidRPr="006642D7" w:rsidRDefault="00725596" w:rsidP="00725596">
      <w:pPr>
        <w:shd w:val="clear" w:color="auto" w:fill="FFFFFF"/>
        <w:rPr>
          <w:rFonts w:cs="AdvPECFD34"/>
        </w:rPr>
      </w:pPr>
      <w:r w:rsidRPr="006642D7">
        <w:rPr>
          <w:rFonts w:cs="AdvPECFD34"/>
        </w:rPr>
        <w:t>CI</w:t>
      </w:r>
      <w:r w:rsidRPr="006642D7">
        <w:rPr>
          <w:rFonts w:cs="AdvPECFD34"/>
        </w:rPr>
        <w:tab/>
      </w:r>
      <w:r w:rsidRPr="006642D7">
        <w:rPr>
          <w:rFonts w:cs="AdvPECFD34"/>
        </w:rPr>
        <w:tab/>
        <w:t>Confidence interval</w:t>
      </w:r>
    </w:p>
    <w:p w14:paraId="2C1CEC25" w14:textId="77777777" w:rsidR="00725596" w:rsidRPr="006642D7" w:rsidRDefault="00EA1839" w:rsidP="00725596">
      <w:pPr>
        <w:shd w:val="clear" w:color="auto" w:fill="FFFFFF"/>
        <w:rPr>
          <w:rFonts w:cs="AdvPECFD34"/>
        </w:rPr>
      </w:pPr>
      <w:r>
        <w:rPr>
          <w:rFonts w:cs="AdvPECFD34"/>
        </w:rPr>
        <w:t>CSME</w:t>
      </w:r>
      <w:r w:rsidR="00725596" w:rsidRPr="006642D7">
        <w:rPr>
          <w:rFonts w:cs="AdvPECFD34"/>
        </w:rPr>
        <w:tab/>
      </w:r>
      <w:r w:rsidR="00725596" w:rsidRPr="006642D7">
        <w:rPr>
          <w:rFonts w:cs="AdvPECFD34"/>
        </w:rPr>
        <w:tab/>
      </w:r>
      <w:r>
        <w:rPr>
          <w:rFonts w:cs="AdvPECFD34"/>
        </w:rPr>
        <w:t xml:space="preserve">Clinically significant macular </w:t>
      </w:r>
      <w:proofErr w:type="spellStart"/>
      <w:r w:rsidR="00725596" w:rsidRPr="006642D7">
        <w:rPr>
          <w:rFonts w:cs="AdvPECFD34"/>
        </w:rPr>
        <w:t>edema</w:t>
      </w:r>
      <w:proofErr w:type="spellEnd"/>
    </w:p>
    <w:p w14:paraId="6C9C0E05" w14:textId="77777777" w:rsidR="00725596" w:rsidRPr="006642D7" w:rsidRDefault="00725596" w:rsidP="00725596">
      <w:pPr>
        <w:shd w:val="clear" w:color="auto" w:fill="FFFFFF"/>
        <w:rPr>
          <w:rFonts w:cs="AdvPECFD34"/>
        </w:rPr>
      </w:pPr>
      <w:r w:rsidRPr="006642D7">
        <w:rPr>
          <w:rFonts w:cs="AdvPECFD34"/>
        </w:rPr>
        <w:t>DR</w:t>
      </w:r>
      <w:r w:rsidRPr="006642D7">
        <w:rPr>
          <w:rFonts w:cs="AdvPECFD34"/>
        </w:rPr>
        <w:tab/>
      </w:r>
      <w:r w:rsidRPr="006642D7">
        <w:rPr>
          <w:rFonts w:cs="AdvPECFD34"/>
        </w:rPr>
        <w:tab/>
        <w:t>Diabetic retinopathy</w:t>
      </w:r>
    </w:p>
    <w:p w14:paraId="39D2DA11" w14:textId="77777777" w:rsidR="00725596" w:rsidRPr="006642D7" w:rsidRDefault="00725596" w:rsidP="00725596">
      <w:pPr>
        <w:shd w:val="clear" w:color="auto" w:fill="FFFFFF"/>
        <w:rPr>
          <w:rFonts w:cs="AdvPECFD34"/>
        </w:rPr>
      </w:pPr>
      <w:r w:rsidRPr="006642D7">
        <w:rPr>
          <w:rFonts w:cs="AdvPECFD34"/>
        </w:rPr>
        <w:t>ETDRS</w:t>
      </w:r>
      <w:r w:rsidRPr="006642D7">
        <w:rPr>
          <w:rFonts w:cs="AdvPECFD34"/>
        </w:rPr>
        <w:tab/>
      </w:r>
      <w:r w:rsidRPr="006642D7">
        <w:rPr>
          <w:rFonts w:cs="AdvPECFD34"/>
        </w:rPr>
        <w:tab/>
        <w:t>Early treatment of diabetic retinopathy study</w:t>
      </w:r>
    </w:p>
    <w:p w14:paraId="69048894" w14:textId="77777777" w:rsidR="00725596" w:rsidRPr="006642D7" w:rsidRDefault="00043593" w:rsidP="00725596">
      <w:pPr>
        <w:rPr>
          <w:rFonts w:cs="Calibri"/>
        </w:rPr>
      </w:pPr>
      <w:r>
        <w:rPr>
          <w:rFonts w:cs="Calibri"/>
        </w:rPr>
        <w:t>HbA1c</w:t>
      </w:r>
      <w:r>
        <w:rPr>
          <w:rFonts w:cs="Calibri"/>
        </w:rPr>
        <w:tab/>
      </w:r>
      <w:r>
        <w:rPr>
          <w:rFonts w:cs="Calibri"/>
        </w:rPr>
        <w:tab/>
        <w:t xml:space="preserve">Glycosylated </w:t>
      </w:r>
      <w:proofErr w:type="spellStart"/>
      <w:r>
        <w:rPr>
          <w:rFonts w:cs="Calibri"/>
        </w:rPr>
        <w:t>h</w:t>
      </w:r>
      <w:r w:rsidR="00725596" w:rsidRPr="006642D7">
        <w:rPr>
          <w:rFonts w:cs="Calibri"/>
        </w:rPr>
        <w:t>emoglobin</w:t>
      </w:r>
      <w:proofErr w:type="spellEnd"/>
    </w:p>
    <w:p w14:paraId="6DF87DC3" w14:textId="77777777" w:rsidR="00725596" w:rsidRPr="006642D7" w:rsidRDefault="00725596" w:rsidP="00725596">
      <w:pPr>
        <w:shd w:val="clear" w:color="auto" w:fill="FFFFFF"/>
        <w:rPr>
          <w:rFonts w:cs="AdvPECFD34"/>
        </w:rPr>
      </w:pPr>
      <w:r w:rsidRPr="006642D7">
        <w:rPr>
          <w:rFonts w:cs="AdvPECFD34"/>
        </w:rPr>
        <w:t>HDL</w:t>
      </w:r>
      <w:r w:rsidRPr="006642D7">
        <w:rPr>
          <w:rFonts w:cs="AdvPECFD34"/>
        </w:rPr>
        <w:tab/>
      </w:r>
      <w:r w:rsidRPr="006642D7">
        <w:rPr>
          <w:rFonts w:cs="AdvPECFD34"/>
        </w:rPr>
        <w:tab/>
        <w:t>High density lipoprotein</w:t>
      </w:r>
    </w:p>
    <w:p w14:paraId="70FDA689" w14:textId="77777777" w:rsidR="00725596" w:rsidRPr="006642D7" w:rsidRDefault="00725596" w:rsidP="00725596">
      <w:r w:rsidRPr="006642D7">
        <w:t xml:space="preserve">HIV </w:t>
      </w:r>
      <w:r w:rsidRPr="006642D7">
        <w:tab/>
      </w:r>
      <w:r w:rsidRPr="006642D7">
        <w:tab/>
        <w:t>Human immunodeficiency virus</w:t>
      </w:r>
    </w:p>
    <w:p w14:paraId="4DEAC9FC" w14:textId="77777777" w:rsidR="00725596" w:rsidRPr="006642D7" w:rsidRDefault="00043593" w:rsidP="00725596">
      <w:pPr>
        <w:shd w:val="clear" w:color="auto" w:fill="FFFFFF"/>
        <w:rPr>
          <w:rFonts w:cs="AdvPECFD34"/>
        </w:rPr>
      </w:pPr>
      <w:proofErr w:type="spellStart"/>
      <w:r>
        <w:rPr>
          <w:rFonts w:cs="AdvPECFD34"/>
        </w:rPr>
        <w:t>HMa</w:t>
      </w:r>
      <w:proofErr w:type="spellEnd"/>
      <w:r>
        <w:rPr>
          <w:rFonts w:cs="AdvPECFD34"/>
        </w:rPr>
        <w:tab/>
      </w:r>
      <w:r>
        <w:rPr>
          <w:rFonts w:cs="AdvPECFD34"/>
        </w:rPr>
        <w:tab/>
      </w:r>
      <w:proofErr w:type="spellStart"/>
      <w:r>
        <w:rPr>
          <w:rFonts w:cs="AdvPECFD34"/>
        </w:rPr>
        <w:t>H</w:t>
      </w:r>
      <w:r w:rsidR="00725596" w:rsidRPr="006642D7">
        <w:rPr>
          <w:rFonts w:cs="AdvPECFD34"/>
        </w:rPr>
        <w:t>emorrhages</w:t>
      </w:r>
      <w:proofErr w:type="spellEnd"/>
      <w:r w:rsidR="00725596" w:rsidRPr="006642D7">
        <w:rPr>
          <w:rFonts w:cs="AdvPECFD34"/>
        </w:rPr>
        <w:t xml:space="preserve"> and </w:t>
      </w:r>
      <w:proofErr w:type="spellStart"/>
      <w:r w:rsidR="00725596" w:rsidRPr="006642D7">
        <w:rPr>
          <w:rFonts w:cs="AdvPECFD34"/>
        </w:rPr>
        <w:t>microaneurysms</w:t>
      </w:r>
      <w:proofErr w:type="spellEnd"/>
      <w:r w:rsidR="00725596" w:rsidRPr="006642D7">
        <w:rPr>
          <w:rFonts w:cs="AdvPECFD34"/>
        </w:rPr>
        <w:t xml:space="preserve"> </w:t>
      </w:r>
    </w:p>
    <w:p w14:paraId="435397E5" w14:textId="77777777" w:rsidR="00725596" w:rsidRPr="006642D7" w:rsidRDefault="00725596" w:rsidP="00725596">
      <w:pPr>
        <w:shd w:val="clear" w:color="auto" w:fill="FFFFFF"/>
        <w:rPr>
          <w:rFonts w:cs="AdvPECFD34"/>
        </w:rPr>
      </w:pPr>
      <w:r w:rsidRPr="006642D7">
        <w:rPr>
          <w:rFonts w:cs="AdvPECFD34"/>
        </w:rPr>
        <w:t>IRMA</w:t>
      </w:r>
      <w:r w:rsidRPr="006642D7">
        <w:rPr>
          <w:rFonts w:cs="AdvPECFD34"/>
        </w:rPr>
        <w:tab/>
      </w:r>
      <w:r w:rsidRPr="006642D7">
        <w:rPr>
          <w:rFonts w:cs="AdvPECFD34"/>
        </w:rPr>
        <w:tab/>
        <w:t>Intra-retinal microvascular abnormalities</w:t>
      </w:r>
    </w:p>
    <w:p w14:paraId="78F713BD" w14:textId="77777777" w:rsidR="00725596" w:rsidRPr="006642D7" w:rsidRDefault="00725596" w:rsidP="00725596">
      <w:pPr>
        <w:shd w:val="clear" w:color="auto" w:fill="FFFFFF"/>
        <w:rPr>
          <w:rFonts w:cs="AdvPECFD34"/>
        </w:rPr>
      </w:pPr>
      <w:r w:rsidRPr="006642D7">
        <w:rPr>
          <w:rFonts w:cs="AdvPECFD34"/>
        </w:rPr>
        <w:t>LDES</w:t>
      </w:r>
      <w:r w:rsidRPr="006642D7">
        <w:rPr>
          <w:rFonts w:cs="AdvPECFD34"/>
        </w:rPr>
        <w:tab/>
      </w:r>
      <w:r w:rsidRPr="006642D7">
        <w:rPr>
          <w:rFonts w:cs="AdvPECFD34"/>
        </w:rPr>
        <w:tab/>
        <w:t>Liverpool Diabetic Eye Study</w:t>
      </w:r>
    </w:p>
    <w:p w14:paraId="39BD3AEA" w14:textId="77777777" w:rsidR="00725596" w:rsidRPr="006642D7" w:rsidRDefault="00725596" w:rsidP="006642D7">
      <w:pPr>
        <w:shd w:val="clear" w:color="auto" w:fill="FFFFFF"/>
        <w:rPr>
          <w:rFonts w:cs="AdvPECFD34"/>
        </w:rPr>
      </w:pPr>
      <w:r w:rsidRPr="006642D7">
        <w:rPr>
          <w:rFonts w:cs="AdvPECFD34"/>
        </w:rPr>
        <w:t>LDL</w:t>
      </w:r>
      <w:r w:rsidRPr="006642D7">
        <w:rPr>
          <w:rFonts w:cs="AdvPECFD34"/>
        </w:rPr>
        <w:tab/>
      </w:r>
      <w:r w:rsidRPr="006642D7">
        <w:rPr>
          <w:rFonts w:cs="AdvPECFD34"/>
        </w:rPr>
        <w:tab/>
        <w:t>Low density lipoprotein</w:t>
      </w:r>
    </w:p>
    <w:p w14:paraId="2B89E339" w14:textId="77777777" w:rsidR="00725596" w:rsidRPr="006642D7" w:rsidRDefault="00725596" w:rsidP="00725596">
      <w:pPr>
        <w:shd w:val="clear" w:color="auto" w:fill="FFFFFF"/>
        <w:rPr>
          <w:rFonts w:cs="AdvPECFD34"/>
        </w:rPr>
      </w:pPr>
      <w:r w:rsidRPr="006642D7">
        <w:rPr>
          <w:rFonts w:cs="AdvPECFD34"/>
        </w:rPr>
        <w:t>MDRS</w:t>
      </w:r>
      <w:r w:rsidRPr="006642D7">
        <w:rPr>
          <w:rFonts w:cs="AdvPECFD34"/>
        </w:rPr>
        <w:tab/>
      </w:r>
      <w:r w:rsidRPr="006642D7">
        <w:rPr>
          <w:rFonts w:cs="AdvPECFD34"/>
        </w:rPr>
        <w:tab/>
        <w:t>Malawi diabetic retinopathy study</w:t>
      </w:r>
    </w:p>
    <w:p w14:paraId="63DECEBB" w14:textId="77777777" w:rsidR="00725596" w:rsidRPr="006642D7" w:rsidRDefault="00043593" w:rsidP="00725596">
      <w:pPr>
        <w:rPr>
          <w:rFonts w:cs="Calibri"/>
        </w:rPr>
      </w:pPr>
      <w:r>
        <w:rPr>
          <w:rFonts w:cs="Calibri"/>
        </w:rPr>
        <w:t>NGSP</w:t>
      </w:r>
      <w:r>
        <w:rPr>
          <w:rFonts w:cs="Calibri"/>
        </w:rPr>
        <w:tab/>
      </w:r>
      <w:r>
        <w:rPr>
          <w:rFonts w:cs="Calibri"/>
        </w:rPr>
        <w:tab/>
        <w:t xml:space="preserve">National </w:t>
      </w:r>
      <w:proofErr w:type="spellStart"/>
      <w:r>
        <w:rPr>
          <w:rFonts w:cs="Calibri"/>
        </w:rPr>
        <w:t>glycoh</w:t>
      </w:r>
      <w:r w:rsidR="00725596" w:rsidRPr="006642D7">
        <w:rPr>
          <w:rFonts w:cs="Calibri"/>
        </w:rPr>
        <w:t>emoglobin</w:t>
      </w:r>
      <w:proofErr w:type="spellEnd"/>
      <w:r w:rsidR="00725596" w:rsidRPr="006642D7">
        <w:rPr>
          <w:rFonts w:cs="Calibri"/>
        </w:rPr>
        <w:t xml:space="preserve"> standardisation program</w:t>
      </w:r>
    </w:p>
    <w:p w14:paraId="75ADD1A5" w14:textId="77777777" w:rsidR="00725596" w:rsidRPr="006642D7" w:rsidRDefault="00725596" w:rsidP="00725596">
      <w:pPr>
        <w:rPr>
          <w:rFonts w:cs="Calibri"/>
        </w:rPr>
      </w:pPr>
      <w:r w:rsidRPr="006642D7">
        <w:rPr>
          <w:rFonts w:cs="Calibri"/>
        </w:rPr>
        <w:t xml:space="preserve">NPDR </w:t>
      </w:r>
      <w:r w:rsidRPr="006642D7">
        <w:rPr>
          <w:rFonts w:cs="Calibri"/>
        </w:rPr>
        <w:tab/>
      </w:r>
      <w:r w:rsidRPr="006642D7">
        <w:rPr>
          <w:rFonts w:cs="Calibri"/>
        </w:rPr>
        <w:tab/>
        <w:t xml:space="preserve">Non-proliferative diabetic retinopathy </w:t>
      </w:r>
    </w:p>
    <w:p w14:paraId="28508E7E" w14:textId="77777777" w:rsidR="00725596" w:rsidRPr="006642D7" w:rsidRDefault="00725596" w:rsidP="00725596">
      <w:pPr>
        <w:rPr>
          <w:rFonts w:cs="Calibri"/>
          <w:color w:val="000000"/>
        </w:rPr>
      </w:pPr>
      <w:r w:rsidRPr="006642D7">
        <w:rPr>
          <w:rFonts w:cs="Calibri"/>
          <w:color w:val="000000"/>
        </w:rPr>
        <w:t>OR</w:t>
      </w:r>
      <w:r w:rsidRPr="006642D7">
        <w:rPr>
          <w:rFonts w:cs="Calibri"/>
          <w:color w:val="000000"/>
        </w:rPr>
        <w:tab/>
      </w:r>
      <w:r w:rsidRPr="006642D7">
        <w:rPr>
          <w:rFonts w:cs="Calibri"/>
          <w:color w:val="000000"/>
        </w:rPr>
        <w:tab/>
        <w:t>Odds ratio</w:t>
      </w:r>
    </w:p>
    <w:p w14:paraId="357752D0" w14:textId="77777777" w:rsidR="00725596" w:rsidRPr="006642D7" w:rsidRDefault="00725596" w:rsidP="00725596">
      <w:pPr>
        <w:shd w:val="clear" w:color="auto" w:fill="FFFFFF"/>
        <w:rPr>
          <w:rFonts w:cs="AdvPECFD34"/>
        </w:rPr>
      </w:pPr>
      <w:r w:rsidRPr="006642D7">
        <w:rPr>
          <w:rFonts w:cs="AdvPECFD34"/>
        </w:rPr>
        <w:t>PDR</w:t>
      </w:r>
      <w:r w:rsidRPr="006642D7">
        <w:rPr>
          <w:rFonts w:cs="AdvPECFD34"/>
        </w:rPr>
        <w:tab/>
      </w:r>
      <w:r w:rsidRPr="006642D7">
        <w:rPr>
          <w:rFonts w:cs="AdvPECFD34"/>
        </w:rPr>
        <w:tab/>
        <w:t>Proliferative diabetic retinopathy</w:t>
      </w:r>
    </w:p>
    <w:p w14:paraId="3DB0C3A3" w14:textId="77777777" w:rsidR="00725596" w:rsidRPr="006642D7" w:rsidRDefault="00725596" w:rsidP="00725596">
      <w:pPr>
        <w:shd w:val="clear" w:color="auto" w:fill="FFFFFF"/>
        <w:rPr>
          <w:rFonts w:cs="AdvPECFD34"/>
        </w:rPr>
      </w:pPr>
      <w:r w:rsidRPr="006642D7">
        <w:rPr>
          <w:rFonts w:cs="AdvPECFD34"/>
        </w:rPr>
        <w:t>QECH</w:t>
      </w:r>
      <w:r w:rsidRPr="006642D7">
        <w:rPr>
          <w:rFonts w:cs="AdvPECFD34"/>
        </w:rPr>
        <w:tab/>
      </w:r>
      <w:r w:rsidRPr="006642D7">
        <w:rPr>
          <w:rFonts w:cs="AdvPECFD34"/>
        </w:rPr>
        <w:tab/>
        <w:t>Queen Elizabeth Central Hospital</w:t>
      </w:r>
    </w:p>
    <w:p w14:paraId="414E2865" w14:textId="77777777" w:rsidR="00725596" w:rsidRPr="006642D7" w:rsidRDefault="00725596" w:rsidP="00725596">
      <w:pPr>
        <w:shd w:val="clear" w:color="auto" w:fill="FFFFFF"/>
        <w:rPr>
          <w:rFonts w:cs="AdvPECFD34"/>
        </w:rPr>
      </w:pPr>
      <w:r w:rsidRPr="006642D7">
        <w:rPr>
          <w:rFonts w:cs="AdvPECFD34"/>
        </w:rPr>
        <w:t>STDR</w:t>
      </w:r>
      <w:r w:rsidRPr="006642D7">
        <w:rPr>
          <w:rFonts w:cs="AdvPECFD34"/>
        </w:rPr>
        <w:tab/>
      </w:r>
      <w:r w:rsidRPr="006642D7">
        <w:rPr>
          <w:rFonts w:cs="AdvPECFD34"/>
        </w:rPr>
        <w:tab/>
        <w:t>Sight threatening diabetic retinopathy</w:t>
      </w:r>
    </w:p>
    <w:p w14:paraId="6E707EE9" w14:textId="77777777" w:rsidR="00725596" w:rsidRPr="006642D7" w:rsidRDefault="00725596" w:rsidP="00725596">
      <w:pPr>
        <w:shd w:val="clear" w:color="auto" w:fill="FFFFFF"/>
        <w:rPr>
          <w:rFonts w:cs="AdvPECFD34"/>
        </w:rPr>
      </w:pPr>
      <w:proofErr w:type="spellStart"/>
      <w:r w:rsidRPr="006642D7">
        <w:rPr>
          <w:rFonts w:cs="AdvPECFD34"/>
        </w:rPr>
        <w:t>uACR</w:t>
      </w:r>
      <w:proofErr w:type="spellEnd"/>
      <w:r w:rsidRPr="006642D7">
        <w:rPr>
          <w:rFonts w:cs="AdvPECFD34"/>
        </w:rPr>
        <w:tab/>
      </w:r>
      <w:r w:rsidRPr="006642D7">
        <w:rPr>
          <w:rFonts w:cs="AdvPECFD34"/>
        </w:rPr>
        <w:tab/>
        <w:t>urine albumin-creatinine ratio</w:t>
      </w:r>
    </w:p>
    <w:p w14:paraId="6CC190C6" w14:textId="77777777" w:rsidR="00725596" w:rsidRPr="006642D7" w:rsidRDefault="00725596" w:rsidP="00725596">
      <w:pPr>
        <w:shd w:val="clear" w:color="auto" w:fill="FFFFFF"/>
        <w:rPr>
          <w:rFonts w:cs="AdvPECFD34"/>
        </w:rPr>
      </w:pPr>
      <w:r w:rsidRPr="006642D7">
        <w:rPr>
          <w:rFonts w:cs="AdvPECFD34"/>
        </w:rPr>
        <w:t>VA</w:t>
      </w:r>
      <w:r w:rsidRPr="006642D7">
        <w:rPr>
          <w:rFonts w:cs="AdvPECFD34"/>
        </w:rPr>
        <w:tab/>
      </w:r>
      <w:r w:rsidRPr="006642D7">
        <w:rPr>
          <w:rFonts w:cs="AdvPECFD34"/>
        </w:rPr>
        <w:tab/>
        <w:t>Visual acuity</w:t>
      </w:r>
    </w:p>
    <w:p w14:paraId="58DBFDEE" w14:textId="77777777" w:rsidR="00725596" w:rsidRPr="006642D7" w:rsidRDefault="00725596" w:rsidP="00725596">
      <w:pPr>
        <w:shd w:val="clear" w:color="auto" w:fill="FFFFFF"/>
        <w:rPr>
          <w:rFonts w:cs="AdvPECFD34"/>
        </w:rPr>
      </w:pPr>
      <w:r w:rsidRPr="006642D7">
        <w:rPr>
          <w:rFonts w:cs="AdvPECFD34"/>
        </w:rPr>
        <w:t>WHO</w:t>
      </w:r>
      <w:r w:rsidRPr="006642D7">
        <w:rPr>
          <w:rFonts w:cs="AdvPECFD34"/>
        </w:rPr>
        <w:tab/>
      </w:r>
      <w:r w:rsidRPr="006642D7">
        <w:rPr>
          <w:rFonts w:cs="AdvPECFD34"/>
        </w:rPr>
        <w:tab/>
        <w:t>World Health Organisation</w:t>
      </w:r>
    </w:p>
    <w:p w14:paraId="0AA97300" w14:textId="77777777" w:rsidR="006A0B8F" w:rsidRPr="000D25CB" w:rsidRDefault="00725596" w:rsidP="000D25CB">
      <w:pPr>
        <w:shd w:val="clear" w:color="auto" w:fill="FFFFFF"/>
        <w:rPr>
          <w:rFonts w:cs="AdvPECFD34"/>
        </w:rPr>
      </w:pPr>
      <w:r w:rsidRPr="006642D7">
        <w:rPr>
          <w:rFonts w:cs="AdvPECFD34"/>
        </w:rPr>
        <w:t>ZCH</w:t>
      </w:r>
      <w:r w:rsidRPr="006642D7">
        <w:rPr>
          <w:rFonts w:cs="AdvPECFD34"/>
        </w:rPr>
        <w:tab/>
      </w:r>
      <w:r w:rsidRPr="006642D7">
        <w:rPr>
          <w:rFonts w:cs="AdvPECFD34"/>
        </w:rPr>
        <w:tab/>
      </w:r>
      <w:proofErr w:type="spellStart"/>
      <w:r w:rsidRPr="006642D7">
        <w:rPr>
          <w:rFonts w:cs="AdvPECFD34"/>
        </w:rPr>
        <w:t>Zomba</w:t>
      </w:r>
      <w:proofErr w:type="spellEnd"/>
      <w:r w:rsidRPr="006642D7">
        <w:rPr>
          <w:rFonts w:cs="AdvPECFD34"/>
        </w:rPr>
        <w:t xml:space="preserve"> central hospital</w:t>
      </w:r>
      <w:r w:rsidR="006A0B8F">
        <w:rPr>
          <w:b/>
          <w:sz w:val="28"/>
          <w:szCs w:val="28"/>
        </w:rPr>
        <w:br w:type="page"/>
      </w:r>
    </w:p>
    <w:p w14:paraId="21AD6AD1" w14:textId="77777777" w:rsidR="00EA1839" w:rsidRPr="00EA1839" w:rsidRDefault="00EA1839" w:rsidP="00EA1839">
      <w:pPr>
        <w:rPr>
          <w:b/>
          <w:sz w:val="28"/>
          <w:szCs w:val="28"/>
        </w:rPr>
      </w:pPr>
      <w:r w:rsidRPr="00EA1839">
        <w:rPr>
          <w:b/>
          <w:sz w:val="28"/>
          <w:szCs w:val="28"/>
        </w:rPr>
        <w:lastRenderedPageBreak/>
        <w:t>First Prospective Cohort Study of Diabetic Retinopathy from Sub-Saharan Africa</w:t>
      </w:r>
    </w:p>
    <w:p w14:paraId="14E7A706" w14:textId="77777777" w:rsidR="00EA1839" w:rsidRPr="00EA1839" w:rsidRDefault="00EA1839" w:rsidP="00EA1839">
      <w:pPr>
        <w:rPr>
          <w:i/>
          <w:sz w:val="28"/>
          <w:szCs w:val="28"/>
        </w:rPr>
      </w:pPr>
      <w:r w:rsidRPr="00EA1839">
        <w:rPr>
          <w:i/>
          <w:sz w:val="28"/>
          <w:szCs w:val="28"/>
        </w:rPr>
        <w:t>High Incidence and Progression of Retinopathy and Relationship to HIV Infection</w:t>
      </w:r>
    </w:p>
    <w:p w14:paraId="15FF5584" w14:textId="77777777" w:rsidR="006A0B8F" w:rsidRDefault="006A0B8F" w:rsidP="006A0B8F">
      <w:pPr>
        <w:rPr>
          <w:sz w:val="24"/>
          <w:szCs w:val="24"/>
        </w:rPr>
      </w:pPr>
    </w:p>
    <w:p w14:paraId="7F80759A" w14:textId="77777777" w:rsidR="00935B03" w:rsidRPr="00935B03" w:rsidRDefault="00935B03" w:rsidP="006A0B8F">
      <w:pPr>
        <w:rPr>
          <w:b/>
          <w:sz w:val="28"/>
          <w:szCs w:val="28"/>
        </w:rPr>
      </w:pPr>
      <w:r w:rsidRPr="00935B03">
        <w:rPr>
          <w:b/>
          <w:sz w:val="28"/>
          <w:szCs w:val="28"/>
        </w:rPr>
        <w:t>Introduction</w:t>
      </w:r>
    </w:p>
    <w:p w14:paraId="7E2C8E2D" w14:textId="77777777" w:rsidR="006B7CAA" w:rsidRPr="006A0B8F" w:rsidRDefault="006B7CAA" w:rsidP="006A0B8F">
      <w:pPr>
        <w:rPr>
          <w:b/>
          <w:sz w:val="24"/>
          <w:szCs w:val="24"/>
        </w:rPr>
      </w:pPr>
      <w:r w:rsidRPr="006A0B8F">
        <w:rPr>
          <w:sz w:val="24"/>
          <w:szCs w:val="24"/>
        </w:rPr>
        <w:t xml:space="preserve">The International Diabetes Federation has estimated that the number of adults </w:t>
      </w:r>
      <w:r w:rsidR="00D60772">
        <w:rPr>
          <w:sz w:val="24"/>
          <w:szCs w:val="24"/>
        </w:rPr>
        <w:t xml:space="preserve">diagnosed </w:t>
      </w:r>
      <w:r w:rsidRPr="006A0B8F">
        <w:rPr>
          <w:sz w:val="24"/>
          <w:szCs w:val="24"/>
        </w:rPr>
        <w:t>with diabetes in Africa will increase from 12.1 million in 2010 to 23.9 milli</w:t>
      </w:r>
      <w:r w:rsidR="0099610E" w:rsidRPr="006A0B8F">
        <w:rPr>
          <w:sz w:val="24"/>
          <w:szCs w:val="24"/>
        </w:rPr>
        <w:t>on in 2030</w:t>
      </w:r>
      <w:r w:rsidR="009F150A">
        <w:rPr>
          <w:sz w:val="24"/>
          <w:szCs w:val="24"/>
        </w:rPr>
        <w:t xml:space="preserve"> [1]</w:t>
      </w:r>
      <w:r w:rsidRPr="006A0B8F">
        <w:rPr>
          <w:sz w:val="24"/>
          <w:szCs w:val="24"/>
        </w:rPr>
        <w:t>. The prevalence and incidence of sight-threatening diabetic retinopathy (STDR)</w:t>
      </w:r>
      <w:r w:rsidR="00065535" w:rsidRPr="006A0B8F">
        <w:rPr>
          <w:sz w:val="24"/>
          <w:szCs w:val="24"/>
        </w:rPr>
        <w:t xml:space="preserve"> in developed countries</w:t>
      </w:r>
      <w:r w:rsidR="009F150A">
        <w:rPr>
          <w:sz w:val="24"/>
          <w:szCs w:val="24"/>
        </w:rPr>
        <w:t xml:space="preserve"> [2-4]</w:t>
      </w:r>
      <w:r w:rsidR="00403A3D" w:rsidRPr="006A0B8F">
        <w:rPr>
          <w:sz w:val="24"/>
          <w:szCs w:val="24"/>
        </w:rPr>
        <w:t xml:space="preserve"> </w:t>
      </w:r>
      <w:r w:rsidR="000C3CEE" w:rsidRPr="006A0B8F">
        <w:rPr>
          <w:sz w:val="24"/>
          <w:szCs w:val="24"/>
        </w:rPr>
        <w:t>and the association with systemic facto</w:t>
      </w:r>
      <w:r w:rsidR="00BF45BD" w:rsidRPr="006A0B8F">
        <w:rPr>
          <w:sz w:val="24"/>
          <w:szCs w:val="24"/>
        </w:rPr>
        <w:t xml:space="preserve">rs, including </w:t>
      </w:r>
      <w:proofErr w:type="spellStart"/>
      <w:r w:rsidR="004C48B6">
        <w:rPr>
          <w:sz w:val="24"/>
          <w:szCs w:val="24"/>
        </w:rPr>
        <w:t>glyc</w:t>
      </w:r>
      <w:r w:rsidR="004C48B6" w:rsidRPr="006A0B8F">
        <w:rPr>
          <w:sz w:val="24"/>
          <w:szCs w:val="24"/>
        </w:rPr>
        <w:t>emic</w:t>
      </w:r>
      <w:proofErr w:type="spellEnd"/>
      <w:r w:rsidR="000C3CEE" w:rsidRPr="006A0B8F">
        <w:rPr>
          <w:sz w:val="24"/>
          <w:szCs w:val="24"/>
        </w:rPr>
        <w:t xml:space="preserve"> control</w:t>
      </w:r>
      <w:r w:rsidR="009F150A">
        <w:rPr>
          <w:sz w:val="24"/>
          <w:szCs w:val="24"/>
        </w:rPr>
        <w:t xml:space="preserve"> [5,6]</w:t>
      </w:r>
      <w:r w:rsidR="00753991" w:rsidRPr="006A0B8F">
        <w:rPr>
          <w:sz w:val="24"/>
          <w:szCs w:val="24"/>
        </w:rPr>
        <w:t xml:space="preserve"> blood pressure</w:t>
      </w:r>
      <w:r w:rsidR="009F150A">
        <w:rPr>
          <w:sz w:val="24"/>
          <w:szCs w:val="24"/>
        </w:rPr>
        <w:t xml:space="preserve"> [7]</w:t>
      </w:r>
      <w:r w:rsidR="000C3CEE" w:rsidRPr="006A0B8F">
        <w:rPr>
          <w:sz w:val="24"/>
          <w:szCs w:val="24"/>
        </w:rPr>
        <w:t xml:space="preserve"> </w:t>
      </w:r>
      <w:r w:rsidR="00753991" w:rsidRPr="006A0B8F">
        <w:rPr>
          <w:sz w:val="24"/>
          <w:szCs w:val="24"/>
        </w:rPr>
        <w:t>and blood lipid levels</w:t>
      </w:r>
      <w:r w:rsidR="009F150A">
        <w:rPr>
          <w:sz w:val="24"/>
          <w:szCs w:val="24"/>
        </w:rPr>
        <w:t xml:space="preserve"> [8]</w:t>
      </w:r>
      <w:r w:rsidR="000C3CEE" w:rsidRPr="006A0B8F">
        <w:rPr>
          <w:sz w:val="24"/>
          <w:szCs w:val="24"/>
        </w:rPr>
        <w:t xml:space="preserve">, </w:t>
      </w:r>
      <w:r w:rsidR="002A4D98" w:rsidRPr="006A0B8F">
        <w:rPr>
          <w:sz w:val="24"/>
          <w:szCs w:val="24"/>
        </w:rPr>
        <w:t xml:space="preserve">are </w:t>
      </w:r>
      <w:r w:rsidRPr="006A0B8F">
        <w:rPr>
          <w:sz w:val="24"/>
          <w:szCs w:val="24"/>
        </w:rPr>
        <w:t>well documented. No cohort studies hav</w:t>
      </w:r>
      <w:r w:rsidR="00065535" w:rsidRPr="006A0B8F">
        <w:rPr>
          <w:sz w:val="24"/>
          <w:szCs w:val="24"/>
        </w:rPr>
        <w:t xml:space="preserve">e investigated the </w:t>
      </w:r>
      <w:r w:rsidRPr="006A0B8F">
        <w:rPr>
          <w:sz w:val="24"/>
          <w:szCs w:val="24"/>
        </w:rPr>
        <w:t>determinants of severity and prog</w:t>
      </w:r>
      <w:r w:rsidR="00065535" w:rsidRPr="006A0B8F">
        <w:rPr>
          <w:sz w:val="24"/>
          <w:szCs w:val="24"/>
        </w:rPr>
        <w:t xml:space="preserve">ression of </w:t>
      </w:r>
      <w:r w:rsidR="001C2076" w:rsidRPr="006A0B8F">
        <w:rPr>
          <w:sz w:val="24"/>
          <w:szCs w:val="24"/>
        </w:rPr>
        <w:t>DR</w:t>
      </w:r>
      <w:r w:rsidR="00065535" w:rsidRPr="006A0B8F">
        <w:rPr>
          <w:sz w:val="24"/>
          <w:szCs w:val="24"/>
        </w:rPr>
        <w:t xml:space="preserve"> </w:t>
      </w:r>
      <w:r w:rsidR="002256FE" w:rsidRPr="006A0B8F">
        <w:rPr>
          <w:sz w:val="24"/>
          <w:szCs w:val="24"/>
        </w:rPr>
        <w:t>in s</w:t>
      </w:r>
      <w:r w:rsidRPr="006A0B8F">
        <w:rPr>
          <w:sz w:val="24"/>
          <w:szCs w:val="24"/>
        </w:rPr>
        <w:t>ub-Sahara</w:t>
      </w:r>
      <w:r w:rsidR="00065535" w:rsidRPr="006A0B8F">
        <w:rPr>
          <w:sz w:val="24"/>
          <w:szCs w:val="24"/>
        </w:rPr>
        <w:t>n Africa</w:t>
      </w:r>
      <w:r w:rsidR="009F150A">
        <w:rPr>
          <w:sz w:val="24"/>
          <w:szCs w:val="24"/>
        </w:rPr>
        <w:t xml:space="preserve"> [9]</w:t>
      </w:r>
      <w:r w:rsidR="00065535" w:rsidRPr="006A0B8F">
        <w:rPr>
          <w:sz w:val="24"/>
          <w:szCs w:val="24"/>
        </w:rPr>
        <w:t xml:space="preserve">. In this resource-poor </w:t>
      </w:r>
      <w:r w:rsidRPr="006A0B8F">
        <w:rPr>
          <w:sz w:val="24"/>
          <w:szCs w:val="24"/>
        </w:rPr>
        <w:t>setting, population-specific v</w:t>
      </w:r>
      <w:r w:rsidR="00065535" w:rsidRPr="006A0B8F">
        <w:rPr>
          <w:sz w:val="24"/>
          <w:szCs w:val="24"/>
        </w:rPr>
        <w:t xml:space="preserve">ariables, such as a high burden </w:t>
      </w:r>
      <w:r w:rsidRPr="006A0B8F">
        <w:rPr>
          <w:sz w:val="24"/>
          <w:szCs w:val="24"/>
        </w:rPr>
        <w:t>of infectious disease (including HIV and malaria) and</w:t>
      </w:r>
      <w:r w:rsidR="00BF45BD" w:rsidRPr="006A0B8F">
        <w:rPr>
          <w:sz w:val="24"/>
          <w:szCs w:val="24"/>
        </w:rPr>
        <w:t xml:space="preserve"> </w:t>
      </w:r>
      <w:proofErr w:type="spellStart"/>
      <w:r w:rsidR="004C48B6">
        <w:rPr>
          <w:sz w:val="24"/>
          <w:szCs w:val="24"/>
        </w:rPr>
        <w:t>an</w:t>
      </w:r>
      <w:r w:rsidR="004C48B6" w:rsidRPr="006A0B8F">
        <w:rPr>
          <w:sz w:val="24"/>
          <w:szCs w:val="24"/>
        </w:rPr>
        <w:t>emia</w:t>
      </w:r>
      <w:proofErr w:type="spellEnd"/>
      <w:r w:rsidRPr="006A0B8F">
        <w:rPr>
          <w:sz w:val="24"/>
          <w:szCs w:val="24"/>
        </w:rPr>
        <w:t xml:space="preserve">, </w:t>
      </w:r>
      <w:r w:rsidR="00D60772">
        <w:rPr>
          <w:sz w:val="24"/>
          <w:szCs w:val="24"/>
        </w:rPr>
        <w:t xml:space="preserve">may </w:t>
      </w:r>
      <w:r w:rsidRPr="006A0B8F">
        <w:rPr>
          <w:sz w:val="24"/>
          <w:szCs w:val="24"/>
        </w:rPr>
        <w:t>a</w:t>
      </w:r>
      <w:r w:rsidR="00065535" w:rsidRPr="006A0B8F">
        <w:rPr>
          <w:sz w:val="24"/>
          <w:szCs w:val="24"/>
        </w:rPr>
        <w:t xml:space="preserve">ffect the spectrum of pathology </w:t>
      </w:r>
      <w:r w:rsidRPr="006A0B8F">
        <w:rPr>
          <w:sz w:val="24"/>
          <w:szCs w:val="24"/>
        </w:rPr>
        <w:t>encountered.</w:t>
      </w:r>
    </w:p>
    <w:p w14:paraId="0E5750A8" w14:textId="77777777" w:rsidR="00065535" w:rsidRDefault="00065535" w:rsidP="006B7CAA">
      <w:pPr>
        <w:pStyle w:val="NoSpacing"/>
      </w:pPr>
    </w:p>
    <w:p w14:paraId="46BDFDB2" w14:textId="77777777" w:rsidR="006B7CAA" w:rsidRPr="006B7CAA" w:rsidRDefault="006B7CAA" w:rsidP="006B7CAA">
      <w:pPr>
        <w:pStyle w:val="NoSpacing"/>
      </w:pPr>
      <w:r w:rsidRPr="006B7CAA">
        <w:t>Malawi (population 15.9</w:t>
      </w:r>
      <w:r w:rsidR="00065535">
        <w:t xml:space="preserve"> million) is one of the poorest </w:t>
      </w:r>
      <w:r w:rsidRPr="006B7CAA">
        <w:t>countries in</w:t>
      </w:r>
      <w:r w:rsidR="00403A3D">
        <w:t xml:space="preserve"> the world</w:t>
      </w:r>
      <w:r w:rsidR="00065535">
        <w:t xml:space="preserve">, with an annual per capita </w:t>
      </w:r>
      <w:r w:rsidRPr="006B7CAA">
        <w:t>h</w:t>
      </w:r>
      <w:r w:rsidR="00753991">
        <w:t>ealthcare expenditure of US$77</w:t>
      </w:r>
      <w:r w:rsidR="009F150A">
        <w:t xml:space="preserve"> [10]</w:t>
      </w:r>
      <w:r w:rsidR="00065535">
        <w:t xml:space="preserve">. The WHO </w:t>
      </w:r>
      <w:r w:rsidRPr="006B7CAA">
        <w:t xml:space="preserve">Malawi national </w:t>
      </w:r>
      <w:proofErr w:type="spellStart"/>
      <w:r w:rsidRPr="006B7CAA">
        <w:t>STEPwise</w:t>
      </w:r>
      <w:proofErr w:type="spellEnd"/>
      <w:r w:rsidRPr="006B7CAA">
        <w:t xml:space="preserve"> survey es</w:t>
      </w:r>
      <w:r w:rsidR="00065535">
        <w:t xml:space="preserve">timated a prevalence of </w:t>
      </w:r>
      <w:r w:rsidRPr="006B7CAA">
        <w:t>diabetes of 5.6% in adults 25</w:t>
      </w:r>
      <w:r w:rsidRPr="006B7CAA">
        <w:rPr>
          <w:rFonts w:cs="AdvTT3713a231+20"/>
        </w:rPr>
        <w:t>–</w:t>
      </w:r>
      <w:r w:rsidR="00065535">
        <w:t xml:space="preserve">64 years, with a similar </w:t>
      </w:r>
      <w:r w:rsidRPr="006B7CAA">
        <w:t>preva</w:t>
      </w:r>
      <w:r w:rsidR="00753991">
        <w:t>lence in rural and urban areas</w:t>
      </w:r>
      <w:r w:rsidR="009F150A">
        <w:t xml:space="preserve"> [11]</w:t>
      </w:r>
      <w:r w:rsidR="00753991">
        <w:t xml:space="preserve">. </w:t>
      </w:r>
      <w:r w:rsidR="00065535">
        <w:t xml:space="preserve">In 2007, our group </w:t>
      </w:r>
      <w:r w:rsidRPr="006B7CAA">
        <w:t>performed a cross-sectio</w:t>
      </w:r>
      <w:r w:rsidR="00065535">
        <w:t xml:space="preserve">nal study using clinical ocular </w:t>
      </w:r>
      <w:r w:rsidRPr="006B7CAA">
        <w:t>examination to assess grades of retinopathy in patients</w:t>
      </w:r>
    </w:p>
    <w:p w14:paraId="01BA6624" w14:textId="77777777" w:rsidR="00065535" w:rsidRDefault="006B7CAA" w:rsidP="006B7CAA">
      <w:pPr>
        <w:pStyle w:val="NoSpacing"/>
      </w:pPr>
      <w:r w:rsidRPr="006B7CAA">
        <w:t>attending the diabetes cl</w:t>
      </w:r>
      <w:r w:rsidR="00065535">
        <w:t xml:space="preserve">inic at Queen Elizabeth Central </w:t>
      </w:r>
      <w:r w:rsidR="00753991">
        <w:t>Hospital, Blantyre</w:t>
      </w:r>
      <w:r w:rsidR="009F150A">
        <w:t xml:space="preserve"> [12</w:t>
      </w:r>
      <w:r w:rsidR="00B87FF3">
        <w:t>,</w:t>
      </w:r>
      <w:r w:rsidR="00C2156D">
        <w:t>1</w:t>
      </w:r>
      <w:r w:rsidR="00B87FF3">
        <w:t>3</w:t>
      </w:r>
      <w:r w:rsidR="009F150A">
        <w:t>]</w:t>
      </w:r>
      <w:r w:rsidRPr="006B7CAA">
        <w:t xml:space="preserve">. </w:t>
      </w:r>
      <w:r w:rsidR="006F60D8">
        <w:t xml:space="preserve"> </w:t>
      </w:r>
      <w:r w:rsidR="00065535">
        <w:t xml:space="preserve">We reported a high prevalence </w:t>
      </w:r>
      <w:r w:rsidRPr="006B7CAA">
        <w:t>of sight-threatenin</w:t>
      </w:r>
      <w:r w:rsidR="00065535">
        <w:t xml:space="preserve">g and proliferative </w:t>
      </w:r>
      <w:r w:rsidRPr="006B7CAA">
        <w:t>retinopath</w:t>
      </w:r>
      <w:r w:rsidR="00065535">
        <w:t xml:space="preserve">y: 19.6 and 5.7%, respectively. </w:t>
      </w:r>
      <w:r w:rsidRPr="006B7CAA">
        <w:t xml:space="preserve">Because of these important findings, </w:t>
      </w:r>
      <w:r w:rsidR="006F7A9F">
        <w:t>we performed t</w:t>
      </w:r>
      <w:r w:rsidR="007306E9">
        <w:t xml:space="preserve">he Malawi Diabetic Retinopathy </w:t>
      </w:r>
      <w:r w:rsidR="006F7A9F">
        <w:t>Study (MDRS):</w:t>
      </w:r>
      <w:r w:rsidRPr="006B7CAA">
        <w:t xml:space="preserve"> a prospective,</w:t>
      </w:r>
      <w:r w:rsidR="00065535">
        <w:t xml:space="preserve"> observational, cohort study of </w:t>
      </w:r>
      <w:r w:rsidRPr="006B7CAA">
        <w:t>patients attending two</w:t>
      </w:r>
      <w:r w:rsidR="00065535">
        <w:t xml:space="preserve"> hospital diabetes clinics over </w:t>
      </w:r>
      <w:r w:rsidRPr="006B7CAA">
        <w:t xml:space="preserve">24 months. </w:t>
      </w:r>
      <w:r w:rsidR="00065535">
        <w:t>The study aimed</w:t>
      </w:r>
      <w:r w:rsidR="007306E9">
        <w:t xml:space="preserve"> to describe the prevalence, </w:t>
      </w:r>
      <w:r w:rsidRPr="006B7CAA">
        <w:t>incidence and progression of d</w:t>
      </w:r>
      <w:r w:rsidR="00065535">
        <w:t xml:space="preserve">iabetic retinopathy in Southern </w:t>
      </w:r>
      <w:r w:rsidRPr="006B7CAA">
        <w:t xml:space="preserve">Malawi and to investigate </w:t>
      </w:r>
      <w:r w:rsidR="00065535">
        <w:t xml:space="preserve">the determinants of retinopathy </w:t>
      </w:r>
      <w:r w:rsidRPr="006B7CAA">
        <w:t xml:space="preserve">severity and progression in this population. </w:t>
      </w:r>
      <w:r w:rsidR="00065535">
        <w:t>Bas</w:t>
      </w:r>
      <w:r w:rsidR="007306E9">
        <w:t>e</w:t>
      </w:r>
      <w:r w:rsidR="00065535">
        <w:t>line data from the cohort has</w:t>
      </w:r>
      <w:r w:rsidR="00753991">
        <w:t xml:space="preserve"> been published</w:t>
      </w:r>
      <w:r w:rsidR="009F150A">
        <w:t xml:space="preserve"> [</w:t>
      </w:r>
      <w:r w:rsidR="00B87FF3">
        <w:t>14</w:t>
      </w:r>
      <w:r w:rsidR="009F150A">
        <w:t>]</w:t>
      </w:r>
      <w:r w:rsidR="00065535">
        <w:t xml:space="preserve">.  </w:t>
      </w:r>
    </w:p>
    <w:p w14:paraId="66ED29B3" w14:textId="77777777" w:rsidR="00065535" w:rsidRDefault="00065535" w:rsidP="00DE157C">
      <w:pPr>
        <w:rPr>
          <w:b/>
          <w:sz w:val="28"/>
          <w:szCs w:val="28"/>
        </w:rPr>
      </w:pPr>
    </w:p>
    <w:p w14:paraId="3365A1D4" w14:textId="77777777" w:rsidR="00560A5F" w:rsidRDefault="00560A5F" w:rsidP="00DE157C">
      <w:pPr>
        <w:rPr>
          <w:b/>
          <w:sz w:val="28"/>
          <w:szCs w:val="28"/>
        </w:rPr>
      </w:pPr>
    </w:p>
    <w:p w14:paraId="5CFE1EC7" w14:textId="77777777" w:rsidR="00560A5F" w:rsidRDefault="00560A5F" w:rsidP="00DE157C">
      <w:pPr>
        <w:rPr>
          <w:b/>
          <w:sz w:val="28"/>
          <w:szCs w:val="28"/>
        </w:rPr>
      </w:pPr>
    </w:p>
    <w:p w14:paraId="1BEF8D30" w14:textId="77777777" w:rsidR="00560A5F" w:rsidRDefault="00560A5F" w:rsidP="00DE157C">
      <w:pPr>
        <w:rPr>
          <w:b/>
          <w:sz w:val="28"/>
          <w:szCs w:val="28"/>
        </w:rPr>
      </w:pPr>
    </w:p>
    <w:p w14:paraId="50083C8F" w14:textId="77777777" w:rsidR="00F814E6" w:rsidRDefault="00935B03" w:rsidP="00DE157C">
      <w:pPr>
        <w:rPr>
          <w:b/>
          <w:sz w:val="28"/>
          <w:szCs w:val="28"/>
        </w:rPr>
      </w:pPr>
      <w:r>
        <w:rPr>
          <w:b/>
          <w:sz w:val="28"/>
          <w:szCs w:val="28"/>
        </w:rPr>
        <w:t>Materials</w:t>
      </w:r>
      <w:r w:rsidR="007B2E7B">
        <w:rPr>
          <w:b/>
          <w:sz w:val="28"/>
          <w:szCs w:val="28"/>
        </w:rPr>
        <w:t xml:space="preserve"> and </w:t>
      </w:r>
      <w:r w:rsidR="00F814E6" w:rsidRPr="00F814E6">
        <w:rPr>
          <w:b/>
          <w:sz w:val="28"/>
          <w:szCs w:val="28"/>
        </w:rPr>
        <w:t xml:space="preserve">Methods </w:t>
      </w:r>
    </w:p>
    <w:p w14:paraId="670816C9" w14:textId="77777777" w:rsidR="00811E0D" w:rsidRPr="00A60F4D" w:rsidRDefault="00811E0D" w:rsidP="00DE157C">
      <w:pPr>
        <w:rPr>
          <w:b/>
          <w:sz w:val="24"/>
          <w:szCs w:val="24"/>
        </w:rPr>
      </w:pPr>
      <w:r w:rsidRPr="00A60F4D">
        <w:rPr>
          <w:b/>
          <w:sz w:val="24"/>
          <w:szCs w:val="24"/>
        </w:rPr>
        <w:t>Setting</w:t>
      </w:r>
    </w:p>
    <w:p w14:paraId="3C5EF8E2" w14:textId="77777777" w:rsidR="00CE07EA" w:rsidRDefault="00811E0D" w:rsidP="00484238">
      <w:pPr>
        <w:rPr>
          <w:iCs/>
          <w:sz w:val="24"/>
          <w:szCs w:val="24"/>
        </w:rPr>
      </w:pPr>
      <w:r w:rsidRPr="006716B3">
        <w:rPr>
          <w:rStyle w:val="SubtleEmphasis"/>
          <w:i w:val="0"/>
          <w:color w:val="auto"/>
          <w:sz w:val="24"/>
          <w:szCs w:val="24"/>
        </w:rPr>
        <w:t xml:space="preserve">Queen Elizabeth Central Hospital </w:t>
      </w:r>
      <w:r w:rsidR="0049312F" w:rsidRPr="006716B3">
        <w:rPr>
          <w:rStyle w:val="SubtleEmphasis"/>
          <w:i w:val="0"/>
          <w:color w:val="auto"/>
          <w:sz w:val="24"/>
          <w:szCs w:val="24"/>
        </w:rPr>
        <w:t xml:space="preserve">(QECH) </w:t>
      </w:r>
      <w:r w:rsidRPr="006716B3">
        <w:rPr>
          <w:rStyle w:val="SubtleEmphasis"/>
          <w:i w:val="0"/>
          <w:color w:val="auto"/>
          <w:sz w:val="24"/>
          <w:szCs w:val="24"/>
        </w:rPr>
        <w:t>in Blantyre is the main</w:t>
      </w:r>
      <w:r w:rsidR="00E966A1" w:rsidRPr="006716B3">
        <w:rPr>
          <w:rStyle w:val="SubtleEmphasis"/>
          <w:i w:val="0"/>
          <w:color w:val="auto"/>
          <w:sz w:val="24"/>
          <w:szCs w:val="24"/>
        </w:rPr>
        <w:t xml:space="preserve"> </w:t>
      </w:r>
      <w:r w:rsidRPr="006716B3">
        <w:rPr>
          <w:rStyle w:val="SubtleEmphasis"/>
          <w:i w:val="0"/>
          <w:color w:val="auto"/>
          <w:sz w:val="24"/>
          <w:szCs w:val="24"/>
        </w:rPr>
        <w:t>teaching hospital in Malawi. It</w:t>
      </w:r>
      <w:r w:rsidR="00E966A1" w:rsidRPr="006716B3">
        <w:rPr>
          <w:rStyle w:val="SubtleEmphasis"/>
          <w:i w:val="0"/>
          <w:color w:val="auto"/>
          <w:sz w:val="24"/>
          <w:szCs w:val="24"/>
        </w:rPr>
        <w:t xml:space="preserve"> provides primary and secondary </w:t>
      </w:r>
      <w:r w:rsidRPr="006716B3">
        <w:rPr>
          <w:rStyle w:val="SubtleEmphasis"/>
          <w:i w:val="0"/>
          <w:color w:val="auto"/>
          <w:sz w:val="24"/>
          <w:szCs w:val="24"/>
        </w:rPr>
        <w:t>care to the urban and s</w:t>
      </w:r>
      <w:r w:rsidR="00E966A1" w:rsidRPr="006716B3">
        <w:rPr>
          <w:rStyle w:val="SubtleEmphasis"/>
          <w:i w:val="0"/>
          <w:color w:val="auto"/>
          <w:sz w:val="24"/>
          <w:szCs w:val="24"/>
        </w:rPr>
        <w:t xml:space="preserve">emi-urban population of greater </w:t>
      </w:r>
      <w:r w:rsidR="00577BA4" w:rsidRPr="006716B3">
        <w:rPr>
          <w:rStyle w:val="SubtleEmphasis"/>
          <w:i w:val="0"/>
          <w:color w:val="auto"/>
          <w:sz w:val="24"/>
          <w:szCs w:val="24"/>
        </w:rPr>
        <w:t>Blantyre (</w:t>
      </w:r>
      <w:r w:rsidR="00613079" w:rsidRPr="006716B3">
        <w:rPr>
          <w:rStyle w:val="SubtleEmphasis"/>
          <w:i w:val="0"/>
          <w:color w:val="auto"/>
          <w:sz w:val="24"/>
          <w:szCs w:val="24"/>
        </w:rPr>
        <w:t xml:space="preserve">approximately </w:t>
      </w:r>
      <w:r w:rsidRPr="006716B3">
        <w:rPr>
          <w:rStyle w:val="SubtleEmphasis"/>
          <w:i w:val="0"/>
          <w:color w:val="auto"/>
          <w:sz w:val="24"/>
          <w:szCs w:val="24"/>
        </w:rPr>
        <w:t>1.0 million people, 5</w:t>
      </w:r>
      <w:r w:rsidR="00E966A1" w:rsidRPr="006716B3">
        <w:rPr>
          <w:rStyle w:val="SubtleEmphasis"/>
          <w:i w:val="0"/>
          <w:color w:val="auto"/>
          <w:sz w:val="24"/>
          <w:szCs w:val="24"/>
        </w:rPr>
        <w:t xml:space="preserve">0% adult), and tertiary care to </w:t>
      </w:r>
      <w:r w:rsidR="00613079" w:rsidRPr="006716B3">
        <w:rPr>
          <w:rStyle w:val="SubtleEmphasis"/>
          <w:i w:val="0"/>
          <w:color w:val="auto"/>
          <w:sz w:val="24"/>
          <w:szCs w:val="24"/>
        </w:rPr>
        <w:t>the sout</w:t>
      </w:r>
      <w:r w:rsidR="004D3AB6">
        <w:rPr>
          <w:rStyle w:val="SubtleEmphasis"/>
          <w:i w:val="0"/>
          <w:color w:val="auto"/>
          <w:sz w:val="24"/>
          <w:szCs w:val="24"/>
        </w:rPr>
        <w:t>hern region</w:t>
      </w:r>
      <w:r w:rsidR="00E966A1" w:rsidRPr="006716B3">
        <w:rPr>
          <w:rStyle w:val="SubtleEmphasis"/>
          <w:i w:val="0"/>
          <w:color w:val="auto"/>
          <w:sz w:val="24"/>
          <w:szCs w:val="24"/>
        </w:rPr>
        <w:t xml:space="preserve">. </w:t>
      </w:r>
      <w:r w:rsidR="00613079" w:rsidRPr="006716B3">
        <w:rPr>
          <w:rStyle w:val="SubtleEmphasis"/>
          <w:i w:val="0"/>
          <w:color w:val="auto"/>
          <w:sz w:val="24"/>
          <w:szCs w:val="24"/>
        </w:rPr>
        <w:t xml:space="preserve"> </w:t>
      </w:r>
      <w:proofErr w:type="spellStart"/>
      <w:r w:rsidR="00E966A1" w:rsidRPr="006716B3">
        <w:rPr>
          <w:rStyle w:val="SubtleEmphasis"/>
          <w:i w:val="0"/>
          <w:color w:val="auto"/>
          <w:sz w:val="24"/>
          <w:szCs w:val="24"/>
        </w:rPr>
        <w:t>Zomba</w:t>
      </w:r>
      <w:proofErr w:type="spellEnd"/>
      <w:r w:rsidR="00E966A1" w:rsidRPr="006716B3">
        <w:rPr>
          <w:rStyle w:val="SubtleEmphasis"/>
          <w:i w:val="0"/>
          <w:color w:val="auto"/>
          <w:sz w:val="24"/>
          <w:szCs w:val="24"/>
        </w:rPr>
        <w:t xml:space="preserve"> Central </w:t>
      </w:r>
      <w:r w:rsidRPr="006716B3">
        <w:rPr>
          <w:rStyle w:val="SubtleEmphasis"/>
          <w:i w:val="0"/>
          <w:color w:val="auto"/>
          <w:sz w:val="24"/>
          <w:szCs w:val="24"/>
        </w:rPr>
        <w:t xml:space="preserve">Hospital </w:t>
      </w:r>
      <w:r w:rsidR="0049312F" w:rsidRPr="006716B3">
        <w:rPr>
          <w:rStyle w:val="SubtleEmphasis"/>
          <w:i w:val="0"/>
          <w:color w:val="auto"/>
          <w:sz w:val="24"/>
          <w:szCs w:val="24"/>
        </w:rPr>
        <w:t xml:space="preserve">(ZCH) </w:t>
      </w:r>
      <w:r w:rsidRPr="006716B3">
        <w:rPr>
          <w:rStyle w:val="SubtleEmphasis"/>
          <w:i w:val="0"/>
          <w:color w:val="auto"/>
          <w:sz w:val="24"/>
          <w:szCs w:val="24"/>
        </w:rPr>
        <w:t xml:space="preserve">provides primary </w:t>
      </w:r>
      <w:r w:rsidR="00E966A1" w:rsidRPr="006716B3">
        <w:rPr>
          <w:rStyle w:val="SubtleEmphasis"/>
          <w:i w:val="0"/>
          <w:color w:val="auto"/>
          <w:sz w:val="24"/>
          <w:szCs w:val="24"/>
        </w:rPr>
        <w:t xml:space="preserve">and secondary care to </w:t>
      </w:r>
      <w:proofErr w:type="spellStart"/>
      <w:r w:rsidRPr="006716B3">
        <w:rPr>
          <w:rStyle w:val="SubtleEmphasis"/>
          <w:i w:val="0"/>
          <w:color w:val="auto"/>
          <w:sz w:val="24"/>
          <w:szCs w:val="24"/>
        </w:rPr>
        <w:t>Zomba</w:t>
      </w:r>
      <w:proofErr w:type="spellEnd"/>
      <w:r w:rsidRPr="006716B3">
        <w:rPr>
          <w:rStyle w:val="SubtleEmphasis"/>
          <w:i w:val="0"/>
          <w:color w:val="auto"/>
          <w:sz w:val="24"/>
          <w:szCs w:val="24"/>
        </w:rPr>
        <w:t xml:space="preserve"> district. The diabetes clinics at</w:t>
      </w:r>
      <w:r w:rsidR="0049312F" w:rsidRPr="006716B3">
        <w:rPr>
          <w:rStyle w:val="SubtleEmphasis"/>
          <w:i w:val="0"/>
          <w:color w:val="auto"/>
          <w:sz w:val="24"/>
          <w:szCs w:val="24"/>
        </w:rPr>
        <w:t xml:space="preserve"> QECH </w:t>
      </w:r>
      <w:r w:rsidR="00E966A1" w:rsidRPr="006716B3">
        <w:rPr>
          <w:rStyle w:val="SubtleEmphasis"/>
          <w:i w:val="0"/>
          <w:color w:val="auto"/>
          <w:sz w:val="24"/>
          <w:szCs w:val="24"/>
        </w:rPr>
        <w:t>and Z</w:t>
      </w:r>
      <w:r w:rsidR="0049312F" w:rsidRPr="006716B3">
        <w:rPr>
          <w:rStyle w:val="SubtleEmphasis"/>
          <w:i w:val="0"/>
          <w:color w:val="auto"/>
          <w:sz w:val="24"/>
          <w:szCs w:val="24"/>
        </w:rPr>
        <w:t>CH</w:t>
      </w:r>
      <w:r w:rsidR="00E966A1" w:rsidRPr="006716B3">
        <w:rPr>
          <w:rStyle w:val="SubtleEmphasis"/>
          <w:i w:val="0"/>
          <w:color w:val="auto"/>
          <w:sz w:val="24"/>
          <w:szCs w:val="24"/>
        </w:rPr>
        <w:t xml:space="preserve"> </w:t>
      </w:r>
      <w:r w:rsidR="0049312F" w:rsidRPr="006716B3">
        <w:rPr>
          <w:rStyle w:val="SubtleEmphasis"/>
          <w:i w:val="0"/>
          <w:color w:val="auto"/>
          <w:sz w:val="24"/>
          <w:szCs w:val="24"/>
        </w:rPr>
        <w:t xml:space="preserve">are </w:t>
      </w:r>
      <w:r w:rsidR="0049312F" w:rsidRPr="006716B3">
        <w:rPr>
          <w:rFonts w:cs="AdvPSSAB-R"/>
          <w:sz w:val="24"/>
          <w:szCs w:val="24"/>
        </w:rPr>
        <w:t xml:space="preserve">the only public sector </w:t>
      </w:r>
      <w:r w:rsidR="00F3193E" w:rsidRPr="006716B3">
        <w:rPr>
          <w:rFonts w:cs="AdvPSSAB-R"/>
          <w:sz w:val="24"/>
          <w:szCs w:val="24"/>
        </w:rPr>
        <w:t>diabete</w:t>
      </w:r>
      <w:r w:rsidR="00613079" w:rsidRPr="006716B3">
        <w:rPr>
          <w:rFonts w:cs="AdvPSSAB-R"/>
          <w:sz w:val="24"/>
          <w:szCs w:val="24"/>
        </w:rPr>
        <w:t xml:space="preserve">s clinics in Blantyre and </w:t>
      </w:r>
      <w:proofErr w:type="spellStart"/>
      <w:r w:rsidR="00613079" w:rsidRPr="006716B3">
        <w:rPr>
          <w:rFonts w:cs="AdvPSSAB-R"/>
          <w:sz w:val="24"/>
          <w:szCs w:val="24"/>
        </w:rPr>
        <w:t>Zomba</w:t>
      </w:r>
      <w:proofErr w:type="spellEnd"/>
      <w:r w:rsidR="00F3193E" w:rsidRPr="006716B3">
        <w:rPr>
          <w:rFonts w:cs="AdvPSSAB-R"/>
          <w:sz w:val="24"/>
          <w:szCs w:val="24"/>
        </w:rPr>
        <w:t xml:space="preserve"> </w:t>
      </w:r>
      <w:r w:rsidR="00CF16B0">
        <w:rPr>
          <w:rStyle w:val="SubtleEmphasis"/>
          <w:i w:val="0"/>
          <w:color w:val="auto"/>
          <w:sz w:val="24"/>
          <w:szCs w:val="24"/>
        </w:rPr>
        <w:t xml:space="preserve">with </w:t>
      </w:r>
      <w:r w:rsidR="00613079" w:rsidRPr="006716B3">
        <w:rPr>
          <w:rStyle w:val="SubtleEmphasis"/>
          <w:i w:val="0"/>
          <w:color w:val="auto"/>
          <w:sz w:val="24"/>
          <w:szCs w:val="24"/>
        </w:rPr>
        <w:t xml:space="preserve">around 2000 and </w:t>
      </w:r>
      <w:r w:rsidRPr="006716B3">
        <w:rPr>
          <w:rStyle w:val="SubtleEmphasis"/>
          <w:i w:val="0"/>
          <w:color w:val="auto"/>
          <w:sz w:val="24"/>
          <w:szCs w:val="24"/>
        </w:rPr>
        <w:t xml:space="preserve">250 </w:t>
      </w:r>
      <w:r w:rsidR="00CF16B0">
        <w:rPr>
          <w:rStyle w:val="SubtleEmphasis"/>
          <w:i w:val="0"/>
          <w:color w:val="auto"/>
          <w:sz w:val="24"/>
          <w:szCs w:val="24"/>
        </w:rPr>
        <w:t xml:space="preserve">registered </w:t>
      </w:r>
      <w:r w:rsidRPr="006716B3">
        <w:rPr>
          <w:rStyle w:val="SubtleEmphasis"/>
          <w:i w:val="0"/>
          <w:color w:val="auto"/>
          <w:sz w:val="24"/>
          <w:szCs w:val="24"/>
        </w:rPr>
        <w:t>patients, respectively.</w:t>
      </w:r>
      <w:r w:rsidR="001D280D" w:rsidRPr="001D280D">
        <w:t xml:space="preserve"> </w:t>
      </w:r>
      <w:r w:rsidR="001D280D">
        <w:t xml:space="preserve"> </w:t>
      </w:r>
      <w:r w:rsidR="001D280D" w:rsidRPr="001D280D">
        <w:rPr>
          <w:sz w:val="24"/>
          <w:szCs w:val="24"/>
        </w:rPr>
        <w:t xml:space="preserve">The clinics </w:t>
      </w:r>
      <w:r w:rsidR="001D280D">
        <w:rPr>
          <w:sz w:val="24"/>
          <w:szCs w:val="24"/>
        </w:rPr>
        <w:t xml:space="preserve">provide free consultation and monitoring (measurement of height and weight, blood pressure and </w:t>
      </w:r>
      <w:r w:rsidR="00CE07EA">
        <w:rPr>
          <w:sz w:val="24"/>
          <w:szCs w:val="24"/>
        </w:rPr>
        <w:t>fasting blood sugar</w:t>
      </w:r>
      <w:r w:rsidR="001D280D">
        <w:rPr>
          <w:sz w:val="24"/>
          <w:szCs w:val="24"/>
        </w:rPr>
        <w:t>).</w:t>
      </w:r>
      <w:r w:rsidR="006D7C2A">
        <w:rPr>
          <w:sz w:val="24"/>
          <w:szCs w:val="24"/>
        </w:rPr>
        <w:t xml:space="preserve"> </w:t>
      </w:r>
      <w:r w:rsidR="001D280D">
        <w:rPr>
          <w:sz w:val="24"/>
          <w:szCs w:val="24"/>
        </w:rPr>
        <w:t xml:space="preserve"> </w:t>
      </w:r>
      <w:r w:rsidR="00CE07EA">
        <w:rPr>
          <w:sz w:val="24"/>
          <w:szCs w:val="24"/>
        </w:rPr>
        <w:t>M</w:t>
      </w:r>
      <w:r w:rsidR="00CE07EA" w:rsidRPr="001D280D">
        <w:rPr>
          <w:sz w:val="24"/>
          <w:szCs w:val="24"/>
        </w:rPr>
        <w:t>edications regular</w:t>
      </w:r>
      <w:r w:rsidR="00CE07EA">
        <w:rPr>
          <w:sz w:val="24"/>
          <w:szCs w:val="24"/>
        </w:rPr>
        <w:t>ly available free of charge are</w:t>
      </w:r>
      <w:r w:rsidR="00CE07EA" w:rsidRPr="001D280D">
        <w:rPr>
          <w:sz w:val="24"/>
          <w:szCs w:val="24"/>
        </w:rPr>
        <w:t xml:space="preserve"> </w:t>
      </w:r>
      <w:r w:rsidR="00CE07EA">
        <w:rPr>
          <w:sz w:val="24"/>
          <w:szCs w:val="24"/>
        </w:rPr>
        <w:t xml:space="preserve">metformin, </w:t>
      </w:r>
      <w:proofErr w:type="spellStart"/>
      <w:r w:rsidR="00CE07EA" w:rsidRPr="001D280D">
        <w:rPr>
          <w:sz w:val="24"/>
          <w:szCs w:val="24"/>
        </w:rPr>
        <w:t>glibenclamide</w:t>
      </w:r>
      <w:proofErr w:type="spellEnd"/>
      <w:r w:rsidR="00CE07EA" w:rsidRPr="001D280D">
        <w:rPr>
          <w:sz w:val="24"/>
          <w:szCs w:val="24"/>
        </w:rPr>
        <w:t xml:space="preserve"> and insulin (</w:t>
      </w:r>
      <w:proofErr w:type="spellStart"/>
      <w:r w:rsidR="00CE07EA" w:rsidRPr="001D280D">
        <w:rPr>
          <w:sz w:val="24"/>
          <w:szCs w:val="24"/>
        </w:rPr>
        <w:t>lente</w:t>
      </w:r>
      <w:proofErr w:type="spellEnd"/>
      <w:r w:rsidR="00CE07EA" w:rsidRPr="001D280D">
        <w:rPr>
          <w:sz w:val="24"/>
          <w:szCs w:val="24"/>
        </w:rPr>
        <w:t xml:space="preserve"> and soluble)</w:t>
      </w:r>
      <w:r w:rsidR="00CE07EA">
        <w:rPr>
          <w:sz w:val="24"/>
          <w:szCs w:val="24"/>
        </w:rPr>
        <w:t xml:space="preserve"> as well as a limited range of anti-hypertensives.</w:t>
      </w:r>
    </w:p>
    <w:p w14:paraId="227EC41B" w14:textId="77777777" w:rsidR="00CE07EA" w:rsidRDefault="00CE07EA" w:rsidP="00484238">
      <w:pPr>
        <w:rPr>
          <w:iCs/>
          <w:sz w:val="24"/>
          <w:szCs w:val="24"/>
        </w:rPr>
      </w:pPr>
    </w:p>
    <w:p w14:paraId="7435F6A7" w14:textId="77777777" w:rsidR="00484238" w:rsidRPr="00A60F4D" w:rsidRDefault="00811E0D" w:rsidP="00484238">
      <w:pPr>
        <w:rPr>
          <w:b/>
          <w:sz w:val="24"/>
          <w:szCs w:val="24"/>
        </w:rPr>
      </w:pPr>
      <w:r w:rsidRPr="00A60F4D">
        <w:rPr>
          <w:b/>
          <w:sz w:val="24"/>
          <w:szCs w:val="24"/>
        </w:rPr>
        <w:t>Participants</w:t>
      </w:r>
    </w:p>
    <w:p w14:paraId="5544635F" w14:textId="77777777" w:rsidR="00FC54A6" w:rsidRDefault="00E233E2" w:rsidP="00CA0EDC">
      <w:pPr>
        <w:pStyle w:val="Style1"/>
        <w:rPr>
          <w:rFonts w:cs="AdvPSSAB-R"/>
          <w:sz w:val="24"/>
          <w:szCs w:val="24"/>
        </w:rPr>
      </w:pPr>
      <w:r w:rsidRPr="006716B3">
        <w:rPr>
          <w:sz w:val="24"/>
          <w:szCs w:val="24"/>
        </w:rPr>
        <w:t xml:space="preserve">Patient selection </w:t>
      </w:r>
      <w:r w:rsidR="00660D66">
        <w:rPr>
          <w:sz w:val="24"/>
          <w:szCs w:val="24"/>
        </w:rPr>
        <w:t xml:space="preserve">has been described </w:t>
      </w:r>
      <w:r w:rsidR="00753991">
        <w:rPr>
          <w:sz w:val="24"/>
          <w:szCs w:val="24"/>
        </w:rPr>
        <w:t>elsewhere</w:t>
      </w:r>
      <w:r w:rsidR="009F150A">
        <w:rPr>
          <w:sz w:val="24"/>
          <w:szCs w:val="24"/>
        </w:rPr>
        <w:t xml:space="preserve"> [1</w:t>
      </w:r>
      <w:r w:rsidR="00B87FF3">
        <w:rPr>
          <w:sz w:val="24"/>
          <w:szCs w:val="24"/>
        </w:rPr>
        <w:t>4</w:t>
      </w:r>
      <w:r w:rsidR="009F150A">
        <w:rPr>
          <w:sz w:val="24"/>
          <w:szCs w:val="24"/>
        </w:rPr>
        <w:t>]</w:t>
      </w:r>
      <w:r w:rsidRPr="00660D66">
        <w:rPr>
          <w:sz w:val="24"/>
          <w:szCs w:val="24"/>
        </w:rPr>
        <w:t>.</w:t>
      </w:r>
      <w:r w:rsidRPr="006716B3">
        <w:rPr>
          <w:sz w:val="24"/>
          <w:szCs w:val="24"/>
        </w:rPr>
        <w:t xml:space="preserve">  Briefly, systematic random sampling was used to select subjects from </w:t>
      </w:r>
      <w:r>
        <w:rPr>
          <w:sz w:val="24"/>
          <w:szCs w:val="24"/>
        </w:rPr>
        <w:t xml:space="preserve">the </w:t>
      </w:r>
      <w:r w:rsidRPr="006716B3">
        <w:rPr>
          <w:sz w:val="24"/>
          <w:szCs w:val="24"/>
        </w:rPr>
        <w:t>diabetes clinics at QECH and ZCH between December 2011 and May 2012.  Patients attend these clinics for medical management of diabetes; no eye care is provided.  The inclusion criterion was a diagnosis of diabetes according to American</w:t>
      </w:r>
      <w:r w:rsidR="00753991">
        <w:rPr>
          <w:sz w:val="24"/>
          <w:szCs w:val="24"/>
        </w:rPr>
        <w:t xml:space="preserve"> Diabetes Association criteria</w:t>
      </w:r>
      <w:r w:rsidR="009F150A">
        <w:rPr>
          <w:sz w:val="24"/>
          <w:szCs w:val="24"/>
        </w:rPr>
        <w:t xml:space="preserve"> [1</w:t>
      </w:r>
      <w:r w:rsidR="006F60D8">
        <w:rPr>
          <w:sz w:val="24"/>
          <w:szCs w:val="24"/>
        </w:rPr>
        <w:t>5</w:t>
      </w:r>
      <w:r w:rsidR="009F150A">
        <w:rPr>
          <w:sz w:val="24"/>
          <w:szCs w:val="24"/>
        </w:rPr>
        <w:t>]</w:t>
      </w:r>
      <w:r w:rsidRPr="006716B3">
        <w:rPr>
          <w:sz w:val="24"/>
          <w:szCs w:val="24"/>
        </w:rPr>
        <w:t xml:space="preserve">. Exclusion criteria were age </w:t>
      </w:r>
      <w:r w:rsidRPr="006716B3">
        <w:rPr>
          <w:rFonts w:cs="AdvTT3713a231"/>
          <w:sz w:val="24"/>
          <w:szCs w:val="24"/>
        </w:rPr>
        <w:t>&lt;</w:t>
      </w:r>
      <w:r w:rsidRPr="006716B3">
        <w:rPr>
          <w:sz w:val="24"/>
          <w:szCs w:val="24"/>
        </w:rPr>
        <w:t>18 years and diagnosis of gestational diabetes according to American Diabetes Association criteria. The diabetes clinics at QECH and ZCH provide predominantly primary diabetes care (primary care for diabetes is non-existent at health centre level).  Central hospitals are tertiary centres which receive referral cases.  In order to effectively exclude referral cases, patients living more than 60km from the clinic in question and those visiting the clinic for the first ti</w:t>
      </w:r>
      <w:r>
        <w:rPr>
          <w:sz w:val="24"/>
          <w:szCs w:val="24"/>
        </w:rPr>
        <w:t>me were excluded from the study</w:t>
      </w:r>
      <w:r>
        <w:rPr>
          <w:rFonts w:cs="AdvPSSAB-R"/>
          <w:sz w:val="24"/>
          <w:szCs w:val="24"/>
        </w:rPr>
        <w:t xml:space="preserve">.  </w:t>
      </w:r>
    </w:p>
    <w:p w14:paraId="3BA51358" w14:textId="77777777" w:rsidR="00FC54A6" w:rsidRDefault="00FC54A6" w:rsidP="00CA0EDC">
      <w:pPr>
        <w:pStyle w:val="Style1"/>
        <w:rPr>
          <w:rFonts w:cs="AdvPSSAB-R"/>
          <w:sz w:val="24"/>
          <w:szCs w:val="24"/>
        </w:rPr>
      </w:pPr>
    </w:p>
    <w:p w14:paraId="46E3FD05" w14:textId="77777777" w:rsidR="00CA0EDC" w:rsidRPr="004E7379" w:rsidRDefault="004E7379" w:rsidP="00CA0EDC">
      <w:pPr>
        <w:pStyle w:val="Style1"/>
        <w:rPr>
          <w:sz w:val="24"/>
          <w:szCs w:val="24"/>
        </w:rPr>
      </w:pPr>
      <w:r>
        <w:rPr>
          <w:sz w:val="24"/>
          <w:szCs w:val="24"/>
        </w:rPr>
        <w:t xml:space="preserve">  </w:t>
      </w:r>
    </w:p>
    <w:p w14:paraId="336E91CB" w14:textId="77777777" w:rsidR="00CA0EDC" w:rsidRDefault="00CA0EDC" w:rsidP="00484238">
      <w:pPr>
        <w:pStyle w:val="Style1"/>
        <w:rPr>
          <w:sz w:val="24"/>
          <w:szCs w:val="24"/>
        </w:rPr>
      </w:pPr>
    </w:p>
    <w:p w14:paraId="33DBDE95" w14:textId="77777777" w:rsidR="00075D2C" w:rsidRDefault="00075D2C" w:rsidP="00484238">
      <w:pPr>
        <w:pStyle w:val="Style1"/>
        <w:rPr>
          <w:sz w:val="24"/>
          <w:szCs w:val="24"/>
        </w:rPr>
      </w:pPr>
    </w:p>
    <w:p w14:paraId="14F6B8B2" w14:textId="77777777" w:rsidR="00075D2C" w:rsidRPr="006716B3" w:rsidRDefault="00075D2C" w:rsidP="00484238">
      <w:pPr>
        <w:pStyle w:val="Style1"/>
        <w:rPr>
          <w:sz w:val="24"/>
          <w:szCs w:val="24"/>
        </w:rPr>
      </w:pPr>
    </w:p>
    <w:p w14:paraId="581851D7" w14:textId="77777777" w:rsidR="001C6C7C" w:rsidRPr="00A60F4D" w:rsidRDefault="001C6C7C" w:rsidP="001C6C7C">
      <w:pPr>
        <w:rPr>
          <w:b/>
          <w:sz w:val="24"/>
          <w:szCs w:val="24"/>
        </w:rPr>
      </w:pPr>
      <w:r w:rsidRPr="00A60F4D">
        <w:rPr>
          <w:b/>
          <w:sz w:val="24"/>
          <w:szCs w:val="24"/>
        </w:rPr>
        <w:t>Procedures</w:t>
      </w:r>
    </w:p>
    <w:p w14:paraId="38088264" w14:textId="77777777" w:rsidR="002676B6" w:rsidRPr="002676B6" w:rsidRDefault="001C6C7C" w:rsidP="002676B6">
      <w:pPr>
        <w:pStyle w:val="Style1"/>
        <w:rPr>
          <w:rFonts w:cs="AdvPSSAB-R"/>
          <w:sz w:val="24"/>
          <w:szCs w:val="24"/>
        </w:rPr>
      </w:pPr>
      <w:r w:rsidRPr="006716B3">
        <w:rPr>
          <w:rFonts w:cs="AdvPSSAB-R"/>
          <w:sz w:val="24"/>
          <w:szCs w:val="24"/>
        </w:rPr>
        <w:t>Following assessment at baseline</w:t>
      </w:r>
      <w:r w:rsidR="002757D7">
        <w:rPr>
          <w:rFonts w:cs="AdvPSSAB-R"/>
          <w:sz w:val="24"/>
          <w:szCs w:val="24"/>
        </w:rPr>
        <w:t>,</w:t>
      </w:r>
      <w:r w:rsidRPr="006716B3">
        <w:rPr>
          <w:rFonts w:cs="AdvPSSAB-R"/>
          <w:sz w:val="24"/>
          <w:szCs w:val="24"/>
        </w:rPr>
        <w:t xml:space="preserve"> subjects </w:t>
      </w:r>
      <w:r w:rsidR="00C613C0" w:rsidRPr="006716B3">
        <w:rPr>
          <w:rFonts w:cs="AdvPSSAB-R"/>
          <w:sz w:val="24"/>
          <w:szCs w:val="24"/>
        </w:rPr>
        <w:t xml:space="preserve">were recalled </w:t>
      </w:r>
      <w:r w:rsidR="00577BA4" w:rsidRPr="006716B3">
        <w:rPr>
          <w:rFonts w:cs="AdvPSSAB-R"/>
          <w:sz w:val="24"/>
          <w:szCs w:val="24"/>
        </w:rPr>
        <w:t xml:space="preserve">(by telephone or home visit) </w:t>
      </w:r>
      <w:r w:rsidR="002676B6">
        <w:rPr>
          <w:rFonts w:cs="AdvPSSAB-R"/>
          <w:sz w:val="24"/>
          <w:szCs w:val="24"/>
        </w:rPr>
        <w:t xml:space="preserve">at 12 and 24 months.  </w:t>
      </w:r>
      <w:r w:rsidR="002676B6" w:rsidRPr="006716B3">
        <w:rPr>
          <w:rFonts w:cs="AdvPSSAB-R"/>
          <w:sz w:val="24"/>
          <w:szCs w:val="24"/>
        </w:rPr>
        <w:t>Clinical assessment of subjects in the MDR</w:t>
      </w:r>
      <w:r w:rsidR="00753991">
        <w:rPr>
          <w:rFonts w:cs="AdvPSSAB-R"/>
          <w:sz w:val="24"/>
          <w:szCs w:val="24"/>
        </w:rPr>
        <w:t>S has been described elsewhere</w:t>
      </w:r>
      <w:r w:rsidR="009F150A">
        <w:rPr>
          <w:rFonts w:cs="AdvPSSAB-R"/>
          <w:sz w:val="24"/>
          <w:szCs w:val="24"/>
        </w:rPr>
        <w:t xml:space="preserve"> [1</w:t>
      </w:r>
      <w:r w:rsidR="00B87FF3">
        <w:rPr>
          <w:rFonts w:cs="AdvPSSAB-R"/>
          <w:sz w:val="24"/>
          <w:szCs w:val="24"/>
        </w:rPr>
        <w:t>4</w:t>
      </w:r>
      <w:r w:rsidR="009F150A">
        <w:rPr>
          <w:rFonts w:cs="AdvPSSAB-R"/>
          <w:sz w:val="24"/>
          <w:szCs w:val="24"/>
        </w:rPr>
        <w:t>]</w:t>
      </w:r>
      <w:r w:rsidR="002676B6" w:rsidRPr="006716B3">
        <w:rPr>
          <w:rFonts w:cs="AdvPSSAB-R"/>
          <w:sz w:val="24"/>
          <w:szCs w:val="24"/>
        </w:rPr>
        <w:t>.</w:t>
      </w:r>
      <w:r w:rsidR="002676B6" w:rsidRPr="002676B6">
        <w:rPr>
          <w:rFonts w:cs="AdvPSSAB-R"/>
          <w:sz w:val="24"/>
          <w:szCs w:val="24"/>
        </w:rPr>
        <w:t xml:space="preserve"> </w:t>
      </w:r>
      <w:r w:rsidR="002676B6" w:rsidRPr="006716B3">
        <w:rPr>
          <w:rFonts w:cs="AdvPSSAB-R"/>
          <w:sz w:val="24"/>
          <w:szCs w:val="24"/>
        </w:rPr>
        <w:t>Briefly,</w:t>
      </w:r>
      <w:r w:rsidR="002676B6">
        <w:rPr>
          <w:sz w:val="24"/>
          <w:szCs w:val="24"/>
        </w:rPr>
        <w:t xml:space="preserve"> v</w:t>
      </w:r>
      <w:r w:rsidR="002676B6" w:rsidRPr="006716B3">
        <w:rPr>
          <w:sz w:val="24"/>
          <w:szCs w:val="24"/>
        </w:rPr>
        <w:t>isual acuity (uncorrected and using pinhole) was measured as the number of letters read on a standard Early Treatment of Diabetic Retinopathy Study (ETDRS) chart.</w:t>
      </w:r>
      <w:r w:rsidR="002676B6">
        <w:rPr>
          <w:sz w:val="24"/>
          <w:szCs w:val="24"/>
        </w:rPr>
        <w:t xml:space="preserve">  </w:t>
      </w:r>
      <w:r w:rsidR="002676B6" w:rsidRPr="006716B3">
        <w:rPr>
          <w:sz w:val="24"/>
          <w:szCs w:val="24"/>
        </w:rPr>
        <w:t xml:space="preserve">Moderate </w:t>
      </w:r>
      <w:r w:rsidR="002676B6">
        <w:rPr>
          <w:sz w:val="24"/>
          <w:szCs w:val="24"/>
        </w:rPr>
        <w:t xml:space="preserve">visual impairment </w:t>
      </w:r>
      <w:r w:rsidR="002676B6" w:rsidRPr="001014B2">
        <w:rPr>
          <w:sz w:val="24"/>
          <w:szCs w:val="24"/>
        </w:rPr>
        <w:t xml:space="preserve">(50 to 59 letters; equivalent to 6/24 Snellen) </w:t>
      </w:r>
      <w:r w:rsidR="002676B6" w:rsidRPr="006716B3">
        <w:rPr>
          <w:sz w:val="24"/>
          <w:szCs w:val="24"/>
        </w:rPr>
        <w:t>and s</w:t>
      </w:r>
      <w:r w:rsidR="002676B6">
        <w:rPr>
          <w:sz w:val="24"/>
          <w:szCs w:val="24"/>
        </w:rPr>
        <w:t xml:space="preserve">evere visual impairment or blindness </w:t>
      </w:r>
      <w:r w:rsidR="002676B6" w:rsidRPr="001014B2">
        <w:rPr>
          <w:sz w:val="24"/>
          <w:szCs w:val="24"/>
        </w:rPr>
        <w:t>(&lt;50 letters; equivalent to 6/36 or worse)</w:t>
      </w:r>
      <w:r w:rsidR="002676B6" w:rsidRPr="006716B3">
        <w:rPr>
          <w:sz w:val="24"/>
          <w:szCs w:val="24"/>
        </w:rPr>
        <w:t xml:space="preserve"> wer</w:t>
      </w:r>
      <w:r w:rsidR="00753991">
        <w:rPr>
          <w:sz w:val="24"/>
          <w:szCs w:val="24"/>
        </w:rPr>
        <w:t>e defined according to the WHO</w:t>
      </w:r>
      <w:r w:rsidR="009F150A">
        <w:rPr>
          <w:sz w:val="24"/>
          <w:szCs w:val="24"/>
        </w:rPr>
        <w:t xml:space="preserve"> [16]</w:t>
      </w:r>
      <w:r w:rsidR="002676B6" w:rsidRPr="006716B3">
        <w:rPr>
          <w:sz w:val="24"/>
          <w:szCs w:val="24"/>
        </w:rPr>
        <w:t>.</w:t>
      </w:r>
      <w:r w:rsidR="002676B6">
        <w:rPr>
          <w:sz w:val="24"/>
          <w:szCs w:val="24"/>
        </w:rPr>
        <w:t xml:space="preserve">  </w:t>
      </w:r>
      <w:r w:rsidR="002676B6" w:rsidRPr="006716B3">
        <w:rPr>
          <w:sz w:val="24"/>
          <w:szCs w:val="24"/>
        </w:rPr>
        <w:t xml:space="preserve">For each patient with corrected visual acuity in the better eye of </w:t>
      </w:r>
      <w:r w:rsidR="002676B6" w:rsidRPr="006716B3">
        <w:rPr>
          <w:rFonts w:cs="AdvTT3713a231"/>
          <w:sz w:val="24"/>
          <w:szCs w:val="24"/>
        </w:rPr>
        <w:t xml:space="preserve">&lt; </w:t>
      </w:r>
      <w:r w:rsidR="002676B6" w:rsidRPr="006716B3">
        <w:rPr>
          <w:sz w:val="24"/>
          <w:szCs w:val="24"/>
        </w:rPr>
        <w:t>8</w:t>
      </w:r>
      <w:r w:rsidR="002676B6">
        <w:rPr>
          <w:sz w:val="24"/>
          <w:szCs w:val="24"/>
        </w:rPr>
        <w:t xml:space="preserve">0 letters, the primary cause of </w:t>
      </w:r>
      <w:r w:rsidR="002676B6" w:rsidRPr="006716B3">
        <w:rPr>
          <w:sz w:val="24"/>
          <w:szCs w:val="24"/>
        </w:rPr>
        <w:t>visual impairment was recorded by the examining clinician</w:t>
      </w:r>
      <w:r w:rsidR="002676B6">
        <w:rPr>
          <w:sz w:val="24"/>
          <w:szCs w:val="24"/>
        </w:rPr>
        <w:t xml:space="preserve"> </w:t>
      </w:r>
      <w:r w:rsidR="002676B6" w:rsidRPr="006716B3">
        <w:rPr>
          <w:sz w:val="24"/>
          <w:szCs w:val="24"/>
        </w:rPr>
        <w:t>(PB).</w:t>
      </w:r>
      <w:r w:rsidR="002676B6">
        <w:rPr>
          <w:rFonts w:cs="AdvPSSAB-R"/>
          <w:sz w:val="24"/>
          <w:szCs w:val="24"/>
        </w:rPr>
        <w:t xml:space="preserve">  </w:t>
      </w:r>
      <w:r w:rsidR="002676B6">
        <w:rPr>
          <w:sz w:val="24"/>
          <w:szCs w:val="24"/>
        </w:rPr>
        <w:t>S</w:t>
      </w:r>
      <w:r w:rsidR="002676B6" w:rsidRPr="006716B3">
        <w:rPr>
          <w:sz w:val="24"/>
          <w:szCs w:val="24"/>
        </w:rPr>
        <w:t>ubjects were classified as having hypertension according to</w:t>
      </w:r>
      <w:r w:rsidR="002676B6" w:rsidRPr="006716B3">
        <w:rPr>
          <w:rFonts w:cs="AdvPSSAB-R"/>
          <w:sz w:val="24"/>
          <w:szCs w:val="24"/>
        </w:rPr>
        <w:t xml:space="preserve"> </w:t>
      </w:r>
      <w:r w:rsidR="00753991">
        <w:rPr>
          <w:sz w:val="24"/>
          <w:szCs w:val="24"/>
        </w:rPr>
        <w:t>the WHO definition</w:t>
      </w:r>
      <w:r w:rsidR="009F150A">
        <w:rPr>
          <w:sz w:val="24"/>
          <w:szCs w:val="24"/>
        </w:rPr>
        <w:t xml:space="preserve"> [11]</w:t>
      </w:r>
      <w:r w:rsidR="002676B6" w:rsidRPr="006716B3">
        <w:rPr>
          <w:sz w:val="24"/>
          <w:szCs w:val="24"/>
        </w:rPr>
        <w:t>: taking anti-hypertensive</w:t>
      </w:r>
      <w:r w:rsidR="002676B6">
        <w:rPr>
          <w:rFonts w:cs="AdvPSSAB-R"/>
          <w:sz w:val="24"/>
          <w:szCs w:val="24"/>
        </w:rPr>
        <w:t xml:space="preserve"> </w:t>
      </w:r>
      <w:r w:rsidR="002676B6" w:rsidRPr="006716B3">
        <w:rPr>
          <w:sz w:val="24"/>
          <w:szCs w:val="24"/>
        </w:rPr>
        <w:t xml:space="preserve">medication, or systolic blood pressure </w:t>
      </w:r>
      <w:r w:rsidR="002676B6" w:rsidRPr="006716B3">
        <w:rPr>
          <w:rFonts w:eastAsia="AdvTT3713a231+22" w:cs="AdvTT3713a231+22"/>
          <w:sz w:val="24"/>
          <w:szCs w:val="24"/>
        </w:rPr>
        <w:t>≥</w:t>
      </w:r>
      <w:r w:rsidR="002676B6" w:rsidRPr="006716B3">
        <w:rPr>
          <w:sz w:val="24"/>
          <w:szCs w:val="24"/>
        </w:rPr>
        <w:t xml:space="preserve">140 mmHg, or diastolic blood pressure </w:t>
      </w:r>
      <w:r w:rsidR="002676B6" w:rsidRPr="006716B3">
        <w:rPr>
          <w:rFonts w:eastAsia="AdvTT3713a231+22" w:cs="AdvTT3713a231+22"/>
          <w:sz w:val="24"/>
          <w:szCs w:val="24"/>
        </w:rPr>
        <w:t xml:space="preserve">≥ </w:t>
      </w:r>
      <w:r w:rsidR="002676B6">
        <w:rPr>
          <w:sz w:val="24"/>
          <w:szCs w:val="24"/>
        </w:rPr>
        <w:t xml:space="preserve">90 mmHg.  </w:t>
      </w:r>
      <w:r w:rsidR="002676B6" w:rsidRPr="006716B3">
        <w:rPr>
          <w:sz w:val="24"/>
          <w:szCs w:val="24"/>
        </w:rPr>
        <w:t>All subjects were offered point-of-care testing for HI</w:t>
      </w:r>
      <w:r w:rsidR="00753991">
        <w:rPr>
          <w:sz w:val="24"/>
          <w:szCs w:val="24"/>
        </w:rPr>
        <w:t>V (Malawian national protocol</w:t>
      </w:r>
      <w:r w:rsidR="009F150A">
        <w:rPr>
          <w:sz w:val="24"/>
          <w:szCs w:val="24"/>
        </w:rPr>
        <w:t xml:space="preserve"> [17]</w:t>
      </w:r>
      <w:r w:rsidR="002676B6" w:rsidRPr="006716B3">
        <w:rPr>
          <w:sz w:val="24"/>
          <w:szCs w:val="24"/>
        </w:rPr>
        <w:t xml:space="preserve">) and </w:t>
      </w:r>
      <w:proofErr w:type="spellStart"/>
      <w:r w:rsidR="00043593">
        <w:rPr>
          <w:sz w:val="24"/>
          <w:szCs w:val="24"/>
        </w:rPr>
        <w:t>h</w:t>
      </w:r>
      <w:r w:rsidR="004C48B6">
        <w:rPr>
          <w:sz w:val="24"/>
          <w:szCs w:val="24"/>
        </w:rPr>
        <w:t>emoglobin</w:t>
      </w:r>
      <w:proofErr w:type="spellEnd"/>
      <w:r w:rsidR="002676B6" w:rsidRPr="006716B3">
        <w:rPr>
          <w:sz w:val="24"/>
          <w:szCs w:val="24"/>
        </w:rPr>
        <w:t xml:space="preserve"> level.  Thresholds for </w:t>
      </w:r>
      <w:proofErr w:type="spellStart"/>
      <w:r w:rsidR="00043593">
        <w:rPr>
          <w:sz w:val="24"/>
          <w:szCs w:val="24"/>
        </w:rPr>
        <w:t>an</w:t>
      </w:r>
      <w:r w:rsidR="004C48B6">
        <w:rPr>
          <w:sz w:val="24"/>
          <w:szCs w:val="24"/>
        </w:rPr>
        <w:t>emia</w:t>
      </w:r>
      <w:proofErr w:type="spellEnd"/>
      <w:r w:rsidR="002676B6" w:rsidRPr="006716B3">
        <w:rPr>
          <w:sz w:val="24"/>
          <w:szCs w:val="24"/>
        </w:rPr>
        <w:t xml:space="preserve"> were set according to WHO guidelines: 130 g/l for men; 120 g/l for wo</w:t>
      </w:r>
      <w:r w:rsidR="00753991">
        <w:rPr>
          <w:sz w:val="24"/>
          <w:szCs w:val="24"/>
        </w:rPr>
        <w:t>men</w:t>
      </w:r>
      <w:r w:rsidR="009F150A">
        <w:rPr>
          <w:sz w:val="24"/>
          <w:szCs w:val="24"/>
        </w:rPr>
        <w:t xml:space="preserve"> [18]</w:t>
      </w:r>
      <w:r w:rsidR="002676B6" w:rsidRPr="006716B3">
        <w:rPr>
          <w:sz w:val="24"/>
          <w:szCs w:val="24"/>
        </w:rPr>
        <w:t>.  Blood samples were assayed for putative biochemical risk factors: fasting glucose, triglycerides, LDL cholesterol, HDL cholesterol, serum creatinine, urine albumin</w:t>
      </w:r>
      <w:r w:rsidR="002676B6" w:rsidRPr="006716B3">
        <w:rPr>
          <w:rFonts w:cs="AdvTT3713a231+20"/>
          <w:sz w:val="24"/>
          <w:szCs w:val="24"/>
        </w:rPr>
        <w:t>–</w:t>
      </w:r>
      <w:r w:rsidR="002676B6" w:rsidRPr="006716B3">
        <w:rPr>
          <w:sz w:val="24"/>
          <w:szCs w:val="24"/>
        </w:rPr>
        <w:t>creatinine ratio and HbA1c.</w:t>
      </w:r>
    </w:p>
    <w:p w14:paraId="397F15A3" w14:textId="77777777" w:rsidR="002676B6" w:rsidRDefault="002676B6" w:rsidP="00C71D07">
      <w:pPr>
        <w:pStyle w:val="Style1"/>
        <w:rPr>
          <w:rFonts w:cs="AdvPSSAB-R"/>
          <w:sz w:val="24"/>
          <w:szCs w:val="24"/>
        </w:rPr>
      </w:pPr>
    </w:p>
    <w:p w14:paraId="5B6DE9DA" w14:textId="77777777" w:rsidR="002757D7" w:rsidRPr="006716B3" w:rsidRDefault="007B6770" w:rsidP="002757D7">
      <w:pPr>
        <w:pStyle w:val="Style1"/>
        <w:rPr>
          <w:sz w:val="24"/>
          <w:szCs w:val="24"/>
        </w:rPr>
      </w:pPr>
      <w:r w:rsidRPr="006716B3">
        <w:rPr>
          <w:sz w:val="24"/>
          <w:szCs w:val="24"/>
        </w:rPr>
        <w:t>Retinopathy and maculopathy were classified by feature-specific</w:t>
      </w:r>
      <w:r w:rsidR="00CD3121" w:rsidRPr="006716B3">
        <w:rPr>
          <w:sz w:val="24"/>
          <w:szCs w:val="24"/>
        </w:rPr>
        <w:t xml:space="preserve"> </w:t>
      </w:r>
      <w:r w:rsidRPr="006716B3">
        <w:rPr>
          <w:sz w:val="24"/>
          <w:szCs w:val="24"/>
        </w:rPr>
        <w:t>grading using definitions established in the Liverpool</w:t>
      </w:r>
      <w:r w:rsidR="00CD3121" w:rsidRPr="006716B3">
        <w:rPr>
          <w:sz w:val="24"/>
          <w:szCs w:val="24"/>
        </w:rPr>
        <w:t xml:space="preserve"> </w:t>
      </w:r>
      <w:r w:rsidR="00753991">
        <w:rPr>
          <w:sz w:val="24"/>
          <w:szCs w:val="24"/>
        </w:rPr>
        <w:t>Diabetic Eye Study</w:t>
      </w:r>
      <w:r w:rsidR="009F150A">
        <w:rPr>
          <w:sz w:val="24"/>
          <w:szCs w:val="24"/>
        </w:rPr>
        <w:t xml:space="preserve"> [19]</w:t>
      </w:r>
      <w:r w:rsidRPr="006716B3">
        <w:rPr>
          <w:sz w:val="24"/>
          <w:szCs w:val="24"/>
        </w:rPr>
        <w:t xml:space="preserve"> </w:t>
      </w:r>
      <w:r w:rsidR="006B6301" w:rsidRPr="006716B3">
        <w:rPr>
          <w:sz w:val="24"/>
          <w:szCs w:val="24"/>
        </w:rPr>
        <w:t>(Online Appendix Figure 1)</w:t>
      </w:r>
      <w:r w:rsidRPr="006716B3">
        <w:rPr>
          <w:sz w:val="24"/>
          <w:szCs w:val="24"/>
        </w:rPr>
        <w:t>.</w:t>
      </w:r>
      <w:r w:rsidR="005D3E5F">
        <w:rPr>
          <w:sz w:val="24"/>
          <w:szCs w:val="24"/>
        </w:rPr>
        <w:t xml:space="preserve">  </w:t>
      </w:r>
      <w:r w:rsidR="005D3E5F" w:rsidRPr="006716B3">
        <w:rPr>
          <w:sz w:val="24"/>
          <w:szCs w:val="24"/>
        </w:rPr>
        <w:t xml:space="preserve">Dual grading of </w:t>
      </w:r>
      <w:r w:rsidR="005D3E5F">
        <w:rPr>
          <w:sz w:val="24"/>
          <w:szCs w:val="24"/>
        </w:rPr>
        <w:t xml:space="preserve">digital </w:t>
      </w:r>
      <w:r w:rsidR="005D3E5F" w:rsidRPr="006716B3">
        <w:rPr>
          <w:sz w:val="24"/>
          <w:szCs w:val="24"/>
        </w:rPr>
        <w:t>photographic images of four 45</w:t>
      </w:r>
      <w:r w:rsidR="005D3E5F" w:rsidRPr="006716B3">
        <w:rPr>
          <w:rFonts w:cs="AdvTT3713a231"/>
          <w:sz w:val="24"/>
          <w:szCs w:val="24"/>
        </w:rPr>
        <w:t xml:space="preserve">° </w:t>
      </w:r>
      <w:r w:rsidR="00753991">
        <w:rPr>
          <w:sz w:val="24"/>
          <w:szCs w:val="24"/>
        </w:rPr>
        <w:t xml:space="preserve">standard fields </w:t>
      </w:r>
      <w:r w:rsidR="00553E0D">
        <w:rPr>
          <w:sz w:val="24"/>
          <w:szCs w:val="24"/>
        </w:rPr>
        <w:t>[19]</w:t>
      </w:r>
      <w:r w:rsidR="005D3E5F" w:rsidRPr="006716B3">
        <w:rPr>
          <w:sz w:val="24"/>
          <w:szCs w:val="24"/>
        </w:rPr>
        <w:t xml:space="preserve"> was performed by accredited graders a</w:t>
      </w:r>
      <w:r w:rsidR="005D3E5F">
        <w:rPr>
          <w:sz w:val="24"/>
          <w:szCs w:val="24"/>
        </w:rPr>
        <w:t>t</w:t>
      </w:r>
      <w:r w:rsidR="002757D7">
        <w:rPr>
          <w:sz w:val="24"/>
          <w:szCs w:val="24"/>
        </w:rPr>
        <w:t xml:space="preserve"> the Liverpool Reading Centre.</w:t>
      </w:r>
      <w:r w:rsidR="005D3E5F">
        <w:rPr>
          <w:sz w:val="24"/>
          <w:szCs w:val="24"/>
        </w:rPr>
        <w:t xml:space="preserve">  </w:t>
      </w:r>
      <w:r w:rsidR="001C2076">
        <w:rPr>
          <w:sz w:val="24"/>
          <w:szCs w:val="24"/>
        </w:rPr>
        <w:t>STDR</w:t>
      </w:r>
      <w:r w:rsidRPr="006716B3">
        <w:rPr>
          <w:sz w:val="24"/>
          <w:szCs w:val="24"/>
        </w:rPr>
        <w:t xml:space="preserve"> was defined as any of</w:t>
      </w:r>
      <w:r w:rsidR="00CD3121" w:rsidRPr="006716B3">
        <w:rPr>
          <w:sz w:val="24"/>
          <w:szCs w:val="24"/>
        </w:rPr>
        <w:t xml:space="preserve"> </w:t>
      </w:r>
      <w:r w:rsidRPr="006716B3">
        <w:rPr>
          <w:sz w:val="24"/>
          <w:szCs w:val="24"/>
        </w:rPr>
        <w:t>the following: moderate pre</w:t>
      </w:r>
      <w:r w:rsidR="00CD3121" w:rsidRPr="006716B3">
        <w:rPr>
          <w:sz w:val="24"/>
          <w:szCs w:val="24"/>
        </w:rPr>
        <w:t>-</w:t>
      </w:r>
      <w:r w:rsidRPr="006716B3">
        <w:rPr>
          <w:sz w:val="24"/>
          <w:szCs w:val="24"/>
        </w:rPr>
        <w:t>proliferative retinopathy or</w:t>
      </w:r>
      <w:r w:rsidR="00CD3121" w:rsidRPr="006716B3">
        <w:rPr>
          <w:sz w:val="24"/>
          <w:szCs w:val="24"/>
        </w:rPr>
        <w:t xml:space="preserve"> </w:t>
      </w:r>
      <w:r w:rsidRPr="006716B3">
        <w:rPr>
          <w:sz w:val="24"/>
          <w:szCs w:val="24"/>
        </w:rPr>
        <w:t>worse (level 40</w:t>
      </w:r>
      <w:r w:rsidR="00577BA4" w:rsidRPr="006716B3">
        <w:rPr>
          <w:rFonts w:cs="AdvTT3713a231+20"/>
          <w:sz w:val="24"/>
          <w:szCs w:val="24"/>
        </w:rPr>
        <w:t>-</w:t>
      </w:r>
      <w:r w:rsidRPr="006716B3">
        <w:rPr>
          <w:sz w:val="24"/>
          <w:szCs w:val="24"/>
        </w:rPr>
        <w:t>71</w:t>
      </w:r>
      <w:r w:rsidR="00577BA4" w:rsidRPr="006716B3">
        <w:rPr>
          <w:sz w:val="24"/>
          <w:szCs w:val="24"/>
        </w:rPr>
        <w:t>+</w:t>
      </w:r>
      <w:r w:rsidRPr="006716B3">
        <w:rPr>
          <w:sz w:val="24"/>
          <w:szCs w:val="24"/>
        </w:rPr>
        <w:t xml:space="preserve">); macular exudates in a </w:t>
      </w:r>
      <w:proofErr w:type="spellStart"/>
      <w:r w:rsidRPr="006716B3">
        <w:rPr>
          <w:sz w:val="24"/>
          <w:szCs w:val="24"/>
        </w:rPr>
        <w:t>circinate</w:t>
      </w:r>
      <w:proofErr w:type="spellEnd"/>
      <w:r w:rsidR="00CD3121" w:rsidRPr="006716B3">
        <w:rPr>
          <w:sz w:val="24"/>
          <w:szCs w:val="24"/>
        </w:rPr>
        <w:t xml:space="preserve"> </w:t>
      </w:r>
      <w:r w:rsidRPr="006716B3">
        <w:rPr>
          <w:sz w:val="24"/>
          <w:szCs w:val="24"/>
        </w:rPr>
        <w:t>pattern or within one disc diameter of the foveal centre</w:t>
      </w:r>
      <w:r w:rsidR="00CD3121" w:rsidRPr="006716B3">
        <w:rPr>
          <w:sz w:val="24"/>
          <w:szCs w:val="24"/>
        </w:rPr>
        <w:t xml:space="preserve"> </w:t>
      </w:r>
      <w:r w:rsidRPr="006716B3">
        <w:rPr>
          <w:sz w:val="24"/>
          <w:szCs w:val="24"/>
        </w:rPr>
        <w:t xml:space="preserve">or </w:t>
      </w:r>
      <w:r w:rsidR="008D4BFE" w:rsidRPr="006716B3">
        <w:rPr>
          <w:sz w:val="24"/>
          <w:szCs w:val="24"/>
        </w:rPr>
        <w:t xml:space="preserve">clinically significant macular </w:t>
      </w:r>
      <w:proofErr w:type="spellStart"/>
      <w:r w:rsidRPr="006716B3">
        <w:rPr>
          <w:sz w:val="24"/>
          <w:szCs w:val="24"/>
        </w:rPr>
        <w:t>edema</w:t>
      </w:r>
      <w:proofErr w:type="spellEnd"/>
      <w:r w:rsidRPr="006716B3">
        <w:rPr>
          <w:sz w:val="24"/>
          <w:szCs w:val="24"/>
        </w:rPr>
        <w:t xml:space="preserve"> </w:t>
      </w:r>
      <w:r w:rsidR="00577BA4" w:rsidRPr="006716B3">
        <w:rPr>
          <w:sz w:val="24"/>
          <w:szCs w:val="24"/>
        </w:rPr>
        <w:t>(</w:t>
      </w:r>
      <w:r w:rsidR="001C2076" w:rsidRPr="006716B3">
        <w:rPr>
          <w:sz w:val="24"/>
          <w:szCs w:val="24"/>
        </w:rPr>
        <w:t>CSM</w:t>
      </w:r>
      <w:r w:rsidR="00EA1839">
        <w:rPr>
          <w:sz w:val="24"/>
          <w:szCs w:val="24"/>
        </w:rPr>
        <w:t>E</w:t>
      </w:r>
      <w:r w:rsidR="008D4BFE" w:rsidRPr="006716B3">
        <w:rPr>
          <w:sz w:val="24"/>
          <w:szCs w:val="24"/>
        </w:rPr>
        <w:t xml:space="preserve">: </w:t>
      </w:r>
      <w:r w:rsidR="003C0C64" w:rsidRPr="006716B3">
        <w:rPr>
          <w:sz w:val="24"/>
          <w:szCs w:val="24"/>
        </w:rPr>
        <w:t>ETDRS</w:t>
      </w:r>
      <w:r w:rsidR="00753991">
        <w:rPr>
          <w:sz w:val="24"/>
          <w:szCs w:val="24"/>
        </w:rPr>
        <w:t xml:space="preserve"> definitio</w:t>
      </w:r>
      <w:r w:rsidR="009F150A">
        <w:rPr>
          <w:sz w:val="24"/>
          <w:szCs w:val="24"/>
        </w:rPr>
        <w:t>n [20]</w:t>
      </w:r>
      <w:r w:rsidR="003C0C64" w:rsidRPr="006716B3">
        <w:rPr>
          <w:sz w:val="24"/>
          <w:szCs w:val="24"/>
        </w:rPr>
        <w:t>)</w:t>
      </w:r>
      <w:r w:rsidRPr="006716B3">
        <w:rPr>
          <w:sz w:val="24"/>
          <w:szCs w:val="24"/>
        </w:rPr>
        <w:t>(level 3</w:t>
      </w:r>
      <w:r w:rsidRPr="006716B3">
        <w:rPr>
          <w:rFonts w:cs="AdvTT3713a231+20"/>
          <w:sz w:val="24"/>
          <w:szCs w:val="24"/>
        </w:rPr>
        <w:t>–</w:t>
      </w:r>
      <w:r w:rsidRPr="006716B3">
        <w:rPr>
          <w:sz w:val="24"/>
          <w:szCs w:val="24"/>
        </w:rPr>
        <w:t>4:</w:t>
      </w:r>
      <w:r w:rsidR="00CD3121" w:rsidRPr="006716B3">
        <w:rPr>
          <w:sz w:val="24"/>
          <w:szCs w:val="24"/>
        </w:rPr>
        <w:t xml:space="preserve"> </w:t>
      </w:r>
      <w:r w:rsidRPr="006716B3">
        <w:rPr>
          <w:sz w:val="24"/>
          <w:szCs w:val="24"/>
        </w:rPr>
        <w:t>sight-threatening maculopathy); or other diabetes-related</w:t>
      </w:r>
      <w:r w:rsidR="00CD3121" w:rsidRPr="006716B3">
        <w:rPr>
          <w:sz w:val="24"/>
          <w:szCs w:val="24"/>
        </w:rPr>
        <w:t xml:space="preserve"> </w:t>
      </w:r>
      <w:r w:rsidRPr="006716B3">
        <w:rPr>
          <w:sz w:val="24"/>
          <w:szCs w:val="24"/>
        </w:rPr>
        <w:t>retinal vascular disease: central or branch retinal artery</w:t>
      </w:r>
      <w:r w:rsidR="00CD3121" w:rsidRPr="006716B3">
        <w:rPr>
          <w:sz w:val="24"/>
          <w:szCs w:val="24"/>
        </w:rPr>
        <w:t xml:space="preserve"> </w:t>
      </w:r>
      <w:r w:rsidRPr="006716B3">
        <w:rPr>
          <w:sz w:val="24"/>
          <w:szCs w:val="24"/>
        </w:rPr>
        <w:t>occlusion, central or branch retinal vein occlusion.</w:t>
      </w:r>
      <w:r w:rsidR="00560A5F">
        <w:rPr>
          <w:sz w:val="24"/>
          <w:szCs w:val="24"/>
        </w:rPr>
        <w:t xml:space="preserve">  </w:t>
      </w:r>
      <w:r w:rsidR="005D3E5F" w:rsidRPr="00A60F4D">
        <w:rPr>
          <w:sz w:val="24"/>
          <w:szCs w:val="24"/>
        </w:rPr>
        <w:t>Subjects who met thresholds for either scatter or macular laser treatment, were treated by one ophthalmologist (PB).  Threshold for scatter laser treatment was the ETDRS</w:t>
      </w:r>
      <w:r w:rsidR="00BF45BD">
        <w:rPr>
          <w:sz w:val="24"/>
          <w:szCs w:val="24"/>
        </w:rPr>
        <w:t xml:space="preserve"> ‘4-2-1’ rule (4 quadrants of </w:t>
      </w:r>
      <w:proofErr w:type="spellStart"/>
      <w:r w:rsidR="00043593">
        <w:rPr>
          <w:sz w:val="24"/>
          <w:szCs w:val="24"/>
        </w:rPr>
        <w:t>h</w:t>
      </w:r>
      <w:r w:rsidR="004C48B6">
        <w:rPr>
          <w:sz w:val="24"/>
          <w:szCs w:val="24"/>
        </w:rPr>
        <w:t>emorrhages</w:t>
      </w:r>
      <w:proofErr w:type="spellEnd"/>
      <w:r w:rsidR="00AC5E0D">
        <w:rPr>
          <w:sz w:val="24"/>
          <w:szCs w:val="24"/>
        </w:rPr>
        <w:t>/</w:t>
      </w:r>
      <w:proofErr w:type="spellStart"/>
      <w:r w:rsidR="005D3E5F" w:rsidRPr="00A60F4D">
        <w:rPr>
          <w:sz w:val="24"/>
          <w:szCs w:val="24"/>
        </w:rPr>
        <w:t>microaneurysms</w:t>
      </w:r>
      <w:proofErr w:type="spellEnd"/>
      <w:r w:rsidR="005D3E5F" w:rsidRPr="00A60F4D">
        <w:rPr>
          <w:sz w:val="24"/>
          <w:szCs w:val="24"/>
        </w:rPr>
        <w:t xml:space="preserve">  ≥ standard 2A, </w:t>
      </w:r>
      <w:r w:rsidR="005D3E5F" w:rsidRPr="00A60F4D">
        <w:rPr>
          <w:i/>
          <w:iCs w:val="0"/>
          <w:sz w:val="24"/>
          <w:szCs w:val="24"/>
        </w:rPr>
        <w:t>or</w:t>
      </w:r>
      <w:r w:rsidR="005D3E5F" w:rsidRPr="00A60F4D">
        <w:rPr>
          <w:sz w:val="24"/>
          <w:szCs w:val="24"/>
        </w:rPr>
        <w:t xml:space="preserve"> 2 quadrants of venous beading ≥ standard 6A, or 1 qu</w:t>
      </w:r>
      <w:r w:rsidR="005D3E5F">
        <w:rPr>
          <w:sz w:val="24"/>
          <w:szCs w:val="24"/>
        </w:rPr>
        <w:t xml:space="preserve">adrant of </w:t>
      </w:r>
      <w:proofErr w:type="spellStart"/>
      <w:r w:rsidR="00496864">
        <w:rPr>
          <w:sz w:val="24"/>
          <w:szCs w:val="24"/>
        </w:rPr>
        <w:t>intraretinal</w:t>
      </w:r>
      <w:proofErr w:type="spellEnd"/>
      <w:r w:rsidR="00496864">
        <w:rPr>
          <w:sz w:val="24"/>
          <w:szCs w:val="24"/>
        </w:rPr>
        <w:t xml:space="preserve"> microvascular abnormalities</w:t>
      </w:r>
      <w:r w:rsidR="005D3E5F">
        <w:rPr>
          <w:sz w:val="24"/>
          <w:szCs w:val="24"/>
        </w:rPr>
        <w:t xml:space="preserve"> ≥ standard 8A)</w:t>
      </w:r>
      <w:r w:rsidR="005D3E5F" w:rsidRPr="00A60F4D">
        <w:rPr>
          <w:sz w:val="24"/>
          <w:szCs w:val="24"/>
        </w:rPr>
        <w:t>.  Threshold for macular laser was</w:t>
      </w:r>
      <w:r w:rsidR="00753991">
        <w:rPr>
          <w:sz w:val="24"/>
          <w:szCs w:val="24"/>
        </w:rPr>
        <w:t xml:space="preserve"> CSME as </w:t>
      </w:r>
      <w:r w:rsidR="00753991">
        <w:rPr>
          <w:sz w:val="24"/>
          <w:szCs w:val="24"/>
        </w:rPr>
        <w:lastRenderedPageBreak/>
        <w:t>defined in the ETDRS</w:t>
      </w:r>
      <w:r w:rsidR="006A0B8F">
        <w:rPr>
          <w:sz w:val="24"/>
          <w:szCs w:val="24"/>
        </w:rPr>
        <w:t xml:space="preserve"> (20)</w:t>
      </w:r>
      <w:r w:rsidR="005D3E5F" w:rsidRPr="00A60F4D">
        <w:rPr>
          <w:sz w:val="24"/>
          <w:szCs w:val="24"/>
        </w:rPr>
        <w:t xml:space="preserve"> and visual acui</w:t>
      </w:r>
      <w:r w:rsidR="005D3E5F">
        <w:rPr>
          <w:sz w:val="24"/>
          <w:szCs w:val="24"/>
        </w:rPr>
        <w:t>ty less than 85 ETDRS letters</w:t>
      </w:r>
      <w:r w:rsidR="00CB75D4">
        <w:rPr>
          <w:sz w:val="24"/>
          <w:szCs w:val="24"/>
        </w:rPr>
        <w:t xml:space="preserve">.  </w:t>
      </w:r>
      <w:r w:rsidR="002757D7" w:rsidRPr="006716B3">
        <w:rPr>
          <w:sz w:val="24"/>
          <w:szCs w:val="24"/>
        </w:rPr>
        <w:t>The majority of deat</w:t>
      </w:r>
      <w:r w:rsidR="002757D7">
        <w:rPr>
          <w:sz w:val="24"/>
          <w:szCs w:val="24"/>
        </w:rPr>
        <w:t>hs in Malawi are not registered</w:t>
      </w:r>
      <w:r w:rsidR="002757D7" w:rsidRPr="006716B3">
        <w:rPr>
          <w:sz w:val="24"/>
          <w:szCs w:val="24"/>
        </w:rPr>
        <w:t xml:space="preserve">.  The relatives of deceased subjects were visited at home by </w:t>
      </w:r>
      <w:r w:rsidR="002757D7">
        <w:rPr>
          <w:sz w:val="24"/>
          <w:szCs w:val="24"/>
        </w:rPr>
        <w:t xml:space="preserve">a </w:t>
      </w:r>
      <w:r w:rsidR="00D60772">
        <w:rPr>
          <w:sz w:val="24"/>
          <w:szCs w:val="24"/>
        </w:rPr>
        <w:t xml:space="preserve">study </w:t>
      </w:r>
      <w:r w:rsidR="002757D7">
        <w:rPr>
          <w:sz w:val="24"/>
          <w:szCs w:val="24"/>
        </w:rPr>
        <w:t>n</w:t>
      </w:r>
      <w:r w:rsidR="002757D7" w:rsidRPr="006716B3">
        <w:rPr>
          <w:sz w:val="24"/>
          <w:szCs w:val="24"/>
        </w:rPr>
        <w:t>urse</w:t>
      </w:r>
      <w:r w:rsidR="00D60772">
        <w:rPr>
          <w:sz w:val="24"/>
          <w:szCs w:val="24"/>
        </w:rPr>
        <w:t xml:space="preserve"> in order to confirm the death</w:t>
      </w:r>
      <w:r w:rsidR="002757D7" w:rsidRPr="006716B3">
        <w:rPr>
          <w:sz w:val="24"/>
          <w:szCs w:val="24"/>
        </w:rPr>
        <w:t>.  Death was recorded if confirmed by a first degree relative or ‘Traditional Authority’ (village leader in rural districts)</w:t>
      </w:r>
      <w:r w:rsidR="002757D7">
        <w:rPr>
          <w:sz w:val="24"/>
          <w:szCs w:val="24"/>
        </w:rPr>
        <w:t>.</w:t>
      </w:r>
    </w:p>
    <w:p w14:paraId="22B12FA8" w14:textId="77777777" w:rsidR="00082C07" w:rsidRPr="00A60F4D" w:rsidRDefault="00082C07" w:rsidP="00BA7AC1">
      <w:pPr>
        <w:pStyle w:val="Style1"/>
        <w:rPr>
          <w:sz w:val="24"/>
          <w:szCs w:val="24"/>
        </w:rPr>
      </w:pPr>
    </w:p>
    <w:p w14:paraId="027E033F" w14:textId="77777777" w:rsidR="00664DE0" w:rsidRPr="00A60F4D" w:rsidRDefault="00664DE0" w:rsidP="00664DE0">
      <w:pPr>
        <w:rPr>
          <w:b/>
          <w:sz w:val="24"/>
          <w:szCs w:val="24"/>
        </w:rPr>
      </w:pPr>
      <w:r w:rsidRPr="00A60F4D">
        <w:rPr>
          <w:b/>
          <w:sz w:val="24"/>
          <w:szCs w:val="24"/>
        </w:rPr>
        <w:t>Statistical analysis</w:t>
      </w:r>
    </w:p>
    <w:p w14:paraId="374F38BE" w14:textId="77777777" w:rsidR="001C6C7C" w:rsidRPr="00A60F4D" w:rsidRDefault="007669FF" w:rsidP="00340249">
      <w:pPr>
        <w:pStyle w:val="NoSpacing"/>
      </w:pPr>
      <w:r w:rsidRPr="00A60F4D">
        <w:t>Grades of retinopathy were calculated by patient according to the worse or only grad</w:t>
      </w:r>
      <w:r w:rsidR="00AC5E0D">
        <w:t>e</w:t>
      </w:r>
      <w:r w:rsidRPr="00A60F4D">
        <w:t xml:space="preserve">able eye. Visual acuity data were investigated by patient according to the better eye.  </w:t>
      </w:r>
      <w:r w:rsidR="00664DE0" w:rsidRPr="00A60F4D">
        <w:t>The primary outcome was progression of DR by 2 or more steps on the LDES severity scale</w:t>
      </w:r>
      <w:r w:rsidR="00055E5E" w:rsidRPr="00A60F4D">
        <w:t xml:space="preserve"> (</w:t>
      </w:r>
      <w:r w:rsidR="00664DE0" w:rsidRPr="00A60F4D">
        <w:t xml:space="preserve">equates to either 1 step progression in </w:t>
      </w:r>
      <w:r w:rsidR="00055E5E" w:rsidRPr="00A60F4D">
        <w:t xml:space="preserve">both eyes </w:t>
      </w:r>
      <w:r w:rsidR="00664DE0" w:rsidRPr="00A60F4D">
        <w:rPr>
          <w:i/>
          <w:iCs/>
        </w:rPr>
        <w:t>or</w:t>
      </w:r>
      <w:r w:rsidR="00664DE0" w:rsidRPr="00A60F4D">
        <w:t xml:space="preserve"> 2 step progression in one eye</w:t>
      </w:r>
      <w:r w:rsidR="00055E5E" w:rsidRPr="00A60F4D">
        <w:t>)</w:t>
      </w:r>
      <w:r w:rsidR="00664DE0" w:rsidRPr="00A60F4D">
        <w:t>.</w:t>
      </w:r>
      <w:r w:rsidR="001C5E4B" w:rsidRPr="00A60F4D">
        <w:t xml:space="preserve">  </w:t>
      </w:r>
      <w:r w:rsidR="007B6770" w:rsidRPr="00A60F4D">
        <w:t>We constructed a</w:t>
      </w:r>
      <w:r w:rsidR="006329B7">
        <w:t xml:space="preserve"> multiple</w:t>
      </w:r>
      <w:r w:rsidR="007B6770" w:rsidRPr="00A60F4D">
        <w:t xml:space="preserve"> logistic regression</w:t>
      </w:r>
      <w:r w:rsidR="00371862" w:rsidRPr="00A60F4D">
        <w:t xml:space="preserve"> </w:t>
      </w:r>
      <w:r w:rsidR="007B6770" w:rsidRPr="00A60F4D">
        <w:t>model (backwards stepwise with probability of removal</w:t>
      </w:r>
      <w:r w:rsidR="00371862" w:rsidRPr="00A60F4D">
        <w:t xml:space="preserve"> </w:t>
      </w:r>
      <w:r w:rsidR="007B6770" w:rsidRPr="00A60F4D">
        <w:t xml:space="preserve">of 0.2) to determine the odds ratio (OR) and 95% CIs for </w:t>
      </w:r>
      <w:r w:rsidR="00646B3F" w:rsidRPr="00A60F4D">
        <w:t xml:space="preserve">2 step progression in association with an initial 12 variables: time since diagnosis of diabetes, type of diabetes, baseline grade of DR, </w:t>
      </w:r>
      <w:r w:rsidR="00994619">
        <w:t xml:space="preserve">mean </w:t>
      </w:r>
      <w:r w:rsidR="00646B3F" w:rsidRPr="00A60F4D">
        <w:t>HbA1c</w:t>
      </w:r>
      <w:r w:rsidR="00994619">
        <w:t xml:space="preserve"> (mean of </w:t>
      </w:r>
      <w:r w:rsidR="002248C9">
        <w:t>measurement at baseline, 12 and 24 months</w:t>
      </w:r>
      <w:r w:rsidR="00994619">
        <w:t>)</w:t>
      </w:r>
      <w:r w:rsidR="00646B3F" w:rsidRPr="00A60F4D">
        <w:t xml:space="preserve">, </w:t>
      </w:r>
      <w:proofErr w:type="spellStart"/>
      <w:r w:rsidR="00646B3F" w:rsidRPr="00A60F4D">
        <w:t>sBP</w:t>
      </w:r>
      <w:proofErr w:type="spellEnd"/>
      <w:r w:rsidR="00646B3F" w:rsidRPr="00A60F4D">
        <w:t>, urine albumin creatinine ratio (</w:t>
      </w:r>
      <w:proofErr w:type="spellStart"/>
      <w:r w:rsidR="002757D7">
        <w:t>u</w:t>
      </w:r>
      <w:r w:rsidR="00646B3F" w:rsidRPr="00A60F4D">
        <w:t>ACR</w:t>
      </w:r>
      <w:proofErr w:type="spellEnd"/>
      <w:r w:rsidR="00646B3F" w:rsidRPr="00A60F4D">
        <w:t xml:space="preserve">), </w:t>
      </w:r>
      <w:proofErr w:type="spellStart"/>
      <w:r w:rsidR="00043593">
        <w:t>h</w:t>
      </w:r>
      <w:r w:rsidR="004C48B6">
        <w:t>emoglobin</w:t>
      </w:r>
      <w:proofErr w:type="spellEnd"/>
      <w:r w:rsidR="00646B3F" w:rsidRPr="00A60F4D">
        <w:t>, high density lipoprotein (HDL) cholesterol</w:t>
      </w:r>
      <w:r w:rsidR="002757D7">
        <w:t>, triglycerides</w:t>
      </w:r>
      <w:r w:rsidR="00646B3F" w:rsidRPr="00A60F4D">
        <w:t xml:space="preserve">, HIV status, age, </w:t>
      </w:r>
      <w:r w:rsidR="00646B3F" w:rsidRPr="00A60F4D">
        <w:rPr>
          <w:rFonts w:cs="Calibri"/>
        </w:rPr>
        <w:t xml:space="preserve">and scatter laser treatment any time between </w:t>
      </w:r>
      <w:r w:rsidR="002248C9">
        <w:rPr>
          <w:rFonts w:cs="Calibri"/>
        </w:rPr>
        <w:t>baseline</w:t>
      </w:r>
      <w:r w:rsidR="00646B3F" w:rsidRPr="00A60F4D">
        <w:rPr>
          <w:rFonts w:cs="Calibri"/>
        </w:rPr>
        <w:t xml:space="preserve"> and </w:t>
      </w:r>
      <w:r w:rsidR="002248C9">
        <w:rPr>
          <w:rFonts w:cs="Calibri"/>
        </w:rPr>
        <w:t>24 months</w:t>
      </w:r>
      <w:r w:rsidR="00646B3F" w:rsidRPr="00A60F4D">
        <w:t xml:space="preserve">.  </w:t>
      </w:r>
      <w:r w:rsidR="00340249" w:rsidRPr="00A60F4D">
        <w:t>Descriptive</w:t>
      </w:r>
      <w:r w:rsidR="002757D7">
        <w:t xml:space="preserve"> analysis showed that </w:t>
      </w:r>
      <w:proofErr w:type="spellStart"/>
      <w:r w:rsidR="002757D7">
        <w:t>u</w:t>
      </w:r>
      <w:r w:rsidR="00340249" w:rsidRPr="00A60F4D">
        <w:t>ACR</w:t>
      </w:r>
      <w:proofErr w:type="spellEnd"/>
      <w:r w:rsidR="00340249" w:rsidRPr="00A60F4D">
        <w:t xml:space="preserve"> did not demonstrate a linear association with probability of 2 step progression; a logarithmic transformation (base 10) was more suitable</w:t>
      </w:r>
      <w:r w:rsidR="00340249" w:rsidRPr="00A60F4D">
        <w:rPr>
          <w:rFonts w:cs="AdvTT5bf2ac07"/>
        </w:rPr>
        <w:t xml:space="preserve">.  </w:t>
      </w:r>
      <w:r w:rsidR="007B6770" w:rsidRPr="00A60F4D">
        <w:t>All tests were</w:t>
      </w:r>
      <w:r w:rsidR="00371862" w:rsidRPr="00A60F4D">
        <w:t xml:space="preserve"> </w:t>
      </w:r>
      <w:r w:rsidR="007B6770" w:rsidRPr="00A60F4D">
        <w:t xml:space="preserve">two-sided and a </w:t>
      </w:r>
      <w:r w:rsidR="00993E72">
        <w:rPr>
          <w:rFonts w:cs="AdvPSSAB-I"/>
        </w:rPr>
        <w:t>p</w:t>
      </w:r>
      <w:r w:rsidR="007B6770" w:rsidRPr="00A60F4D">
        <w:rPr>
          <w:rFonts w:cs="AdvPSSAB-I"/>
        </w:rPr>
        <w:t xml:space="preserve"> </w:t>
      </w:r>
      <w:r w:rsidR="007B6770" w:rsidRPr="00A60F4D">
        <w:t xml:space="preserve">value </w:t>
      </w:r>
      <w:r w:rsidR="007B6770" w:rsidRPr="00A60F4D">
        <w:rPr>
          <w:rFonts w:cs="AdvTT3713a231"/>
        </w:rPr>
        <w:t>&lt;</w:t>
      </w:r>
      <w:r w:rsidR="007B6770" w:rsidRPr="00A60F4D">
        <w:t>0.05 was taken to indicate</w:t>
      </w:r>
      <w:r w:rsidR="00371862" w:rsidRPr="00A60F4D">
        <w:t xml:space="preserve"> </w:t>
      </w:r>
      <w:r w:rsidR="007B6770" w:rsidRPr="00A60F4D">
        <w:t xml:space="preserve">statistical significance. </w:t>
      </w:r>
      <w:r w:rsidR="00371862" w:rsidRPr="00A60F4D">
        <w:t xml:space="preserve"> </w:t>
      </w:r>
      <w:r w:rsidR="007B6770" w:rsidRPr="00A60F4D">
        <w:t>All calculations were performed using</w:t>
      </w:r>
      <w:r w:rsidR="00371862" w:rsidRPr="00A60F4D">
        <w:t xml:space="preserve"> STATA </w:t>
      </w:r>
      <w:r w:rsidR="007B6770" w:rsidRPr="00A60F4D">
        <w:t>version 12 (</w:t>
      </w:r>
      <w:proofErr w:type="spellStart"/>
      <w:r w:rsidR="007B6770" w:rsidRPr="00A60F4D">
        <w:t>StataCorp</w:t>
      </w:r>
      <w:proofErr w:type="spellEnd"/>
      <w:r w:rsidR="007B6770" w:rsidRPr="00A60F4D">
        <w:t>, College Station, TX, USA).</w:t>
      </w:r>
      <w:r w:rsidR="00371862" w:rsidRPr="00A60F4D">
        <w:t xml:space="preserve">  </w:t>
      </w:r>
      <w:r w:rsidR="001C6C7C" w:rsidRPr="00A60F4D">
        <w:t xml:space="preserve">The study was approved </w:t>
      </w:r>
      <w:r w:rsidR="00153235" w:rsidRPr="00A60F4D">
        <w:t>by the University of Liverpool Research E</w:t>
      </w:r>
      <w:r w:rsidR="001C6C7C" w:rsidRPr="00A60F4D">
        <w:t xml:space="preserve">thics </w:t>
      </w:r>
      <w:r w:rsidR="00153235" w:rsidRPr="00A60F4D">
        <w:t>C</w:t>
      </w:r>
      <w:r w:rsidR="002757D7">
        <w:t xml:space="preserve">ommittee and the University </w:t>
      </w:r>
      <w:r w:rsidR="001C6C7C" w:rsidRPr="00A60F4D">
        <w:t xml:space="preserve">of Malawi College of Medicine </w:t>
      </w:r>
      <w:r w:rsidR="00153235" w:rsidRPr="00A60F4D">
        <w:t>Research Ethics C</w:t>
      </w:r>
      <w:r w:rsidR="001C6C7C" w:rsidRPr="00A60F4D">
        <w:t xml:space="preserve">ommittee. </w:t>
      </w:r>
      <w:r w:rsidR="00153235" w:rsidRPr="00A60F4D">
        <w:t xml:space="preserve"> </w:t>
      </w:r>
      <w:r w:rsidR="001C6C7C" w:rsidRPr="00A60F4D">
        <w:t>All participants gave written informed consent.</w:t>
      </w:r>
    </w:p>
    <w:p w14:paraId="754094FC" w14:textId="77777777" w:rsidR="006A0B8F" w:rsidRDefault="006A0B8F">
      <w:pPr>
        <w:autoSpaceDN/>
        <w:spacing w:line="240" w:lineRule="auto"/>
        <w:textAlignment w:val="auto"/>
        <w:rPr>
          <w:sz w:val="24"/>
          <w:szCs w:val="24"/>
        </w:rPr>
      </w:pPr>
      <w:r>
        <w:rPr>
          <w:sz w:val="24"/>
          <w:szCs w:val="24"/>
        </w:rPr>
        <w:br w:type="page"/>
      </w:r>
    </w:p>
    <w:p w14:paraId="49A06EB9" w14:textId="77777777" w:rsidR="00687D72" w:rsidRDefault="00DA1E67" w:rsidP="006A0B8F">
      <w:pPr>
        <w:autoSpaceDN/>
        <w:spacing w:line="240" w:lineRule="auto"/>
        <w:textAlignment w:val="auto"/>
        <w:rPr>
          <w:b/>
          <w:sz w:val="28"/>
          <w:szCs w:val="28"/>
        </w:rPr>
      </w:pPr>
      <w:r w:rsidRPr="00DA1E67">
        <w:rPr>
          <w:b/>
          <w:sz w:val="28"/>
          <w:szCs w:val="28"/>
        </w:rPr>
        <w:lastRenderedPageBreak/>
        <w:t>Results</w:t>
      </w:r>
    </w:p>
    <w:p w14:paraId="2AC48DB1" w14:textId="77777777" w:rsidR="006A0B8F" w:rsidRDefault="006A0B8F" w:rsidP="006A0B8F">
      <w:pPr>
        <w:autoSpaceDN/>
        <w:spacing w:line="240" w:lineRule="auto"/>
        <w:textAlignment w:val="auto"/>
        <w:rPr>
          <w:b/>
          <w:sz w:val="28"/>
          <w:szCs w:val="28"/>
        </w:rPr>
      </w:pPr>
    </w:p>
    <w:p w14:paraId="517C9B03" w14:textId="77777777" w:rsidR="003E3997" w:rsidRPr="00FE78AC" w:rsidRDefault="008A533B" w:rsidP="003E3997">
      <w:pPr>
        <w:rPr>
          <w:sz w:val="24"/>
          <w:szCs w:val="24"/>
        </w:rPr>
      </w:pPr>
      <w:r w:rsidRPr="00D74854">
        <w:rPr>
          <w:sz w:val="24"/>
          <w:szCs w:val="24"/>
        </w:rPr>
        <w:t xml:space="preserve">Of 357 subjects </w:t>
      </w:r>
      <w:r w:rsidRPr="00C04060">
        <w:rPr>
          <w:sz w:val="24"/>
          <w:szCs w:val="24"/>
        </w:rPr>
        <w:t>recruited</w:t>
      </w:r>
      <w:r w:rsidR="00C04060" w:rsidRPr="00C04060">
        <w:rPr>
          <w:sz w:val="24"/>
          <w:szCs w:val="24"/>
        </w:rPr>
        <w:t xml:space="preserve"> 322 were seen for at least one further study visit and are included in the progression analysis below.</w:t>
      </w:r>
      <w:r w:rsidR="00BF45BD" w:rsidRPr="00C04060">
        <w:rPr>
          <w:sz w:val="24"/>
          <w:szCs w:val="24"/>
        </w:rPr>
        <w:t xml:space="preserve"> </w:t>
      </w:r>
      <w:r w:rsidR="00BF45BD" w:rsidRPr="00D74854">
        <w:rPr>
          <w:sz w:val="24"/>
          <w:szCs w:val="24"/>
        </w:rPr>
        <w:t xml:space="preserve">313 </w:t>
      </w:r>
      <w:r w:rsidR="00D60772">
        <w:rPr>
          <w:sz w:val="24"/>
          <w:szCs w:val="24"/>
        </w:rPr>
        <w:t xml:space="preserve">(88%) </w:t>
      </w:r>
      <w:r w:rsidR="00BF45BD" w:rsidRPr="00D74854">
        <w:rPr>
          <w:sz w:val="24"/>
          <w:szCs w:val="24"/>
        </w:rPr>
        <w:t xml:space="preserve">and 295 </w:t>
      </w:r>
      <w:r w:rsidR="00D60772">
        <w:rPr>
          <w:sz w:val="24"/>
          <w:szCs w:val="24"/>
        </w:rPr>
        <w:t xml:space="preserve">(83%) </w:t>
      </w:r>
      <w:r w:rsidR="00BF45BD" w:rsidRPr="00D74854">
        <w:rPr>
          <w:sz w:val="24"/>
          <w:szCs w:val="24"/>
        </w:rPr>
        <w:t>were assessed at 12 and</w:t>
      </w:r>
      <w:r w:rsidRPr="00D74854">
        <w:rPr>
          <w:sz w:val="24"/>
          <w:szCs w:val="24"/>
        </w:rPr>
        <w:t xml:space="preserve"> 24 months</w:t>
      </w:r>
      <w:r w:rsidR="00BF45BD" w:rsidRPr="00D74854">
        <w:rPr>
          <w:sz w:val="24"/>
          <w:szCs w:val="24"/>
        </w:rPr>
        <w:t>, respectively</w:t>
      </w:r>
      <w:r w:rsidR="00E7192E" w:rsidRPr="00D74854">
        <w:rPr>
          <w:sz w:val="24"/>
          <w:szCs w:val="24"/>
        </w:rPr>
        <w:t xml:space="preserve"> </w:t>
      </w:r>
      <w:r w:rsidR="00E7192E" w:rsidRPr="00D74854">
        <w:rPr>
          <w:rFonts w:cs="Calibri"/>
          <w:sz w:val="24"/>
          <w:szCs w:val="24"/>
        </w:rPr>
        <w:t>(</w:t>
      </w:r>
      <w:r w:rsidR="009D419E" w:rsidRPr="00D74854">
        <w:rPr>
          <w:rFonts w:cs="Calibri"/>
          <w:sz w:val="24"/>
          <w:szCs w:val="24"/>
        </w:rPr>
        <w:t>Online Appendix Figure 2</w:t>
      </w:r>
      <w:r w:rsidR="00E7192E" w:rsidRPr="00D74854">
        <w:rPr>
          <w:rFonts w:cs="Calibri"/>
          <w:sz w:val="24"/>
          <w:szCs w:val="24"/>
        </w:rPr>
        <w:t>)</w:t>
      </w:r>
      <w:r w:rsidRPr="00D74854">
        <w:rPr>
          <w:sz w:val="24"/>
          <w:szCs w:val="24"/>
        </w:rPr>
        <w:t xml:space="preserve">.  </w:t>
      </w:r>
      <w:r w:rsidR="001B41A0" w:rsidRPr="00D74854">
        <w:rPr>
          <w:sz w:val="24"/>
          <w:szCs w:val="24"/>
        </w:rPr>
        <w:t xml:space="preserve">Median time to follow-up </w:t>
      </w:r>
      <w:r w:rsidR="00266AE2" w:rsidRPr="00D74854">
        <w:rPr>
          <w:sz w:val="24"/>
          <w:szCs w:val="24"/>
        </w:rPr>
        <w:t>was 2.0 years (IQR 1.</w:t>
      </w:r>
      <w:r w:rsidR="00042BF0" w:rsidRPr="00D74854">
        <w:rPr>
          <w:sz w:val="24"/>
          <w:szCs w:val="24"/>
        </w:rPr>
        <w:t>9-2.1</w:t>
      </w:r>
      <w:r w:rsidR="002D792B" w:rsidRPr="00D74854">
        <w:rPr>
          <w:sz w:val="24"/>
          <w:szCs w:val="24"/>
        </w:rPr>
        <w:t>)</w:t>
      </w:r>
      <w:r w:rsidRPr="00D74854">
        <w:rPr>
          <w:rFonts w:cs="Calibri"/>
          <w:sz w:val="24"/>
          <w:szCs w:val="24"/>
        </w:rPr>
        <w:t>.</w:t>
      </w:r>
      <w:r w:rsidR="0082098A" w:rsidRPr="00D74854">
        <w:rPr>
          <w:rFonts w:cs="Calibri"/>
          <w:sz w:val="24"/>
          <w:szCs w:val="24"/>
        </w:rPr>
        <w:t xml:space="preserve">  </w:t>
      </w:r>
      <w:r w:rsidR="00042BF0" w:rsidRPr="00D74854">
        <w:rPr>
          <w:rFonts w:cs="Calibri"/>
          <w:sz w:val="24"/>
          <w:szCs w:val="24"/>
        </w:rPr>
        <w:t xml:space="preserve">Baseline characteristics of </w:t>
      </w:r>
      <w:r w:rsidR="00042BF0" w:rsidRPr="00D74854">
        <w:rPr>
          <w:sz w:val="24"/>
          <w:szCs w:val="24"/>
        </w:rPr>
        <w:t xml:space="preserve">subjects seen at 24 months and those who were not seen are shown </w:t>
      </w:r>
      <w:r w:rsidR="00042BF0" w:rsidRPr="003B4696">
        <w:rPr>
          <w:sz w:val="24"/>
          <w:szCs w:val="24"/>
        </w:rPr>
        <w:t>in Table 1.</w:t>
      </w:r>
      <w:r w:rsidR="00C3476B" w:rsidRPr="003B4696">
        <w:rPr>
          <w:sz w:val="24"/>
          <w:szCs w:val="24"/>
        </w:rPr>
        <w:t xml:space="preserve">  50</w:t>
      </w:r>
      <w:r w:rsidR="00C3476B" w:rsidRPr="00C3476B">
        <w:rPr>
          <w:sz w:val="24"/>
          <w:szCs w:val="24"/>
        </w:rPr>
        <w:t xml:space="preserve"> subjects (14.0%) were HIV positive (48 at baseline and 2 new diagnoses during the study).</w:t>
      </w:r>
      <w:r w:rsidR="00042BF0" w:rsidRPr="00C3476B">
        <w:rPr>
          <w:rFonts w:cs="Calibri"/>
          <w:sz w:val="24"/>
          <w:szCs w:val="24"/>
        </w:rPr>
        <w:t xml:space="preserve"> </w:t>
      </w:r>
      <w:r w:rsidR="006772DA" w:rsidRPr="00C3476B">
        <w:rPr>
          <w:rFonts w:cs="Calibri"/>
          <w:sz w:val="24"/>
          <w:szCs w:val="24"/>
        </w:rPr>
        <w:t>I</w:t>
      </w:r>
      <w:r w:rsidR="0082098A" w:rsidRPr="00C3476B">
        <w:rPr>
          <w:rFonts w:cs="Calibri"/>
          <w:sz w:val="24"/>
          <w:szCs w:val="24"/>
        </w:rPr>
        <w:t xml:space="preserve">ncidence of death in the MDRS cohort at 24 months was </w:t>
      </w:r>
      <w:r w:rsidR="00E7192E" w:rsidRPr="00C3476B">
        <w:rPr>
          <w:rFonts w:cs="Calibri"/>
          <w:sz w:val="24"/>
          <w:szCs w:val="24"/>
        </w:rPr>
        <w:t xml:space="preserve">8.0% (95% CI 5.1-10.9; </w:t>
      </w:r>
      <w:r w:rsidR="0082098A" w:rsidRPr="00C3476B">
        <w:rPr>
          <w:rFonts w:cs="Calibri"/>
          <w:sz w:val="24"/>
          <w:szCs w:val="24"/>
        </w:rPr>
        <w:t>n=357; L</w:t>
      </w:r>
      <w:r w:rsidR="006772DA" w:rsidRPr="00C3476B">
        <w:rPr>
          <w:rFonts w:cs="Calibri"/>
          <w:sz w:val="24"/>
          <w:szCs w:val="24"/>
        </w:rPr>
        <w:t>ife table method</w:t>
      </w:r>
      <w:r w:rsidR="006772DA">
        <w:rPr>
          <w:rFonts w:cs="Calibri"/>
          <w:sz w:val="24"/>
          <w:szCs w:val="24"/>
        </w:rPr>
        <w:t>).  I</w:t>
      </w:r>
      <w:r w:rsidR="0082098A" w:rsidRPr="00D74854">
        <w:rPr>
          <w:rFonts w:cs="Calibri"/>
          <w:sz w:val="24"/>
          <w:szCs w:val="24"/>
        </w:rPr>
        <w:t xml:space="preserve">ncidence of death amongst HIV positive subjects was </w:t>
      </w:r>
      <w:r w:rsidR="00E7192E" w:rsidRPr="00D74854">
        <w:rPr>
          <w:rFonts w:cs="Calibri"/>
          <w:sz w:val="24"/>
          <w:szCs w:val="24"/>
        </w:rPr>
        <w:t xml:space="preserve">18.1% (7.4-28.8; </w:t>
      </w:r>
      <w:r w:rsidR="0082098A" w:rsidRPr="00D74854">
        <w:rPr>
          <w:rFonts w:cs="Calibri"/>
          <w:sz w:val="24"/>
          <w:szCs w:val="24"/>
        </w:rPr>
        <w:t xml:space="preserve">n=50). </w:t>
      </w:r>
      <w:r w:rsidR="00AE004C" w:rsidRPr="00D74854">
        <w:rPr>
          <w:rFonts w:cs="Calibri"/>
          <w:sz w:val="24"/>
          <w:szCs w:val="24"/>
        </w:rPr>
        <w:t xml:space="preserve"> </w:t>
      </w:r>
      <w:r w:rsidR="00E7192E" w:rsidRPr="00D74854">
        <w:rPr>
          <w:rFonts w:cs="Calibri"/>
          <w:sz w:val="24"/>
          <w:szCs w:val="24"/>
        </w:rPr>
        <w:t>D</w:t>
      </w:r>
      <w:r w:rsidR="0082098A" w:rsidRPr="00D74854">
        <w:rPr>
          <w:rFonts w:cs="Calibri"/>
          <w:sz w:val="24"/>
          <w:szCs w:val="24"/>
        </w:rPr>
        <w:t>eath during the MDRS was associated with STDR (OR 2.51; 95% CI 1.15-5.48; p=0.02</w:t>
      </w:r>
      <w:r w:rsidR="00E7192E" w:rsidRPr="00D74854">
        <w:rPr>
          <w:rFonts w:cs="Calibri"/>
          <w:sz w:val="24"/>
          <w:szCs w:val="24"/>
        </w:rPr>
        <w:t>; univariate analysis</w:t>
      </w:r>
      <w:r w:rsidR="0082098A" w:rsidRPr="00D74854">
        <w:rPr>
          <w:rFonts w:cs="Calibri"/>
          <w:sz w:val="24"/>
          <w:szCs w:val="24"/>
        </w:rPr>
        <w:t>), PDR (OR 6.47; 2.51-16.7; p=0.0001), HIV (OR 3.72; 1.54-9.00; p=0.003) and moderate visual impairment</w:t>
      </w:r>
      <w:r w:rsidR="00716138" w:rsidRPr="00D74854">
        <w:rPr>
          <w:rFonts w:cs="Calibri"/>
          <w:sz w:val="24"/>
          <w:szCs w:val="24"/>
        </w:rPr>
        <w:t xml:space="preserve"> (OR 8.21; 2.48-27.1; p=0.001)</w:t>
      </w:r>
      <w:r w:rsidR="00226111" w:rsidRPr="00D74854">
        <w:rPr>
          <w:rFonts w:cs="Calibri"/>
          <w:sz w:val="24"/>
          <w:szCs w:val="24"/>
        </w:rPr>
        <w:t xml:space="preserve">.  </w:t>
      </w:r>
      <w:r w:rsidR="003E3997" w:rsidRPr="00D74854">
        <w:rPr>
          <w:sz w:val="24"/>
          <w:szCs w:val="24"/>
        </w:rPr>
        <w:t xml:space="preserve">Two (or more) step progression (from baseline) was observed either at </w:t>
      </w:r>
      <w:r w:rsidR="002248C9">
        <w:rPr>
          <w:sz w:val="24"/>
          <w:szCs w:val="24"/>
        </w:rPr>
        <w:t xml:space="preserve">12 </w:t>
      </w:r>
      <w:r w:rsidR="003E3997" w:rsidRPr="00D74854">
        <w:rPr>
          <w:sz w:val="24"/>
          <w:szCs w:val="24"/>
        </w:rPr>
        <w:t xml:space="preserve">or </w:t>
      </w:r>
      <w:r w:rsidR="002248C9">
        <w:rPr>
          <w:sz w:val="24"/>
          <w:szCs w:val="24"/>
        </w:rPr>
        <w:t xml:space="preserve">24 months </w:t>
      </w:r>
      <w:r w:rsidR="003E3997" w:rsidRPr="00D74854">
        <w:rPr>
          <w:sz w:val="24"/>
          <w:szCs w:val="24"/>
        </w:rPr>
        <w:t>in 69 subjects (21.4%; 95% CI 16.9-25.9); three (or more) step progression in 30 subjects (9.3%; 6.1-12.5)</w:t>
      </w:r>
      <w:r w:rsidR="00C04060">
        <w:rPr>
          <w:sz w:val="24"/>
          <w:szCs w:val="24"/>
        </w:rPr>
        <w:t xml:space="preserve">(this analysis includes both subjects with no retinopathy and those with retinopathy at baseline) </w:t>
      </w:r>
      <w:r w:rsidR="003E3997" w:rsidRPr="00D74854">
        <w:rPr>
          <w:sz w:val="24"/>
          <w:szCs w:val="24"/>
        </w:rPr>
        <w:t xml:space="preserve">.  Of 225 subjects without STDR at baseline 23 (10.2%; 6.3-14.2) developed the condition during the </w:t>
      </w:r>
      <w:r w:rsidR="00743C63" w:rsidRPr="00D74854">
        <w:rPr>
          <w:sz w:val="24"/>
          <w:szCs w:val="24"/>
        </w:rPr>
        <w:t>study</w:t>
      </w:r>
      <w:r w:rsidR="00226111" w:rsidRPr="00D74854">
        <w:rPr>
          <w:sz w:val="24"/>
          <w:szCs w:val="24"/>
        </w:rPr>
        <w:t xml:space="preserve"> (</w:t>
      </w:r>
      <w:r w:rsidR="00CA50EC" w:rsidRPr="00D74854">
        <w:rPr>
          <w:sz w:val="24"/>
          <w:szCs w:val="24"/>
        </w:rPr>
        <w:t>Table</w:t>
      </w:r>
      <w:r w:rsidR="00D74854" w:rsidRPr="00D74854">
        <w:rPr>
          <w:sz w:val="24"/>
          <w:szCs w:val="24"/>
        </w:rPr>
        <w:t xml:space="preserve"> </w:t>
      </w:r>
      <w:r w:rsidR="003B4696">
        <w:rPr>
          <w:sz w:val="24"/>
          <w:szCs w:val="24"/>
        </w:rPr>
        <w:t>2</w:t>
      </w:r>
      <w:r w:rsidR="00B30948" w:rsidRPr="00D74854">
        <w:rPr>
          <w:sz w:val="24"/>
          <w:szCs w:val="24"/>
        </w:rPr>
        <w:t xml:space="preserve"> </w:t>
      </w:r>
      <w:r w:rsidR="00CA50EC" w:rsidRPr="00D74854">
        <w:rPr>
          <w:sz w:val="24"/>
          <w:szCs w:val="24"/>
        </w:rPr>
        <w:t xml:space="preserve">and Online Appendix Tables </w:t>
      </w:r>
      <w:r w:rsidR="003B4696">
        <w:rPr>
          <w:sz w:val="24"/>
          <w:szCs w:val="24"/>
        </w:rPr>
        <w:t>1</w:t>
      </w:r>
      <w:r w:rsidR="00CA50EC" w:rsidRPr="00D74854">
        <w:rPr>
          <w:sz w:val="24"/>
          <w:szCs w:val="24"/>
        </w:rPr>
        <w:t xml:space="preserve">, </w:t>
      </w:r>
      <w:r w:rsidR="003B4696">
        <w:rPr>
          <w:sz w:val="24"/>
          <w:szCs w:val="24"/>
        </w:rPr>
        <w:t>2</w:t>
      </w:r>
      <w:r w:rsidR="00CA50EC" w:rsidRPr="00D74854">
        <w:rPr>
          <w:sz w:val="24"/>
          <w:szCs w:val="24"/>
        </w:rPr>
        <w:t xml:space="preserve"> and </w:t>
      </w:r>
      <w:r w:rsidR="003B4696">
        <w:rPr>
          <w:sz w:val="24"/>
          <w:szCs w:val="24"/>
        </w:rPr>
        <w:t>3</w:t>
      </w:r>
      <w:r w:rsidR="0068358B" w:rsidRPr="00D74854">
        <w:rPr>
          <w:sz w:val="24"/>
          <w:szCs w:val="24"/>
        </w:rPr>
        <w:t xml:space="preserve">; </w:t>
      </w:r>
      <w:r w:rsidR="006609A5" w:rsidRPr="00D74854">
        <w:rPr>
          <w:sz w:val="24"/>
          <w:szCs w:val="24"/>
        </w:rPr>
        <w:t>Figure 1</w:t>
      </w:r>
      <w:r w:rsidR="00226111" w:rsidRPr="00D74854">
        <w:rPr>
          <w:sz w:val="24"/>
          <w:szCs w:val="24"/>
        </w:rPr>
        <w:t>)</w:t>
      </w:r>
      <w:r w:rsidR="0068358B" w:rsidRPr="00D74854">
        <w:rPr>
          <w:sz w:val="24"/>
          <w:szCs w:val="24"/>
        </w:rPr>
        <w:t xml:space="preserve">.  </w:t>
      </w:r>
      <w:r w:rsidR="003E3997" w:rsidRPr="00D74854">
        <w:rPr>
          <w:sz w:val="24"/>
          <w:szCs w:val="24"/>
        </w:rPr>
        <w:t>Of 26 subjects with level 60 DR or above at baseline, at 24 months the following grades of DR were recorded:</w:t>
      </w:r>
      <w:r w:rsidR="00B22982">
        <w:rPr>
          <w:sz w:val="24"/>
          <w:szCs w:val="24"/>
        </w:rPr>
        <w:t xml:space="preserve"> 7 subjects &lt;level 60</w:t>
      </w:r>
      <w:r w:rsidR="003E3997" w:rsidRPr="00D74854">
        <w:rPr>
          <w:sz w:val="24"/>
          <w:szCs w:val="24"/>
        </w:rPr>
        <w:t xml:space="preserve">; 4 </w:t>
      </w:r>
      <w:r w:rsidR="00B22982">
        <w:rPr>
          <w:sz w:val="24"/>
          <w:szCs w:val="24"/>
        </w:rPr>
        <w:t xml:space="preserve">subjects </w:t>
      </w:r>
      <w:r w:rsidR="003E3997" w:rsidRPr="00D74854">
        <w:rPr>
          <w:sz w:val="24"/>
          <w:szCs w:val="24"/>
        </w:rPr>
        <w:t>level 60;</w:t>
      </w:r>
      <w:r w:rsidR="00B22982">
        <w:rPr>
          <w:sz w:val="24"/>
          <w:szCs w:val="24"/>
        </w:rPr>
        <w:t xml:space="preserve"> 5 subjects &gt;level 60.</w:t>
      </w:r>
      <w:r w:rsidR="003E3997" w:rsidRPr="00D74854">
        <w:rPr>
          <w:sz w:val="24"/>
          <w:szCs w:val="24"/>
        </w:rPr>
        <w:t xml:space="preserve"> </w:t>
      </w:r>
      <w:r w:rsidR="00B22982">
        <w:rPr>
          <w:sz w:val="24"/>
          <w:szCs w:val="24"/>
        </w:rPr>
        <w:t xml:space="preserve"> </w:t>
      </w:r>
      <w:r w:rsidR="003E3997" w:rsidRPr="00D74854">
        <w:rPr>
          <w:sz w:val="24"/>
          <w:szCs w:val="24"/>
        </w:rPr>
        <w:t>8 subjects had died</w:t>
      </w:r>
      <w:r w:rsidR="0068358B" w:rsidRPr="00D74854">
        <w:rPr>
          <w:sz w:val="24"/>
          <w:szCs w:val="24"/>
        </w:rPr>
        <w:t xml:space="preserve"> and 2 were lost to follow-up.  </w:t>
      </w:r>
      <w:r w:rsidR="00226111" w:rsidRPr="00D74854">
        <w:rPr>
          <w:sz w:val="24"/>
          <w:szCs w:val="24"/>
        </w:rPr>
        <w:t xml:space="preserve">Online </w:t>
      </w:r>
      <w:r w:rsidR="00CA50EC" w:rsidRPr="00D74854">
        <w:rPr>
          <w:sz w:val="24"/>
          <w:szCs w:val="24"/>
        </w:rPr>
        <w:t xml:space="preserve">Appendix Table </w:t>
      </w:r>
      <w:r w:rsidR="003B4696">
        <w:rPr>
          <w:sz w:val="24"/>
          <w:szCs w:val="24"/>
        </w:rPr>
        <w:t>4</w:t>
      </w:r>
      <w:r w:rsidR="00226111" w:rsidRPr="00D74854">
        <w:rPr>
          <w:sz w:val="24"/>
          <w:szCs w:val="24"/>
        </w:rPr>
        <w:t xml:space="preserve"> details the number of subjects who were listed for, started and completed a course of laser treatment during the course of the MDRS.</w:t>
      </w:r>
    </w:p>
    <w:p w14:paraId="3453A885" w14:textId="77777777" w:rsidR="003E3997" w:rsidRDefault="003E3997" w:rsidP="003E3997"/>
    <w:p w14:paraId="0874B569" w14:textId="77777777" w:rsidR="002B0AFF" w:rsidRDefault="00A95CA1" w:rsidP="003E3997">
      <w:pPr>
        <w:rPr>
          <w:sz w:val="24"/>
          <w:szCs w:val="24"/>
        </w:rPr>
      </w:pPr>
      <w:r>
        <w:rPr>
          <w:sz w:val="24"/>
          <w:szCs w:val="24"/>
        </w:rPr>
        <w:t xml:space="preserve">In univariate analysis 2 step progression of retinopathy was </w:t>
      </w:r>
      <w:r w:rsidR="006D3A8C">
        <w:rPr>
          <w:sz w:val="24"/>
          <w:szCs w:val="24"/>
        </w:rPr>
        <w:t xml:space="preserve">positively </w:t>
      </w:r>
      <w:r>
        <w:rPr>
          <w:sz w:val="24"/>
          <w:szCs w:val="24"/>
        </w:rPr>
        <w:t xml:space="preserve">associated with duration of diabetes, baseline grade of DR, </w:t>
      </w:r>
      <w:r w:rsidR="006D3A8C">
        <w:rPr>
          <w:sz w:val="24"/>
          <w:szCs w:val="24"/>
        </w:rPr>
        <w:t xml:space="preserve">scatter laser treatment, HbA1c and </w:t>
      </w:r>
      <w:proofErr w:type="spellStart"/>
      <w:r w:rsidR="006D3A8C">
        <w:rPr>
          <w:sz w:val="24"/>
          <w:szCs w:val="24"/>
        </w:rPr>
        <w:t>uACR</w:t>
      </w:r>
      <w:proofErr w:type="spellEnd"/>
      <w:r w:rsidR="006D3A8C">
        <w:rPr>
          <w:sz w:val="24"/>
          <w:szCs w:val="24"/>
        </w:rPr>
        <w:t xml:space="preserve"> and negatively associated with HIV infection.  </w:t>
      </w:r>
      <w:r w:rsidR="003E3997" w:rsidRPr="00D74854">
        <w:rPr>
          <w:sz w:val="24"/>
          <w:szCs w:val="24"/>
        </w:rPr>
        <w:t xml:space="preserve">Higher mean HbA1c and higher baseline grade of retinopathy were risk factors for 2 step progression in multivariate analysis.  HIV infection was negatively associated with progression of DR </w:t>
      </w:r>
      <w:r w:rsidR="001014B2" w:rsidRPr="00D74854">
        <w:rPr>
          <w:sz w:val="24"/>
          <w:szCs w:val="24"/>
        </w:rPr>
        <w:t>(</w:t>
      </w:r>
      <w:r w:rsidR="00743C63" w:rsidRPr="00D74854">
        <w:rPr>
          <w:sz w:val="24"/>
          <w:szCs w:val="24"/>
        </w:rPr>
        <w:t xml:space="preserve">Table </w:t>
      </w:r>
      <w:r w:rsidR="003B4696">
        <w:rPr>
          <w:sz w:val="24"/>
          <w:szCs w:val="24"/>
        </w:rPr>
        <w:t>3</w:t>
      </w:r>
      <w:r w:rsidR="003E3997" w:rsidRPr="00E30ECA">
        <w:rPr>
          <w:sz w:val="24"/>
          <w:szCs w:val="24"/>
        </w:rPr>
        <w:t>).</w:t>
      </w:r>
      <w:r w:rsidR="00DD73C2" w:rsidRPr="00E30ECA">
        <w:rPr>
          <w:sz w:val="24"/>
          <w:szCs w:val="24"/>
        </w:rPr>
        <w:t xml:space="preserve">  </w:t>
      </w:r>
      <w:r w:rsidR="00D04662" w:rsidRPr="00E30ECA">
        <w:rPr>
          <w:sz w:val="24"/>
          <w:szCs w:val="24"/>
        </w:rPr>
        <w:t xml:space="preserve">This association may have been influenced by the high mortality in subjects with HIV and diabetes.  We </w:t>
      </w:r>
      <w:r w:rsidR="002B0AFF" w:rsidRPr="00E30ECA">
        <w:rPr>
          <w:sz w:val="24"/>
          <w:szCs w:val="24"/>
        </w:rPr>
        <w:t>therefore performed a sensitivity analysis.</w:t>
      </w:r>
      <w:r w:rsidR="006D3A8C">
        <w:rPr>
          <w:sz w:val="24"/>
          <w:szCs w:val="24"/>
        </w:rPr>
        <w:t xml:space="preserve">  </w:t>
      </w:r>
      <w:r w:rsidR="002B0AFF" w:rsidRPr="00E30ECA">
        <w:rPr>
          <w:sz w:val="24"/>
          <w:szCs w:val="24"/>
        </w:rPr>
        <w:t xml:space="preserve">The univariate association of HIV infection with a composite variable of either 2 step progression at 24 months or death during the study was not </w:t>
      </w:r>
      <w:r w:rsidR="00200D20" w:rsidRPr="00E30ECA">
        <w:rPr>
          <w:sz w:val="24"/>
          <w:szCs w:val="24"/>
        </w:rPr>
        <w:t xml:space="preserve">statistically significant (OR 0.84, 95%CI 0.41-1.75; p=0.64).  </w:t>
      </w:r>
      <w:r w:rsidR="002B0AFF" w:rsidRPr="00E30ECA">
        <w:rPr>
          <w:sz w:val="24"/>
          <w:szCs w:val="24"/>
        </w:rPr>
        <w:t xml:space="preserve">HIV was not </w:t>
      </w:r>
      <w:r w:rsidR="00200D20" w:rsidRPr="00E30ECA">
        <w:rPr>
          <w:sz w:val="24"/>
          <w:szCs w:val="24"/>
        </w:rPr>
        <w:t>selected by a</w:t>
      </w:r>
      <w:r w:rsidR="002B0AFF" w:rsidRPr="00E30ECA">
        <w:rPr>
          <w:sz w:val="24"/>
          <w:szCs w:val="24"/>
        </w:rPr>
        <w:t xml:space="preserve"> stepwise </w:t>
      </w:r>
      <w:r w:rsidR="00200D20" w:rsidRPr="00E30ECA">
        <w:rPr>
          <w:sz w:val="24"/>
          <w:szCs w:val="24"/>
        </w:rPr>
        <w:lastRenderedPageBreak/>
        <w:t xml:space="preserve">procedure for a </w:t>
      </w:r>
      <w:r w:rsidR="002B0AFF" w:rsidRPr="00E30ECA">
        <w:rPr>
          <w:sz w:val="24"/>
          <w:szCs w:val="24"/>
        </w:rPr>
        <w:t>multiple logistic regression model with the composite term as the dependent variable (data not shown).</w:t>
      </w:r>
    </w:p>
    <w:p w14:paraId="00602E60" w14:textId="77777777" w:rsidR="002B0AFF" w:rsidRDefault="002B0AFF" w:rsidP="003E3997">
      <w:pPr>
        <w:rPr>
          <w:sz w:val="24"/>
          <w:szCs w:val="24"/>
        </w:rPr>
      </w:pPr>
    </w:p>
    <w:p w14:paraId="04DFD951" w14:textId="77777777" w:rsidR="003E3997" w:rsidRPr="001014B2" w:rsidRDefault="003E3997" w:rsidP="003E3997">
      <w:pPr>
        <w:rPr>
          <w:sz w:val="24"/>
          <w:szCs w:val="24"/>
        </w:rPr>
      </w:pPr>
      <w:r w:rsidRPr="00D74854">
        <w:rPr>
          <w:rFonts w:cs="Calibri"/>
          <w:sz w:val="24"/>
          <w:szCs w:val="24"/>
        </w:rPr>
        <w:t xml:space="preserve">127 subjects (43.0%) lost 5 or more ETDRS letters over the course of the study of which 17 subjects (5.8%) lost 15 or more letters.  The most common primary causes of visual loss for </w:t>
      </w:r>
      <w:r w:rsidRPr="00D74854">
        <w:rPr>
          <w:sz w:val="24"/>
          <w:szCs w:val="24"/>
        </w:rPr>
        <w:t xml:space="preserve">the 127 </w:t>
      </w:r>
      <w:r w:rsidRPr="00D74854">
        <w:rPr>
          <w:rFonts w:cs="Calibri"/>
          <w:sz w:val="24"/>
          <w:szCs w:val="24"/>
        </w:rPr>
        <w:t xml:space="preserve">subjects </w:t>
      </w:r>
      <w:r w:rsidRPr="00D74854">
        <w:rPr>
          <w:sz w:val="24"/>
          <w:szCs w:val="24"/>
        </w:rPr>
        <w:t>who lost five or more letters</w:t>
      </w:r>
      <w:r w:rsidRPr="00D74854">
        <w:rPr>
          <w:rFonts w:cs="Calibri"/>
          <w:sz w:val="24"/>
          <w:szCs w:val="24"/>
        </w:rPr>
        <w:t xml:space="preserve"> were DR (38.6%) cataract (16.5%), an</w:t>
      </w:r>
      <w:r w:rsidR="00A52E58" w:rsidRPr="00D74854">
        <w:rPr>
          <w:rFonts w:cs="Calibri"/>
          <w:sz w:val="24"/>
          <w:szCs w:val="24"/>
        </w:rPr>
        <w:t>d both DR and cataract (3.9%)</w:t>
      </w:r>
      <w:r w:rsidRPr="00D74854">
        <w:rPr>
          <w:rFonts w:cs="Calibri"/>
          <w:sz w:val="24"/>
          <w:szCs w:val="24"/>
        </w:rPr>
        <w:t>.</w:t>
      </w:r>
      <w:r w:rsidRPr="001014B2">
        <w:rPr>
          <w:rFonts w:cs="Calibri"/>
          <w:sz w:val="24"/>
          <w:szCs w:val="24"/>
        </w:rPr>
        <w:t xml:space="preserve">  </w:t>
      </w:r>
      <w:r w:rsidR="006772DA">
        <w:rPr>
          <w:sz w:val="24"/>
          <w:szCs w:val="24"/>
        </w:rPr>
        <w:t>I</w:t>
      </w:r>
      <w:r w:rsidRPr="001014B2">
        <w:rPr>
          <w:sz w:val="24"/>
          <w:szCs w:val="24"/>
        </w:rPr>
        <w:t>ncidence at 24 m</w:t>
      </w:r>
      <w:r w:rsidR="008A154B">
        <w:rPr>
          <w:sz w:val="24"/>
          <w:szCs w:val="24"/>
        </w:rPr>
        <w:t>onths of developing ‘moderate visual impairment</w:t>
      </w:r>
      <w:r w:rsidRPr="001014B2">
        <w:rPr>
          <w:sz w:val="24"/>
          <w:szCs w:val="24"/>
        </w:rPr>
        <w:t>’ (50 to 59 letters; equivalent to 6/24 Snellen)</w:t>
      </w:r>
      <w:r w:rsidR="008A154B">
        <w:rPr>
          <w:sz w:val="24"/>
          <w:szCs w:val="24"/>
        </w:rPr>
        <w:t xml:space="preserve"> or ‘severe visual impairment</w:t>
      </w:r>
      <w:r w:rsidRPr="001014B2">
        <w:rPr>
          <w:sz w:val="24"/>
          <w:szCs w:val="24"/>
        </w:rPr>
        <w:t xml:space="preserve"> or blindness’ (&lt;50 letters; equivalent to 6/36 or worse) was 0.9% (0-2.0) and 1.5% (0.2-2.8), respectively (Life table method; n=322).</w:t>
      </w:r>
    </w:p>
    <w:p w14:paraId="1AA0B3FF" w14:textId="77777777" w:rsidR="00CA50EC" w:rsidRDefault="00CA50EC" w:rsidP="00CB75D4">
      <w:pPr>
        <w:pStyle w:val="NoSpacing"/>
        <w:rPr>
          <w:b/>
        </w:rPr>
      </w:pPr>
    </w:p>
    <w:p w14:paraId="22260EFF" w14:textId="77777777" w:rsidR="00C46FBB" w:rsidRPr="00CB75D4" w:rsidRDefault="00CA028B" w:rsidP="00CB75D4">
      <w:pPr>
        <w:autoSpaceDN/>
        <w:textAlignment w:val="auto"/>
        <w:rPr>
          <w:rFonts w:cs="Calibri"/>
          <w:b/>
          <w:sz w:val="24"/>
          <w:szCs w:val="24"/>
        </w:rPr>
      </w:pPr>
      <w:r>
        <w:rPr>
          <w:rFonts w:cs="Calibri"/>
          <w:b/>
          <w:sz w:val="24"/>
          <w:szCs w:val="24"/>
        </w:rPr>
        <w:t xml:space="preserve">Figure </w:t>
      </w:r>
      <w:r w:rsidR="006609A5">
        <w:rPr>
          <w:rFonts w:cs="Calibri"/>
          <w:b/>
          <w:sz w:val="24"/>
          <w:szCs w:val="24"/>
        </w:rPr>
        <w:t>1</w:t>
      </w:r>
      <w:r w:rsidR="00B011E6">
        <w:rPr>
          <w:rFonts w:cs="Calibri"/>
          <w:b/>
          <w:sz w:val="24"/>
          <w:szCs w:val="24"/>
        </w:rPr>
        <w:t xml:space="preserve"> </w:t>
      </w:r>
      <w:r w:rsidR="006772DA">
        <w:rPr>
          <w:rFonts w:cs="Calibri"/>
          <w:sz w:val="24"/>
          <w:szCs w:val="24"/>
        </w:rPr>
        <w:t>I</w:t>
      </w:r>
      <w:r w:rsidR="00B011E6" w:rsidRPr="002248A2">
        <w:rPr>
          <w:rFonts w:cs="Calibri"/>
          <w:color w:val="000000"/>
          <w:kern w:val="3"/>
          <w:sz w:val="24"/>
          <w:szCs w:val="24"/>
          <w:lang w:eastAsia="en-GB"/>
        </w:rPr>
        <w:t>ncidence</w:t>
      </w:r>
      <w:r w:rsidR="00B011E6" w:rsidRPr="007577C2">
        <w:rPr>
          <w:rFonts w:cs="Calibri"/>
          <w:color w:val="000000"/>
          <w:kern w:val="3"/>
          <w:sz w:val="24"/>
          <w:szCs w:val="24"/>
          <w:lang w:eastAsia="en-GB"/>
        </w:rPr>
        <w:t xml:space="preserve"> </w:t>
      </w:r>
      <w:r w:rsidR="00B011E6">
        <w:rPr>
          <w:rFonts w:cs="Calibri"/>
          <w:color w:val="000000"/>
          <w:kern w:val="3"/>
          <w:sz w:val="24"/>
          <w:szCs w:val="24"/>
          <w:lang w:eastAsia="en-GB"/>
        </w:rPr>
        <w:t xml:space="preserve">at 2 years </w:t>
      </w:r>
      <w:r w:rsidR="00B011E6" w:rsidRPr="007577C2">
        <w:rPr>
          <w:rFonts w:cs="Calibri"/>
          <w:color w:val="000000"/>
          <w:kern w:val="3"/>
          <w:sz w:val="24"/>
          <w:szCs w:val="24"/>
          <w:lang w:eastAsia="en-GB"/>
        </w:rPr>
        <w:t xml:space="preserve">of </w:t>
      </w:r>
      <w:r w:rsidR="00B011E6">
        <w:rPr>
          <w:rFonts w:cs="Calibri"/>
          <w:color w:val="000000"/>
          <w:kern w:val="3"/>
          <w:sz w:val="24"/>
          <w:szCs w:val="24"/>
          <w:lang w:eastAsia="en-GB"/>
        </w:rPr>
        <w:t xml:space="preserve">sight threatening diabetic retinopathy (STDR) and proliferative diabetic retinopathy (PDR; level 60+) </w:t>
      </w:r>
      <w:r w:rsidR="00B011E6" w:rsidRPr="007577C2">
        <w:rPr>
          <w:rFonts w:cs="Calibri"/>
          <w:color w:val="000000"/>
          <w:kern w:val="3"/>
          <w:sz w:val="24"/>
          <w:szCs w:val="24"/>
          <w:lang w:eastAsia="en-GB"/>
        </w:rPr>
        <w:t xml:space="preserve">and of 2 </w:t>
      </w:r>
      <w:r w:rsidR="00B011E6">
        <w:rPr>
          <w:rFonts w:cs="Calibri"/>
          <w:color w:val="000000"/>
          <w:kern w:val="3"/>
          <w:sz w:val="24"/>
          <w:szCs w:val="24"/>
          <w:lang w:eastAsia="en-GB"/>
        </w:rPr>
        <w:t xml:space="preserve">(or more) </w:t>
      </w:r>
      <w:r w:rsidR="00B011E6" w:rsidRPr="007577C2">
        <w:rPr>
          <w:rFonts w:cs="Calibri"/>
          <w:color w:val="000000"/>
          <w:kern w:val="3"/>
          <w:sz w:val="24"/>
          <w:szCs w:val="24"/>
          <w:lang w:eastAsia="en-GB"/>
        </w:rPr>
        <w:t>step and 3</w:t>
      </w:r>
      <w:r w:rsidR="00B011E6">
        <w:rPr>
          <w:rFonts w:cs="Calibri"/>
          <w:color w:val="000000"/>
          <w:kern w:val="3"/>
          <w:sz w:val="24"/>
          <w:szCs w:val="24"/>
          <w:lang w:eastAsia="en-GB"/>
        </w:rPr>
        <w:t xml:space="preserve"> (or more) </w:t>
      </w:r>
      <w:r w:rsidR="00B011E6" w:rsidRPr="007577C2">
        <w:rPr>
          <w:rFonts w:cs="Calibri"/>
          <w:color w:val="000000"/>
          <w:kern w:val="3"/>
          <w:sz w:val="24"/>
          <w:szCs w:val="24"/>
          <w:lang w:eastAsia="en-GB"/>
        </w:rPr>
        <w:t xml:space="preserve">step progression </w:t>
      </w:r>
      <w:r w:rsidR="00B011E6">
        <w:rPr>
          <w:rFonts w:cs="Calibri"/>
          <w:color w:val="000000"/>
          <w:kern w:val="3"/>
          <w:sz w:val="24"/>
          <w:szCs w:val="24"/>
          <w:lang w:eastAsia="en-GB"/>
        </w:rPr>
        <w:t xml:space="preserve">on the LDES scale </w:t>
      </w:r>
      <w:r w:rsidR="00B011E6" w:rsidRPr="007577C2">
        <w:rPr>
          <w:rFonts w:cs="Calibri"/>
          <w:color w:val="000000"/>
          <w:kern w:val="3"/>
          <w:sz w:val="24"/>
          <w:szCs w:val="24"/>
          <w:lang w:eastAsia="en-GB"/>
        </w:rPr>
        <w:t xml:space="preserve">for subjects </w:t>
      </w:r>
      <w:r w:rsidR="00B011E6">
        <w:rPr>
          <w:rFonts w:cs="Calibri"/>
          <w:color w:val="000000"/>
          <w:kern w:val="3"/>
          <w:sz w:val="24"/>
          <w:szCs w:val="24"/>
          <w:lang w:eastAsia="en-GB"/>
        </w:rPr>
        <w:t xml:space="preserve">in the MDRS </w:t>
      </w:r>
      <w:r>
        <w:rPr>
          <w:rFonts w:cs="Calibri"/>
          <w:color w:val="000000"/>
          <w:kern w:val="3"/>
          <w:sz w:val="24"/>
          <w:szCs w:val="24"/>
          <w:lang w:eastAsia="en-GB"/>
        </w:rPr>
        <w:t xml:space="preserve">24 month cohort </w:t>
      </w:r>
      <w:r w:rsidR="00B011E6" w:rsidRPr="007577C2">
        <w:rPr>
          <w:rFonts w:cs="Calibri"/>
          <w:color w:val="000000"/>
          <w:kern w:val="3"/>
          <w:sz w:val="24"/>
          <w:szCs w:val="24"/>
          <w:lang w:eastAsia="en-GB"/>
        </w:rPr>
        <w:t>with leve</w:t>
      </w:r>
      <w:r w:rsidR="00B011E6">
        <w:rPr>
          <w:rFonts w:cs="Calibri"/>
          <w:color w:val="000000"/>
          <w:kern w:val="3"/>
          <w:sz w:val="24"/>
          <w:szCs w:val="24"/>
          <w:lang w:eastAsia="en-GB"/>
        </w:rPr>
        <w:t>l 10 (n=177), level 20 (n=94),</w:t>
      </w:r>
      <w:r w:rsidR="00B011E6" w:rsidRPr="007577C2">
        <w:rPr>
          <w:rFonts w:cs="Calibri"/>
          <w:color w:val="000000"/>
          <w:kern w:val="3"/>
          <w:sz w:val="24"/>
          <w:szCs w:val="24"/>
          <w:lang w:eastAsia="en-GB"/>
        </w:rPr>
        <w:t xml:space="preserve"> level 30</w:t>
      </w:r>
      <w:r w:rsidR="00B011E6">
        <w:rPr>
          <w:rFonts w:cs="Calibri"/>
          <w:color w:val="000000"/>
          <w:kern w:val="3"/>
          <w:sz w:val="24"/>
          <w:szCs w:val="24"/>
          <w:lang w:eastAsia="en-GB"/>
        </w:rPr>
        <w:t xml:space="preserve"> (n=25), level 40 (n=26) and level 50 (n=8) retinopathy</w:t>
      </w:r>
      <w:r w:rsidR="00B011E6" w:rsidRPr="007577C2">
        <w:rPr>
          <w:rFonts w:cs="Calibri"/>
          <w:color w:val="000000"/>
          <w:kern w:val="3"/>
          <w:sz w:val="24"/>
          <w:szCs w:val="24"/>
          <w:lang w:eastAsia="en-GB"/>
        </w:rPr>
        <w:t xml:space="preserve"> at baselin</w:t>
      </w:r>
      <w:r w:rsidR="00B011E6">
        <w:rPr>
          <w:rFonts w:cs="Calibri"/>
          <w:color w:val="000000"/>
          <w:kern w:val="3"/>
          <w:sz w:val="24"/>
          <w:szCs w:val="24"/>
          <w:lang w:eastAsia="en-GB"/>
        </w:rPr>
        <w:t xml:space="preserve">e.  </w:t>
      </w:r>
      <w:r w:rsidR="00B011E6" w:rsidRPr="00CA028B">
        <w:rPr>
          <w:rFonts w:cs="Calibri"/>
          <w:color w:val="000000"/>
          <w:kern w:val="3"/>
          <w:sz w:val="24"/>
          <w:szCs w:val="24"/>
          <w:lang w:eastAsia="en-GB"/>
        </w:rPr>
        <w:t>Error bars indicate</w:t>
      </w:r>
      <w:r w:rsidR="00B011E6">
        <w:rPr>
          <w:rFonts w:cs="Calibri"/>
          <w:color w:val="000000"/>
          <w:kern w:val="3"/>
          <w:sz w:val="24"/>
          <w:szCs w:val="24"/>
          <w:lang w:eastAsia="en-GB"/>
        </w:rPr>
        <w:t xml:space="preserve"> 95% CI. Classes STDR, PDR, 2 step progression and 3 step progression are not exclusive i.e. a single subject can develop STDR </w:t>
      </w:r>
      <w:r w:rsidR="00B011E6" w:rsidRPr="00092838">
        <w:rPr>
          <w:rFonts w:cs="Calibri"/>
          <w:color w:val="000000"/>
          <w:kern w:val="3"/>
          <w:sz w:val="24"/>
          <w:szCs w:val="24"/>
          <w:u w:val="single"/>
          <w:lang w:eastAsia="en-GB"/>
        </w:rPr>
        <w:t>and</w:t>
      </w:r>
      <w:r w:rsidR="00B011E6" w:rsidRPr="00092838">
        <w:rPr>
          <w:rFonts w:cs="Calibri"/>
          <w:color w:val="000000"/>
          <w:kern w:val="3"/>
          <w:sz w:val="24"/>
          <w:szCs w:val="24"/>
          <w:lang w:eastAsia="en-GB"/>
        </w:rPr>
        <w:t xml:space="preserve"> </w:t>
      </w:r>
      <w:r w:rsidR="00072F84">
        <w:rPr>
          <w:rFonts w:cs="Calibri"/>
          <w:color w:val="000000"/>
          <w:kern w:val="3"/>
          <w:sz w:val="24"/>
          <w:szCs w:val="24"/>
          <w:lang w:eastAsia="en-GB"/>
        </w:rPr>
        <w:t xml:space="preserve">PDR </w:t>
      </w:r>
      <w:r w:rsidR="00072F84" w:rsidRPr="000B52C3">
        <w:rPr>
          <w:rFonts w:cs="Calibri"/>
          <w:color w:val="000000"/>
          <w:kern w:val="3"/>
          <w:sz w:val="24"/>
          <w:szCs w:val="24"/>
          <w:u w:val="single"/>
          <w:lang w:eastAsia="en-GB"/>
        </w:rPr>
        <w:t>and</w:t>
      </w:r>
      <w:r w:rsidR="00072F84">
        <w:rPr>
          <w:rFonts w:cs="Calibri"/>
          <w:color w:val="000000"/>
          <w:kern w:val="3"/>
          <w:sz w:val="24"/>
          <w:szCs w:val="24"/>
          <w:lang w:eastAsia="en-GB"/>
        </w:rPr>
        <w:t xml:space="preserve"> </w:t>
      </w:r>
      <w:r w:rsidR="00B011E6">
        <w:rPr>
          <w:rFonts w:cs="Calibri"/>
          <w:color w:val="000000"/>
          <w:kern w:val="3"/>
          <w:sz w:val="24"/>
          <w:szCs w:val="24"/>
          <w:lang w:eastAsia="en-GB"/>
        </w:rPr>
        <w:t>progress by 2 steps on the LDES scale.</w:t>
      </w:r>
    </w:p>
    <w:p w14:paraId="291A19A1" w14:textId="77777777" w:rsidR="007620F7" w:rsidRPr="001014B2" w:rsidRDefault="007620F7" w:rsidP="00CB75D4">
      <w:pPr>
        <w:rPr>
          <w:rFonts w:cs="Calibri"/>
          <w:color w:val="000000"/>
          <w:kern w:val="3"/>
          <w:sz w:val="24"/>
          <w:szCs w:val="24"/>
          <w:lang w:eastAsia="en-GB"/>
        </w:rPr>
      </w:pPr>
    </w:p>
    <w:p w14:paraId="6955EE2B" w14:textId="77777777" w:rsidR="00AE4D44" w:rsidRDefault="00AE4D44" w:rsidP="000F5525">
      <w:pPr>
        <w:rPr>
          <w:b/>
        </w:rPr>
      </w:pPr>
    </w:p>
    <w:p w14:paraId="209EE46B" w14:textId="77777777" w:rsidR="001176FC" w:rsidRPr="00CB75D4" w:rsidRDefault="006A0B8F" w:rsidP="00CB75D4">
      <w:pPr>
        <w:autoSpaceDN/>
        <w:spacing w:line="240" w:lineRule="auto"/>
        <w:textAlignment w:val="auto"/>
        <w:rPr>
          <w:rFonts w:cs="AdvPECFD36"/>
          <w:b/>
          <w:sz w:val="24"/>
          <w:szCs w:val="24"/>
        </w:rPr>
      </w:pPr>
      <w:r>
        <w:rPr>
          <w:rFonts w:cs="AdvPECFD36"/>
          <w:b/>
          <w:sz w:val="24"/>
          <w:szCs w:val="24"/>
        </w:rPr>
        <w:br w:type="page"/>
      </w:r>
    </w:p>
    <w:p w14:paraId="0AAD912D" w14:textId="77777777" w:rsidR="00A87E67" w:rsidRPr="009D419E" w:rsidRDefault="00935B03" w:rsidP="009D419E">
      <w:pPr>
        <w:rPr>
          <w:b/>
          <w:sz w:val="28"/>
          <w:szCs w:val="28"/>
        </w:rPr>
      </w:pPr>
      <w:r>
        <w:rPr>
          <w:b/>
          <w:sz w:val="28"/>
          <w:szCs w:val="28"/>
        </w:rPr>
        <w:lastRenderedPageBreak/>
        <w:t>Discussion</w:t>
      </w:r>
      <w:r w:rsidR="002A3563">
        <w:rPr>
          <w:b/>
          <w:sz w:val="28"/>
          <w:szCs w:val="28"/>
        </w:rPr>
        <w:t xml:space="preserve"> </w:t>
      </w:r>
    </w:p>
    <w:p w14:paraId="3FA71695" w14:textId="77777777" w:rsidR="00353AFF" w:rsidRDefault="007233F3" w:rsidP="00577693">
      <w:pPr>
        <w:pStyle w:val="NoSpacing"/>
      </w:pPr>
      <w:r w:rsidRPr="009D419E">
        <w:t xml:space="preserve">We report </w:t>
      </w:r>
      <w:r w:rsidR="00934D88" w:rsidRPr="009D419E">
        <w:t>the first prospective</w:t>
      </w:r>
      <w:r w:rsidR="00934D88">
        <w:t xml:space="preserve"> longitudinal </w:t>
      </w:r>
      <w:r w:rsidR="00961F4C">
        <w:t xml:space="preserve">study of </w:t>
      </w:r>
      <w:r w:rsidR="002256FE">
        <w:t>DR from s</w:t>
      </w:r>
      <w:r w:rsidR="00934D88">
        <w:t xml:space="preserve">ub-Saharan Africa.  </w:t>
      </w:r>
      <w:r w:rsidR="006772DA">
        <w:rPr>
          <w:rFonts w:cs="Calibri"/>
        </w:rPr>
        <w:t>I</w:t>
      </w:r>
      <w:r w:rsidR="00934D88">
        <w:rPr>
          <w:rFonts w:cs="Calibri"/>
        </w:rPr>
        <w:t>ncidence at 24 months</w:t>
      </w:r>
      <w:r w:rsidR="006009A3">
        <w:rPr>
          <w:rFonts w:cs="Calibri"/>
        </w:rPr>
        <w:t xml:space="preserve"> of any DR </w:t>
      </w:r>
      <w:r w:rsidR="00261EA8">
        <w:rPr>
          <w:rFonts w:cs="Calibri"/>
        </w:rPr>
        <w:t xml:space="preserve">(new DR) </w:t>
      </w:r>
      <w:r w:rsidR="006009A3">
        <w:rPr>
          <w:rFonts w:cs="Calibri"/>
        </w:rPr>
        <w:t>was 38.0%</w:t>
      </w:r>
      <w:r w:rsidR="006772DA">
        <w:rPr>
          <w:rFonts w:cs="Calibri"/>
        </w:rPr>
        <w:t>.  I</w:t>
      </w:r>
      <w:r>
        <w:rPr>
          <w:rFonts w:cs="Calibri"/>
        </w:rPr>
        <w:t xml:space="preserve">ncidence of STDR </w:t>
      </w:r>
      <w:r>
        <w:t>for those with</w:t>
      </w:r>
      <w:r w:rsidR="00261EA8">
        <w:t xml:space="preserve"> no (level 10)</w:t>
      </w:r>
      <w:r>
        <w:t xml:space="preserve">, </w:t>
      </w:r>
      <w:r w:rsidR="00261EA8">
        <w:t xml:space="preserve">background (level 20) </w:t>
      </w:r>
      <w:r>
        <w:t xml:space="preserve">and </w:t>
      </w:r>
      <w:r w:rsidR="00261EA8">
        <w:t xml:space="preserve">mild pre-proliferative (level 30) </w:t>
      </w:r>
      <w:r>
        <w:t>re</w:t>
      </w:r>
      <w:r w:rsidR="006009A3">
        <w:t>tinopathy at baseline was 2.7%</w:t>
      </w:r>
      <w:r w:rsidR="006009A3">
        <w:rPr>
          <w:rFonts w:cs="Calibri"/>
        </w:rPr>
        <w:t>, 27.3%</w:t>
      </w:r>
      <w:r>
        <w:t xml:space="preserve"> and </w:t>
      </w:r>
      <w:r w:rsidR="006009A3">
        <w:rPr>
          <w:rFonts w:cs="Calibri"/>
        </w:rPr>
        <w:t>25.0%</w:t>
      </w:r>
      <w:r w:rsidR="00934D88">
        <w:t>, respectively</w:t>
      </w:r>
      <w:r w:rsidR="00BF45BD">
        <w:t xml:space="preserve">.  Higher </w:t>
      </w:r>
      <w:r w:rsidR="00934D88">
        <w:t>HbA1c and</w:t>
      </w:r>
      <w:r>
        <w:t xml:space="preserve"> higher baseline grade of DR </w:t>
      </w:r>
      <w:r w:rsidR="00934D88">
        <w:t xml:space="preserve">were risk factors for progression of retinopathy in multivariate analysis.  HIV was negatively associated with progression.  Despite the availability of laser treatment, </w:t>
      </w:r>
      <w:r>
        <w:rPr>
          <w:rFonts w:cs="Calibri"/>
        </w:rPr>
        <w:t>17 subjects (5.8%)</w:t>
      </w:r>
      <w:r>
        <w:t xml:space="preserve"> </w:t>
      </w:r>
      <w:r w:rsidR="00261EA8">
        <w:t>had moderate visual loss (</w:t>
      </w:r>
      <w:r w:rsidR="00D677F2">
        <w:rPr>
          <w:rFonts w:cs="Calibri"/>
        </w:rPr>
        <w:t>lost 15 or more letters</w:t>
      </w:r>
      <w:r w:rsidR="00261EA8">
        <w:rPr>
          <w:rFonts w:cs="Calibri"/>
        </w:rPr>
        <w:t>) during the two years of the study</w:t>
      </w:r>
      <w:r w:rsidR="00D677F2">
        <w:rPr>
          <w:rFonts w:cs="Calibri"/>
        </w:rPr>
        <w:t xml:space="preserve">.  </w:t>
      </w:r>
      <w:r w:rsidR="00D677F2">
        <w:t xml:space="preserve">  </w:t>
      </w:r>
    </w:p>
    <w:p w14:paraId="081A248E" w14:textId="77777777" w:rsidR="00D677F2" w:rsidRDefault="00D677F2" w:rsidP="008B6213">
      <w:pPr>
        <w:pStyle w:val="NoSpacing"/>
      </w:pPr>
    </w:p>
    <w:p w14:paraId="6DF90791" w14:textId="77777777" w:rsidR="00961F4C" w:rsidRDefault="0029247B" w:rsidP="00A87A12">
      <w:pPr>
        <w:rPr>
          <w:sz w:val="24"/>
          <w:szCs w:val="24"/>
        </w:rPr>
      </w:pPr>
      <w:r w:rsidRPr="009D419E">
        <w:rPr>
          <w:sz w:val="24"/>
          <w:szCs w:val="24"/>
        </w:rPr>
        <w:t xml:space="preserve">Few </w:t>
      </w:r>
      <w:r w:rsidR="00A87A12" w:rsidRPr="009D419E">
        <w:rPr>
          <w:sz w:val="24"/>
          <w:szCs w:val="24"/>
        </w:rPr>
        <w:t xml:space="preserve">high quality </w:t>
      </w:r>
      <w:r w:rsidRPr="009D419E">
        <w:rPr>
          <w:sz w:val="24"/>
          <w:szCs w:val="24"/>
        </w:rPr>
        <w:t>cohort studies are available</w:t>
      </w:r>
      <w:r w:rsidRPr="0029247B">
        <w:rPr>
          <w:sz w:val="24"/>
          <w:szCs w:val="24"/>
        </w:rPr>
        <w:t xml:space="preserve"> for comparison from the African </w:t>
      </w:r>
      <w:r w:rsidR="00A87A12">
        <w:rPr>
          <w:sz w:val="24"/>
          <w:szCs w:val="24"/>
        </w:rPr>
        <w:t xml:space="preserve">or Asian </w:t>
      </w:r>
      <w:r w:rsidRPr="0029247B">
        <w:rPr>
          <w:sz w:val="24"/>
          <w:szCs w:val="24"/>
        </w:rPr>
        <w:t>continent</w:t>
      </w:r>
      <w:r w:rsidR="00A87A12">
        <w:rPr>
          <w:sz w:val="24"/>
          <w:szCs w:val="24"/>
        </w:rPr>
        <w:t>s</w:t>
      </w:r>
      <w:r w:rsidR="009468D5">
        <w:rPr>
          <w:sz w:val="24"/>
          <w:szCs w:val="24"/>
        </w:rPr>
        <w:t>.  In Mauritius</w:t>
      </w:r>
      <w:r w:rsidRPr="0029247B">
        <w:rPr>
          <w:sz w:val="24"/>
          <w:szCs w:val="24"/>
        </w:rPr>
        <w:t xml:space="preserve"> researchers followed up a population b</w:t>
      </w:r>
      <w:r w:rsidR="00753991">
        <w:rPr>
          <w:sz w:val="24"/>
          <w:szCs w:val="24"/>
        </w:rPr>
        <w:t>ased study performed in 1992</w:t>
      </w:r>
      <w:r w:rsidR="009F150A">
        <w:rPr>
          <w:sz w:val="24"/>
          <w:szCs w:val="24"/>
        </w:rPr>
        <w:t xml:space="preserve"> [</w:t>
      </w:r>
      <w:r w:rsidR="00F87C23">
        <w:rPr>
          <w:sz w:val="24"/>
          <w:szCs w:val="24"/>
        </w:rPr>
        <w:t>21</w:t>
      </w:r>
      <w:r w:rsidR="009F150A">
        <w:rPr>
          <w:sz w:val="24"/>
          <w:szCs w:val="24"/>
        </w:rPr>
        <w:t>]</w:t>
      </w:r>
      <w:r w:rsidRPr="0029247B">
        <w:rPr>
          <w:sz w:val="24"/>
          <w:szCs w:val="24"/>
        </w:rPr>
        <w:t xml:space="preserve"> with a surv</w:t>
      </w:r>
      <w:r w:rsidR="003408BA">
        <w:rPr>
          <w:sz w:val="24"/>
          <w:szCs w:val="24"/>
        </w:rPr>
        <w:t xml:space="preserve">ey of diabetes complications </w:t>
      </w:r>
      <w:r w:rsidR="009468D5">
        <w:rPr>
          <w:sz w:val="24"/>
          <w:szCs w:val="24"/>
        </w:rPr>
        <w:t xml:space="preserve">in </w:t>
      </w:r>
      <w:r w:rsidR="009468D5" w:rsidRPr="0029247B">
        <w:rPr>
          <w:sz w:val="24"/>
          <w:szCs w:val="24"/>
        </w:rPr>
        <w:t>1998</w:t>
      </w:r>
      <w:r w:rsidR="009F150A">
        <w:rPr>
          <w:sz w:val="24"/>
          <w:szCs w:val="24"/>
        </w:rPr>
        <w:t xml:space="preserve"> [</w:t>
      </w:r>
      <w:r w:rsidR="00F87C23">
        <w:rPr>
          <w:sz w:val="24"/>
          <w:szCs w:val="24"/>
        </w:rPr>
        <w:t>22</w:t>
      </w:r>
      <w:r w:rsidR="009F150A">
        <w:rPr>
          <w:sz w:val="24"/>
          <w:szCs w:val="24"/>
        </w:rPr>
        <w:t>]</w:t>
      </w:r>
      <w:r w:rsidRPr="0029247B">
        <w:rPr>
          <w:sz w:val="24"/>
          <w:szCs w:val="24"/>
        </w:rPr>
        <w:t>.  The 6 year incidence of DR and PDR in subjects with diabetes but no DR in the first sur</w:t>
      </w:r>
      <w:r w:rsidR="006009A3">
        <w:rPr>
          <w:sz w:val="24"/>
          <w:szCs w:val="24"/>
        </w:rPr>
        <w:t>vey was 23.8% and 0.4%</w:t>
      </w:r>
      <w:r w:rsidRPr="0029247B">
        <w:rPr>
          <w:sz w:val="24"/>
          <w:szCs w:val="24"/>
        </w:rPr>
        <w:t xml:space="preserve">, respectively.  </w:t>
      </w:r>
      <w:r w:rsidR="003408BA">
        <w:rPr>
          <w:sz w:val="24"/>
          <w:szCs w:val="24"/>
        </w:rPr>
        <w:t xml:space="preserve">  </w:t>
      </w:r>
      <w:r w:rsidR="00FC6B17">
        <w:rPr>
          <w:sz w:val="24"/>
          <w:szCs w:val="24"/>
        </w:rPr>
        <w:t>T</w:t>
      </w:r>
      <w:r w:rsidRPr="0029247B">
        <w:rPr>
          <w:sz w:val="24"/>
          <w:szCs w:val="24"/>
        </w:rPr>
        <w:t xml:space="preserve">he 6 year incidence of PDR in subjects with mild non-proliferative diabetic retinopathy (NPDR) (equivalent to level 20 in LDES grading) </w:t>
      </w:r>
      <w:r w:rsidR="009468D5">
        <w:rPr>
          <w:sz w:val="24"/>
          <w:szCs w:val="24"/>
        </w:rPr>
        <w:t xml:space="preserve">and </w:t>
      </w:r>
      <w:r w:rsidR="009468D5" w:rsidRPr="0095644F">
        <w:rPr>
          <w:sz w:val="24"/>
          <w:szCs w:val="24"/>
        </w:rPr>
        <w:t xml:space="preserve">moderate NPDR (equivalent to LDES level 30 or level 40) </w:t>
      </w:r>
      <w:r w:rsidR="006009A3">
        <w:rPr>
          <w:sz w:val="24"/>
          <w:szCs w:val="24"/>
        </w:rPr>
        <w:t>was 5.2% and 29.4%</w:t>
      </w:r>
      <w:r w:rsidR="009468D5" w:rsidRPr="0095644F">
        <w:rPr>
          <w:sz w:val="24"/>
          <w:szCs w:val="24"/>
        </w:rPr>
        <w:t xml:space="preserve">, respectively.  </w:t>
      </w:r>
      <w:r w:rsidR="0095644F" w:rsidRPr="0095644F">
        <w:rPr>
          <w:sz w:val="24"/>
          <w:szCs w:val="24"/>
        </w:rPr>
        <w:t xml:space="preserve">  </w:t>
      </w:r>
      <w:r w:rsidR="00A87A12" w:rsidRPr="0095644F">
        <w:rPr>
          <w:sz w:val="24"/>
          <w:szCs w:val="24"/>
        </w:rPr>
        <w:t>C</w:t>
      </w:r>
      <w:r w:rsidR="005A268F" w:rsidRPr="0095644F">
        <w:rPr>
          <w:sz w:val="24"/>
          <w:szCs w:val="24"/>
        </w:rPr>
        <w:t xml:space="preserve">ompared to recent </w:t>
      </w:r>
      <w:r w:rsidR="00C91172" w:rsidRPr="0095644F">
        <w:rPr>
          <w:sz w:val="24"/>
          <w:szCs w:val="24"/>
        </w:rPr>
        <w:t xml:space="preserve">studies of </w:t>
      </w:r>
      <w:r w:rsidR="005A268F" w:rsidRPr="0095644F">
        <w:rPr>
          <w:sz w:val="24"/>
          <w:szCs w:val="24"/>
        </w:rPr>
        <w:t>European</w:t>
      </w:r>
      <w:r w:rsidR="00C91172" w:rsidRPr="0095644F">
        <w:rPr>
          <w:sz w:val="24"/>
          <w:szCs w:val="24"/>
        </w:rPr>
        <w:t xml:space="preserve"> screening programmes</w:t>
      </w:r>
      <w:r w:rsidR="005E719E" w:rsidRPr="0095644F">
        <w:rPr>
          <w:sz w:val="24"/>
          <w:szCs w:val="24"/>
        </w:rPr>
        <w:t>,</w:t>
      </w:r>
      <w:r w:rsidR="005A268F" w:rsidRPr="0095644F">
        <w:rPr>
          <w:sz w:val="24"/>
          <w:szCs w:val="24"/>
        </w:rPr>
        <w:t xml:space="preserve"> </w:t>
      </w:r>
      <w:r w:rsidR="0095644F" w:rsidRPr="0095644F">
        <w:rPr>
          <w:sz w:val="24"/>
          <w:szCs w:val="24"/>
        </w:rPr>
        <w:t xml:space="preserve">in the MDRS 2 year progression to STDR from no DR (level 10) and from background DR (level 20) </w:t>
      </w:r>
      <w:r w:rsidR="005A268F" w:rsidRPr="0095644F">
        <w:rPr>
          <w:sz w:val="24"/>
          <w:szCs w:val="24"/>
        </w:rPr>
        <w:t xml:space="preserve">was approximately 3 times </w:t>
      </w:r>
      <w:r w:rsidR="0095644F" w:rsidRPr="0095644F">
        <w:rPr>
          <w:sz w:val="24"/>
          <w:szCs w:val="24"/>
        </w:rPr>
        <w:t>(</w:t>
      </w:r>
      <w:r w:rsidR="006009A3">
        <w:rPr>
          <w:sz w:val="24"/>
          <w:szCs w:val="24"/>
        </w:rPr>
        <w:t>2.7%</w:t>
      </w:r>
      <w:r w:rsidR="00753991">
        <w:rPr>
          <w:sz w:val="24"/>
          <w:szCs w:val="24"/>
        </w:rPr>
        <w:t xml:space="preserve"> vs estimates between 0.5% and 0.8%</w:t>
      </w:r>
      <w:r w:rsidR="009F150A">
        <w:rPr>
          <w:sz w:val="24"/>
          <w:szCs w:val="24"/>
        </w:rPr>
        <w:t xml:space="preserve"> [</w:t>
      </w:r>
      <w:r w:rsidR="009A1A4B">
        <w:rPr>
          <w:sz w:val="24"/>
          <w:szCs w:val="24"/>
        </w:rPr>
        <w:t>2,</w:t>
      </w:r>
      <w:r w:rsidR="00F87C23">
        <w:rPr>
          <w:sz w:val="24"/>
          <w:szCs w:val="24"/>
        </w:rPr>
        <w:t>23,</w:t>
      </w:r>
      <w:r w:rsidR="009A1A4B">
        <w:rPr>
          <w:sz w:val="24"/>
          <w:szCs w:val="24"/>
        </w:rPr>
        <w:t>24,25</w:t>
      </w:r>
      <w:r w:rsidR="009F150A">
        <w:rPr>
          <w:sz w:val="24"/>
          <w:szCs w:val="24"/>
        </w:rPr>
        <w:t>]</w:t>
      </w:r>
      <w:r w:rsidR="009A1A4B">
        <w:rPr>
          <w:sz w:val="24"/>
          <w:szCs w:val="24"/>
        </w:rPr>
        <w:t>)</w:t>
      </w:r>
      <w:r w:rsidR="0095644F" w:rsidRPr="0095644F">
        <w:rPr>
          <w:sz w:val="24"/>
          <w:szCs w:val="24"/>
        </w:rPr>
        <w:t xml:space="preserve"> and 2.5 times higher (</w:t>
      </w:r>
      <w:r w:rsidR="006009A3">
        <w:rPr>
          <w:sz w:val="24"/>
          <w:szCs w:val="24"/>
        </w:rPr>
        <w:t>27.3%</w:t>
      </w:r>
      <w:r w:rsidR="005A268F" w:rsidRPr="0095644F">
        <w:rPr>
          <w:sz w:val="24"/>
          <w:szCs w:val="24"/>
        </w:rPr>
        <w:t xml:space="preserve"> vs estim</w:t>
      </w:r>
      <w:r w:rsidR="00D4453C" w:rsidRPr="0095644F">
        <w:rPr>
          <w:sz w:val="24"/>
          <w:szCs w:val="24"/>
        </w:rPr>
        <w:t>ates bet</w:t>
      </w:r>
      <w:r w:rsidR="00946573">
        <w:rPr>
          <w:sz w:val="24"/>
          <w:szCs w:val="24"/>
        </w:rPr>
        <w:t xml:space="preserve">ween </w:t>
      </w:r>
      <w:r w:rsidR="00753991">
        <w:rPr>
          <w:sz w:val="24"/>
          <w:szCs w:val="24"/>
        </w:rPr>
        <w:t>6.4</w:t>
      </w:r>
      <w:r w:rsidR="009F150A">
        <w:rPr>
          <w:sz w:val="24"/>
          <w:szCs w:val="24"/>
        </w:rPr>
        <w:t xml:space="preserve"> [25]</w:t>
      </w:r>
      <w:r w:rsidR="00D4453C" w:rsidRPr="00946573">
        <w:rPr>
          <w:sz w:val="24"/>
          <w:szCs w:val="24"/>
        </w:rPr>
        <w:t xml:space="preserve"> and 11.2</w:t>
      </w:r>
      <w:r w:rsidR="00053B17" w:rsidRPr="00946573">
        <w:rPr>
          <w:sz w:val="24"/>
          <w:szCs w:val="24"/>
        </w:rPr>
        <w:t>%</w:t>
      </w:r>
      <w:r w:rsidR="009F150A">
        <w:rPr>
          <w:sz w:val="24"/>
          <w:szCs w:val="24"/>
        </w:rPr>
        <w:t xml:space="preserve"> [2]</w:t>
      </w:r>
      <w:r w:rsidR="0095644F" w:rsidRPr="00946573">
        <w:rPr>
          <w:sz w:val="24"/>
          <w:szCs w:val="24"/>
        </w:rPr>
        <w:t>), respectively</w:t>
      </w:r>
      <w:r w:rsidR="0095644F" w:rsidRPr="0095644F">
        <w:rPr>
          <w:sz w:val="24"/>
          <w:szCs w:val="24"/>
        </w:rPr>
        <w:t>.</w:t>
      </w:r>
      <w:r w:rsidR="00961F4C">
        <w:rPr>
          <w:sz w:val="24"/>
          <w:szCs w:val="24"/>
        </w:rPr>
        <w:t xml:space="preserve">  </w:t>
      </w:r>
    </w:p>
    <w:p w14:paraId="05A4376C" w14:textId="77777777" w:rsidR="00CB75D4" w:rsidRDefault="00CB75D4" w:rsidP="00A87A12">
      <w:pPr>
        <w:rPr>
          <w:sz w:val="24"/>
          <w:szCs w:val="24"/>
          <w:highlight w:val="yellow"/>
        </w:rPr>
      </w:pPr>
    </w:p>
    <w:p w14:paraId="07EED386" w14:textId="77777777" w:rsidR="00666A32" w:rsidRDefault="00412082" w:rsidP="00666A32">
      <w:pPr>
        <w:rPr>
          <w:sz w:val="24"/>
          <w:szCs w:val="24"/>
        </w:rPr>
      </w:pPr>
      <w:r w:rsidRPr="009D419E">
        <w:rPr>
          <w:sz w:val="24"/>
          <w:szCs w:val="24"/>
        </w:rPr>
        <w:t>Differences</w:t>
      </w:r>
      <w:r w:rsidRPr="009D419E">
        <w:rPr>
          <w:rFonts w:cs="Calibri"/>
          <w:sz w:val="24"/>
          <w:szCs w:val="24"/>
        </w:rPr>
        <w:t xml:space="preserve"> </w:t>
      </w:r>
      <w:r w:rsidRPr="009D419E">
        <w:rPr>
          <w:sz w:val="24"/>
          <w:szCs w:val="24"/>
        </w:rPr>
        <w:t>between our study</w:t>
      </w:r>
      <w:r w:rsidRPr="00412082">
        <w:rPr>
          <w:sz w:val="24"/>
          <w:szCs w:val="24"/>
        </w:rPr>
        <w:t xml:space="preserve"> and recent European work are likely to reflect </w:t>
      </w:r>
      <w:r w:rsidRPr="00412082">
        <w:rPr>
          <w:rFonts w:cs="Calibri"/>
          <w:sz w:val="24"/>
          <w:szCs w:val="24"/>
        </w:rPr>
        <w:t>disparities</w:t>
      </w:r>
      <w:r w:rsidRPr="00412082">
        <w:rPr>
          <w:sz w:val="24"/>
          <w:szCs w:val="24"/>
        </w:rPr>
        <w:t xml:space="preserve"> in </w:t>
      </w:r>
      <w:r w:rsidR="004D70ED">
        <w:rPr>
          <w:sz w:val="24"/>
          <w:szCs w:val="24"/>
        </w:rPr>
        <w:t xml:space="preserve">diabetic care, </w:t>
      </w:r>
      <w:r w:rsidRPr="00412082">
        <w:rPr>
          <w:rFonts w:cs="Calibri"/>
          <w:sz w:val="24"/>
          <w:szCs w:val="24"/>
        </w:rPr>
        <w:t>ethnicity, access to health services and presence of comorbidities</w:t>
      </w:r>
      <w:r w:rsidR="00E5282D">
        <w:rPr>
          <w:rFonts w:cs="Calibri"/>
          <w:sz w:val="24"/>
          <w:szCs w:val="24"/>
        </w:rPr>
        <w:t xml:space="preserve">.  </w:t>
      </w:r>
      <w:r w:rsidR="00FF1EED" w:rsidRPr="00412082">
        <w:rPr>
          <w:rFonts w:cs="Calibri"/>
          <w:sz w:val="24"/>
          <w:szCs w:val="24"/>
        </w:rPr>
        <w:t xml:space="preserve">The high crude mortality </w:t>
      </w:r>
      <w:r w:rsidRPr="00412082">
        <w:rPr>
          <w:rFonts w:cs="Calibri"/>
          <w:sz w:val="24"/>
          <w:szCs w:val="24"/>
        </w:rPr>
        <w:t>rate</w:t>
      </w:r>
      <w:r w:rsidR="004D70ED">
        <w:rPr>
          <w:rFonts w:cs="Calibri"/>
          <w:sz w:val="24"/>
          <w:szCs w:val="24"/>
        </w:rPr>
        <w:t xml:space="preserve"> (8% over 2 years)</w:t>
      </w:r>
      <w:r w:rsidRPr="00412082">
        <w:rPr>
          <w:rFonts w:cs="Calibri"/>
          <w:sz w:val="24"/>
          <w:szCs w:val="24"/>
        </w:rPr>
        <w:t xml:space="preserve"> </w:t>
      </w:r>
      <w:r w:rsidR="00FF1EED" w:rsidRPr="00412082">
        <w:rPr>
          <w:rFonts w:cs="Calibri"/>
          <w:sz w:val="24"/>
          <w:szCs w:val="24"/>
        </w:rPr>
        <w:t xml:space="preserve">in our cohort </w:t>
      </w:r>
      <w:r w:rsidRPr="00412082">
        <w:rPr>
          <w:rFonts w:cs="Calibri"/>
          <w:sz w:val="24"/>
          <w:szCs w:val="24"/>
        </w:rPr>
        <w:t>is comparable with data from Tanzania</w:t>
      </w:r>
      <w:r w:rsidRPr="00412082">
        <w:rPr>
          <w:sz w:val="24"/>
          <w:szCs w:val="24"/>
        </w:rPr>
        <w:t xml:space="preserve">.  </w:t>
      </w:r>
      <w:r w:rsidR="00196AC7">
        <w:rPr>
          <w:sz w:val="24"/>
          <w:szCs w:val="24"/>
        </w:rPr>
        <w:t>I</w:t>
      </w:r>
      <w:r w:rsidR="00196AC7" w:rsidRPr="00412082">
        <w:rPr>
          <w:sz w:val="24"/>
          <w:szCs w:val="24"/>
        </w:rPr>
        <w:t>n a prospective cohort study</w:t>
      </w:r>
      <w:r w:rsidR="00196AC7">
        <w:rPr>
          <w:sz w:val="24"/>
          <w:szCs w:val="24"/>
        </w:rPr>
        <w:t>,</w:t>
      </w:r>
      <w:r w:rsidR="00196AC7" w:rsidRPr="00412082">
        <w:rPr>
          <w:sz w:val="24"/>
          <w:szCs w:val="24"/>
        </w:rPr>
        <w:t xml:space="preserve"> </w:t>
      </w:r>
      <w:r w:rsidRPr="00412082">
        <w:rPr>
          <w:sz w:val="24"/>
          <w:szCs w:val="24"/>
        </w:rPr>
        <w:t xml:space="preserve">McLarty et </w:t>
      </w:r>
      <w:r w:rsidR="00753991">
        <w:rPr>
          <w:sz w:val="24"/>
          <w:szCs w:val="24"/>
        </w:rPr>
        <w:t>al</w:t>
      </w:r>
      <w:r w:rsidR="00267D59">
        <w:rPr>
          <w:sz w:val="24"/>
          <w:szCs w:val="24"/>
        </w:rPr>
        <w:t xml:space="preserve"> [26]</w:t>
      </w:r>
      <w:r w:rsidRPr="004B6FD5">
        <w:rPr>
          <w:sz w:val="24"/>
          <w:szCs w:val="24"/>
        </w:rPr>
        <w:t xml:space="preserve"> reported</w:t>
      </w:r>
      <w:r w:rsidRPr="00412082">
        <w:rPr>
          <w:sz w:val="24"/>
          <w:szCs w:val="24"/>
        </w:rPr>
        <w:t xml:space="preserve"> 5 year mortality of 40.5% in those with insulin dependent diabetes and 19.0% in subjects with non-insulin dependent diabetes.  In contrast the </w:t>
      </w:r>
      <w:r>
        <w:rPr>
          <w:sz w:val="24"/>
          <w:szCs w:val="24"/>
        </w:rPr>
        <w:t>UKPDS</w:t>
      </w:r>
      <w:r w:rsidR="00267D59">
        <w:rPr>
          <w:sz w:val="24"/>
          <w:szCs w:val="24"/>
        </w:rPr>
        <w:t xml:space="preserve"> [27]</w:t>
      </w:r>
      <w:r>
        <w:rPr>
          <w:sz w:val="24"/>
          <w:szCs w:val="24"/>
        </w:rPr>
        <w:t xml:space="preserve"> reported all-</w:t>
      </w:r>
      <w:r w:rsidRPr="00412082">
        <w:rPr>
          <w:sz w:val="24"/>
          <w:szCs w:val="24"/>
        </w:rPr>
        <w:t>cause mortality across all study participants at mean 10.0 years f</w:t>
      </w:r>
      <w:r w:rsidR="006009A3">
        <w:rPr>
          <w:sz w:val="24"/>
          <w:szCs w:val="24"/>
        </w:rPr>
        <w:t>ollow-up to be 17.9%</w:t>
      </w:r>
      <w:r w:rsidRPr="00412082">
        <w:rPr>
          <w:sz w:val="24"/>
          <w:szCs w:val="24"/>
        </w:rPr>
        <w:t>.  I</w:t>
      </w:r>
      <w:r w:rsidR="00753991">
        <w:rPr>
          <w:sz w:val="24"/>
          <w:szCs w:val="24"/>
        </w:rPr>
        <w:t>n the more recent ACCORD study</w:t>
      </w:r>
      <w:r w:rsidR="00267D59">
        <w:rPr>
          <w:sz w:val="24"/>
          <w:szCs w:val="24"/>
        </w:rPr>
        <w:t xml:space="preserve"> [28]</w:t>
      </w:r>
      <w:r w:rsidRPr="00412082">
        <w:rPr>
          <w:sz w:val="24"/>
          <w:szCs w:val="24"/>
        </w:rPr>
        <w:t xml:space="preserve"> </w:t>
      </w:r>
      <w:r>
        <w:rPr>
          <w:sz w:val="24"/>
          <w:szCs w:val="24"/>
        </w:rPr>
        <w:t>at mean 3.5 years follow-up all-</w:t>
      </w:r>
      <w:r w:rsidRPr="00412082">
        <w:rPr>
          <w:sz w:val="24"/>
          <w:szCs w:val="24"/>
        </w:rPr>
        <w:t>cause mortality was</w:t>
      </w:r>
      <w:r w:rsidR="006009A3">
        <w:rPr>
          <w:sz w:val="24"/>
          <w:szCs w:val="24"/>
        </w:rPr>
        <w:t xml:space="preserve"> 4.5%</w:t>
      </w:r>
      <w:r w:rsidR="00E5282D">
        <w:rPr>
          <w:sz w:val="24"/>
          <w:szCs w:val="24"/>
        </w:rPr>
        <w:t xml:space="preserve">.  </w:t>
      </w:r>
      <w:r w:rsidRPr="00E5282D">
        <w:rPr>
          <w:rFonts w:asciiTheme="minorHAnsi" w:eastAsia="FreeSans" w:hAnsiTheme="minorHAnsi" w:cs="FreeSans"/>
          <w:sz w:val="24"/>
          <w:szCs w:val="24"/>
        </w:rPr>
        <w:t xml:space="preserve">The </w:t>
      </w:r>
      <w:r w:rsidR="00196AC7" w:rsidRPr="00E5282D">
        <w:rPr>
          <w:rFonts w:asciiTheme="minorHAnsi" w:eastAsia="FreeSans" w:hAnsiTheme="minorHAnsi" w:cs="FreeSans"/>
          <w:sz w:val="24"/>
          <w:szCs w:val="24"/>
        </w:rPr>
        <w:t>association of death in the MD</w:t>
      </w:r>
      <w:r w:rsidR="005F3422">
        <w:rPr>
          <w:rFonts w:asciiTheme="minorHAnsi" w:eastAsia="FreeSans" w:hAnsiTheme="minorHAnsi" w:cs="FreeSans"/>
          <w:sz w:val="24"/>
          <w:szCs w:val="24"/>
        </w:rPr>
        <w:t xml:space="preserve">RS with STDR suggests poor </w:t>
      </w:r>
      <w:proofErr w:type="spellStart"/>
      <w:r w:rsidR="004C48B6">
        <w:rPr>
          <w:rFonts w:asciiTheme="minorHAnsi" w:eastAsia="FreeSans" w:hAnsiTheme="minorHAnsi" w:cs="FreeSans"/>
          <w:sz w:val="24"/>
          <w:szCs w:val="24"/>
        </w:rPr>
        <w:t>glyc</w:t>
      </w:r>
      <w:r w:rsidR="004C48B6" w:rsidRPr="00E5282D">
        <w:rPr>
          <w:rFonts w:asciiTheme="minorHAnsi" w:eastAsia="FreeSans" w:hAnsiTheme="minorHAnsi" w:cs="FreeSans"/>
          <w:sz w:val="24"/>
          <w:szCs w:val="24"/>
        </w:rPr>
        <w:t>emic</w:t>
      </w:r>
      <w:proofErr w:type="spellEnd"/>
      <w:r w:rsidR="00196AC7" w:rsidRPr="00E5282D">
        <w:rPr>
          <w:rFonts w:asciiTheme="minorHAnsi" w:eastAsia="FreeSans" w:hAnsiTheme="minorHAnsi" w:cs="FreeSans"/>
          <w:sz w:val="24"/>
          <w:szCs w:val="24"/>
        </w:rPr>
        <w:t xml:space="preserve"> control and presence of ot</w:t>
      </w:r>
      <w:r w:rsidR="006009A3">
        <w:rPr>
          <w:rFonts w:asciiTheme="minorHAnsi" w:eastAsia="FreeSans" w:hAnsiTheme="minorHAnsi" w:cs="FreeSans"/>
          <w:sz w:val="24"/>
          <w:szCs w:val="24"/>
        </w:rPr>
        <w:t xml:space="preserve">her complications of diabetes.  </w:t>
      </w:r>
      <w:r w:rsidR="004D70ED">
        <w:rPr>
          <w:rFonts w:asciiTheme="minorHAnsi" w:eastAsia="FreeSans" w:hAnsiTheme="minorHAnsi" w:cs="FreeSans"/>
          <w:sz w:val="24"/>
          <w:szCs w:val="24"/>
        </w:rPr>
        <w:t>The h</w:t>
      </w:r>
      <w:r w:rsidR="00196AC7" w:rsidRPr="00E5282D">
        <w:rPr>
          <w:rFonts w:asciiTheme="minorHAnsi" w:eastAsia="FreeSans" w:hAnsiTheme="minorHAnsi" w:cs="FreeSans"/>
          <w:sz w:val="24"/>
          <w:szCs w:val="24"/>
        </w:rPr>
        <w:t xml:space="preserve">igh </w:t>
      </w:r>
      <w:r w:rsidR="00E5282D" w:rsidRPr="00E5282D">
        <w:rPr>
          <w:rFonts w:asciiTheme="minorHAnsi" w:eastAsia="FreeSans" w:hAnsiTheme="minorHAnsi" w:cs="FreeSans"/>
          <w:sz w:val="24"/>
          <w:szCs w:val="24"/>
        </w:rPr>
        <w:t xml:space="preserve">mortality </w:t>
      </w:r>
      <w:r w:rsidR="004D70ED">
        <w:rPr>
          <w:rFonts w:asciiTheme="minorHAnsi" w:eastAsia="FreeSans" w:hAnsiTheme="minorHAnsi" w:cs="FreeSans"/>
          <w:sz w:val="24"/>
          <w:szCs w:val="24"/>
        </w:rPr>
        <w:t>indicates the need for improved diabetes care in sub-Saharan Africa, but</w:t>
      </w:r>
      <w:r w:rsidR="004D70ED" w:rsidRPr="00E5282D">
        <w:rPr>
          <w:rFonts w:asciiTheme="minorHAnsi" w:eastAsia="FreeSans" w:hAnsiTheme="minorHAnsi" w:cs="FreeSans"/>
          <w:sz w:val="24"/>
          <w:szCs w:val="24"/>
        </w:rPr>
        <w:t xml:space="preserve"> in </w:t>
      </w:r>
      <w:r w:rsidR="004D70ED">
        <w:rPr>
          <w:rFonts w:asciiTheme="minorHAnsi" w:eastAsia="FreeSans" w:hAnsiTheme="minorHAnsi" w:cs="FreeSans"/>
          <w:sz w:val="24"/>
          <w:szCs w:val="24"/>
        </w:rPr>
        <w:t xml:space="preserve">the </w:t>
      </w:r>
      <w:r w:rsidR="004D70ED">
        <w:rPr>
          <w:rFonts w:asciiTheme="minorHAnsi" w:eastAsia="FreeSans" w:hAnsiTheme="minorHAnsi" w:cs="FreeSans"/>
          <w:sz w:val="24"/>
          <w:szCs w:val="24"/>
        </w:rPr>
        <w:lastRenderedPageBreak/>
        <w:t>context of</w:t>
      </w:r>
      <w:r w:rsidR="00E5282D" w:rsidRPr="00E5282D">
        <w:rPr>
          <w:rFonts w:asciiTheme="minorHAnsi" w:eastAsia="FreeSans" w:hAnsiTheme="minorHAnsi" w:cs="FreeSans"/>
          <w:sz w:val="24"/>
          <w:szCs w:val="24"/>
        </w:rPr>
        <w:t xml:space="preserve"> our study is an important </w:t>
      </w:r>
      <w:r w:rsidR="00E5282D" w:rsidRPr="00E5282D">
        <w:rPr>
          <w:rFonts w:cs="Calibri"/>
          <w:sz w:val="24"/>
          <w:szCs w:val="24"/>
        </w:rPr>
        <w:t>cause of data censoring.</w:t>
      </w:r>
      <w:r w:rsidR="00E5282D" w:rsidRPr="00E5282D">
        <w:rPr>
          <w:sz w:val="24"/>
          <w:szCs w:val="24"/>
        </w:rPr>
        <w:t xml:space="preserve">  As diabetes care improves the prevalence of retinopathy may (paradoxically) go up due to case survival.</w:t>
      </w:r>
      <w:r w:rsidR="00666A32">
        <w:rPr>
          <w:sz w:val="24"/>
          <w:szCs w:val="24"/>
        </w:rPr>
        <w:t xml:space="preserve">  </w:t>
      </w:r>
    </w:p>
    <w:p w14:paraId="70357260" w14:textId="77777777" w:rsidR="00666A32" w:rsidRPr="005C7DFA" w:rsidRDefault="00666A32" w:rsidP="00666A32">
      <w:pPr>
        <w:rPr>
          <w:sz w:val="24"/>
          <w:szCs w:val="24"/>
        </w:rPr>
      </w:pPr>
    </w:p>
    <w:p w14:paraId="4D71BDA4" w14:textId="77777777" w:rsidR="0087090F" w:rsidRPr="00A57B00" w:rsidRDefault="00C83ABF" w:rsidP="00666A32">
      <w:pPr>
        <w:rPr>
          <w:sz w:val="24"/>
          <w:szCs w:val="24"/>
        </w:rPr>
      </w:pPr>
      <w:r w:rsidRPr="00A57B00">
        <w:rPr>
          <w:sz w:val="24"/>
          <w:szCs w:val="24"/>
          <w:lang w:val="en-US"/>
        </w:rPr>
        <w:t>We report a</w:t>
      </w:r>
      <w:r w:rsidR="005712D3" w:rsidRPr="00A57B00">
        <w:rPr>
          <w:sz w:val="24"/>
          <w:szCs w:val="24"/>
          <w:lang w:val="en-US"/>
        </w:rPr>
        <w:t xml:space="preserve"> negative association </w:t>
      </w:r>
      <w:r w:rsidR="005712D3" w:rsidRPr="00A57B00">
        <w:rPr>
          <w:sz w:val="24"/>
          <w:szCs w:val="24"/>
        </w:rPr>
        <w:t>between D</w:t>
      </w:r>
      <w:r w:rsidRPr="00A57B00">
        <w:rPr>
          <w:sz w:val="24"/>
          <w:szCs w:val="24"/>
        </w:rPr>
        <w:t>R progression and HIV infection</w:t>
      </w:r>
      <w:r w:rsidR="002441F5" w:rsidRPr="00A57B00">
        <w:rPr>
          <w:sz w:val="24"/>
          <w:szCs w:val="24"/>
        </w:rPr>
        <w:t>: a novel finding</w:t>
      </w:r>
      <w:r w:rsidR="00666A32" w:rsidRPr="00A57B00">
        <w:rPr>
          <w:sz w:val="24"/>
          <w:szCs w:val="24"/>
        </w:rPr>
        <w:t xml:space="preserve">.  An important potential confounder of this relationship is early diagnosis of diabetes in HIV positive subjects already attending health facilities.  </w:t>
      </w:r>
      <w:r w:rsidR="008B6DA1">
        <w:rPr>
          <w:sz w:val="24"/>
          <w:szCs w:val="24"/>
        </w:rPr>
        <w:t>R</w:t>
      </w:r>
      <w:r w:rsidR="00A57B00" w:rsidRPr="00A57B00">
        <w:rPr>
          <w:sz w:val="24"/>
          <w:szCs w:val="24"/>
        </w:rPr>
        <w:t xml:space="preserve">educed progression may have been influenced by high mortality in subjects with HIV and diabetes removing subjects </w:t>
      </w:r>
      <w:proofErr w:type="gramStart"/>
      <w:r w:rsidR="00A57B00" w:rsidRPr="00A57B00">
        <w:rPr>
          <w:sz w:val="24"/>
          <w:szCs w:val="24"/>
        </w:rPr>
        <w:t>whose</w:t>
      </w:r>
      <w:proofErr w:type="gramEnd"/>
      <w:r w:rsidR="00A57B00" w:rsidRPr="00A57B00">
        <w:rPr>
          <w:sz w:val="24"/>
          <w:szCs w:val="24"/>
        </w:rPr>
        <w:t xml:space="preserve"> DR would have otherwise progressed</w:t>
      </w:r>
      <w:r w:rsidR="00666A32" w:rsidRPr="00A57B00">
        <w:rPr>
          <w:sz w:val="24"/>
          <w:szCs w:val="24"/>
        </w:rPr>
        <w:t xml:space="preserve">.  </w:t>
      </w:r>
      <w:r w:rsidR="008B6DA1">
        <w:rPr>
          <w:sz w:val="24"/>
          <w:szCs w:val="24"/>
        </w:rPr>
        <w:t xml:space="preserve">This possibility is supported by our sensitivity analysis: progression of retinopathy was not associated, in univariate or multivariate analysis, with </w:t>
      </w:r>
      <w:r w:rsidR="008B6DA1" w:rsidRPr="00E30ECA">
        <w:rPr>
          <w:sz w:val="24"/>
          <w:szCs w:val="24"/>
        </w:rPr>
        <w:t>a composite variable of either 2 step progression at 24 months or death during the study</w:t>
      </w:r>
      <w:r w:rsidR="008B6DA1">
        <w:rPr>
          <w:sz w:val="24"/>
          <w:szCs w:val="24"/>
        </w:rPr>
        <w:t xml:space="preserve">.  </w:t>
      </w:r>
      <w:r w:rsidR="005712D3" w:rsidRPr="00A57B00">
        <w:rPr>
          <w:sz w:val="24"/>
          <w:szCs w:val="24"/>
        </w:rPr>
        <w:t xml:space="preserve">Both HIV infection and anti-retroviral therapies are associated with a </w:t>
      </w:r>
      <w:proofErr w:type="spellStart"/>
      <w:proofErr w:type="gramStart"/>
      <w:r w:rsidR="005712D3" w:rsidRPr="00A57B00">
        <w:rPr>
          <w:sz w:val="24"/>
          <w:szCs w:val="24"/>
        </w:rPr>
        <w:t>vasculopathy</w:t>
      </w:r>
      <w:proofErr w:type="spellEnd"/>
      <w:r w:rsidR="005712D3" w:rsidRPr="00A57B00">
        <w:rPr>
          <w:sz w:val="24"/>
          <w:szCs w:val="24"/>
        </w:rPr>
        <w:t xml:space="preserve"> which</w:t>
      </w:r>
      <w:proofErr w:type="gramEnd"/>
      <w:r w:rsidR="005712D3" w:rsidRPr="00A57B00">
        <w:rPr>
          <w:sz w:val="24"/>
          <w:szCs w:val="24"/>
        </w:rPr>
        <w:t xml:space="preserve"> manifests as increased cardiovascula</w:t>
      </w:r>
      <w:r w:rsidR="00753991" w:rsidRPr="00A57B00">
        <w:rPr>
          <w:sz w:val="24"/>
          <w:szCs w:val="24"/>
        </w:rPr>
        <w:t>r and cerebrovascular risk</w:t>
      </w:r>
      <w:r w:rsidR="00267D59">
        <w:rPr>
          <w:sz w:val="24"/>
          <w:szCs w:val="24"/>
        </w:rPr>
        <w:t xml:space="preserve"> [29,30]</w:t>
      </w:r>
      <w:r w:rsidR="005712D3" w:rsidRPr="00A57B00">
        <w:rPr>
          <w:sz w:val="24"/>
          <w:szCs w:val="24"/>
        </w:rPr>
        <w:t>.  Low grade proteinuria is highly prevalent in HIV positive patients taking ART and is more common in persons w</w:t>
      </w:r>
      <w:r w:rsidR="00753991" w:rsidRPr="00A57B00">
        <w:rPr>
          <w:sz w:val="24"/>
          <w:szCs w:val="24"/>
        </w:rPr>
        <w:t>ith concomitant diabetes</w:t>
      </w:r>
      <w:r w:rsidR="00267D59">
        <w:rPr>
          <w:sz w:val="24"/>
          <w:szCs w:val="24"/>
        </w:rPr>
        <w:t xml:space="preserve"> [31]</w:t>
      </w:r>
      <w:r w:rsidRPr="00A57B00">
        <w:rPr>
          <w:sz w:val="24"/>
          <w:szCs w:val="24"/>
        </w:rPr>
        <w:t xml:space="preserve">. </w:t>
      </w:r>
      <w:r w:rsidR="00A57B00">
        <w:rPr>
          <w:sz w:val="24"/>
          <w:szCs w:val="24"/>
        </w:rPr>
        <w:t xml:space="preserve"> A real negative association between HIV and DR is biologically plausible but </w:t>
      </w:r>
      <w:r w:rsidR="009E07A9" w:rsidRPr="00A57B00">
        <w:rPr>
          <w:sz w:val="24"/>
          <w:szCs w:val="24"/>
        </w:rPr>
        <w:t>this finding should be treated with caution</w:t>
      </w:r>
      <w:r w:rsidR="009E07A9">
        <w:rPr>
          <w:sz w:val="24"/>
          <w:szCs w:val="24"/>
        </w:rPr>
        <w:t>.</w:t>
      </w:r>
    </w:p>
    <w:p w14:paraId="1F8524A8" w14:textId="77777777" w:rsidR="0087090F" w:rsidRDefault="0087090F" w:rsidP="00666A32">
      <w:pPr>
        <w:rPr>
          <w:sz w:val="24"/>
          <w:szCs w:val="24"/>
        </w:rPr>
      </w:pPr>
    </w:p>
    <w:p w14:paraId="51DBFFF8" w14:textId="77777777" w:rsidR="009E07A9" w:rsidRPr="009E07A9" w:rsidRDefault="00540A94" w:rsidP="009E07A9">
      <w:pPr>
        <w:rPr>
          <w:sz w:val="24"/>
          <w:szCs w:val="24"/>
        </w:rPr>
      </w:pPr>
      <w:r w:rsidRPr="005C7DFA">
        <w:rPr>
          <w:sz w:val="24"/>
          <w:szCs w:val="24"/>
        </w:rPr>
        <w:t>In the MDR</w:t>
      </w:r>
      <w:r w:rsidR="00BF45BD" w:rsidRPr="005C7DFA">
        <w:rPr>
          <w:sz w:val="24"/>
          <w:szCs w:val="24"/>
        </w:rPr>
        <w:t xml:space="preserve">S 24 month cohort study lower </w:t>
      </w:r>
      <w:proofErr w:type="spellStart"/>
      <w:r w:rsidR="00043593">
        <w:rPr>
          <w:sz w:val="24"/>
          <w:szCs w:val="24"/>
        </w:rPr>
        <w:t>h</w:t>
      </w:r>
      <w:r w:rsidR="004C48B6" w:rsidRPr="005C7DFA">
        <w:rPr>
          <w:sz w:val="24"/>
          <w:szCs w:val="24"/>
        </w:rPr>
        <w:t>emoglobin</w:t>
      </w:r>
      <w:proofErr w:type="spellEnd"/>
      <w:r w:rsidRPr="005C7DFA">
        <w:rPr>
          <w:sz w:val="24"/>
          <w:szCs w:val="24"/>
        </w:rPr>
        <w:t xml:space="preserve"> was associated with presence of STDR a</w:t>
      </w:r>
      <w:r w:rsidR="00753991" w:rsidRPr="005C7DFA">
        <w:rPr>
          <w:sz w:val="24"/>
          <w:szCs w:val="24"/>
        </w:rPr>
        <w:t>t baseline (</w:t>
      </w:r>
      <w:r w:rsidR="00753991" w:rsidRPr="00267D59">
        <w:rPr>
          <w:sz w:val="24"/>
          <w:szCs w:val="24"/>
        </w:rPr>
        <w:t>reported elsewhere</w:t>
      </w:r>
      <w:r w:rsidR="00267D59" w:rsidRPr="00267D59">
        <w:rPr>
          <w:sz w:val="24"/>
          <w:szCs w:val="24"/>
        </w:rPr>
        <w:t xml:space="preserve"> [1</w:t>
      </w:r>
      <w:r w:rsidR="00B87FF3">
        <w:rPr>
          <w:sz w:val="24"/>
          <w:szCs w:val="24"/>
        </w:rPr>
        <w:t>4</w:t>
      </w:r>
      <w:r w:rsidR="00267D59" w:rsidRPr="00267D59">
        <w:rPr>
          <w:sz w:val="24"/>
          <w:szCs w:val="24"/>
        </w:rPr>
        <w:t>]</w:t>
      </w:r>
      <w:r w:rsidRPr="00267D59">
        <w:rPr>
          <w:sz w:val="24"/>
          <w:szCs w:val="24"/>
        </w:rPr>
        <w:t>) but not</w:t>
      </w:r>
      <w:r w:rsidRPr="005C7DFA">
        <w:rPr>
          <w:sz w:val="24"/>
          <w:szCs w:val="24"/>
        </w:rPr>
        <w:t xml:space="preserve"> with progressio</w:t>
      </w:r>
      <w:r w:rsidR="00D9314E" w:rsidRPr="005C7DFA">
        <w:rPr>
          <w:sz w:val="24"/>
          <w:szCs w:val="24"/>
        </w:rPr>
        <w:t xml:space="preserve">n of DR.  </w:t>
      </w:r>
      <w:r w:rsidRPr="005C7DFA">
        <w:rPr>
          <w:rFonts w:eastAsia="Times New Roman"/>
          <w:sz w:val="24"/>
          <w:szCs w:val="24"/>
          <w:lang w:eastAsia="en-GB"/>
        </w:rPr>
        <w:t>Cross sectional (but not cohort) studies have demonstrated an associatio</w:t>
      </w:r>
      <w:r w:rsidR="00BF45BD" w:rsidRPr="005C7DFA">
        <w:rPr>
          <w:rFonts w:eastAsia="Times New Roman"/>
          <w:sz w:val="24"/>
          <w:szCs w:val="24"/>
          <w:lang w:eastAsia="en-GB"/>
        </w:rPr>
        <w:t xml:space="preserve">n between presence of DR and </w:t>
      </w:r>
      <w:proofErr w:type="spellStart"/>
      <w:r w:rsidR="00043593">
        <w:rPr>
          <w:rFonts w:eastAsia="Times New Roman"/>
          <w:sz w:val="24"/>
          <w:szCs w:val="24"/>
          <w:lang w:eastAsia="en-GB"/>
        </w:rPr>
        <w:t>an</w:t>
      </w:r>
      <w:r w:rsidR="004C48B6" w:rsidRPr="005C7DFA">
        <w:rPr>
          <w:rFonts w:eastAsia="Times New Roman"/>
          <w:sz w:val="24"/>
          <w:szCs w:val="24"/>
          <w:lang w:eastAsia="en-GB"/>
        </w:rPr>
        <w:t>emia</w:t>
      </w:r>
      <w:proofErr w:type="spellEnd"/>
      <w:r w:rsidR="00753991" w:rsidRPr="005C7DFA">
        <w:rPr>
          <w:rFonts w:eastAsia="Times New Roman"/>
          <w:sz w:val="24"/>
          <w:szCs w:val="24"/>
          <w:lang w:eastAsia="en-GB"/>
        </w:rPr>
        <w:t xml:space="preserve"> in India</w:t>
      </w:r>
      <w:r w:rsidR="00267D59">
        <w:rPr>
          <w:rFonts w:eastAsia="Times New Roman"/>
          <w:sz w:val="24"/>
          <w:szCs w:val="24"/>
          <w:lang w:eastAsia="en-GB"/>
        </w:rPr>
        <w:t xml:space="preserve"> [32-34]</w:t>
      </w:r>
      <w:r w:rsidR="00753991" w:rsidRPr="005C7DFA">
        <w:rPr>
          <w:rFonts w:eastAsia="Times New Roman"/>
          <w:sz w:val="24"/>
          <w:szCs w:val="24"/>
          <w:lang w:eastAsia="en-GB"/>
        </w:rPr>
        <w:t xml:space="preserve"> and China</w:t>
      </w:r>
      <w:r w:rsidR="00267D59">
        <w:rPr>
          <w:rFonts w:eastAsia="Times New Roman"/>
          <w:sz w:val="24"/>
          <w:szCs w:val="24"/>
          <w:lang w:eastAsia="en-GB"/>
        </w:rPr>
        <w:t xml:space="preserve"> [35]</w:t>
      </w:r>
      <w:r w:rsidR="00D9314E" w:rsidRPr="005C7DFA">
        <w:rPr>
          <w:rFonts w:eastAsia="Times New Roman"/>
          <w:sz w:val="24"/>
          <w:szCs w:val="24"/>
          <w:lang w:eastAsia="en-GB"/>
        </w:rPr>
        <w:t xml:space="preserve">.  </w:t>
      </w:r>
      <w:r w:rsidR="00F24B2E" w:rsidRPr="005C7DFA">
        <w:rPr>
          <w:rFonts w:eastAsia="Times New Roman"/>
          <w:sz w:val="24"/>
          <w:szCs w:val="24"/>
          <w:lang w:eastAsia="en-GB"/>
        </w:rPr>
        <w:t xml:space="preserve">Potential confounders of the association between </w:t>
      </w:r>
      <w:proofErr w:type="spellStart"/>
      <w:r w:rsidR="00043593">
        <w:rPr>
          <w:rFonts w:eastAsia="Times New Roman"/>
          <w:sz w:val="24"/>
          <w:szCs w:val="24"/>
          <w:lang w:eastAsia="en-GB"/>
        </w:rPr>
        <w:t>h</w:t>
      </w:r>
      <w:r w:rsidR="004C48B6" w:rsidRPr="005C7DFA">
        <w:rPr>
          <w:rFonts w:eastAsia="Times New Roman"/>
          <w:sz w:val="24"/>
          <w:szCs w:val="24"/>
          <w:lang w:eastAsia="en-GB"/>
        </w:rPr>
        <w:t>emoglobin</w:t>
      </w:r>
      <w:proofErr w:type="spellEnd"/>
      <w:r w:rsidR="00F24B2E" w:rsidRPr="005C7DFA">
        <w:rPr>
          <w:rFonts w:eastAsia="Times New Roman"/>
          <w:sz w:val="24"/>
          <w:szCs w:val="24"/>
          <w:lang w:eastAsia="en-GB"/>
        </w:rPr>
        <w:t xml:space="preserve"> and retinopathy are socioeconomic and nutritional status and </w:t>
      </w:r>
      <w:r w:rsidR="00F24B2E" w:rsidRPr="005C7DFA">
        <w:rPr>
          <w:sz w:val="24"/>
          <w:szCs w:val="24"/>
        </w:rPr>
        <w:t>decreased erythropoietin production</w:t>
      </w:r>
      <w:r w:rsidR="00F24B2E" w:rsidRPr="005C7DFA">
        <w:rPr>
          <w:rFonts w:eastAsia="Times New Roman"/>
          <w:sz w:val="24"/>
          <w:szCs w:val="24"/>
          <w:lang w:eastAsia="en-GB"/>
        </w:rPr>
        <w:t xml:space="preserve"> due to diabetic nephropathy.  </w:t>
      </w:r>
      <w:r w:rsidR="00F24B2E" w:rsidRPr="005C7DFA">
        <w:rPr>
          <w:sz w:val="24"/>
          <w:szCs w:val="24"/>
        </w:rPr>
        <w:t>A plausible mechanism for the relationship is</w:t>
      </w:r>
      <w:r w:rsidR="00F24B2E" w:rsidRPr="005C7DFA">
        <w:rPr>
          <w:rFonts w:eastAsia="Times New Roman"/>
          <w:sz w:val="24"/>
          <w:szCs w:val="24"/>
          <w:lang w:eastAsia="en-GB"/>
        </w:rPr>
        <w:t xml:space="preserve"> impaired oxygen delivery.</w:t>
      </w:r>
      <w:r w:rsidR="00F24B2E" w:rsidRPr="005C7DFA">
        <w:rPr>
          <w:sz w:val="24"/>
          <w:szCs w:val="24"/>
        </w:rPr>
        <w:t xml:space="preserve">  </w:t>
      </w:r>
      <w:r w:rsidRPr="005C7DFA">
        <w:rPr>
          <w:rFonts w:eastAsia="Times New Roman"/>
          <w:sz w:val="24"/>
          <w:szCs w:val="24"/>
          <w:lang w:eastAsia="en-GB"/>
        </w:rPr>
        <w:t>Whether treatme</w:t>
      </w:r>
      <w:r w:rsidR="00BF45BD" w:rsidRPr="005C7DFA">
        <w:rPr>
          <w:rFonts w:eastAsia="Times New Roman"/>
          <w:sz w:val="24"/>
          <w:szCs w:val="24"/>
          <w:lang w:eastAsia="en-GB"/>
        </w:rPr>
        <w:t xml:space="preserve">nt of </w:t>
      </w:r>
      <w:proofErr w:type="spellStart"/>
      <w:r w:rsidR="00043593">
        <w:rPr>
          <w:rFonts w:eastAsia="Times New Roman"/>
          <w:sz w:val="24"/>
          <w:szCs w:val="24"/>
          <w:lang w:eastAsia="en-GB"/>
        </w:rPr>
        <w:t>an</w:t>
      </w:r>
      <w:r w:rsidR="004C48B6" w:rsidRPr="005C7DFA">
        <w:rPr>
          <w:rFonts w:eastAsia="Times New Roman"/>
          <w:sz w:val="24"/>
          <w:szCs w:val="24"/>
          <w:lang w:eastAsia="en-GB"/>
        </w:rPr>
        <w:t>emia</w:t>
      </w:r>
      <w:proofErr w:type="spellEnd"/>
      <w:r w:rsidRPr="005C7DFA">
        <w:rPr>
          <w:rFonts w:eastAsia="Times New Roman"/>
          <w:sz w:val="24"/>
          <w:szCs w:val="24"/>
          <w:lang w:eastAsia="en-GB"/>
        </w:rPr>
        <w:t xml:space="preserve"> reduces diabetic microvascular </w:t>
      </w:r>
      <w:r w:rsidRPr="009E07A9">
        <w:rPr>
          <w:rFonts w:eastAsia="Times New Roman"/>
          <w:sz w:val="24"/>
          <w:szCs w:val="24"/>
          <w:lang w:eastAsia="en-GB"/>
        </w:rPr>
        <w:t xml:space="preserve">complications is not known.  </w:t>
      </w:r>
      <w:r w:rsidRPr="009E07A9">
        <w:rPr>
          <w:rFonts w:eastAsia="Times New Roman" w:cs="AdvPECFD34"/>
          <w:sz w:val="24"/>
          <w:szCs w:val="24"/>
          <w:lang w:eastAsia="en-GB"/>
        </w:rPr>
        <w:t xml:space="preserve">Iron supplementation has significant potential drawbacks in diabetes: both high iron level and iron </w:t>
      </w:r>
      <w:proofErr w:type="gramStart"/>
      <w:r w:rsidRPr="009E07A9">
        <w:rPr>
          <w:rFonts w:eastAsia="Times New Roman" w:cs="AdvPECFD34"/>
          <w:sz w:val="24"/>
          <w:szCs w:val="24"/>
          <w:lang w:eastAsia="en-GB"/>
        </w:rPr>
        <w:t>supplementation have</w:t>
      </w:r>
      <w:proofErr w:type="gramEnd"/>
      <w:r w:rsidRPr="009E07A9">
        <w:rPr>
          <w:rFonts w:eastAsia="Times New Roman" w:cs="AdvPECFD34"/>
          <w:sz w:val="24"/>
          <w:szCs w:val="24"/>
          <w:lang w:eastAsia="en-GB"/>
        </w:rPr>
        <w:t xml:space="preserve"> been associated wi</w:t>
      </w:r>
      <w:r w:rsidR="00753991" w:rsidRPr="009E07A9">
        <w:rPr>
          <w:rFonts w:eastAsia="Times New Roman" w:cs="AdvPECFD34"/>
          <w:sz w:val="24"/>
          <w:szCs w:val="24"/>
          <w:lang w:eastAsia="en-GB"/>
        </w:rPr>
        <w:t>th gestational diabetes</w:t>
      </w:r>
      <w:r w:rsidR="00267D59">
        <w:rPr>
          <w:rFonts w:eastAsia="Times New Roman" w:cs="AdvPECFD34"/>
          <w:sz w:val="24"/>
          <w:szCs w:val="24"/>
          <w:lang w:eastAsia="en-GB"/>
        </w:rPr>
        <w:t xml:space="preserve"> [36,37]</w:t>
      </w:r>
      <w:r w:rsidR="00D9314E" w:rsidRPr="009E07A9">
        <w:rPr>
          <w:rFonts w:eastAsia="Times New Roman" w:cs="AdvPECFD34"/>
          <w:sz w:val="24"/>
          <w:szCs w:val="24"/>
          <w:lang w:eastAsia="en-GB"/>
        </w:rPr>
        <w:t>.</w:t>
      </w:r>
      <w:r w:rsidR="009E07A9" w:rsidRPr="009E07A9">
        <w:rPr>
          <w:rFonts w:eastAsia="Times New Roman" w:cs="AdvPECFD34"/>
          <w:sz w:val="24"/>
          <w:szCs w:val="24"/>
          <w:lang w:eastAsia="en-GB"/>
        </w:rPr>
        <w:t xml:space="preserve">  </w:t>
      </w:r>
      <w:r w:rsidR="002441F5" w:rsidRPr="009E07A9">
        <w:rPr>
          <w:rFonts w:eastAsia="Times New Roman"/>
          <w:sz w:val="24"/>
          <w:szCs w:val="24"/>
          <w:lang w:eastAsia="en-GB"/>
        </w:rPr>
        <w:t>To our</w:t>
      </w:r>
      <w:r w:rsidR="00D9314E" w:rsidRPr="009E07A9">
        <w:rPr>
          <w:rFonts w:eastAsia="Times New Roman"/>
          <w:sz w:val="24"/>
          <w:szCs w:val="24"/>
          <w:lang w:eastAsia="en-GB"/>
        </w:rPr>
        <w:t xml:space="preserve"> knowledge </w:t>
      </w:r>
      <w:r w:rsidR="00D9314E" w:rsidRPr="009E07A9">
        <w:rPr>
          <w:sz w:val="24"/>
          <w:szCs w:val="24"/>
        </w:rPr>
        <w:t>no studies from Africa have reported longitudinal visual acuity (VA) d</w:t>
      </w:r>
      <w:r w:rsidR="009D419E" w:rsidRPr="009E07A9">
        <w:rPr>
          <w:sz w:val="24"/>
          <w:szCs w:val="24"/>
        </w:rPr>
        <w:t xml:space="preserve">ata in subjects with diabetes.  </w:t>
      </w:r>
      <w:r w:rsidR="00D9314E" w:rsidRPr="009E07A9">
        <w:rPr>
          <w:rFonts w:cs="Calibri"/>
          <w:sz w:val="24"/>
          <w:szCs w:val="24"/>
        </w:rPr>
        <w:t xml:space="preserve">While the MDRS was an observational cohort study, subjects could take up medical interventions </w:t>
      </w:r>
      <w:r w:rsidR="002441F5" w:rsidRPr="009E07A9">
        <w:rPr>
          <w:rFonts w:cs="Calibri"/>
          <w:sz w:val="24"/>
          <w:szCs w:val="24"/>
        </w:rPr>
        <w:t xml:space="preserve">with potential for improvement of vision including </w:t>
      </w:r>
      <w:r w:rsidR="00D9314E" w:rsidRPr="009E07A9">
        <w:rPr>
          <w:rFonts w:cs="Calibri"/>
          <w:sz w:val="24"/>
          <w:szCs w:val="24"/>
        </w:rPr>
        <w:t xml:space="preserve">laser photocoagulation and cataract surgery.  </w:t>
      </w:r>
      <w:r w:rsidR="009D419E" w:rsidRPr="009E07A9">
        <w:rPr>
          <w:rFonts w:cs="Calibri"/>
          <w:sz w:val="24"/>
          <w:szCs w:val="24"/>
        </w:rPr>
        <w:t>Without these interventions visual loss</w:t>
      </w:r>
      <w:r w:rsidR="00D9314E" w:rsidRPr="009E07A9">
        <w:rPr>
          <w:rFonts w:cs="Calibri"/>
          <w:sz w:val="24"/>
          <w:szCs w:val="24"/>
        </w:rPr>
        <w:t xml:space="preserve"> is likely </w:t>
      </w:r>
      <w:r w:rsidR="009D419E" w:rsidRPr="009E07A9">
        <w:rPr>
          <w:rFonts w:cs="Calibri"/>
          <w:sz w:val="24"/>
          <w:szCs w:val="24"/>
        </w:rPr>
        <w:t>to have been greater</w:t>
      </w:r>
      <w:r w:rsidR="00D9314E" w:rsidRPr="009E07A9">
        <w:rPr>
          <w:rFonts w:cs="Calibri"/>
          <w:sz w:val="24"/>
          <w:szCs w:val="24"/>
        </w:rPr>
        <w:t>.</w:t>
      </w:r>
      <w:r w:rsidR="009D419E" w:rsidRPr="009E07A9">
        <w:rPr>
          <w:rFonts w:cs="Calibri"/>
          <w:sz w:val="24"/>
          <w:szCs w:val="24"/>
        </w:rPr>
        <w:t xml:space="preserve">  </w:t>
      </w:r>
    </w:p>
    <w:p w14:paraId="7FF7BD1C" w14:textId="77777777" w:rsidR="009E07A9" w:rsidRPr="009E07A9" w:rsidRDefault="009E07A9" w:rsidP="006F2F4C">
      <w:pPr>
        <w:pStyle w:val="NoSpacing"/>
        <w:rPr>
          <w:rFonts w:cs="Calibri"/>
        </w:rPr>
      </w:pPr>
    </w:p>
    <w:p w14:paraId="5E1ECA37" w14:textId="77777777" w:rsidR="006F2F4C" w:rsidRPr="009E07A9" w:rsidRDefault="0076630D" w:rsidP="006F2F4C">
      <w:pPr>
        <w:pStyle w:val="NoSpacing"/>
      </w:pPr>
      <w:r w:rsidRPr="009D419E">
        <w:lastRenderedPageBreak/>
        <w:t>We recognise the limitations</w:t>
      </w:r>
      <w:r>
        <w:t xml:space="preserve"> of our clinic-based study.  Barriers to attendance include transportation costs, competing economic tasks (planting </w:t>
      </w:r>
      <w:r w:rsidR="00475635">
        <w:t xml:space="preserve">and harvesting staple crops), </w:t>
      </w:r>
      <w:r>
        <w:t xml:space="preserve">and ignorance </w:t>
      </w:r>
      <w:r w:rsidR="00475635">
        <w:t xml:space="preserve">of health </w:t>
      </w:r>
      <w:r>
        <w:t>services.</w:t>
      </w:r>
      <w:r>
        <w:rPr>
          <w:rFonts w:cs="AdvTT5bf2ac07"/>
        </w:rPr>
        <w:t xml:space="preserve"> Patients who do not attend clinics may be less likely to be diagnosed with diabetes or to comply with therapy.  Conversely those with established complications</w:t>
      </w:r>
      <w:r>
        <w:t xml:space="preserve"> </w:t>
      </w:r>
      <w:r>
        <w:rPr>
          <w:rFonts w:cs="AdvTT5bf2ac07"/>
        </w:rPr>
        <w:t>may be more likely to attend clinics and participate in research studies.  The MDRS included few subjects</w:t>
      </w:r>
      <w:r w:rsidR="00753991">
        <w:rPr>
          <w:rFonts w:cs="AdvTT5bf2ac07"/>
        </w:rPr>
        <w:t xml:space="preserve"> with diet controlled diabetes</w:t>
      </w:r>
      <w:r w:rsidR="00D6309B">
        <w:rPr>
          <w:rFonts w:cs="AdvTT5bf2ac07"/>
        </w:rPr>
        <w:t xml:space="preserve"> </w:t>
      </w:r>
      <w:r w:rsidR="009E07A9">
        <w:rPr>
          <w:rFonts w:cs="AdvTT5bf2ac07"/>
        </w:rPr>
        <w:t xml:space="preserve">because very few of these attend the diabetic clinic </w:t>
      </w:r>
      <w:r w:rsidR="00267D59">
        <w:rPr>
          <w:rFonts w:cs="AdvTT5bf2ac07"/>
        </w:rPr>
        <w:t>[1</w:t>
      </w:r>
      <w:r w:rsidR="00B87FF3">
        <w:rPr>
          <w:rFonts w:cs="AdvTT5bf2ac07"/>
        </w:rPr>
        <w:t>4</w:t>
      </w:r>
      <w:r w:rsidR="00267D59">
        <w:rPr>
          <w:rFonts w:cs="AdvTT5bf2ac07"/>
        </w:rPr>
        <w:t>]</w:t>
      </w:r>
      <w:r>
        <w:rPr>
          <w:rFonts w:cs="AdvTT5bf2ac07"/>
        </w:rPr>
        <w:t>.  While some patients travel long distances to attend clinics, rural subjects are likely</w:t>
      </w:r>
      <w:r w:rsidR="009D419E">
        <w:rPr>
          <w:rFonts w:cs="AdvTT5bf2ac07"/>
        </w:rPr>
        <w:t xml:space="preserve"> to</w:t>
      </w:r>
      <w:r>
        <w:rPr>
          <w:rFonts w:cs="AdvTT5bf2ac07"/>
        </w:rPr>
        <w:t xml:space="preserve"> </w:t>
      </w:r>
      <w:r w:rsidR="00475635">
        <w:rPr>
          <w:rFonts w:cs="AdvTT5bf2ac07"/>
        </w:rPr>
        <w:t>represent</w:t>
      </w:r>
      <w:r>
        <w:rPr>
          <w:rFonts w:cs="AdvTT5bf2ac07"/>
        </w:rPr>
        <w:t xml:space="preserve"> a selected sub-group o</w:t>
      </w:r>
      <w:r w:rsidR="00FF7713">
        <w:rPr>
          <w:rFonts w:cs="AdvTT5bf2ac07"/>
        </w:rPr>
        <w:t xml:space="preserve">f the rural diabetes population.  </w:t>
      </w:r>
      <w:r w:rsidR="006F2F4C" w:rsidRPr="00A60F4D">
        <w:rPr>
          <w:rFonts w:cs="AdvPSSAB-R"/>
        </w:rPr>
        <w:t>The prevalence of diabetes in Africa is increasing rapidly and there is an urge</w:t>
      </w:r>
      <w:r w:rsidR="00475635">
        <w:rPr>
          <w:rFonts w:cs="AdvPSSAB-R"/>
        </w:rPr>
        <w:t>nt need for service provision</w:t>
      </w:r>
      <w:r w:rsidR="006F2F4C" w:rsidRPr="00A60F4D">
        <w:rPr>
          <w:rFonts w:eastAsia="Times New Roman"/>
          <w:lang w:eastAsia="en-GB"/>
        </w:rPr>
        <w:t xml:space="preserve">.  Future studies must provide an evidence base for </w:t>
      </w:r>
      <w:r w:rsidR="006F2F4C" w:rsidRPr="00A60F4D">
        <w:rPr>
          <w:rFonts w:cs="AdvPSSAB-R"/>
        </w:rPr>
        <w:t xml:space="preserve">prevention, early detection and management programmes </w:t>
      </w:r>
      <w:r w:rsidR="009E07A9">
        <w:rPr>
          <w:rFonts w:cs="AdvPSSAB-R"/>
        </w:rPr>
        <w:t xml:space="preserve">for DR </w:t>
      </w:r>
      <w:r w:rsidR="006F2F4C" w:rsidRPr="00A60F4D">
        <w:rPr>
          <w:rFonts w:cs="AdvPSSAB-R"/>
        </w:rPr>
        <w:t>in the region.  Our findings represent a baseline against which the efficacy and cost-effectiveness of such interventions can be judged.</w:t>
      </w:r>
    </w:p>
    <w:p w14:paraId="5E408150" w14:textId="77777777" w:rsidR="006F2F4C" w:rsidRPr="00A60F4D" w:rsidRDefault="006F2F4C" w:rsidP="006F2F4C">
      <w:pPr>
        <w:pStyle w:val="NoSpacing"/>
        <w:rPr>
          <w:rFonts w:eastAsia="Times New Roman"/>
          <w:lang w:eastAsia="en-GB"/>
        </w:rPr>
      </w:pPr>
    </w:p>
    <w:p w14:paraId="6BADB207" w14:textId="77777777" w:rsidR="008B6213" w:rsidRPr="00A60F4D" w:rsidRDefault="008B6213" w:rsidP="006F2F4C">
      <w:pPr>
        <w:pStyle w:val="NoSpacing"/>
      </w:pPr>
    </w:p>
    <w:p w14:paraId="019399D4" w14:textId="77777777" w:rsidR="00EA2929" w:rsidRPr="00706CDF" w:rsidRDefault="00EA2929" w:rsidP="00EA2929">
      <w:pPr>
        <w:pStyle w:val="NoSpacing"/>
        <w:rPr>
          <w:b/>
        </w:rPr>
      </w:pPr>
      <w:r w:rsidRPr="00706CDF">
        <w:rPr>
          <w:b/>
        </w:rPr>
        <w:t>Acknowledgements</w:t>
      </w:r>
    </w:p>
    <w:p w14:paraId="1681010E" w14:textId="77777777" w:rsidR="009F150A" w:rsidRDefault="009F150A" w:rsidP="009F150A">
      <w:pPr>
        <w:pStyle w:val="NoSpacing"/>
      </w:pPr>
      <w:r>
        <w:t xml:space="preserve">The authors acknowledge the hard work of the MDRS study team: Sister Chrissy </w:t>
      </w:r>
      <w:proofErr w:type="spellStart"/>
      <w:r>
        <w:t>Pindani</w:t>
      </w:r>
      <w:proofErr w:type="spellEnd"/>
      <w:r>
        <w:t xml:space="preserve">, Frank </w:t>
      </w:r>
      <w:proofErr w:type="spellStart"/>
      <w:r>
        <w:t>Mbewe</w:t>
      </w:r>
      <w:proofErr w:type="spellEnd"/>
      <w:r>
        <w:t xml:space="preserve">, Owen </w:t>
      </w:r>
      <w:proofErr w:type="spellStart"/>
      <w:r>
        <w:t>Mkangadzula</w:t>
      </w:r>
      <w:proofErr w:type="spellEnd"/>
      <w:r>
        <w:t xml:space="preserve">, </w:t>
      </w:r>
      <w:proofErr w:type="spellStart"/>
      <w:r>
        <w:t>Munthali</w:t>
      </w:r>
      <w:proofErr w:type="spellEnd"/>
      <w:r>
        <w:t xml:space="preserve"> Desire, </w:t>
      </w:r>
      <w:proofErr w:type="spellStart"/>
      <w:r>
        <w:t>Moffat</w:t>
      </w:r>
      <w:proofErr w:type="spellEnd"/>
      <w:r>
        <w:t xml:space="preserve"> </w:t>
      </w:r>
      <w:proofErr w:type="spellStart"/>
      <w:r>
        <w:t>Chidzuwa</w:t>
      </w:r>
      <w:proofErr w:type="spellEnd"/>
      <w:r>
        <w:t xml:space="preserve">, </w:t>
      </w:r>
      <w:proofErr w:type="spellStart"/>
      <w:r>
        <w:t>Whinne</w:t>
      </w:r>
      <w:proofErr w:type="spellEnd"/>
      <w:r>
        <w:t xml:space="preserve"> </w:t>
      </w:r>
      <w:proofErr w:type="spellStart"/>
      <w:r>
        <w:t>Cheppe</w:t>
      </w:r>
      <w:proofErr w:type="spellEnd"/>
      <w:r>
        <w:t xml:space="preserve"> </w:t>
      </w:r>
      <w:proofErr w:type="spellStart"/>
      <w:r>
        <w:t>Makolija</w:t>
      </w:r>
      <w:proofErr w:type="spellEnd"/>
      <w:r>
        <w:t xml:space="preserve">, Joseph </w:t>
      </w:r>
      <w:proofErr w:type="spellStart"/>
      <w:r>
        <w:t>Bwanali</w:t>
      </w:r>
      <w:proofErr w:type="spellEnd"/>
      <w:r>
        <w:t xml:space="preserve"> and Grieves </w:t>
      </w:r>
      <w:proofErr w:type="spellStart"/>
      <w:r>
        <w:t>Mang’anda</w:t>
      </w:r>
      <w:proofErr w:type="spellEnd"/>
      <w:r>
        <w:t xml:space="preserve">. We thank Dr </w:t>
      </w:r>
      <w:proofErr w:type="spellStart"/>
      <w:r>
        <w:t>Petros</w:t>
      </w:r>
      <w:proofErr w:type="spellEnd"/>
      <w:r>
        <w:t xml:space="preserve"> </w:t>
      </w:r>
      <w:proofErr w:type="spellStart"/>
      <w:r>
        <w:t>Kayange</w:t>
      </w:r>
      <w:proofErr w:type="spellEnd"/>
      <w:r>
        <w:t xml:space="preserve">, Dr </w:t>
      </w:r>
      <w:proofErr w:type="spellStart"/>
      <w:r>
        <w:t>Khumbo</w:t>
      </w:r>
      <w:proofErr w:type="spellEnd"/>
      <w:r>
        <w:t xml:space="preserve"> Kalua and all staff at Lions Sight First Eye Hospitals in Blantyre and </w:t>
      </w:r>
      <w:proofErr w:type="spellStart"/>
      <w:r>
        <w:t>Zomba</w:t>
      </w:r>
      <w:proofErr w:type="spellEnd"/>
      <w:r>
        <w:t xml:space="preserve">. We thank Dr </w:t>
      </w:r>
      <w:proofErr w:type="spellStart"/>
      <w:r>
        <w:t>Ticiana</w:t>
      </w:r>
      <w:proofErr w:type="spellEnd"/>
      <w:r>
        <w:t xml:space="preserve"> </w:t>
      </w:r>
      <w:proofErr w:type="spellStart"/>
      <w:r>
        <w:t>Criddle</w:t>
      </w:r>
      <w:proofErr w:type="spellEnd"/>
      <w:r>
        <w:t xml:space="preserve"> and Mr Stuart Lark (University of Liverpool) for expertly grading retinal photographs and Dr </w:t>
      </w:r>
      <w:proofErr w:type="spellStart"/>
      <w:r>
        <w:t>Chrisitne</w:t>
      </w:r>
      <w:proofErr w:type="spellEnd"/>
      <w:r>
        <w:t xml:space="preserve"> </w:t>
      </w:r>
      <w:proofErr w:type="spellStart"/>
      <w:r>
        <w:t>Kiire</w:t>
      </w:r>
      <w:proofErr w:type="spellEnd"/>
      <w:r>
        <w:t xml:space="preserve"> for clinical assessment and treatment of patients in the later phases of the study.  We are grateful for the work of the World Diabetes Foundation in improving infrastructure for diabetes care in Malawi including provision of a laser.</w:t>
      </w:r>
    </w:p>
    <w:p w14:paraId="6E1241E9" w14:textId="77777777" w:rsidR="009F150A" w:rsidRDefault="009F150A" w:rsidP="009F150A">
      <w:pPr>
        <w:pStyle w:val="NoSpacing"/>
        <w:rPr>
          <w:rFonts w:cs="AdvPSFT-B"/>
          <w:b/>
        </w:rPr>
      </w:pPr>
    </w:p>
    <w:p w14:paraId="4D778C74" w14:textId="77777777" w:rsidR="009F150A" w:rsidRPr="000035EE" w:rsidRDefault="009F150A" w:rsidP="009F150A">
      <w:pPr>
        <w:pStyle w:val="NoSpacing"/>
        <w:rPr>
          <w:rFonts w:cs="AdvPSFT-B"/>
          <w:b/>
        </w:rPr>
      </w:pPr>
      <w:r>
        <w:rPr>
          <w:rFonts w:cs="AdvPSFT-B"/>
          <w:b/>
        </w:rPr>
        <w:t>Funding</w:t>
      </w:r>
    </w:p>
    <w:p w14:paraId="7E5429A9" w14:textId="77777777" w:rsidR="009F150A" w:rsidRPr="000035EE" w:rsidRDefault="009F150A" w:rsidP="009F150A">
      <w:pPr>
        <w:pStyle w:val="NoSpacing"/>
        <w:rPr>
          <w:rFonts w:cs="AdvPSSAB-R"/>
        </w:rPr>
      </w:pPr>
      <w:r w:rsidRPr="000035EE">
        <w:rPr>
          <w:rFonts w:cs="AdvPSSAB-R"/>
        </w:rPr>
        <w:t>This work was funded by th</w:t>
      </w:r>
      <w:r>
        <w:rPr>
          <w:rFonts w:cs="AdvPSSAB-R"/>
        </w:rPr>
        <w:t xml:space="preserve">e </w:t>
      </w:r>
      <w:proofErr w:type="spellStart"/>
      <w:r>
        <w:rPr>
          <w:rFonts w:cs="AdvPSSAB-R"/>
        </w:rPr>
        <w:t>Wellcome</w:t>
      </w:r>
      <w:proofErr w:type="spellEnd"/>
      <w:r>
        <w:rPr>
          <w:rFonts w:cs="AdvPSSAB-R"/>
        </w:rPr>
        <w:t xml:space="preserve"> Trust via a Clinical </w:t>
      </w:r>
      <w:r w:rsidRPr="000035EE">
        <w:rPr>
          <w:rFonts w:cs="AdvPSSAB-R"/>
        </w:rPr>
        <w:t>PhD Fellowship (P.B. G</w:t>
      </w:r>
      <w:r>
        <w:rPr>
          <w:rFonts w:cs="AdvPSSAB-R"/>
        </w:rPr>
        <w:t xml:space="preserve">rant number 094015/Z/10/A). The </w:t>
      </w:r>
      <w:r w:rsidRPr="000035EE">
        <w:rPr>
          <w:rFonts w:cs="AdvPSSAB-R"/>
        </w:rPr>
        <w:t>funding body had no role in study design, data collection and</w:t>
      </w:r>
    </w:p>
    <w:p w14:paraId="7DCF2B55" w14:textId="77777777" w:rsidR="009F150A" w:rsidRDefault="009F150A" w:rsidP="009F150A">
      <w:pPr>
        <w:pStyle w:val="NoSpacing"/>
        <w:rPr>
          <w:rFonts w:cs="ScalaLancetPro"/>
        </w:rPr>
      </w:pPr>
      <w:proofErr w:type="gramStart"/>
      <w:r w:rsidRPr="000035EE">
        <w:rPr>
          <w:rFonts w:cs="AdvPSSAB-R"/>
        </w:rPr>
        <w:t>analysis</w:t>
      </w:r>
      <w:proofErr w:type="gramEnd"/>
      <w:r w:rsidRPr="000035EE">
        <w:rPr>
          <w:rFonts w:cs="AdvPSSAB-R"/>
        </w:rPr>
        <w:t>, decision to publish, or preparation of the manuscript.</w:t>
      </w:r>
      <w:r>
        <w:rPr>
          <w:rFonts w:cs="ScalaLancetPro"/>
        </w:rPr>
        <w:t xml:space="preserve"> </w:t>
      </w:r>
    </w:p>
    <w:p w14:paraId="0FBE4E4C" w14:textId="77777777" w:rsidR="009F150A" w:rsidRDefault="009F150A" w:rsidP="000035EE">
      <w:pPr>
        <w:pStyle w:val="NoSpacing"/>
        <w:rPr>
          <w:b/>
        </w:rPr>
      </w:pPr>
    </w:p>
    <w:p w14:paraId="12CE7B2D" w14:textId="77777777" w:rsidR="009F150A" w:rsidRDefault="00706CDF" w:rsidP="009F150A">
      <w:pPr>
        <w:pStyle w:val="NoSpacing"/>
        <w:rPr>
          <w:rFonts w:cs="ScalaLancetPro"/>
        </w:rPr>
      </w:pPr>
      <w:r>
        <w:rPr>
          <w:b/>
        </w:rPr>
        <w:t>Duality of i</w:t>
      </w:r>
      <w:r w:rsidR="009F150A" w:rsidRPr="000035EE">
        <w:rPr>
          <w:b/>
        </w:rPr>
        <w:t>nterest</w:t>
      </w:r>
    </w:p>
    <w:p w14:paraId="16581E5B" w14:textId="77777777" w:rsidR="009F150A" w:rsidRDefault="009F150A" w:rsidP="009F150A">
      <w:pPr>
        <w:pStyle w:val="NoSpacing"/>
        <w:rPr>
          <w:rFonts w:cs="ScalaLancetPro"/>
        </w:rPr>
      </w:pPr>
      <w:r w:rsidRPr="000035EE">
        <w:rPr>
          <w:rFonts w:cs="ScalaLancetPro"/>
        </w:rPr>
        <w:t>We declare no competing interests.</w:t>
      </w:r>
    </w:p>
    <w:p w14:paraId="4D913497" w14:textId="77777777" w:rsidR="009F150A" w:rsidRPr="000035EE" w:rsidRDefault="009F150A" w:rsidP="009F150A">
      <w:pPr>
        <w:pStyle w:val="NoSpacing"/>
        <w:rPr>
          <w:rFonts w:cs="ScalaLancetPro"/>
        </w:rPr>
      </w:pPr>
    </w:p>
    <w:p w14:paraId="569B7326" w14:textId="77777777" w:rsidR="003E039E" w:rsidRPr="000035EE" w:rsidRDefault="009F150A" w:rsidP="000035EE">
      <w:pPr>
        <w:pStyle w:val="NoSpacing"/>
        <w:rPr>
          <w:b/>
        </w:rPr>
      </w:pPr>
      <w:r>
        <w:rPr>
          <w:b/>
        </w:rPr>
        <w:lastRenderedPageBreak/>
        <w:t>Contribution statement</w:t>
      </w:r>
    </w:p>
    <w:p w14:paraId="249D6108" w14:textId="77777777" w:rsidR="00CE4A0B" w:rsidRPr="00CE4A0B" w:rsidRDefault="003E039E" w:rsidP="00CE4A0B">
      <w:pPr>
        <w:pStyle w:val="NoSpacing"/>
        <w:rPr>
          <w:rFonts w:cs="ScalaLancetPro"/>
        </w:rPr>
      </w:pPr>
      <w:r w:rsidRPr="000035EE">
        <w:rPr>
          <w:rFonts w:cs="ScalaLancetPro"/>
        </w:rPr>
        <w:t>PIB</w:t>
      </w:r>
      <w:r w:rsidR="004E4EE8">
        <w:rPr>
          <w:rFonts w:cs="ScalaLancetPro"/>
        </w:rPr>
        <w:t>,</w:t>
      </w:r>
      <w:r w:rsidRPr="000035EE">
        <w:rPr>
          <w:rFonts w:cs="ScalaLancetPro"/>
        </w:rPr>
        <w:t xml:space="preserve"> </w:t>
      </w:r>
      <w:r w:rsidR="00C71049" w:rsidRPr="000035EE">
        <w:rPr>
          <w:rFonts w:cs="ScalaLancetPro"/>
        </w:rPr>
        <w:t>MGF</w:t>
      </w:r>
      <w:r w:rsidR="004E4EE8">
        <w:rPr>
          <w:rFonts w:cs="ScalaLancetPro"/>
        </w:rPr>
        <w:t>,</w:t>
      </w:r>
      <w:r w:rsidRPr="000035EE">
        <w:rPr>
          <w:rFonts w:cs="ScalaLancetPro"/>
        </w:rPr>
        <w:t xml:space="preserve"> </w:t>
      </w:r>
      <w:r w:rsidR="00C71049" w:rsidRPr="000035EE">
        <w:rPr>
          <w:rFonts w:cs="ScalaLancetPro"/>
        </w:rPr>
        <w:t>GM</w:t>
      </w:r>
      <w:r w:rsidR="004E4EE8">
        <w:rPr>
          <w:rFonts w:cs="ScalaLancetPro"/>
        </w:rPr>
        <w:t>,</w:t>
      </w:r>
      <w:r w:rsidR="00C71049" w:rsidRPr="000035EE">
        <w:rPr>
          <w:rFonts w:cs="ScalaLancetPro"/>
        </w:rPr>
        <w:t xml:space="preserve"> </w:t>
      </w:r>
      <w:r w:rsidRPr="000035EE">
        <w:rPr>
          <w:rFonts w:cs="ScalaLancetPro"/>
        </w:rPr>
        <w:t xml:space="preserve">TA and SPH designed the </w:t>
      </w:r>
      <w:r w:rsidR="00C71049" w:rsidRPr="000035EE">
        <w:rPr>
          <w:rFonts w:cs="ScalaLancetPro"/>
        </w:rPr>
        <w:t xml:space="preserve">24 month prospective cohort </w:t>
      </w:r>
      <w:r w:rsidR="00FF7713">
        <w:rPr>
          <w:rFonts w:cs="ScalaLancetPro"/>
        </w:rPr>
        <w:t>study.</w:t>
      </w:r>
      <w:r w:rsidR="00C71049" w:rsidRPr="000035EE">
        <w:rPr>
          <w:rFonts w:cs="ScalaLancetPro"/>
        </w:rPr>
        <w:t xml:space="preserve">  </w:t>
      </w:r>
      <w:r w:rsidR="00475635">
        <w:rPr>
          <w:rFonts w:cs="ScalaLancetPro"/>
        </w:rPr>
        <w:t>PIB analysed the data with advic</w:t>
      </w:r>
      <w:r w:rsidR="00C71049" w:rsidRPr="000035EE">
        <w:rPr>
          <w:rFonts w:cs="ScalaLancetPro"/>
        </w:rPr>
        <w:t>e from MGF.  GM and NAVB contributed to interpretation of results</w:t>
      </w:r>
      <w:r w:rsidR="00475635">
        <w:rPr>
          <w:rFonts w:cs="ScalaLancetPro"/>
        </w:rPr>
        <w:t>.</w:t>
      </w:r>
      <w:r w:rsidR="00C71049" w:rsidRPr="000035EE">
        <w:rPr>
          <w:rFonts w:cs="ScalaLancetPro"/>
        </w:rPr>
        <w:t xml:space="preserve"> PIB </w:t>
      </w:r>
      <w:r w:rsidR="004E4EE8">
        <w:rPr>
          <w:rFonts w:cs="ScalaLancetPro"/>
        </w:rPr>
        <w:t xml:space="preserve">collected the data and </w:t>
      </w:r>
      <w:r w:rsidR="00C71049" w:rsidRPr="000035EE">
        <w:rPr>
          <w:rFonts w:cs="ScalaLancetPro"/>
        </w:rPr>
        <w:t xml:space="preserve">wrote the report.  </w:t>
      </w:r>
      <w:r w:rsidRPr="000035EE">
        <w:rPr>
          <w:rFonts w:cs="ScalaLancetPro"/>
        </w:rPr>
        <w:t>All authors commented</w:t>
      </w:r>
      <w:r w:rsidR="00C71049" w:rsidRPr="000035EE">
        <w:rPr>
          <w:rFonts w:cs="ScalaLancetPro"/>
        </w:rPr>
        <w:t xml:space="preserve"> on and approved the report. P</w:t>
      </w:r>
      <w:r w:rsidR="004E4EE8">
        <w:rPr>
          <w:rFonts w:cs="ScalaLancetPro"/>
        </w:rPr>
        <w:t>I</w:t>
      </w:r>
      <w:r w:rsidR="00C71049" w:rsidRPr="000035EE">
        <w:rPr>
          <w:rFonts w:cs="ScalaLancetPro"/>
        </w:rPr>
        <w:t>B</w:t>
      </w:r>
      <w:r w:rsidR="000035EE">
        <w:rPr>
          <w:rFonts w:cs="ScalaLancetPro"/>
        </w:rPr>
        <w:t xml:space="preserve"> is </w:t>
      </w:r>
      <w:r w:rsidRPr="000035EE">
        <w:rPr>
          <w:rFonts w:cs="ScalaLancetPro"/>
        </w:rPr>
        <w:t>guaranto</w:t>
      </w:r>
      <w:r w:rsidR="00CE4A0B">
        <w:rPr>
          <w:rFonts w:cs="ScalaLancetPro"/>
        </w:rPr>
        <w:t>r.</w:t>
      </w:r>
      <w:r w:rsidR="00CE4A0B">
        <w:rPr>
          <w:rFonts w:cs="ScalaLancetPro"/>
        </w:rPr>
        <w:br w:type="page"/>
      </w:r>
    </w:p>
    <w:p w14:paraId="44A03CC8" w14:textId="77777777" w:rsidR="005A2C45" w:rsidRPr="00EA2929" w:rsidRDefault="005A2C45" w:rsidP="00EA2929">
      <w:pPr>
        <w:pStyle w:val="NoSpacing"/>
      </w:pPr>
      <w:r w:rsidRPr="005A2C45">
        <w:rPr>
          <w:b/>
          <w:sz w:val="28"/>
          <w:szCs w:val="28"/>
        </w:rPr>
        <w:lastRenderedPageBreak/>
        <w:t>References</w:t>
      </w:r>
    </w:p>
    <w:p w14:paraId="5248AC6E" w14:textId="77777777" w:rsidR="00660D66" w:rsidRPr="00A60F4D" w:rsidRDefault="00660D66" w:rsidP="00660D66">
      <w:pPr>
        <w:pStyle w:val="NoSpacing"/>
        <w:rPr>
          <w:rFonts w:cs="AdvPSSAB-R"/>
          <w:sz w:val="20"/>
          <w:szCs w:val="20"/>
        </w:rPr>
      </w:pPr>
      <w:r>
        <w:rPr>
          <w:sz w:val="20"/>
          <w:szCs w:val="20"/>
        </w:rPr>
        <w:t>1.</w:t>
      </w:r>
      <w:r w:rsidR="00BC20CB">
        <w:rPr>
          <w:rFonts w:cs="AdvPSSAB-R"/>
          <w:sz w:val="20"/>
          <w:szCs w:val="20"/>
        </w:rPr>
        <w:t xml:space="preserve"> </w:t>
      </w:r>
      <w:r w:rsidRPr="00A60F4D">
        <w:rPr>
          <w:rFonts w:cs="AdvPSSAB-R"/>
          <w:sz w:val="20"/>
          <w:szCs w:val="20"/>
        </w:rPr>
        <w:t xml:space="preserve">International Diabetes Federation. </w:t>
      </w:r>
      <w:proofErr w:type="gramStart"/>
      <w:r w:rsidRPr="00A60F4D">
        <w:rPr>
          <w:rFonts w:cs="AdvPSSAB-I"/>
          <w:sz w:val="20"/>
          <w:szCs w:val="20"/>
        </w:rPr>
        <w:t xml:space="preserve">Diabetes atlas (4th </w:t>
      </w:r>
      <w:proofErr w:type="spellStart"/>
      <w:r w:rsidRPr="00A60F4D">
        <w:rPr>
          <w:rFonts w:cs="AdvPSSAB-I"/>
          <w:sz w:val="20"/>
          <w:szCs w:val="20"/>
        </w:rPr>
        <w:t>edn</w:t>
      </w:r>
      <w:proofErr w:type="spellEnd"/>
      <w:r w:rsidRPr="00A60F4D">
        <w:rPr>
          <w:rFonts w:cs="AdvPSSAB-I"/>
          <w:sz w:val="20"/>
          <w:szCs w:val="20"/>
        </w:rPr>
        <w:t>)</w:t>
      </w:r>
      <w:r w:rsidRPr="00A60F4D">
        <w:rPr>
          <w:rFonts w:cs="AdvPSSAB-R"/>
          <w:sz w:val="20"/>
          <w:szCs w:val="20"/>
        </w:rPr>
        <w:t>.</w:t>
      </w:r>
      <w:proofErr w:type="gramEnd"/>
      <w:r w:rsidRPr="00A60F4D">
        <w:rPr>
          <w:rFonts w:cs="AdvPSSAB-R"/>
          <w:sz w:val="20"/>
          <w:szCs w:val="20"/>
        </w:rPr>
        <w:t xml:space="preserve"> Brussels: International Diabetes Federation, 2009.</w:t>
      </w:r>
    </w:p>
    <w:p w14:paraId="490BE7C1" w14:textId="77777777" w:rsidR="00660D66" w:rsidRPr="00A60F4D" w:rsidRDefault="00BC20CB" w:rsidP="00660D66">
      <w:pPr>
        <w:pStyle w:val="NoSpacing"/>
        <w:rPr>
          <w:sz w:val="20"/>
          <w:szCs w:val="20"/>
        </w:rPr>
      </w:pPr>
      <w:r>
        <w:rPr>
          <w:rFonts w:cs="Calibri"/>
          <w:sz w:val="20"/>
          <w:szCs w:val="20"/>
        </w:rPr>
        <w:t xml:space="preserve">2. </w:t>
      </w:r>
      <w:proofErr w:type="spellStart"/>
      <w:r w:rsidR="00660D66" w:rsidRPr="00A60F4D">
        <w:rPr>
          <w:rFonts w:cs="Calibri"/>
          <w:sz w:val="20"/>
          <w:szCs w:val="20"/>
        </w:rPr>
        <w:t>Younis</w:t>
      </w:r>
      <w:proofErr w:type="spellEnd"/>
      <w:r w:rsidR="00660D66" w:rsidRPr="00A60F4D">
        <w:rPr>
          <w:rFonts w:cs="Calibri"/>
          <w:sz w:val="20"/>
          <w:szCs w:val="20"/>
        </w:rPr>
        <w:t xml:space="preserve"> N, Broadbent DM, </w:t>
      </w:r>
      <w:proofErr w:type="spellStart"/>
      <w:r w:rsidR="00660D66" w:rsidRPr="00A60F4D">
        <w:rPr>
          <w:rFonts w:cs="Calibri"/>
          <w:sz w:val="20"/>
          <w:szCs w:val="20"/>
        </w:rPr>
        <w:t>Vora</w:t>
      </w:r>
      <w:proofErr w:type="spellEnd"/>
      <w:r w:rsidR="00660D66" w:rsidRPr="00A60F4D">
        <w:rPr>
          <w:rFonts w:cs="Calibri"/>
          <w:sz w:val="20"/>
          <w:szCs w:val="20"/>
        </w:rPr>
        <w:t xml:space="preserve"> JP, Harding SP. </w:t>
      </w:r>
      <w:r w:rsidR="00660D66" w:rsidRPr="00A60F4D">
        <w:rPr>
          <w:rFonts w:cs="FranklinGothic-Demi"/>
          <w:sz w:val="20"/>
          <w:szCs w:val="20"/>
        </w:rPr>
        <w:t>Incidence of sight-threatening retinopathy in patients with</w:t>
      </w:r>
      <w:r w:rsidR="00660D66" w:rsidRPr="00A60F4D">
        <w:rPr>
          <w:rFonts w:cs="Calibri"/>
          <w:sz w:val="20"/>
          <w:szCs w:val="20"/>
        </w:rPr>
        <w:t xml:space="preserve"> </w:t>
      </w:r>
      <w:r w:rsidR="00660D66" w:rsidRPr="00A60F4D">
        <w:rPr>
          <w:rFonts w:cs="FranklinGothic-Demi"/>
          <w:sz w:val="20"/>
          <w:szCs w:val="20"/>
        </w:rPr>
        <w:t>type 2 diabetes in the Liverpool Diabetic Eye Study: a cohort study</w:t>
      </w:r>
      <w:r w:rsidR="00660D66" w:rsidRPr="00A60F4D">
        <w:rPr>
          <w:rFonts w:cs="FranklinGothic-BookItal"/>
          <w:iCs/>
          <w:sz w:val="20"/>
          <w:szCs w:val="20"/>
        </w:rPr>
        <w:t xml:space="preserve"> Lancet </w:t>
      </w:r>
      <w:r w:rsidR="00660D66" w:rsidRPr="00A60F4D">
        <w:rPr>
          <w:rFonts w:cs="FranklinGothic-Book"/>
          <w:sz w:val="20"/>
          <w:szCs w:val="20"/>
        </w:rPr>
        <w:t xml:space="preserve">2003; </w:t>
      </w:r>
      <w:r w:rsidR="00660D66" w:rsidRPr="00A60F4D">
        <w:rPr>
          <w:rFonts w:cs="FranklinGothic-Demi"/>
          <w:sz w:val="20"/>
          <w:szCs w:val="20"/>
        </w:rPr>
        <w:t xml:space="preserve">361: </w:t>
      </w:r>
      <w:r w:rsidR="00660D66" w:rsidRPr="00A60F4D">
        <w:rPr>
          <w:rFonts w:cs="FranklinGothic-Book"/>
          <w:sz w:val="20"/>
          <w:szCs w:val="20"/>
        </w:rPr>
        <w:t>195–200</w:t>
      </w:r>
      <w:r w:rsidR="00F2440F">
        <w:rPr>
          <w:rFonts w:cs="FranklinGothic-Book"/>
          <w:sz w:val="20"/>
          <w:szCs w:val="20"/>
        </w:rPr>
        <w:t>.</w:t>
      </w:r>
    </w:p>
    <w:p w14:paraId="68C6B140" w14:textId="77777777" w:rsidR="00660D66" w:rsidRPr="00A60F4D" w:rsidRDefault="00BC20CB" w:rsidP="00660D66">
      <w:pPr>
        <w:pStyle w:val="NoSpacing"/>
        <w:rPr>
          <w:sz w:val="20"/>
          <w:szCs w:val="20"/>
        </w:rPr>
      </w:pPr>
      <w:r>
        <w:rPr>
          <w:rFonts w:eastAsia="Times New Roman" w:cs="Arial"/>
          <w:sz w:val="20"/>
          <w:szCs w:val="20"/>
          <w:lang w:eastAsia="en-GB"/>
        </w:rPr>
        <w:t xml:space="preserve">3. </w:t>
      </w:r>
      <w:r w:rsidR="00660D66" w:rsidRPr="00A60F4D">
        <w:rPr>
          <w:rFonts w:eastAsia="Times New Roman" w:cs="Arial"/>
          <w:sz w:val="20"/>
          <w:szCs w:val="20"/>
          <w:lang w:eastAsia="en-GB"/>
        </w:rPr>
        <w:t xml:space="preserve">Klein R, Klein BE, Moss SE, Davis MD, </w:t>
      </w:r>
      <w:proofErr w:type="spellStart"/>
      <w:r w:rsidR="00660D66" w:rsidRPr="00A60F4D">
        <w:rPr>
          <w:rFonts w:eastAsia="Times New Roman" w:cs="Arial"/>
          <w:sz w:val="20"/>
          <w:szCs w:val="20"/>
          <w:lang w:eastAsia="en-GB"/>
        </w:rPr>
        <w:t>DeMets</w:t>
      </w:r>
      <w:proofErr w:type="spellEnd"/>
      <w:r w:rsidR="00660D66" w:rsidRPr="00A60F4D">
        <w:rPr>
          <w:rFonts w:eastAsia="Times New Roman" w:cs="Arial"/>
          <w:sz w:val="20"/>
          <w:szCs w:val="20"/>
          <w:lang w:eastAsia="en-GB"/>
        </w:rPr>
        <w:t xml:space="preserve"> DL.</w:t>
      </w:r>
      <w:r w:rsidR="00660D66" w:rsidRPr="00A60F4D">
        <w:rPr>
          <w:rFonts w:eastAsia="Times New Roman" w:cs="Arial"/>
          <w:bCs/>
          <w:kern w:val="3"/>
          <w:sz w:val="20"/>
          <w:szCs w:val="20"/>
          <w:lang w:eastAsia="en-GB"/>
        </w:rPr>
        <w:t xml:space="preserve"> </w:t>
      </w:r>
      <w:proofErr w:type="gramStart"/>
      <w:r w:rsidR="00660D66" w:rsidRPr="00A60F4D">
        <w:rPr>
          <w:rFonts w:eastAsia="Times New Roman" w:cs="Arial"/>
          <w:bCs/>
          <w:kern w:val="3"/>
          <w:sz w:val="20"/>
          <w:szCs w:val="20"/>
          <w:lang w:eastAsia="en-GB"/>
        </w:rPr>
        <w:t>The Wisconsin Epidemiologic Study of Diabetic Retinopathy.</w:t>
      </w:r>
      <w:proofErr w:type="gramEnd"/>
      <w:r w:rsidR="00660D66" w:rsidRPr="00A60F4D">
        <w:rPr>
          <w:rFonts w:eastAsia="Times New Roman" w:cs="Arial"/>
          <w:bCs/>
          <w:kern w:val="3"/>
          <w:sz w:val="20"/>
          <w:szCs w:val="20"/>
          <w:lang w:eastAsia="en-GB"/>
        </w:rPr>
        <w:t xml:space="preserve"> IX. Four-year incidence and progression of diabetic retinopathy when age at diagnosis is less than 30 years. </w:t>
      </w:r>
      <w:r w:rsidR="00660D66" w:rsidRPr="00A60F4D">
        <w:rPr>
          <w:rFonts w:eastAsia="Times New Roman" w:cs="Arial"/>
          <w:sz w:val="20"/>
          <w:szCs w:val="20"/>
          <w:lang w:eastAsia="en-GB"/>
        </w:rPr>
        <w:t xml:space="preserve">Arch </w:t>
      </w:r>
      <w:proofErr w:type="spellStart"/>
      <w:r w:rsidR="00660D66" w:rsidRPr="00A60F4D">
        <w:rPr>
          <w:rFonts w:eastAsia="Times New Roman" w:cs="Arial"/>
          <w:sz w:val="20"/>
          <w:szCs w:val="20"/>
          <w:lang w:eastAsia="en-GB"/>
        </w:rPr>
        <w:t>Ophthalmol</w:t>
      </w:r>
      <w:proofErr w:type="spellEnd"/>
      <w:r w:rsidR="00660D66" w:rsidRPr="00A60F4D">
        <w:rPr>
          <w:rFonts w:eastAsia="Times New Roman" w:cs="Arial"/>
          <w:sz w:val="20"/>
          <w:szCs w:val="20"/>
          <w:lang w:eastAsia="en-GB"/>
        </w:rPr>
        <w:t>. 1989</w:t>
      </w:r>
      <w:r w:rsidR="00DA1822">
        <w:rPr>
          <w:rFonts w:eastAsia="Times New Roman" w:cs="Arial"/>
          <w:sz w:val="20"/>
          <w:szCs w:val="20"/>
          <w:lang w:eastAsia="en-GB"/>
        </w:rPr>
        <w:t>;</w:t>
      </w:r>
      <w:r w:rsidR="00660D66" w:rsidRPr="00A60F4D">
        <w:rPr>
          <w:rFonts w:eastAsia="Times New Roman" w:cs="Arial"/>
          <w:sz w:val="20"/>
          <w:szCs w:val="20"/>
          <w:lang w:eastAsia="en-GB"/>
        </w:rPr>
        <w:t xml:space="preserve"> Feb</w:t>
      </w:r>
      <w:proofErr w:type="gramStart"/>
      <w:r w:rsidR="00660D66" w:rsidRPr="00A60F4D">
        <w:rPr>
          <w:rFonts w:eastAsia="Times New Roman" w:cs="Arial"/>
          <w:sz w:val="20"/>
          <w:szCs w:val="20"/>
          <w:lang w:eastAsia="en-GB"/>
        </w:rPr>
        <w:t>;107</w:t>
      </w:r>
      <w:proofErr w:type="gramEnd"/>
      <w:r w:rsidR="00660D66" w:rsidRPr="00A60F4D">
        <w:rPr>
          <w:rFonts w:eastAsia="Times New Roman" w:cs="Arial"/>
          <w:sz w:val="20"/>
          <w:szCs w:val="20"/>
          <w:lang w:eastAsia="en-GB"/>
        </w:rPr>
        <w:t>(2):237-43.</w:t>
      </w:r>
    </w:p>
    <w:p w14:paraId="298AD1CC" w14:textId="77777777" w:rsidR="00660D66" w:rsidRPr="00A60F4D" w:rsidRDefault="00BC20CB" w:rsidP="00660D66">
      <w:pPr>
        <w:pStyle w:val="NoSpacing"/>
        <w:rPr>
          <w:sz w:val="20"/>
          <w:szCs w:val="20"/>
        </w:rPr>
      </w:pPr>
      <w:r>
        <w:rPr>
          <w:rFonts w:eastAsia="Times New Roman" w:cs="Arial"/>
          <w:sz w:val="20"/>
          <w:szCs w:val="20"/>
          <w:lang w:eastAsia="en-GB"/>
        </w:rPr>
        <w:t xml:space="preserve">4. </w:t>
      </w:r>
      <w:r w:rsidR="00660D66" w:rsidRPr="00A60F4D">
        <w:rPr>
          <w:rFonts w:eastAsia="Times New Roman" w:cs="Arial"/>
          <w:sz w:val="20"/>
          <w:szCs w:val="20"/>
          <w:lang w:eastAsia="en-GB"/>
        </w:rPr>
        <w:t xml:space="preserve">Klein R, Klein BE, Moss SE, Davis MD, </w:t>
      </w:r>
      <w:proofErr w:type="spellStart"/>
      <w:r w:rsidR="00660D66" w:rsidRPr="00A60F4D">
        <w:rPr>
          <w:rFonts w:eastAsia="Times New Roman" w:cs="Arial"/>
          <w:sz w:val="20"/>
          <w:szCs w:val="20"/>
          <w:lang w:eastAsia="en-GB"/>
        </w:rPr>
        <w:t>DeMets</w:t>
      </w:r>
      <w:proofErr w:type="spellEnd"/>
      <w:r w:rsidR="00660D66" w:rsidRPr="00A60F4D">
        <w:rPr>
          <w:rFonts w:eastAsia="Times New Roman" w:cs="Arial"/>
          <w:sz w:val="20"/>
          <w:szCs w:val="20"/>
          <w:lang w:eastAsia="en-GB"/>
        </w:rPr>
        <w:t xml:space="preserve"> DL </w:t>
      </w:r>
      <w:r w:rsidR="00660D66" w:rsidRPr="00A60F4D">
        <w:rPr>
          <w:rFonts w:eastAsia="Times New Roman" w:cs="Arial"/>
          <w:bCs/>
          <w:kern w:val="3"/>
          <w:sz w:val="20"/>
          <w:szCs w:val="20"/>
          <w:lang w:eastAsia="en-GB"/>
        </w:rPr>
        <w:t xml:space="preserve">The Wisconsin Epidemiologic Study of Diabetic Retinopathy. X. Four-year incidence and progression of diabetic retinopathy when age at diagnosis is 30 years or more. </w:t>
      </w:r>
      <w:r w:rsidR="00660D66" w:rsidRPr="00A60F4D">
        <w:rPr>
          <w:rFonts w:eastAsia="Times New Roman" w:cs="Arial"/>
          <w:sz w:val="20"/>
          <w:szCs w:val="20"/>
          <w:lang w:eastAsia="en-GB"/>
        </w:rPr>
        <w:t xml:space="preserve"> Arch </w:t>
      </w:r>
      <w:proofErr w:type="spellStart"/>
      <w:r w:rsidR="00660D66" w:rsidRPr="00A60F4D">
        <w:rPr>
          <w:rFonts w:eastAsia="Times New Roman" w:cs="Arial"/>
          <w:sz w:val="20"/>
          <w:szCs w:val="20"/>
          <w:lang w:eastAsia="en-GB"/>
        </w:rPr>
        <w:t>Ophthalmol</w:t>
      </w:r>
      <w:proofErr w:type="spellEnd"/>
      <w:r w:rsidR="00660D66" w:rsidRPr="00A60F4D">
        <w:rPr>
          <w:rFonts w:eastAsia="Times New Roman" w:cs="Arial"/>
          <w:sz w:val="20"/>
          <w:szCs w:val="20"/>
          <w:lang w:eastAsia="en-GB"/>
        </w:rPr>
        <w:t>. 1989</w:t>
      </w:r>
      <w:r w:rsidR="00DA1822">
        <w:rPr>
          <w:rFonts w:eastAsia="Times New Roman" w:cs="Arial"/>
          <w:sz w:val="20"/>
          <w:szCs w:val="20"/>
          <w:lang w:eastAsia="en-GB"/>
        </w:rPr>
        <w:t>;</w:t>
      </w:r>
      <w:r w:rsidR="00660D66" w:rsidRPr="00A60F4D">
        <w:rPr>
          <w:rFonts w:eastAsia="Times New Roman" w:cs="Arial"/>
          <w:sz w:val="20"/>
          <w:szCs w:val="20"/>
          <w:lang w:eastAsia="en-GB"/>
        </w:rPr>
        <w:t xml:space="preserve"> Feb</w:t>
      </w:r>
      <w:proofErr w:type="gramStart"/>
      <w:r w:rsidR="00660D66" w:rsidRPr="00A60F4D">
        <w:rPr>
          <w:rFonts w:eastAsia="Times New Roman" w:cs="Arial"/>
          <w:sz w:val="20"/>
          <w:szCs w:val="20"/>
          <w:lang w:eastAsia="en-GB"/>
        </w:rPr>
        <w:t>;107</w:t>
      </w:r>
      <w:proofErr w:type="gramEnd"/>
      <w:r w:rsidR="00660D66" w:rsidRPr="00A60F4D">
        <w:rPr>
          <w:rFonts w:eastAsia="Times New Roman" w:cs="Arial"/>
          <w:sz w:val="20"/>
          <w:szCs w:val="20"/>
          <w:lang w:eastAsia="en-GB"/>
        </w:rPr>
        <w:t>(2):244-9.</w:t>
      </w:r>
    </w:p>
    <w:p w14:paraId="4D9F4804" w14:textId="77777777" w:rsidR="00660D66" w:rsidRPr="00A60F4D" w:rsidRDefault="00BC20CB" w:rsidP="00660D66">
      <w:pPr>
        <w:pStyle w:val="NoSpacing"/>
        <w:rPr>
          <w:sz w:val="20"/>
          <w:szCs w:val="20"/>
        </w:rPr>
      </w:pPr>
      <w:r>
        <w:rPr>
          <w:sz w:val="20"/>
          <w:szCs w:val="20"/>
        </w:rPr>
        <w:t xml:space="preserve">5. </w:t>
      </w:r>
      <w:r w:rsidR="00660D66" w:rsidRPr="00A60F4D">
        <w:rPr>
          <w:sz w:val="20"/>
          <w:szCs w:val="20"/>
        </w:rPr>
        <w:t xml:space="preserve">The Diabetes Control and Complications Trial Research Group: The effect of intensive treatment of diabetes on the development and progression of long-term complications in insulin-dependent diabetes mellitus. N </w:t>
      </w:r>
      <w:proofErr w:type="spellStart"/>
      <w:r w:rsidR="00660D66" w:rsidRPr="00A60F4D">
        <w:rPr>
          <w:sz w:val="20"/>
          <w:szCs w:val="20"/>
        </w:rPr>
        <w:t>Engl</w:t>
      </w:r>
      <w:proofErr w:type="spellEnd"/>
      <w:r w:rsidR="00660D66" w:rsidRPr="00A60F4D">
        <w:rPr>
          <w:sz w:val="20"/>
          <w:szCs w:val="20"/>
        </w:rPr>
        <w:t xml:space="preserve"> J Med 1993</w:t>
      </w:r>
      <w:r w:rsidR="00DA1822">
        <w:rPr>
          <w:sz w:val="20"/>
          <w:szCs w:val="20"/>
        </w:rPr>
        <w:t>;</w:t>
      </w:r>
      <w:r w:rsidR="00660D66" w:rsidRPr="00A60F4D">
        <w:rPr>
          <w:sz w:val="20"/>
          <w:szCs w:val="20"/>
        </w:rPr>
        <w:t xml:space="preserve"> 329: 977-986</w:t>
      </w:r>
      <w:r w:rsidR="00F2440F">
        <w:rPr>
          <w:sz w:val="20"/>
          <w:szCs w:val="20"/>
        </w:rPr>
        <w:t>.</w:t>
      </w:r>
    </w:p>
    <w:p w14:paraId="729A912D" w14:textId="77777777" w:rsidR="00660D66" w:rsidRPr="00A60F4D" w:rsidRDefault="00BC20CB" w:rsidP="00660D66">
      <w:pPr>
        <w:pStyle w:val="NoSpacing"/>
        <w:rPr>
          <w:sz w:val="20"/>
          <w:szCs w:val="20"/>
        </w:rPr>
      </w:pPr>
      <w:r>
        <w:rPr>
          <w:sz w:val="20"/>
          <w:szCs w:val="20"/>
        </w:rPr>
        <w:t xml:space="preserve">6. </w:t>
      </w:r>
      <w:r w:rsidR="00660D66" w:rsidRPr="00A60F4D">
        <w:rPr>
          <w:sz w:val="20"/>
          <w:szCs w:val="20"/>
        </w:rPr>
        <w:t xml:space="preserve">Stratton IM, </w:t>
      </w:r>
      <w:proofErr w:type="spellStart"/>
      <w:r w:rsidR="00660D66" w:rsidRPr="00A60F4D">
        <w:rPr>
          <w:sz w:val="20"/>
          <w:szCs w:val="20"/>
        </w:rPr>
        <w:t>Kohner</w:t>
      </w:r>
      <w:proofErr w:type="spellEnd"/>
      <w:r w:rsidR="00660D66" w:rsidRPr="00A60F4D">
        <w:rPr>
          <w:sz w:val="20"/>
          <w:szCs w:val="20"/>
        </w:rPr>
        <w:t xml:space="preserve"> EM, Aldington SJ. UKPDS 50: Risk factors for incidence and progression of retinopathy in type 2 diabetes over 6 years from diagnosis. </w:t>
      </w:r>
      <w:proofErr w:type="spellStart"/>
      <w:r w:rsidR="00660D66" w:rsidRPr="00A60F4D">
        <w:rPr>
          <w:sz w:val="20"/>
          <w:szCs w:val="20"/>
        </w:rPr>
        <w:t>Diabetologia</w:t>
      </w:r>
      <w:proofErr w:type="spellEnd"/>
      <w:r w:rsidR="00660D66" w:rsidRPr="00A60F4D">
        <w:rPr>
          <w:sz w:val="20"/>
          <w:szCs w:val="20"/>
        </w:rPr>
        <w:t xml:space="preserve">. </w:t>
      </w:r>
      <w:proofErr w:type="gramStart"/>
      <w:r w:rsidR="00660D66" w:rsidRPr="00A60F4D">
        <w:rPr>
          <w:sz w:val="20"/>
          <w:szCs w:val="20"/>
        </w:rPr>
        <w:t>2001; 44: 156-163.</w:t>
      </w:r>
      <w:proofErr w:type="gramEnd"/>
    </w:p>
    <w:p w14:paraId="2EC04F61" w14:textId="77777777" w:rsidR="00660D66" w:rsidRPr="00A60F4D" w:rsidRDefault="00BC20CB" w:rsidP="00660D66">
      <w:pPr>
        <w:pStyle w:val="NoSpacing"/>
        <w:rPr>
          <w:sz w:val="20"/>
          <w:szCs w:val="20"/>
        </w:rPr>
      </w:pPr>
      <w:r>
        <w:rPr>
          <w:sz w:val="20"/>
          <w:szCs w:val="20"/>
        </w:rPr>
        <w:t xml:space="preserve">7. </w:t>
      </w:r>
      <w:r w:rsidR="00660D66" w:rsidRPr="00A60F4D">
        <w:rPr>
          <w:sz w:val="20"/>
          <w:szCs w:val="20"/>
        </w:rPr>
        <w:t xml:space="preserve">UK Prospective Diabetes Study Group. Tight blood pressure control and risk of macrovascular and microvascular complications in type 2 diabetes: UKPDS 38. </w:t>
      </w:r>
      <w:proofErr w:type="gramStart"/>
      <w:r w:rsidR="00660D66" w:rsidRPr="00A60F4D">
        <w:rPr>
          <w:rFonts w:cs="AdvPSSAB-I"/>
          <w:sz w:val="20"/>
          <w:szCs w:val="20"/>
        </w:rPr>
        <w:t xml:space="preserve">BMJ </w:t>
      </w:r>
      <w:r w:rsidR="00660D66" w:rsidRPr="00A60F4D">
        <w:rPr>
          <w:sz w:val="20"/>
          <w:szCs w:val="20"/>
        </w:rPr>
        <w:t xml:space="preserve">1998; </w:t>
      </w:r>
      <w:r w:rsidR="00660D66" w:rsidRPr="00A60F4D">
        <w:rPr>
          <w:rFonts w:cs="AdvPSSab-B"/>
          <w:sz w:val="20"/>
          <w:szCs w:val="20"/>
        </w:rPr>
        <w:t>317</w:t>
      </w:r>
      <w:r w:rsidR="00660D66" w:rsidRPr="00A60F4D">
        <w:rPr>
          <w:sz w:val="20"/>
          <w:szCs w:val="20"/>
        </w:rPr>
        <w:t>: 703</w:t>
      </w:r>
      <w:r w:rsidR="00660D66" w:rsidRPr="00A60F4D">
        <w:rPr>
          <w:rFonts w:cs="AdvTT3713a231+20"/>
          <w:sz w:val="20"/>
          <w:szCs w:val="20"/>
        </w:rPr>
        <w:t>–</w:t>
      </w:r>
      <w:r w:rsidR="00660D66" w:rsidRPr="00A60F4D">
        <w:rPr>
          <w:sz w:val="20"/>
          <w:szCs w:val="20"/>
        </w:rPr>
        <w:t>713.</w:t>
      </w:r>
      <w:proofErr w:type="gramEnd"/>
    </w:p>
    <w:p w14:paraId="22B20299" w14:textId="77777777" w:rsidR="00660D66" w:rsidRPr="00A60F4D" w:rsidRDefault="00BC20CB" w:rsidP="00660D66">
      <w:pPr>
        <w:pStyle w:val="NoSpacing"/>
        <w:rPr>
          <w:rFonts w:cs="AdvPSSAB-I"/>
          <w:sz w:val="20"/>
          <w:szCs w:val="20"/>
        </w:rPr>
      </w:pPr>
      <w:r>
        <w:rPr>
          <w:rFonts w:cs="AdvPSSAB-R"/>
          <w:sz w:val="20"/>
          <w:szCs w:val="20"/>
        </w:rPr>
        <w:t xml:space="preserve">8. </w:t>
      </w:r>
      <w:proofErr w:type="spellStart"/>
      <w:r w:rsidR="00660D66" w:rsidRPr="00A60F4D">
        <w:rPr>
          <w:rFonts w:cs="AdvPSSAB-R"/>
          <w:sz w:val="20"/>
          <w:szCs w:val="20"/>
        </w:rPr>
        <w:t>Keech</w:t>
      </w:r>
      <w:proofErr w:type="spellEnd"/>
      <w:r w:rsidR="00660D66" w:rsidRPr="00A60F4D">
        <w:rPr>
          <w:rFonts w:cs="AdvPSSAB-R"/>
          <w:sz w:val="20"/>
          <w:szCs w:val="20"/>
        </w:rPr>
        <w:t xml:space="preserve"> A, </w:t>
      </w:r>
      <w:proofErr w:type="spellStart"/>
      <w:r w:rsidR="00660D66" w:rsidRPr="00A60F4D">
        <w:rPr>
          <w:rFonts w:cs="AdvPSSAB-R"/>
          <w:sz w:val="20"/>
          <w:szCs w:val="20"/>
        </w:rPr>
        <w:t>Simes</w:t>
      </w:r>
      <w:proofErr w:type="spellEnd"/>
      <w:r w:rsidR="00660D66" w:rsidRPr="00A60F4D">
        <w:rPr>
          <w:rFonts w:cs="AdvPSSAB-R"/>
          <w:sz w:val="20"/>
          <w:szCs w:val="20"/>
        </w:rPr>
        <w:t xml:space="preserve"> RJ, Barter P, Best J, Scott R, </w:t>
      </w:r>
      <w:proofErr w:type="spellStart"/>
      <w:r w:rsidR="00660D66" w:rsidRPr="00A60F4D">
        <w:rPr>
          <w:rFonts w:cs="AdvPSSAB-R"/>
          <w:sz w:val="20"/>
          <w:szCs w:val="20"/>
        </w:rPr>
        <w:t>Taskinen</w:t>
      </w:r>
      <w:proofErr w:type="spellEnd"/>
      <w:r w:rsidR="00660D66" w:rsidRPr="00A60F4D">
        <w:rPr>
          <w:rFonts w:cs="AdvPSSAB-R"/>
          <w:sz w:val="20"/>
          <w:szCs w:val="20"/>
        </w:rPr>
        <w:t xml:space="preserve"> MR </w:t>
      </w:r>
      <w:r w:rsidR="00660D66" w:rsidRPr="00A60F4D">
        <w:rPr>
          <w:rFonts w:cs="AdvPSSAB-I"/>
          <w:sz w:val="20"/>
          <w:szCs w:val="20"/>
        </w:rPr>
        <w:t xml:space="preserve">et al. </w:t>
      </w:r>
      <w:r w:rsidR="00660D66" w:rsidRPr="00A60F4D">
        <w:rPr>
          <w:rFonts w:cs="AdvPSSAB-R"/>
          <w:sz w:val="20"/>
          <w:szCs w:val="20"/>
        </w:rPr>
        <w:t xml:space="preserve">Effects of long-term </w:t>
      </w:r>
      <w:proofErr w:type="spellStart"/>
      <w:r w:rsidR="00660D66" w:rsidRPr="00A60F4D">
        <w:rPr>
          <w:rFonts w:cs="AdvPSSAB-R"/>
          <w:sz w:val="20"/>
          <w:szCs w:val="20"/>
        </w:rPr>
        <w:t>fenofibrate</w:t>
      </w:r>
      <w:proofErr w:type="spellEnd"/>
      <w:r w:rsidR="00660D66" w:rsidRPr="00A60F4D">
        <w:rPr>
          <w:rFonts w:cs="AdvPSSAB-R"/>
          <w:sz w:val="20"/>
          <w:szCs w:val="20"/>
        </w:rPr>
        <w:t xml:space="preserve"> therapy on cardiovascular events in</w:t>
      </w:r>
      <w:r w:rsidR="00660D66" w:rsidRPr="00A60F4D">
        <w:rPr>
          <w:rFonts w:cs="AdvPSSAB-I"/>
          <w:sz w:val="20"/>
          <w:szCs w:val="20"/>
        </w:rPr>
        <w:t xml:space="preserve"> </w:t>
      </w:r>
      <w:r w:rsidR="00660D66" w:rsidRPr="00A60F4D">
        <w:rPr>
          <w:rFonts w:cs="AdvPSSAB-R"/>
          <w:sz w:val="20"/>
          <w:szCs w:val="20"/>
        </w:rPr>
        <w:t>9795 people with type 2 diabetes mellitus (the FIELD study):</w:t>
      </w:r>
      <w:r w:rsidR="00660D66" w:rsidRPr="00A60F4D">
        <w:rPr>
          <w:rFonts w:cs="AdvPSSAB-I"/>
          <w:sz w:val="20"/>
          <w:szCs w:val="20"/>
        </w:rPr>
        <w:t xml:space="preserve"> </w:t>
      </w:r>
      <w:r w:rsidR="00660D66" w:rsidRPr="00A60F4D">
        <w:rPr>
          <w:rFonts w:cs="AdvPSSAB-R"/>
          <w:sz w:val="20"/>
          <w:szCs w:val="20"/>
        </w:rPr>
        <w:t xml:space="preserve">randomised controlled trial. </w:t>
      </w:r>
      <w:r w:rsidR="00660D66" w:rsidRPr="00A60F4D">
        <w:rPr>
          <w:rFonts w:cs="AdvPSSAB-I"/>
          <w:sz w:val="20"/>
          <w:szCs w:val="20"/>
        </w:rPr>
        <w:t xml:space="preserve">Lancet </w:t>
      </w:r>
      <w:r w:rsidR="00660D66" w:rsidRPr="00A60F4D">
        <w:rPr>
          <w:rFonts w:cs="AdvPSSAB-R"/>
          <w:sz w:val="20"/>
          <w:szCs w:val="20"/>
        </w:rPr>
        <w:t xml:space="preserve">2005; </w:t>
      </w:r>
      <w:r w:rsidR="00660D66" w:rsidRPr="00A60F4D">
        <w:rPr>
          <w:rFonts w:cs="AdvPSSab-B"/>
          <w:sz w:val="20"/>
          <w:szCs w:val="20"/>
        </w:rPr>
        <w:t>366</w:t>
      </w:r>
      <w:r w:rsidR="00660D66" w:rsidRPr="00A60F4D">
        <w:rPr>
          <w:rFonts w:cs="AdvPSSAB-R"/>
          <w:sz w:val="20"/>
          <w:szCs w:val="20"/>
        </w:rPr>
        <w:t>: 1849</w:t>
      </w:r>
      <w:r w:rsidR="00660D66" w:rsidRPr="00A60F4D">
        <w:rPr>
          <w:rFonts w:cs="AdvTT3713a231+20"/>
          <w:sz w:val="20"/>
          <w:szCs w:val="20"/>
        </w:rPr>
        <w:t>–</w:t>
      </w:r>
      <w:r w:rsidR="00660D66" w:rsidRPr="00A60F4D">
        <w:rPr>
          <w:rFonts w:cs="AdvPSSAB-R"/>
          <w:sz w:val="20"/>
          <w:szCs w:val="20"/>
        </w:rPr>
        <w:t>1861.</w:t>
      </w:r>
    </w:p>
    <w:p w14:paraId="221A7090" w14:textId="77777777" w:rsidR="00660D66" w:rsidRPr="00A60F4D" w:rsidRDefault="00BC20CB" w:rsidP="00660D66">
      <w:pPr>
        <w:pStyle w:val="NoSpacing"/>
        <w:rPr>
          <w:rFonts w:cs="AdvPSSAB-R"/>
          <w:sz w:val="20"/>
          <w:szCs w:val="20"/>
        </w:rPr>
      </w:pPr>
      <w:r>
        <w:rPr>
          <w:rFonts w:cs="AdvPSSAB-R"/>
          <w:sz w:val="20"/>
          <w:szCs w:val="20"/>
        </w:rPr>
        <w:t xml:space="preserve">9. </w:t>
      </w:r>
      <w:r w:rsidR="00660D66" w:rsidRPr="00A60F4D">
        <w:rPr>
          <w:rFonts w:cs="AdvPSSAB-R"/>
          <w:sz w:val="20"/>
          <w:szCs w:val="20"/>
        </w:rPr>
        <w:t xml:space="preserve">Burgess PI, </w:t>
      </w:r>
      <w:proofErr w:type="spellStart"/>
      <w:r w:rsidR="00660D66" w:rsidRPr="00A60F4D">
        <w:rPr>
          <w:rFonts w:cs="AdvPSSAB-R"/>
          <w:sz w:val="20"/>
          <w:szCs w:val="20"/>
        </w:rPr>
        <w:t>Maccormick</w:t>
      </w:r>
      <w:proofErr w:type="spellEnd"/>
      <w:r w:rsidR="00660D66" w:rsidRPr="00A60F4D">
        <w:rPr>
          <w:rFonts w:cs="AdvPSSAB-R"/>
          <w:sz w:val="20"/>
          <w:szCs w:val="20"/>
        </w:rPr>
        <w:t xml:space="preserve"> IJ, Harding SP, </w:t>
      </w:r>
      <w:proofErr w:type="spellStart"/>
      <w:r w:rsidR="00660D66" w:rsidRPr="00A60F4D">
        <w:rPr>
          <w:rFonts w:cs="AdvPSSAB-R"/>
          <w:sz w:val="20"/>
          <w:szCs w:val="20"/>
        </w:rPr>
        <w:t>Bastawrous</w:t>
      </w:r>
      <w:proofErr w:type="spellEnd"/>
      <w:r w:rsidR="00660D66" w:rsidRPr="00A60F4D">
        <w:rPr>
          <w:rFonts w:cs="AdvPSSAB-R"/>
          <w:sz w:val="20"/>
          <w:szCs w:val="20"/>
        </w:rPr>
        <w:t xml:space="preserve"> A, </w:t>
      </w:r>
      <w:proofErr w:type="spellStart"/>
      <w:r w:rsidR="00660D66" w:rsidRPr="00A60F4D">
        <w:rPr>
          <w:rFonts w:cs="AdvPSSAB-R"/>
          <w:sz w:val="20"/>
          <w:szCs w:val="20"/>
        </w:rPr>
        <w:t>Beare</w:t>
      </w:r>
      <w:proofErr w:type="spellEnd"/>
      <w:r w:rsidR="00660D66" w:rsidRPr="00A60F4D">
        <w:rPr>
          <w:rFonts w:cs="AdvPSSAB-R"/>
          <w:sz w:val="20"/>
          <w:szCs w:val="20"/>
        </w:rPr>
        <w:t xml:space="preserve"> NA, Garner P. Epidemiology of diabetic retinopathy and maculopathy in Africa: a systematic review. </w:t>
      </w:r>
      <w:proofErr w:type="spellStart"/>
      <w:r w:rsidR="00660D66" w:rsidRPr="00A60F4D">
        <w:rPr>
          <w:rFonts w:cs="AdvPSSAB-I"/>
          <w:sz w:val="20"/>
          <w:szCs w:val="20"/>
        </w:rPr>
        <w:t>Diabet</w:t>
      </w:r>
      <w:proofErr w:type="spellEnd"/>
      <w:r w:rsidR="00660D66" w:rsidRPr="00A60F4D">
        <w:rPr>
          <w:rFonts w:cs="AdvPSSAB-I"/>
          <w:sz w:val="20"/>
          <w:szCs w:val="20"/>
        </w:rPr>
        <w:t xml:space="preserve"> Med </w:t>
      </w:r>
      <w:r w:rsidR="00660D66" w:rsidRPr="00A60F4D">
        <w:rPr>
          <w:rFonts w:cs="AdvPSSAB-R"/>
          <w:sz w:val="20"/>
          <w:szCs w:val="20"/>
        </w:rPr>
        <w:t xml:space="preserve">2013; </w:t>
      </w:r>
      <w:r w:rsidR="00660D66" w:rsidRPr="00A60F4D">
        <w:rPr>
          <w:rFonts w:cs="AdvPSSab-B"/>
          <w:sz w:val="20"/>
          <w:szCs w:val="20"/>
        </w:rPr>
        <w:t>30</w:t>
      </w:r>
      <w:r w:rsidR="00660D66" w:rsidRPr="00A60F4D">
        <w:rPr>
          <w:rFonts w:cs="AdvPSSAB-R"/>
          <w:sz w:val="20"/>
          <w:szCs w:val="20"/>
        </w:rPr>
        <w:t>: 399</w:t>
      </w:r>
      <w:r w:rsidR="00660D66" w:rsidRPr="00A60F4D">
        <w:rPr>
          <w:rFonts w:cs="AdvTT3713a231+20"/>
          <w:sz w:val="20"/>
          <w:szCs w:val="20"/>
        </w:rPr>
        <w:t>–</w:t>
      </w:r>
      <w:r w:rsidR="00660D66" w:rsidRPr="00A60F4D">
        <w:rPr>
          <w:rFonts w:cs="AdvPSSAB-R"/>
          <w:sz w:val="20"/>
          <w:szCs w:val="20"/>
        </w:rPr>
        <w:t>412.</w:t>
      </w:r>
    </w:p>
    <w:p w14:paraId="6B5D1B01" w14:textId="77777777" w:rsidR="00660D66" w:rsidRPr="00A60F4D" w:rsidRDefault="00BC20CB" w:rsidP="00660D66">
      <w:pPr>
        <w:pStyle w:val="NoSpacing"/>
        <w:rPr>
          <w:rFonts w:cs="AdvPSSAB-R"/>
          <w:sz w:val="20"/>
          <w:szCs w:val="20"/>
        </w:rPr>
      </w:pPr>
      <w:r>
        <w:rPr>
          <w:rFonts w:cs="AdvPSSAB-R"/>
          <w:sz w:val="20"/>
          <w:szCs w:val="20"/>
        </w:rPr>
        <w:t xml:space="preserve">10. </w:t>
      </w:r>
      <w:r w:rsidR="00660D66" w:rsidRPr="00A60F4D">
        <w:rPr>
          <w:rFonts w:cs="AdvPSSAB-R"/>
          <w:sz w:val="20"/>
          <w:szCs w:val="20"/>
        </w:rPr>
        <w:t>World Health Organisation. Country statistics: Malawi. Geneva: World Health Organisation, 2013. Available at: http://www.who.</w:t>
      </w:r>
      <w:r w:rsidR="00F2440F">
        <w:rPr>
          <w:rFonts w:cs="AdvPSSAB-R"/>
          <w:sz w:val="20"/>
          <w:szCs w:val="20"/>
        </w:rPr>
        <w:t>int/countries/mwi/en/. A</w:t>
      </w:r>
      <w:r w:rsidR="00660D66" w:rsidRPr="00A60F4D">
        <w:rPr>
          <w:rFonts w:cs="AdvPSSAB-R"/>
          <w:sz w:val="20"/>
          <w:szCs w:val="20"/>
        </w:rPr>
        <w:t>ccessed 21 February 2014.</w:t>
      </w:r>
    </w:p>
    <w:p w14:paraId="6DE1D545" w14:textId="77777777" w:rsidR="00660D66" w:rsidRPr="00A60F4D" w:rsidRDefault="00BC20CB" w:rsidP="00660D66">
      <w:pPr>
        <w:pStyle w:val="NoSpacing"/>
        <w:rPr>
          <w:sz w:val="20"/>
          <w:szCs w:val="20"/>
        </w:rPr>
      </w:pPr>
      <w:r>
        <w:rPr>
          <w:sz w:val="20"/>
          <w:szCs w:val="20"/>
        </w:rPr>
        <w:t xml:space="preserve">11. </w:t>
      </w:r>
      <w:proofErr w:type="spellStart"/>
      <w:r w:rsidR="00660D66" w:rsidRPr="00A60F4D">
        <w:rPr>
          <w:sz w:val="20"/>
          <w:szCs w:val="20"/>
        </w:rPr>
        <w:t>Msyamboza</w:t>
      </w:r>
      <w:proofErr w:type="spellEnd"/>
      <w:r w:rsidR="00660D66" w:rsidRPr="00A60F4D">
        <w:rPr>
          <w:sz w:val="20"/>
          <w:szCs w:val="20"/>
        </w:rPr>
        <w:t xml:space="preserve"> KP, </w:t>
      </w:r>
      <w:proofErr w:type="spellStart"/>
      <w:r w:rsidR="00660D66" w:rsidRPr="00A60F4D">
        <w:rPr>
          <w:sz w:val="20"/>
          <w:szCs w:val="20"/>
        </w:rPr>
        <w:t>Ngwira</w:t>
      </w:r>
      <w:proofErr w:type="spellEnd"/>
      <w:r w:rsidR="00660D66" w:rsidRPr="00A60F4D">
        <w:rPr>
          <w:sz w:val="20"/>
          <w:szCs w:val="20"/>
        </w:rPr>
        <w:t xml:space="preserve"> B, </w:t>
      </w:r>
      <w:proofErr w:type="spellStart"/>
      <w:r w:rsidR="00660D66" w:rsidRPr="00A60F4D">
        <w:rPr>
          <w:sz w:val="20"/>
          <w:szCs w:val="20"/>
        </w:rPr>
        <w:t>Dzowela</w:t>
      </w:r>
      <w:proofErr w:type="spellEnd"/>
      <w:r w:rsidR="00660D66" w:rsidRPr="00A60F4D">
        <w:rPr>
          <w:sz w:val="20"/>
          <w:szCs w:val="20"/>
        </w:rPr>
        <w:t xml:space="preserve"> T, </w:t>
      </w:r>
      <w:proofErr w:type="spellStart"/>
      <w:r w:rsidR="00660D66" w:rsidRPr="00A60F4D">
        <w:rPr>
          <w:sz w:val="20"/>
          <w:szCs w:val="20"/>
        </w:rPr>
        <w:t>Mvula</w:t>
      </w:r>
      <w:proofErr w:type="spellEnd"/>
      <w:r w:rsidR="00660D66" w:rsidRPr="00A60F4D">
        <w:rPr>
          <w:sz w:val="20"/>
          <w:szCs w:val="20"/>
        </w:rPr>
        <w:t xml:space="preserve"> C, </w:t>
      </w:r>
      <w:proofErr w:type="spellStart"/>
      <w:r w:rsidR="00660D66" w:rsidRPr="00A60F4D">
        <w:rPr>
          <w:sz w:val="20"/>
          <w:szCs w:val="20"/>
        </w:rPr>
        <w:t>Kathyola</w:t>
      </w:r>
      <w:proofErr w:type="spellEnd"/>
      <w:r w:rsidR="00660D66" w:rsidRPr="00A60F4D">
        <w:rPr>
          <w:sz w:val="20"/>
          <w:szCs w:val="20"/>
        </w:rPr>
        <w:t xml:space="preserve"> D, Harries AD </w:t>
      </w:r>
      <w:r w:rsidR="00660D66" w:rsidRPr="00A60F4D">
        <w:rPr>
          <w:rFonts w:cs="AdvPSSAB-I"/>
          <w:sz w:val="20"/>
          <w:szCs w:val="20"/>
        </w:rPr>
        <w:t xml:space="preserve">et al. </w:t>
      </w:r>
      <w:r w:rsidR="00660D66" w:rsidRPr="00A60F4D">
        <w:rPr>
          <w:sz w:val="20"/>
          <w:szCs w:val="20"/>
        </w:rPr>
        <w:t xml:space="preserve">The burden of selected chronic non-communicable diseases and their risk factors in Malawi: nationwide STEPS survey. </w:t>
      </w:r>
      <w:proofErr w:type="spellStart"/>
      <w:r w:rsidR="00660D66" w:rsidRPr="00A60F4D">
        <w:rPr>
          <w:rFonts w:cs="AdvPSSAB-I"/>
          <w:sz w:val="20"/>
          <w:szCs w:val="20"/>
        </w:rPr>
        <w:t>PLoS</w:t>
      </w:r>
      <w:proofErr w:type="spellEnd"/>
      <w:r w:rsidR="00660D66" w:rsidRPr="00A60F4D">
        <w:rPr>
          <w:rFonts w:cs="AdvPSSAB-I"/>
          <w:sz w:val="20"/>
          <w:szCs w:val="20"/>
        </w:rPr>
        <w:t xml:space="preserve"> One </w:t>
      </w:r>
      <w:r w:rsidR="00660D66" w:rsidRPr="00A60F4D">
        <w:rPr>
          <w:sz w:val="20"/>
          <w:szCs w:val="20"/>
        </w:rPr>
        <w:t xml:space="preserve">2011; </w:t>
      </w:r>
      <w:r w:rsidR="00660D66" w:rsidRPr="00A60F4D">
        <w:rPr>
          <w:rFonts w:cs="AdvPSSab-B"/>
          <w:sz w:val="20"/>
          <w:szCs w:val="20"/>
        </w:rPr>
        <w:t>6</w:t>
      </w:r>
      <w:r w:rsidR="00660D66" w:rsidRPr="00A60F4D">
        <w:rPr>
          <w:sz w:val="20"/>
          <w:szCs w:val="20"/>
        </w:rPr>
        <w:t>: e20316.</w:t>
      </w:r>
    </w:p>
    <w:p w14:paraId="0BBFA517" w14:textId="77777777" w:rsidR="00660D66" w:rsidRPr="00A60F4D" w:rsidRDefault="00BC20CB" w:rsidP="00660D66">
      <w:pPr>
        <w:pStyle w:val="NoSpacing"/>
        <w:rPr>
          <w:rFonts w:cs="AdvPSSAB-R"/>
          <w:sz w:val="20"/>
          <w:szCs w:val="20"/>
        </w:rPr>
      </w:pPr>
      <w:r>
        <w:rPr>
          <w:rFonts w:cs="AdvPSSAB-R"/>
          <w:sz w:val="20"/>
          <w:szCs w:val="20"/>
        </w:rPr>
        <w:t xml:space="preserve">12. </w:t>
      </w:r>
      <w:r w:rsidR="00660D66" w:rsidRPr="00A60F4D">
        <w:rPr>
          <w:sz w:val="20"/>
          <w:szCs w:val="20"/>
        </w:rPr>
        <w:t xml:space="preserve">Glover SJ, Burgess PI, Cohen DB, Harding SP, </w:t>
      </w:r>
      <w:proofErr w:type="spellStart"/>
      <w:r w:rsidR="00660D66" w:rsidRPr="00A60F4D">
        <w:rPr>
          <w:sz w:val="20"/>
          <w:szCs w:val="20"/>
        </w:rPr>
        <w:t>Hofland</w:t>
      </w:r>
      <w:proofErr w:type="spellEnd"/>
      <w:r w:rsidR="00660D66" w:rsidRPr="00A60F4D">
        <w:rPr>
          <w:sz w:val="20"/>
          <w:szCs w:val="20"/>
        </w:rPr>
        <w:t xml:space="preserve"> HWC</w:t>
      </w:r>
      <w:r w:rsidR="00660D66" w:rsidRPr="00A60F4D">
        <w:rPr>
          <w:sz w:val="20"/>
          <w:szCs w:val="20"/>
          <w:vertAlign w:val="superscript"/>
        </w:rPr>
        <w:t xml:space="preserve">, </w:t>
      </w:r>
      <w:proofErr w:type="spellStart"/>
      <w:r w:rsidR="00660D66" w:rsidRPr="00A60F4D">
        <w:rPr>
          <w:sz w:val="20"/>
          <w:szCs w:val="20"/>
        </w:rPr>
        <w:t>Zijlstra</w:t>
      </w:r>
      <w:proofErr w:type="spellEnd"/>
      <w:r w:rsidR="00660D66" w:rsidRPr="00A60F4D">
        <w:rPr>
          <w:sz w:val="20"/>
          <w:szCs w:val="20"/>
        </w:rPr>
        <w:t xml:space="preserve"> EE, </w:t>
      </w:r>
      <w:proofErr w:type="spellStart"/>
      <w:r w:rsidR="00660D66" w:rsidRPr="00A60F4D">
        <w:rPr>
          <w:sz w:val="20"/>
          <w:szCs w:val="20"/>
        </w:rPr>
        <w:t>Allain</w:t>
      </w:r>
      <w:proofErr w:type="spellEnd"/>
      <w:r w:rsidR="00660D66" w:rsidRPr="00A60F4D">
        <w:rPr>
          <w:sz w:val="20"/>
          <w:szCs w:val="20"/>
        </w:rPr>
        <w:t xml:space="preserve"> TJ. </w:t>
      </w:r>
      <w:proofErr w:type="gramStart"/>
      <w:r w:rsidR="00660D66" w:rsidRPr="00A60F4D">
        <w:rPr>
          <w:sz w:val="20"/>
          <w:szCs w:val="20"/>
        </w:rPr>
        <w:t>Prevalence of diabetic retinopathy, cataract and visual impairment in diabetic patients in Sub-Saharan Africa.</w:t>
      </w:r>
      <w:proofErr w:type="gramEnd"/>
      <w:r w:rsidR="00660D66" w:rsidRPr="00A60F4D">
        <w:rPr>
          <w:sz w:val="20"/>
          <w:szCs w:val="20"/>
        </w:rPr>
        <w:t xml:space="preserve">  </w:t>
      </w:r>
      <w:proofErr w:type="gramStart"/>
      <w:r w:rsidR="00660D66" w:rsidRPr="00A60F4D">
        <w:rPr>
          <w:sz w:val="20"/>
          <w:szCs w:val="20"/>
        </w:rPr>
        <w:t xml:space="preserve">Br J </w:t>
      </w:r>
      <w:proofErr w:type="spellStart"/>
      <w:r w:rsidR="00660D66" w:rsidRPr="00A60F4D">
        <w:rPr>
          <w:sz w:val="20"/>
          <w:szCs w:val="20"/>
        </w:rPr>
        <w:t>Ophthalmol</w:t>
      </w:r>
      <w:proofErr w:type="spellEnd"/>
      <w:r w:rsidR="00660D66" w:rsidRPr="00A60F4D">
        <w:rPr>
          <w:sz w:val="20"/>
          <w:szCs w:val="20"/>
        </w:rPr>
        <w:t>.</w:t>
      </w:r>
      <w:proofErr w:type="gramEnd"/>
      <w:r w:rsidR="00660D66" w:rsidRPr="00A60F4D">
        <w:rPr>
          <w:sz w:val="20"/>
          <w:szCs w:val="20"/>
        </w:rPr>
        <w:t xml:space="preserve"> 2012 Feb; 96(2): 156-61.</w:t>
      </w:r>
    </w:p>
    <w:p w14:paraId="522D21EB" w14:textId="77777777" w:rsidR="00B87FF3" w:rsidRPr="00A60F4D" w:rsidRDefault="00B87FF3" w:rsidP="00B87FF3">
      <w:pPr>
        <w:pStyle w:val="NoSpacing"/>
        <w:rPr>
          <w:rFonts w:eastAsia="Times New Roman" w:cs="Arial"/>
          <w:sz w:val="20"/>
          <w:szCs w:val="20"/>
          <w:lang w:eastAsia="en-GB"/>
        </w:rPr>
      </w:pPr>
      <w:r>
        <w:rPr>
          <w:sz w:val="20"/>
          <w:szCs w:val="20"/>
        </w:rPr>
        <w:t xml:space="preserve">13. </w:t>
      </w:r>
      <w:r w:rsidRPr="00A60F4D">
        <w:rPr>
          <w:rFonts w:eastAsia="Times New Roman" w:cs="Arial"/>
          <w:bCs/>
          <w:sz w:val="20"/>
          <w:szCs w:val="20"/>
          <w:lang w:eastAsia="en-GB"/>
        </w:rPr>
        <w:t>Cohen</w:t>
      </w:r>
      <w:r w:rsidRPr="00A60F4D">
        <w:rPr>
          <w:rFonts w:eastAsia="Times New Roman" w:cs="Arial"/>
          <w:sz w:val="20"/>
          <w:szCs w:val="20"/>
          <w:lang w:eastAsia="en-GB"/>
        </w:rPr>
        <w:t> DB, </w:t>
      </w:r>
      <w:proofErr w:type="spellStart"/>
      <w:r w:rsidRPr="00A60F4D">
        <w:rPr>
          <w:rFonts w:eastAsia="Times New Roman" w:cs="Arial"/>
          <w:bCs/>
          <w:sz w:val="20"/>
          <w:szCs w:val="20"/>
          <w:lang w:eastAsia="en-GB"/>
        </w:rPr>
        <w:t>Allain</w:t>
      </w:r>
      <w:proofErr w:type="spellEnd"/>
      <w:r w:rsidRPr="00A60F4D">
        <w:rPr>
          <w:rFonts w:eastAsia="Times New Roman" w:cs="Arial"/>
          <w:sz w:val="20"/>
          <w:szCs w:val="20"/>
          <w:lang w:eastAsia="en-GB"/>
        </w:rPr>
        <w:t xml:space="preserve"> TJ, Glover S, </w:t>
      </w:r>
      <w:proofErr w:type="spellStart"/>
      <w:r w:rsidRPr="00A60F4D">
        <w:rPr>
          <w:rFonts w:eastAsia="Times New Roman" w:cs="Arial"/>
          <w:sz w:val="20"/>
          <w:szCs w:val="20"/>
          <w:lang w:eastAsia="en-GB"/>
        </w:rPr>
        <w:t>Chimbayo</w:t>
      </w:r>
      <w:proofErr w:type="spellEnd"/>
      <w:r w:rsidRPr="00A60F4D">
        <w:rPr>
          <w:rFonts w:eastAsia="Times New Roman" w:cs="Arial"/>
          <w:sz w:val="20"/>
          <w:szCs w:val="20"/>
          <w:lang w:eastAsia="en-GB"/>
        </w:rPr>
        <w:t xml:space="preserve"> D, </w:t>
      </w:r>
      <w:proofErr w:type="spellStart"/>
      <w:r w:rsidRPr="00A60F4D">
        <w:rPr>
          <w:rFonts w:eastAsia="Times New Roman" w:cs="Arial"/>
          <w:sz w:val="20"/>
          <w:szCs w:val="20"/>
          <w:lang w:eastAsia="en-GB"/>
        </w:rPr>
        <w:t>Dzamalala</w:t>
      </w:r>
      <w:proofErr w:type="spellEnd"/>
      <w:r w:rsidRPr="00A60F4D">
        <w:rPr>
          <w:rFonts w:eastAsia="Times New Roman" w:cs="Arial"/>
          <w:sz w:val="20"/>
          <w:szCs w:val="20"/>
          <w:lang w:eastAsia="en-GB"/>
        </w:rPr>
        <w:t xml:space="preserve"> H, </w:t>
      </w:r>
      <w:proofErr w:type="spellStart"/>
      <w:r w:rsidRPr="00A60F4D">
        <w:rPr>
          <w:rFonts w:eastAsia="Times New Roman" w:cs="Arial"/>
          <w:sz w:val="20"/>
          <w:szCs w:val="20"/>
          <w:lang w:eastAsia="en-GB"/>
        </w:rPr>
        <w:t>Hofland</w:t>
      </w:r>
      <w:proofErr w:type="spellEnd"/>
      <w:r w:rsidRPr="00A60F4D">
        <w:rPr>
          <w:rFonts w:eastAsia="Times New Roman" w:cs="Arial"/>
          <w:sz w:val="20"/>
          <w:szCs w:val="20"/>
          <w:lang w:eastAsia="en-GB"/>
        </w:rPr>
        <w:t xml:space="preserve"> HW, Banda NP, </w:t>
      </w:r>
      <w:proofErr w:type="spellStart"/>
      <w:r w:rsidRPr="00A60F4D">
        <w:rPr>
          <w:rFonts w:eastAsia="Times New Roman" w:cs="Arial"/>
          <w:sz w:val="20"/>
          <w:szCs w:val="20"/>
          <w:lang w:eastAsia="en-GB"/>
        </w:rPr>
        <w:t>Zijlstra</w:t>
      </w:r>
      <w:proofErr w:type="spellEnd"/>
      <w:r w:rsidRPr="00A60F4D">
        <w:rPr>
          <w:rFonts w:eastAsia="Times New Roman" w:cs="Arial"/>
          <w:sz w:val="20"/>
          <w:szCs w:val="20"/>
          <w:lang w:eastAsia="en-GB"/>
        </w:rPr>
        <w:t xml:space="preserve"> EE. A survey of the management, control, and complications of diabetes mellitus in patients attending a diabetes clinic in Blantyre, Malawi, an area of high HIV prevalence. Am J Trop Med </w:t>
      </w:r>
      <w:proofErr w:type="spellStart"/>
      <w:proofErr w:type="gramStart"/>
      <w:r w:rsidRPr="00A60F4D">
        <w:rPr>
          <w:rFonts w:eastAsia="Times New Roman" w:cs="Arial"/>
          <w:sz w:val="20"/>
          <w:szCs w:val="20"/>
          <w:lang w:eastAsia="en-GB"/>
        </w:rPr>
        <w:t>Hyg</w:t>
      </w:r>
      <w:proofErr w:type="spellEnd"/>
      <w:r w:rsidRPr="00A60F4D">
        <w:rPr>
          <w:rFonts w:eastAsia="Times New Roman" w:cs="Arial"/>
          <w:sz w:val="20"/>
          <w:szCs w:val="20"/>
          <w:lang w:eastAsia="en-GB"/>
        </w:rPr>
        <w:t>.</w:t>
      </w:r>
      <w:proofErr w:type="gramEnd"/>
      <w:r w:rsidRPr="00A60F4D">
        <w:rPr>
          <w:rFonts w:eastAsia="Times New Roman" w:cs="Arial"/>
          <w:sz w:val="20"/>
          <w:szCs w:val="20"/>
          <w:lang w:eastAsia="en-GB"/>
        </w:rPr>
        <w:t xml:space="preserve"> 2010; 83(3): 575-81</w:t>
      </w:r>
      <w:r>
        <w:rPr>
          <w:rFonts w:eastAsia="Times New Roman" w:cs="Arial"/>
          <w:sz w:val="20"/>
          <w:szCs w:val="20"/>
          <w:lang w:eastAsia="en-GB"/>
        </w:rPr>
        <w:t>.</w:t>
      </w:r>
    </w:p>
    <w:p w14:paraId="287B27EA" w14:textId="77777777" w:rsidR="00660D66" w:rsidRPr="00A60F4D" w:rsidRDefault="00BC20CB" w:rsidP="00660D66">
      <w:pPr>
        <w:pStyle w:val="NoSpacing"/>
        <w:rPr>
          <w:sz w:val="20"/>
          <w:szCs w:val="20"/>
        </w:rPr>
      </w:pPr>
      <w:r>
        <w:rPr>
          <w:sz w:val="20"/>
          <w:szCs w:val="20"/>
        </w:rPr>
        <w:t>1</w:t>
      </w:r>
      <w:r w:rsidR="00B87FF3">
        <w:rPr>
          <w:sz w:val="20"/>
          <w:szCs w:val="20"/>
        </w:rPr>
        <w:t>4</w:t>
      </w:r>
      <w:r>
        <w:rPr>
          <w:sz w:val="20"/>
          <w:szCs w:val="20"/>
        </w:rPr>
        <w:t xml:space="preserve">. </w:t>
      </w:r>
      <w:r w:rsidR="00660D66" w:rsidRPr="00A60F4D">
        <w:rPr>
          <w:sz w:val="20"/>
          <w:szCs w:val="20"/>
        </w:rPr>
        <w:t xml:space="preserve">Burgess PI, </w:t>
      </w:r>
      <w:proofErr w:type="spellStart"/>
      <w:r w:rsidR="00660D66" w:rsidRPr="00A60F4D">
        <w:rPr>
          <w:sz w:val="20"/>
          <w:szCs w:val="20"/>
        </w:rPr>
        <w:t>Allain</w:t>
      </w:r>
      <w:proofErr w:type="spellEnd"/>
      <w:r w:rsidR="00660D66" w:rsidRPr="00A60F4D">
        <w:rPr>
          <w:sz w:val="20"/>
          <w:szCs w:val="20"/>
        </w:rPr>
        <w:t xml:space="preserve"> TA, </w:t>
      </w:r>
      <w:proofErr w:type="spellStart"/>
      <w:r w:rsidR="00660D66" w:rsidRPr="00A60F4D">
        <w:rPr>
          <w:rFonts w:cs="Calibri"/>
          <w:sz w:val="20"/>
          <w:szCs w:val="20"/>
        </w:rPr>
        <w:t>García-Fiñana</w:t>
      </w:r>
      <w:proofErr w:type="spellEnd"/>
      <w:r w:rsidR="00660D66" w:rsidRPr="00A60F4D">
        <w:rPr>
          <w:sz w:val="20"/>
          <w:szCs w:val="20"/>
        </w:rPr>
        <w:t xml:space="preserve"> M, </w:t>
      </w:r>
      <w:proofErr w:type="spellStart"/>
      <w:r w:rsidR="00660D66" w:rsidRPr="00A60F4D">
        <w:rPr>
          <w:sz w:val="20"/>
          <w:szCs w:val="20"/>
        </w:rPr>
        <w:t>Beare</w:t>
      </w:r>
      <w:proofErr w:type="spellEnd"/>
      <w:r w:rsidR="00660D66" w:rsidRPr="00A60F4D">
        <w:rPr>
          <w:sz w:val="20"/>
          <w:szCs w:val="20"/>
        </w:rPr>
        <w:t xml:space="preserve"> NAV, </w:t>
      </w:r>
      <w:proofErr w:type="spellStart"/>
      <w:r w:rsidR="00660D66" w:rsidRPr="00A60F4D">
        <w:rPr>
          <w:sz w:val="20"/>
          <w:szCs w:val="20"/>
        </w:rPr>
        <w:t>Msukwa</w:t>
      </w:r>
      <w:proofErr w:type="spellEnd"/>
      <w:r w:rsidR="00660D66" w:rsidRPr="00A60F4D">
        <w:rPr>
          <w:sz w:val="20"/>
          <w:szCs w:val="20"/>
        </w:rPr>
        <w:t xml:space="preserve"> G, Harding SP. High prevalence of sight threatening retinopathy and visual impairment due to diabetes in Malawi; identification of population specific targets for intervention. Diabetic Medicine. </w:t>
      </w:r>
      <w:r w:rsidR="00660D66" w:rsidRPr="00A60F4D">
        <w:rPr>
          <w:rFonts w:cs="Arial"/>
          <w:color w:val="000000"/>
          <w:sz w:val="20"/>
          <w:szCs w:val="20"/>
          <w:shd w:val="clear" w:color="auto" w:fill="FFFFFF"/>
        </w:rPr>
        <w:t>2014 31(12): 1643-50.</w:t>
      </w:r>
    </w:p>
    <w:p w14:paraId="17B6F2EF" w14:textId="77777777" w:rsidR="00660D66" w:rsidRPr="00660D66" w:rsidRDefault="00B87FF3" w:rsidP="00F2777A">
      <w:pPr>
        <w:pStyle w:val="NoSpacing"/>
        <w:rPr>
          <w:rFonts w:eastAsia="Times New Roman" w:cs="AdvPECFD36"/>
          <w:sz w:val="20"/>
          <w:szCs w:val="20"/>
          <w:lang w:eastAsia="en-GB"/>
        </w:rPr>
      </w:pPr>
      <w:r w:rsidRPr="00DF325D">
        <w:rPr>
          <w:sz w:val="20"/>
          <w:szCs w:val="20"/>
        </w:rPr>
        <w:lastRenderedPageBreak/>
        <w:t>15</w:t>
      </w:r>
      <w:proofErr w:type="gramStart"/>
      <w:r w:rsidRPr="00DF325D">
        <w:rPr>
          <w:sz w:val="20"/>
          <w:szCs w:val="20"/>
        </w:rPr>
        <w:t xml:space="preserve">. </w:t>
      </w:r>
      <w:r w:rsidR="00BC20CB" w:rsidRPr="00DF325D">
        <w:rPr>
          <w:sz w:val="20"/>
          <w:szCs w:val="20"/>
        </w:rPr>
        <w:t>.</w:t>
      </w:r>
      <w:proofErr w:type="gramEnd"/>
      <w:r w:rsidR="00BC20CB" w:rsidRPr="00DF325D">
        <w:rPr>
          <w:sz w:val="20"/>
          <w:szCs w:val="20"/>
        </w:rPr>
        <w:t xml:space="preserve"> </w:t>
      </w:r>
      <w:r w:rsidR="00660D66" w:rsidRPr="00DF325D">
        <w:rPr>
          <w:rFonts w:eastAsia="Times New Roman" w:cs="AdvPECFD36"/>
          <w:sz w:val="20"/>
          <w:szCs w:val="20"/>
          <w:lang w:eastAsia="en-GB"/>
        </w:rPr>
        <w:t>American Diabetes Association</w:t>
      </w:r>
      <w:r w:rsidR="00660D66" w:rsidRPr="00A60F4D">
        <w:rPr>
          <w:rFonts w:eastAsia="Times New Roman" w:cs="AdvPECFD36"/>
          <w:sz w:val="20"/>
          <w:szCs w:val="20"/>
          <w:lang w:eastAsia="en-GB"/>
        </w:rPr>
        <w:t>. Standards of medical care in diabetes 2010. Diabetes Care. 2010; 33 (</w:t>
      </w:r>
      <w:proofErr w:type="spellStart"/>
      <w:r w:rsidR="00660D66" w:rsidRPr="00A60F4D">
        <w:rPr>
          <w:rFonts w:eastAsia="Times New Roman" w:cs="AdvPECFD36"/>
          <w:sz w:val="20"/>
          <w:szCs w:val="20"/>
          <w:lang w:eastAsia="en-GB"/>
        </w:rPr>
        <w:t>suppl</w:t>
      </w:r>
      <w:proofErr w:type="spellEnd"/>
      <w:r w:rsidR="00660D66" w:rsidRPr="00A60F4D">
        <w:rPr>
          <w:rFonts w:eastAsia="Times New Roman" w:cs="AdvPECFD36"/>
          <w:sz w:val="20"/>
          <w:szCs w:val="20"/>
          <w:lang w:eastAsia="en-GB"/>
        </w:rPr>
        <w:t xml:space="preserve"> 1): S11-61</w:t>
      </w:r>
      <w:r w:rsidR="00F2440F">
        <w:rPr>
          <w:rFonts w:eastAsia="Times New Roman" w:cs="AdvPECFD36"/>
          <w:sz w:val="20"/>
          <w:szCs w:val="20"/>
          <w:lang w:eastAsia="en-GB"/>
        </w:rPr>
        <w:t>.</w:t>
      </w:r>
    </w:p>
    <w:p w14:paraId="609273C5" w14:textId="77777777" w:rsidR="00660D66" w:rsidRPr="00A60F4D" w:rsidRDefault="00BC20CB" w:rsidP="00660D66">
      <w:pPr>
        <w:pStyle w:val="NoSpacing"/>
        <w:rPr>
          <w:sz w:val="20"/>
          <w:szCs w:val="20"/>
        </w:rPr>
      </w:pPr>
      <w:r>
        <w:rPr>
          <w:sz w:val="20"/>
          <w:szCs w:val="20"/>
        </w:rPr>
        <w:t xml:space="preserve">16. </w:t>
      </w:r>
      <w:r w:rsidR="00660D66" w:rsidRPr="00A60F4D">
        <w:rPr>
          <w:sz w:val="20"/>
          <w:szCs w:val="20"/>
        </w:rPr>
        <w:t xml:space="preserve">WHO Global data on visual impairments 2010. </w:t>
      </w:r>
      <w:proofErr w:type="gramStart"/>
      <w:r w:rsidR="00660D66" w:rsidRPr="00A60F4D">
        <w:rPr>
          <w:sz w:val="20"/>
          <w:szCs w:val="20"/>
        </w:rPr>
        <w:t>www.who.int</w:t>
      </w:r>
      <w:proofErr w:type="gramEnd"/>
      <w:r w:rsidR="00660D66" w:rsidRPr="00A60F4D">
        <w:rPr>
          <w:sz w:val="20"/>
          <w:szCs w:val="20"/>
        </w:rPr>
        <w:t>/blindness/GLOBALDATAFINALforweb.pdf  Accessed 14</w:t>
      </w:r>
      <w:r w:rsidR="00660D66" w:rsidRPr="00A60F4D">
        <w:rPr>
          <w:sz w:val="20"/>
          <w:szCs w:val="20"/>
          <w:vertAlign w:val="superscript"/>
        </w:rPr>
        <w:t>th</w:t>
      </w:r>
      <w:r w:rsidR="00660D66" w:rsidRPr="00A60F4D">
        <w:rPr>
          <w:sz w:val="20"/>
          <w:szCs w:val="20"/>
        </w:rPr>
        <w:t xml:space="preserve"> May 2013</w:t>
      </w:r>
      <w:r w:rsidR="00F2440F">
        <w:rPr>
          <w:sz w:val="20"/>
          <w:szCs w:val="20"/>
        </w:rPr>
        <w:t>.</w:t>
      </w:r>
    </w:p>
    <w:p w14:paraId="6D702834" w14:textId="77777777" w:rsidR="00612F66" w:rsidRPr="00A60F4D" w:rsidRDefault="00BC20CB" w:rsidP="00F2777A">
      <w:pPr>
        <w:pStyle w:val="NoSpacing"/>
        <w:rPr>
          <w:sz w:val="20"/>
          <w:szCs w:val="20"/>
        </w:rPr>
      </w:pPr>
      <w:r>
        <w:rPr>
          <w:sz w:val="20"/>
          <w:szCs w:val="20"/>
        </w:rPr>
        <w:t xml:space="preserve">17. </w:t>
      </w:r>
      <w:r w:rsidR="00612F66" w:rsidRPr="00A60F4D">
        <w:rPr>
          <w:sz w:val="20"/>
          <w:szCs w:val="20"/>
        </w:rPr>
        <w:t>Malawi Integrated guideline fo</w:t>
      </w:r>
      <w:r w:rsidR="00F2777A" w:rsidRPr="00A60F4D">
        <w:rPr>
          <w:sz w:val="20"/>
          <w:szCs w:val="20"/>
        </w:rPr>
        <w:t xml:space="preserve">r providing HIV services. 2011. </w:t>
      </w:r>
      <w:r w:rsidR="00612F66" w:rsidRPr="00A60F4D">
        <w:rPr>
          <w:sz w:val="20"/>
          <w:szCs w:val="20"/>
        </w:rPr>
        <w:t>Ministry of Health, Lilongwe, Ma</w:t>
      </w:r>
      <w:r w:rsidR="00F2777A" w:rsidRPr="00A60F4D">
        <w:rPr>
          <w:sz w:val="20"/>
          <w:szCs w:val="20"/>
        </w:rPr>
        <w:t>lawi. Available at: http://www.hivunitmohmw.org. A</w:t>
      </w:r>
      <w:r w:rsidR="00612F66" w:rsidRPr="00A60F4D">
        <w:rPr>
          <w:sz w:val="20"/>
          <w:szCs w:val="20"/>
        </w:rPr>
        <w:t>ccessed 6</w:t>
      </w:r>
      <w:r w:rsidR="00F2440F" w:rsidRPr="00F2440F">
        <w:rPr>
          <w:sz w:val="20"/>
          <w:szCs w:val="20"/>
          <w:vertAlign w:val="superscript"/>
        </w:rPr>
        <w:t>th</w:t>
      </w:r>
      <w:r w:rsidR="00612F66" w:rsidRPr="00A60F4D">
        <w:rPr>
          <w:sz w:val="20"/>
          <w:szCs w:val="20"/>
        </w:rPr>
        <w:t xml:space="preserve"> May 2013.</w:t>
      </w:r>
    </w:p>
    <w:p w14:paraId="02C3325A" w14:textId="77777777" w:rsidR="00612F66" w:rsidRPr="00A60F4D" w:rsidRDefault="00BC20CB" w:rsidP="00BC20CB">
      <w:pPr>
        <w:pStyle w:val="NoSpacing"/>
        <w:rPr>
          <w:sz w:val="20"/>
          <w:szCs w:val="20"/>
        </w:rPr>
      </w:pPr>
      <w:r>
        <w:rPr>
          <w:sz w:val="20"/>
          <w:szCs w:val="20"/>
        </w:rPr>
        <w:t xml:space="preserve">18. </w:t>
      </w:r>
      <w:r w:rsidR="00612F66" w:rsidRPr="00A60F4D">
        <w:rPr>
          <w:sz w:val="20"/>
          <w:szCs w:val="20"/>
        </w:rPr>
        <w:t>World Health Organization.</w:t>
      </w:r>
      <w:r w:rsidR="00F2777A" w:rsidRPr="00A60F4D">
        <w:rPr>
          <w:sz w:val="20"/>
          <w:szCs w:val="20"/>
        </w:rPr>
        <w:t xml:space="preserve"> </w:t>
      </w:r>
      <w:proofErr w:type="gramStart"/>
      <w:r w:rsidR="00F2777A" w:rsidRPr="00A60F4D">
        <w:rPr>
          <w:sz w:val="20"/>
          <w:szCs w:val="20"/>
        </w:rPr>
        <w:t xml:space="preserve">Worldwide prevalence of </w:t>
      </w:r>
      <w:proofErr w:type="spellStart"/>
      <w:r w:rsidR="00F2777A" w:rsidRPr="00A60F4D">
        <w:rPr>
          <w:sz w:val="20"/>
          <w:szCs w:val="20"/>
        </w:rPr>
        <w:t>anemia</w:t>
      </w:r>
      <w:proofErr w:type="spellEnd"/>
      <w:r w:rsidR="00F2777A" w:rsidRPr="00A60F4D">
        <w:rPr>
          <w:sz w:val="20"/>
          <w:szCs w:val="20"/>
        </w:rPr>
        <w:t xml:space="preserve"> </w:t>
      </w:r>
      <w:r w:rsidR="00612F66" w:rsidRPr="00A60F4D">
        <w:rPr>
          <w:sz w:val="20"/>
          <w:szCs w:val="20"/>
        </w:rPr>
        <w:t>1993</w:t>
      </w:r>
      <w:r w:rsidR="00612F66" w:rsidRPr="00A60F4D">
        <w:rPr>
          <w:rFonts w:cs="AdvTT3713a231+20"/>
          <w:sz w:val="20"/>
          <w:szCs w:val="20"/>
        </w:rPr>
        <w:t>–</w:t>
      </w:r>
      <w:r w:rsidR="00612F66" w:rsidRPr="00A60F4D">
        <w:rPr>
          <w:sz w:val="20"/>
          <w:szCs w:val="20"/>
        </w:rPr>
        <w:t>2005.</w:t>
      </w:r>
      <w:proofErr w:type="gramEnd"/>
      <w:r w:rsidR="00612F66" w:rsidRPr="00A60F4D">
        <w:rPr>
          <w:sz w:val="20"/>
          <w:szCs w:val="20"/>
        </w:rPr>
        <w:t xml:space="preserve"> Geneva: World Healt</w:t>
      </w:r>
      <w:r w:rsidR="00F2777A" w:rsidRPr="00A60F4D">
        <w:rPr>
          <w:sz w:val="20"/>
          <w:szCs w:val="20"/>
        </w:rPr>
        <w:t xml:space="preserve">h Organization, 2008. Available </w:t>
      </w:r>
      <w:r w:rsidR="00612F66" w:rsidRPr="00A60F4D">
        <w:rPr>
          <w:sz w:val="20"/>
          <w:szCs w:val="20"/>
        </w:rPr>
        <w:t>at: http://whqlibdoc.who.int/publications/2008/9789241596657_eng.</w:t>
      </w:r>
    </w:p>
    <w:p w14:paraId="156F6A0F" w14:textId="77777777" w:rsidR="00612F66" w:rsidRPr="00A60F4D" w:rsidRDefault="00F2777A" w:rsidP="00BC20CB">
      <w:pPr>
        <w:pStyle w:val="NoSpacing"/>
        <w:rPr>
          <w:b/>
          <w:sz w:val="20"/>
          <w:szCs w:val="20"/>
        </w:rPr>
      </w:pPr>
      <w:proofErr w:type="gramStart"/>
      <w:r w:rsidRPr="00A60F4D">
        <w:rPr>
          <w:sz w:val="20"/>
          <w:szCs w:val="20"/>
        </w:rPr>
        <w:t>pdf</w:t>
      </w:r>
      <w:proofErr w:type="gramEnd"/>
      <w:r w:rsidRPr="00A60F4D">
        <w:rPr>
          <w:sz w:val="20"/>
          <w:szCs w:val="20"/>
        </w:rPr>
        <w:t>. A</w:t>
      </w:r>
      <w:r w:rsidR="00612F66" w:rsidRPr="00A60F4D">
        <w:rPr>
          <w:sz w:val="20"/>
          <w:szCs w:val="20"/>
        </w:rPr>
        <w:t>ccessed 10</w:t>
      </w:r>
      <w:r w:rsidR="00F2440F" w:rsidRPr="00F2440F">
        <w:rPr>
          <w:sz w:val="20"/>
          <w:szCs w:val="20"/>
          <w:vertAlign w:val="superscript"/>
        </w:rPr>
        <w:t>th</w:t>
      </w:r>
      <w:r w:rsidR="00612F66" w:rsidRPr="00A60F4D">
        <w:rPr>
          <w:sz w:val="20"/>
          <w:szCs w:val="20"/>
        </w:rPr>
        <w:t xml:space="preserve"> May 2013.</w:t>
      </w:r>
    </w:p>
    <w:p w14:paraId="6E44803D" w14:textId="77777777" w:rsidR="00C71D07" w:rsidRPr="00A60F4D" w:rsidRDefault="00BC20CB" w:rsidP="00BC20CB">
      <w:pPr>
        <w:pStyle w:val="NoSpacing"/>
        <w:rPr>
          <w:rFonts w:cs="AdvPSSAB-I"/>
          <w:sz w:val="20"/>
          <w:szCs w:val="20"/>
        </w:rPr>
      </w:pPr>
      <w:r>
        <w:rPr>
          <w:rFonts w:cs="AdvPSSAB-R"/>
          <w:sz w:val="20"/>
          <w:szCs w:val="20"/>
        </w:rPr>
        <w:t xml:space="preserve">19. </w:t>
      </w:r>
      <w:r w:rsidR="00C71D07" w:rsidRPr="00A60F4D">
        <w:rPr>
          <w:rFonts w:cs="AdvPSSAB-R"/>
          <w:sz w:val="20"/>
          <w:szCs w:val="20"/>
        </w:rPr>
        <w:t xml:space="preserve">Harding SP, Broadbent DM, </w:t>
      </w:r>
      <w:proofErr w:type="spellStart"/>
      <w:r w:rsidR="00C71D07" w:rsidRPr="00A60F4D">
        <w:rPr>
          <w:rFonts w:cs="AdvPSSAB-R"/>
          <w:sz w:val="20"/>
          <w:szCs w:val="20"/>
        </w:rPr>
        <w:t>Neoh</w:t>
      </w:r>
      <w:proofErr w:type="spellEnd"/>
      <w:r w:rsidR="00C71D07" w:rsidRPr="00A60F4D">
        <w:rPr>
          <w:rFonts w:cs="AdvPSSAB-R"/>
          <w:sz w:val="20"/>
          <w:szCs w:val="20"/>
        </w:rPr>
        <w:t xml:space="preserve"> C, White MC, </w:t>
      </w:r>
      <w:proofErr w:type="spellStart"/>
      <w:r w:rsidR="00C71D07" w:rsidRPr="00A60F4D">
        <w:rPr>
          <w:rFonts w:cs="AdvPSSAB-R"/>
          <w:sz w:val="20"/>
          <w:szCs w:val="20"/>
        </w:rPr>
        <w:t>Vora</w:t>
      </w:r>
      <w:proofErr w:type="spellEnd"/>
      <w:r w:rsidR="00C71D07" w:rsidRPr="00A60F4D">
        <w:rPr>
          <w:rFonts w:cs="AdvPSSAB-R"/>
          <w:sz w:val="20"/>
          <w:szCs w:val="20"/>
        </w:rPr>
        <w:t xml:space="preserve"> J </w:t>
      </w:r>
      <w:r w:rsidR="00F2777A" w:rsidRPr="00A60F4D">
        <w:rPr>
          <w:rFonts w:cs="AdvPSSAB-I"/>
          <w:sz w:val="20"/>
          <w:szCs w:val="20"/>
        </w:rPr>
        <w:t xml:space="preserve">et al. </w:t>
      </w:r>
      <w:r w:rsidR="00C71D07" w:rsidRPr="00A60F4D">
        <w:rPr>
          <w:rFonts w:cs="AdvPSSAB-R"/>
          <w:sz w:val="20"/>
          <w:szCs w:val="20"/>
        </w:rPr>
        <w:t>Sensitivity and specificity of photography and direct ophthalmoscopy</w:t>
      </w:r>
      <w:r w:rsidR="00F2777A" w:rsidRPr="00A60F4D">
        <w:rPr>
          <w:rFonts w:cs="AdvPSSAB-I"/>
          <w:sz w:val="20"/>
          <w:szCs w:val="20"/>
        </w:rPr>
        <w:t xml:space="preserve"> </w:t>
      </w:r>
      <w:r w:rsidR="00C71D07" w:rsidRPr="00A60F4D">
        <w:rPr>
          <w:rFonts w:cs="AdvPSSAB-R"/>
          <w:sz w:val="20"/>
          <w:szCs w:val="20"/>
        </w:rPr>
        <w:t>in screening for sight threatening eye disease: the Liverpool</w:t>
      </w:r>
      <w:r w:rsidR="00F2777A" w:rsidRPr="00A60F4D">
        <w:rPr>
          <w:rFonts w:cs="AdvPSSAB-I"/>
          <w:sz w:val="20"/>
          <w:szCs w:val="20"/>
        </w:rPr>
        <w:t xml:space="preserve"> </w:t>
      </w:r>
      <w:r w:rsidR="00C71D07" w:rsidRPr="00A60F4D">
        <w:rPr>
          <w:rFonts w:cs="AdvPSSAB-R"/>
          <w:sz w:val="20"/>
          <w:szCs w:val="20"/>
        </w:rPr>
        <w:t xml:space="preserve">Diabetic Eye Study. </w:t>
      </w:r>
      <w:proofErr w:type="gramStart"/>
      <w:r w:rsidR="00C71D07" w:rsidRPr="00A60F4D">
        <w:rPr>
          <w:rFonts w:cs="AdvPSSAB-I"/>
          <w:sz w:val="20"/>
          <w:szCs w:val="20"/>
        </w:rPr>
        <w:t xml:space="preserve">BMJ </w:t>
      </w:r>
      <w:r w:rsidR="00C71D07" w:rsidRPr="00A60F4D">
        <w:rPr>
          <w:rFonts w:cs="AdvPSSAB-R"/>
          <w:sz w:val="20"/>
          <w:szCs w:val="20"/>
        </w:rPr>
        <w:t xml:space="preserve">1995; </w:t>
      </w:r>
      <w:r w:rsidR="00C71D07" w:rsidRPr="00A60F4D">
        <w:rPr>
          <w:rFonts w:cs="AdvPSSab-B"/>
          <w:sz w:val="20"/>
          <w:szCs w:val="20"/>
        </w:rPr>
        <w:t>311</w:t>
      </w:r>
      <w:r w:rsidR="00C71D07" w:rsidRPr="00A60F4D">
        <w:rPr>
          <w:rFonts w:cs="AdvPSSAB-R"/>
          <w:sz w:val="20"/>
          <w:szCs w:val="20"/>
        </w:rPr>
        <w:t>: 1131</w:t>
      </w:r>
      <w:r w:rsidR="00C71D07" w:rsidRPr="00A60F4D">
        <w:rPr>
          <w:rFonts w:cs="AdvTT3713a231+20"/>
          <w:sz w:val="20"/>
          <w:szCs w:val="20"/>
        </w:rPr>
        <w:t>–</w:t>
      </w:r>
      <w:r w:rsidR="00C71D07" w:rsidRPr="00A60F4D">
        <w:rPr>
          <w:rFonts w:cs="AdvPSSAB-R"/>
          <w:sz w:val="20"/>
          <w:szCs w:val="20"/>
        </w:rPr>
        <w:t>1135.</w:t>
      </w:r>
      <w:proofErr w:type="gramEnd"/>
    </w:p>
    <w:p w14:paraId="54F89D3E" w14:textId="77777777" w:rsidR="00C71D07" w:rsidRPr="00A60F4D" w:rsidRDefault="00BC20CB" w:rsidP="00BC20CB">
      <w:pPr>
        <w:pStyle w:val="NoSpacing"/>
        <w:rPr>
          <w:rFonts w:cs="AdvPSSAB-R"/>
          <w:sz w:val="20"/>
          <w:szCs w:val="20"/>
        </w:rPr>
      </w:pPr>
      <w:r>
        <w:rPr>
          <w:rFonts w:cs="AdvPSSAB-R"/>
          <w:sz w:val="20"/>
          <w:szCs w:val="20"/>
        </w:rPr>
        <w:t>20.</w:t>
      </w:r>
      <w:r w:rsidR="00C71D07" w:rsidRPr="00A60F4D">
        <w:rPr>
          <w:rFonts w:cs="AdvPSSAB-R"/>
          <w:sz w:val="20"/>
          <w:szCs w:val="20"/>
        </w:rPr>
        <w:t xml:space="preserve"> Early Treatment Diabetic Re</w:t>
      </w:r>
      <w:r w:rsidR="00F2777A" w:rsidRPr="00A60F4D">
        <w:rPr>
          <w:rFonts w:cs="AdvPSSAB-R"/>
          <w:sz w:val="20"/>
          <w:szCs w:val="20"/>
        </w:rPr>
        <w:t xml:space="preserve">tinopathy Study Research Group. </w:t>
      </w:r>
      <w:r w:rsidR="00C71D07" w:rsidRPr="00A60F4D">
        <w:rPr>
          <w:rFonts w:cs="AdvPSSAB-R"/>
          <w:sz w:val="20"/>
          <w:szCs w:val="20"/>
        </w:rPr>
        <w:t>Grading diabetic retinopathy</w:t>
      </w:r>
      <w:r w:rsidR="00F2777A" w:rsidRPr="00A60F4D">
        <w:rPr>
          <w:rFonts w:cs="AdvPSSAB-R"/>
          <w:sz w:val="20"/>
          <w:szCs w:val="20"/>
        </w:rPr>
        <w:t xml:space="preserve"> from stereoscopic </w:t>
      </w:r>
      <w:proofErr w:type="spellStart"/>
      <w:r w:rsidR="00F2777A" w:rsidRPr="00A60F4D">
        <w:rPr>
          <w:rFonts w:cs="AdvPSSAB-R"/>
          <w:sz w:val="20"/>
          <w:szCs w:val="20"/>
        </w:rPr>
        <w:t>color</w:t>
      </w:r>
      <w:proofErr w:type="spellEnd"/>
      <w:r w:rsidR="00F2777A" w:rsidRPr="00A60F4D">
        <w:rPr>
          <w:rFonts w:cs="AdvPSSAB-R"/>
          <w:sz w:val="20"/>
          <w:szCs w:val="20"/>
        </w:rPr>
        <w:t xml:space="preserve"> fundus photographs: </w:t>
      </w:r>
      <w:r w:rsidR="00C71D07" w:rsidRPr="00A60F4D">
        <w:rPr>
          <w:rFonts w:cs="AdvPSSAB-R"/>
          <w:sz w:val="20"/>
          <w:szCs w:val="20"/>
        </w:rPr>
        <w:t>an extension of the modified Airlie House classification.</w:t>
      </w:r>
    </w:p>
    <w:p w14:paraId="60B541BE" w14:textId="77777777" w:rsidR="00C71D07" w:rsidRPr="00A60F4D" w:rsidRDefault="00C71D07" w:rsidP="00BC20CB">
      <w:pPr>
        <w:pStyle w:val="NoSpacing"/>
        <w:rPr>
          <w:rFonts w:cs="AdvPSSAB-R"/>
          <w:sz w:val="20"/>
          <w:szCs w:val="20"/>
        </w:rPr>
      </w:pPr>
      <w:r w:rsidRPr="00A60F4D">
        <w:rPr>
          <w:rFonts w:cs="AdvPSSAB-R"/>
          <w:sz w:val="20"/>
          <w:szCs w:val="20"/>
        </w:rPr>
        <w:t xml:space="preserve">ETDRS report number 10. </w:t>
      </w:r>
      <w:r w:rsidRPr="00A60F4D">
        <w:rPr>
          <w:rFonts w:cs="AdvPSSAB-I"/>
          <w:sz w:val="20"/>
          <w:szCs w:val="20"/>
        </w:rPr>
        <w:t xml:space="preserve">Ophthalmology </w:t>
      </w:r>
      <w:r w:rsidR="00F2777A" w:rsidRPr="00A60F4D">
        <w:rPr>
          <w:rFonts w:cs="AdvPSSAB-R"/>
          <w:sz w:val="20"/>
          <w:szCs w:val="20"/>
        </w:rPr>
        <w:t xml:space="preserve">1991; </w:t>
      </w:r>
      <w:r w:rsidRPr="00A60F4D">
        <w:rPr>
          <w:rFonts w:cs="AdvPSSab-B"/>
          <w:sz w:val="20"/>
          <w:szCs w:val="20"/>
        </w:rPr>
        <w:t>98</w:t>
      </w:r>
      <w:r w:rsidR="00F2440F">
        <w:rPr>
          <w:rFonts w:cs="AdvPSSAB-R"/>
          <w:sz w:val="20"/>
          <w:szCs w:val="20"/>
        </w:rPr>
        <w:t>:786-</w:t>
      </w:r>
      <w:r w:rsidRPr="00A60F4D">
        <w:rPr>
          <w:rFonts w:cs="AdvPSSAB-R"/>
          <w:sz w:val="20"/>
          <w:szCs w:val="20"/>
        </w:rPr>
        <w:t>806.</w:t>
      </w:r>
    </w:p>
    <w:p w14:paraId="24A7F748" w14:textId="77777777" w:rsidR="00946573" w:rsidRPr="00A60F4D" w:rsidRDefault="00F87C23" w:rsidP="00946573">
      <w:pPr>
        <w:pStyle w:val="NoSpacing"/>
        <w:rPr>
          <w:sz w:val="20"/>
          <w:szCs w:val="20"/>
        </w:rPr>
      </w:pPr>
      <w:bookmarkStart w:id="1" w:name="_ENREF_13"/>
      <w:r>
        <w:rPr>
          <w:sz w:val="20"/>
          <w:szCs w:val="20"/>
        </w:rPr>
        <w:t>21</w:t>
      </w:r>
      <w:r w:rsidR="00BC20CB">
        <w:rPr>
          <w:sz w:val="20"/>
          <w:szCs w:val="20"/>
        </w:rPr>
        <w:t xml:space="preserve">. </w:t>
      </w:r>
      <w:r w:rsidR="00946573" w:rsidRPr="00A60F4D">
        <w:rPr>
          <w:sz w:val="20"/>
          <w:szCs w:val="20"/>
        </w:rPr>
        <w:t xml:space="preserve">Dowse GK, Humphrey AR, Collins VR, </w:t>
      </w:r>
      <w:proofErr w:type="spellStart"/>
      <w:r w:rsidR="00946573" w:rsidRPr="00A60F4D">
        <w:rPr>
          <w:sz w:val="20"/>
          <w:szCs w:val="20"/>
        </w:rPr>
        <w:t>Plehwe</w:t>
      </w:r>
      <w:proofErr w:type="spellEnd"/>
      <w:r w:rsidR="00946573" w:rsidRPr="00A60F4D">
        <w:rPr>
          <w:sz w:val="20"/>
          <w:szCs w:val="20"/>
        </w:rPr>
        <w:t xml:space="preserve"> W, </w:t>
      </w:r>
      <w:proofErr w:type="spellStart"/>
      <w:r w:rsidR="00946573" w:rsidRPr="00A60F4D">
        <w:rPr>
          <w:sz w:val="20"/>
          <w:szCs w:val="20"/>
        </w:rPr>
        <w:t>Gareeboo</w:t>
      </w:r>
      <w:proofErr w:type="spellEnd"/>
      <w:r w:rsidR="00946573" w:rsidRPr="00A60F4D">
        <w:rPr>
          <w:sz w:val="20"/>
          <w:szCs w:val="20"/>
        </w:rPr>
        <w:t xml:space="preserve"> H, Fareed D, et al. Prevalence and risk factors for diabetic retinopathy in the multiethnic population of Mauritius. Am J </w:t>
      </w:r>
      <w:proofErr w:type="spellStart"/>
      <w:proofErr w:type="gramStart"/>
      <w:r w:rsidR="00946573" w:rsidRPr="00A60F4D">
        <w:rPr>
          <w:sz w:val="20"/>
          <w:szCs w:val="20"/>
        </w:rPr>
        <w:t>Epidemiol</w:t>
      </w:r>
      <w:proofErr w:type="spellEnd"/>
      <w:r w:rsidR="00946573" w:rsidRPr="00A60F4D">
        <w:rPr>
          <w:sz w:val="20"/>
          <w:szCs w:val="20"/>
        </w:rPr>
        <w:t>.</w:t>
      </w:r>
      <w:proofErr w:type="gramEnd"/>
      <w:r w:rsidR="00946573" w:rsidRPr="00A60F4D">
        <w:rPr>
          <w:sz w:val="20"/>
          <w:szCs w:val="20"/>
        </w:rPr>
        <w:t xml:space="preserve"> 1998 Mar 1</w:t>
      </w:r>
      <w:proofErr w:type="gramStart"/>
      <w:r w:rsidR="00946573" w:rsidRPr="00A60F4D">
        <w:rPr>
          <w:sz w:val="20"/>
          <w:szCs w:val="20"/>
        </w:rPr>
        <w:t>;147</w:t>
      </w:r>
      <w:proofErr w:type="gramEnd"/>
      <w:r w:rsidR="00946573" w:rsidRPr="00A60F4D">
        <w:rPr>
          <w:sz w:val="20"/>
          <w:szCs w:val="20"/>
        </w:rPr>
        <w:t>(5):448-57.</w:t>
      </w:r>
      <w:bookmarkEnd w:id="1"/>
    </w:p>
    <w:p w14:paraId="5AC65627" w14:textId="77777777" w:rsidR="00946573" w:rsidRDefault="00F87C23" w:rsidP="00946573">
      <w:pPr>
        <w:pStyle w:val="NoSpacing"/>
        <w:rPr>
          <w:sz w:val="20"/>
          <w:szCs w:val="20"/>
        </w:rPr>
      </w:pPr>
      <w:r>
        <w:rPr>
          <w:sz w:val="20"/>
          <w:szCs w:val="20"/>
        </w:rPr>
        <w:t>22</w:t>
      </w:r>
      <w:r w:rsidR="00BC20CB">
        <w:rPr>
          <w:sz w:val="20"/>
          <w:szCs w:val="20"/>
        </w:rPr>
        <w:t xml:space="preserve">. </w:t>
      </w:r>
      <w:proofErr w:type="spellStart"/>
      <w:r w:rsidR="00946573" w:rsidRPr="00A60F4D">
        <w:rPr>
          <w:sz w:val="20"/>
          <w:szCs w:val="20"/>
        </w:rPr>
        <w:t>Tapp</w:t>
      </w:r>
      <w:proofErr w:type="spellEnd"/>
      <w:r w:rsidR="00946573" w:rsidRPr="00A60F4D">
        <w:rPr>
          <w:sz w:val="20"/>
          <w:szCs w:val="20"/>
        </w:rPr>
        <w:t xml:space="preserve"> RJ, </w:t>
      </w:r>
      <w:proofErr w:type="spellStart"/>
      <w:r w:rsidR="00946573" w:rsidRPr="00A60F4D">
        <w:rPr>
          <w:sz w:val="20"/>
          <w:szCs w:val="20"/>
        </w:rPr>
        <w:t>Zimmet</w:t>
      </w:r>
      <w:proofErr w:type="spellEnd"/>
      <w:r w:rsidR="00946573" w:rsidRPr="00A60F4D">
        <w:rPr>
          <w:sz w:val="20"/>
          <w:szCs w:val="20"/>
        </w:rPr>
        <w:t xml:space="preserve"> PZ, Harper CA, McCarty DJ, </w:t>
      </w:r>
      <w:proofErr w:type="spellStart"/>
      <w:r w:rsidR="00946573" w:rsidRPr="00A60F4D">
        <w:rPr>
          <w:sz w:val="20"/>
          <w:szCs w:val="20"/>
        </w:rPr>
        <w:t>Chitson</w:t>
      </w:r>
      <w:proofErr w:type="spellEnd"/>
      <w:r w:rsidR="00946573" w:rsidRPr="00A60F4D">
        <w:rPr>
          <w:sz w:val="20"/>
          <w:szCs w:val="20"/>
        </w:rPr>
        <w:t xml:space="preserve"> P, Tonkin AM, et al. Six year incidence and progression of diabetic retinopathy: results from the Mauritius diabetes complication study. Diabetes Res </w:t>
      </w:r>
      <w:proofErr w:type="spellStart"/>
      <w:r w:rsidR="00946573" w:rsidRPr="00A60F4D">
        <w:rPr>
          <w:sz w:val="20"/>
          <w:szCs w:val="20"/>
        </w:rPr>
        <w:t>Clin</w:t>
      </w:r>
      <w:proofErr w:type="spellEnd"/>
      <w:r w:rsidR="00946573" w:rsidRPr="00A60F4D">
        <w:rPr>
          <w:sz w:val="20"/>
          <w:szCs w:val="20"/>
        </w:rPr>
        <w:t xml:space="preserve"> </w:t>
      </w:r>
      <w:proofErr w:type="spellStart"/>
      <w:r w:rsidR="00946573" w:rsidRPr="00A60F4D">
        <w:rPr>
          <w:sz w:val="20"/>
          <w:szCs w:val="20"/>
        </w:rPr>
        <w:t>Pract</w:t>
      </w:r>
      <w:proofErr w:type="spellEnd"/>
      <w:r w:rsidR="00946573" w:rsidRPr="00A60F4D">
        <w:rPr>
          <w:sz w:val="20"/>
          <w:szCs w:val="20"/>
        </w:rPr>
        <w:t>. 2006</w:t>
      </w:r>
      <w:r w:rsidR="00DA1822">
        <w:rPr>
          <w:sz w:val="20"/>
          <w:szCs w:val="20"/>
        </w:rPr>
        <w:t>;</w:t>
      </w:r>
      <w:r w:rsidR="00946573" w:rsidRPr="00A60F4D">
        <w:rPr>
          <w:sz w:val="20"/>
          <w:szCs w:val="20"/>
        </w:rPr>
        <w:t xml:space="preserve"> Sep</w:t>
      </w:r>
      <w:proofErr w:type="gramStart"/>
      <w:r w:rsidR="00946573" w:rsidRPr="00A60F4D">
        <w:rPr>
          <w:sz w:val="20"/>
          <w:szCs w:val="20"/>
        </w:rPr>
        <w:t>;73</w:t>
      </w:r>
      <w:proofErr w:type="gramEnd"/>
      <w:r w:rsidR="00946573" w:rsidRPr="00A60F4D">
        <w:rPr>
          <w:sz w:val="20"/>
          <w:szCs w:val="20"/>
        </w:rPr>
        <w:t>(3):298-303</w:t>
      </w:r>
      <w:r w:rsidR="00F2440F">
        <w:rPr>
          <w:sz w:val="20"/>
          <w:szCs w:val="20"/>
        </w:rPr>
        <w:t>.</w:t>
      </w:r>
    </w:p>
    <w:p w14:paraId="05E3FD93" w14:textId="77777777" w:rsidR="00F87C23" w:rsidRPr="00A60F4D" w:rsidRDefault="00F87C23" w:rsidP="00946573">
      <w:pPr>
        <w:pStyle w:val="NoSpacing"/>
        <w:rPr>
          <w:sz w:val="20"/>
          <w:szCs w:val="20"/>
        </w:rPr>
      </w:pPr>
      <w:r>
        <w:rPr>
          <w:sz w:val="20"/>
          <w:szCs w:val="20"/>
        </w:rPr>
        <w:t>23.</w:t>
      </w:r>
      <w:r w:rsidRPr="00394526">
        <w:rPr>
          <w:rFonts w:asciiTheme="minorHAnsi" w:hAnsiTheme="minorHAnsi" w:cs="Calibri"/>
          <w:sz w:val="20"/>
          <w:szCs w:val="20"/>
        </w:rPr>
        <w:t xml:space="preserve"> </w:t>
      </w:r>
      <w:r w:rsidRPr="00394526">
        <w:rPr>
          <w:rFonts w:asciiTheme="minorHAnsi" w:eastAsia="Times New Roman" w:hAnsiTheme="minorHAnsi" w:cs="Arial"/>
          <w:bCs/>
          <w:sz w:val="20"/>
          <w:szCs w:val="20"/>
          <w:shd w:val="clear" w:color="auto" w:fill="FFFFFF"/>
        </w:rPr>
        <w:t xml:space="preserve">Thomas RL, Dunstan F, </w:t>
      </w:r>
      <w:proofErr w:type="spellStart"/>
      <w:r w:rsidRPr="00394526">
        <w:rPr>
          <w:rFonts w:asciiTheme="minorHAnsi" w:eastAsia="Times New Roman" w:hAnsiTheme="minorHAnsi" w:cs="Arial"/>
          <w:bCs/>
          <w:sz w:val="20"/>
          <w:szCs w:val="20"/>
          <w:shd w:val="clear" w:color="auto" w:fill="FFFFFF"/>
        </w:rPr>
        <w:t>Luzio</w:t>
      </w:r>
      <w:proofErr w:type="spellEnd"/>
      <w:r w:rsidRPr="00394526">
        <w:rPr>
          <w:rFonts w:asciiTheme="minorHAnsi" w:eastAsia="Times New Roman" w:hAnsiTheme="minorHAnsi" w:cs="Arial"/>
          <w:bCs/>
          <w:sz w:val="20"/>
          <w:szCs w:val="20"/>
          <w:shd w:val="clear" w:color="auto" w:fill="FFFFFF"/>
        </w:rPr>
        <w:t xml:space="preserve"> SD, Roy </w:t>
      </w:r>
      <w:proofErr w:type="spellStart"/>
      <w:r w:rsidRPr="00394526">
        <w:rPr>
          <w:rFonts w:asciiTheme="minorHAnsi" w:eastAsia="Times New Roman" w:hAnsiTheme="minorHAnsi" w:cs="Arial"/>
          <w:bCs/>
          <w:sz w:val="20"/>
          <w:szCs w:val="20"/>
          <w:shd w:val="clear" w:color="auto" w:fill="FFFFFF"/>
        </w:rPr>
        <w:t>Chowdury</w:t>
      </w:r>
      <w:proofErr w:type="spellEnd"/>
      <w:r w:rsidRPr="00394526">
        <w:rPr>
          <w:rFonts w:asciiTheme="minorHAnsi" w:eastAsia="Times New Roman" w:hAnsiTheme="minorHAnsi" w:cs="Arial"/>
          <w:bCs/>
          <w:sz w:val="20"/>
          <w:szCs w:val="20"/>
          <w:shd w:val="clear" w:color="auto" w:fill="FFFFFF"/>
        </w:rPr>
        <w:t xml:space="preserve"> S, Hale SL, North RV, Gibbins RL, Owens </w:t>
      </w:r>
      <w:proofErr w:type="spellStart"/>
      <w:r w:rsidRPr="00394526">
        <w:rPr>
          <w:rFonts w:asciiTheme="minorHAnsi" w:eastAsia="Times New Roman" w:hAnsiTheme="minorHAnsi" w:cs="Arial"/>
          <w:bCs/>
          <w:sz w:val="20"/>
          <w:szCs w:val="20"/>
          <w:shd w:val="clear" w:color="auto" w:fill="FFFFFF"/>
        </w:rPr>
        <w:t>DR.</w:t>
      </w:r>
      <w:r w:rsidRPr="00394526">
        <w:rPr>
          <w:rFonts w:asciiTheme="minorHAnsi" w:eastAsia="Times New Roman" w:hAnsiTheme="minorHAnsi" w:cs="Arial"/>
          <w:bCs/>
          <w:kern w:val="3"/>
          <w:sz w:val="20"/>
          <w:szCs w:val="20"/>
          <w:lang w:eastAsia="en-GB"/>
        </w:rPr>
        <w:t>Incidence</w:t>
      </w:r>
      <w:proofErr w:type="spellEnd"/>
      <w:r w:rsidRPr="00394526">
        <w:rPr>
          <w:rFonts w:asciiTheme="minorHAnsi" w:eastAsia="Times New Roman" w:hAnsiTheme="minorHAnsi" w:cs="Arial"/>
          <w:bCs/>
          <w:kern w:val="3"/>
          <w:sz w:val="20"/>
          <w:szCs w:val="20"/>
          <w:lang w:eastAsia="en-GB"/>
        </w:rPr>
        <w:t xml:space="preserve"> of diabetic retinopathy in people with type 2 diabetes mellitus attending the Diabetic Retinopathy Screening Service for Wales: retrospective analysis. </w:t>
      </w:r>
      <w:r w:rsidRPr="00394526">
        <w:rPr>
          <w:rFonts w:asciiTheme="minorHAnsi" w:eastAsia="Times New Roman" w:hAnsiTheme="minorHAnsi" w:cs="FreeSansOblique"/>
          <w:bCs/>
          <w:iCs/>
          <w:sz w:val="20"/>
          <w:szCs w:val="20"/>
        </w:rPr>
        <w:t xml:space="preserve">BMJ </w:t>
      </w:r>
      <w:r w:rsidRPr="00394526">
        <w:rPr>
          <w:rFonts w:asciiTheme="minorHAnsi" w:eastAsia="FreeSans" w:hAnsiTheme="minorHAnsi" w:cs="FreeSans"/>
          <w:bCs/>
          <w:sz w:val="20"/>
          <w:szCs w:val="20"/>
        </w:rPr>
        <w:t>2012</w:t>
      </w:r>
      <w:proofErr w:type="gramStart"/>
      <w:r w:rsidRPr="00394526">
        <w:rPr>
          <w:rFonts w:asciiTheme="minorHAnsi" w:eastAsia="FreeSans" w:hAnsiTheme="minorHAnsi" w:cs="FreeSans"/>
          <w:bCs/>
          <w:sz w:val="20"/>
          <w:szCs w:val="20"/>
        </w:rPr>
        <w:t>;344:e874</w:t>
      </w:r>
      <w:proofErr w:type="gramEnd"/>
      <w:r w:rsidRPr="00394526">
        <w:rPr>
          <w:rFonts w:asciiTheme="minorHAnsi" w:eastAsia="FreeSans" w:hAnsiTheme="minorHAnsi" w:cs="FreeSans"/>
          <w:bCs/>
          <w:sz w:val="20"/>
          <w:szCs w:val="20"/>
        </w:rPr>
        <w:t>.</w:t>
      </w:r>
    </w:p>
    <w:p w14:paraId="168396FE" w14:textId="77777777" w:rsidR="00946573" w:rsidRPr="00A60F4D" w:rsidRDefault="00BC20CB" w:rsidP="00946573">
      <w:pPr>
        <w:pStyle w:val="NoSpacing"/>
        <w:rPr>
          <w:sz w:val="20"/>
          <w:szCs w:val="20"/>
        </w:rPr>
      </w:pPr>
      <w:r>
        <w:rPr>
          <w:rFonts w:cs="Calibri"/>
          <w:sz w:val="20"/>
          <w:szCs w:val="20"/>
        </w:rPr>
        <w:t xml:space="preserve">24. </w:t>
      </w:r>
      <w:proofErr w:type="spellStart"/>
      <w:r w:rsidR="00946573" w:rsidRPr="00A60F4D">
        <w:rPr>
          <w:rFonts w:cs="Calibri"/>
          <w:sz w:val="20"/>
          <w:szCs w:val="20"/>
        </w:rPr>
        <w:t>Younis</w:t>
      </w:r>
      <w:proofErr w:type="spellEnd"/>
      <w:r w:rsidR="00946573" w:rsidRPr="00A60F4D">
        <w:rPr>
          <w:rFonts w:cs="Calibri"/>
          <w:sz w:val="20"/>
          <w:szCs w:val="20"/>
        </w:rPr>
        <w:t xml:space="preserve"> N, Broadbent DM, Harding SP, </w:t>
      </w:r>
      <w:proofErr w:type="spellStart"/>
      <w:r w:rsidR="00946573" w:rsidRPr="00A60F4D">
        <w:rPr>
          <w:rFonts w:cs="Calibri"/>
          <w:sz w:val="20"/>
          <w:szCs w:val="20"/>
        </w:rPr>
        <w:t>Vora</w:t>
      </w:r>
      <w:proofErr w:type="spellEnd"/>
      <w:r w:rsidR="00946573" w:rsidRPr="00A60F4D">
        <w:rPr>
          <w:rFonts w:cs="Calibri"/>
          <w:sz w:val="20"/>
          <w:szCs w:val="20"/>
        </w:rPr>
        <w:t xml:space="preserve"> JP. </w:t>
      </w:r>
      <w:r w:rsidR="00946573" w:rsidRPr="00A60F4D">
        <w:rPr>
          <w:rFonts w:cs="GCFrutiger-Bold"/>
          <w:bCs/>
          <w:sz w:val="20"/>
          <w:szCs w:val="20"/>
        </w:rPr>
        <w:t>Incidence of sight-threatening retinopathy in type 1 diabetes in a systematic screening programme</w:t>
      </w:r>
      <w:r w:rsidR="00946573" w:rsidRPr="00A60F4D">
        <w:rPr>
          <w:rFonts w:cs="GCFrutiger-LightItalic"/>
          <w:iCs/>
          <w:sz w:val="20"/>
          <w:szCs w:val="20"/>
        </w:rPr>
        <w:t xml:space="preserve"> Diabetic Medicine 2003; </w:t>
      </w:r>
      <w:r w:rsidR="00946573" w:rsidRPr="00A60F4D">
        <w:rPr>
          <w:rFonts w:cs="GCFrutiger-Bold"/>
          <w:bCs/>
          <w:sz w:val="20"/>
          <w:szCs w:val="20"/>
        </w:rPr>
        <w:t>20</w:t>
      </w:r>
      <w:r w:rsidR="00946573" w:rsidRPr="00A60F4D">
        <w:rPr>
          <w:rFonts w:cs="GCFrutiger-Light"/>
          <w:sz w:val="20"/>
          <w:szCs w:val="20"/>
        </w:rPr>
        <w:t>: 758–765</w:t>
      </w:r>
      <w:r w:rsidR="00F2440F">
        <w:rPr>
          <w:rFonts w:cs="GCFrutiger-Light"/>
          <w:sz w:val="20"/>
          <w:szCs w:val="20"/>
        </w:rPr>
        <w:t>.</w:t>
      </w:r>
    </w:p>
    <w:p w14:paraId="514456A7" w14:textId="77777777" w:rsidR="00946573" w:rsidRPr="004B6FD5" w:rsidRDefault="00BC20CB" w:rsidP="00BC20CB">
      <w:pPr>
        <w:pStyle w:val="NoSpacing"/>
        <w:rPr>
          <w:sz w:val="20"/>
          <w:szCs w:val="20"/>
        </w:rPr>
      </w:pPr>
      <w:r>
        <w:rPr>
          <w:sz w:val="20"/>
          <w:szCs w:val="20"/>
        </w:rPr>
        <w:t>25.</w:t>
      </w:r>
      <w:r w:rsidR="00946573" w:rsidRPr="004B6FD5">
        <w:rPr>
          <w:sz w:val="20"/>
          <w:szCs w:val="20"/>
        </w:rPr>
        <w:t xml:space="preserve"> Jones C, </w:t>
      </w:r>
      <w:proofErr w:type="spellStart"/>
      <w:r w:rsidR="00946573" w:rsidRPr="004B6FD5">
        <w:rPr>
          <w:sz w:val="20"/>
          <w:szCs w:val="20"/>
        </w:rPr>
        <w:t>Misra</w:t>
      </w:r>
      <w:proofErr w:type="spellEnd"/>
      <w:r w:rsidR="00946573" w:rsidRPr="004B6FD5">
        <w:rPr>
          <w:sz w:val="20"/>
          <w:szCs w:val="20"/>
        </w:rPr>
        <w:t xml:space="preserve"> A, Greenwood RH, Bachmann MO</w:t>
      </w:r>
      <w:r w:rsidR="00946573" w:rsidRPr="004B6FD5">
        <w:rPr>
          <w:rFonts w:cs="AdvOT4d5aeae2.B"/>
          <w:sz w:val="20"/>
          <w:szCs w:val="20"/>
        </w:rPr>
        <w:t xml:space="preserve"> Incidence and Progression of Diabetic</w:t>
      </w:r>
      <w:r w:rsidR="00946573" w:rsidRPr="004B6FD5">
        <w:rPr>
          <w:sz w:val="20"/>
          <w:szCs w:val="20"/>
        </w:rPr>
        <w:t xml:space="preserve"> </w:t>
      </w:r>
      <w:r w:rsidR="00946573" w:rsidRPr="004B6FD5">
        <w:rPr>
          <w:rFonts w:cs="AdvOT4d5aeae2.B"/>
          <w:sz w:val="20"/>
          <w:szCs w:val="20"/>
        </w:rPr>
        <w:t xml:space="preserve">Retinopathy During 17 Years of a Population-Based Screening Program in England. </w:t>
      </w:r>
      <w:proofErr w:type="gramStart"/>
      <w:r w:rsidR="00946573" w:rsidRPr="004B6FD5">
        <w:rPr>
          <w:rFonts w:cs="AdvOT4d5aeae2.B"/>
          <w:sz w:val="20"/>
          <w:szCs w:val="20"/>
        </w:rPr>
        <w:t>Diabetes care 2012;</w:t>
      </w:r>
      <w:r w:rsidR="00946573" w:rsidRPr="004B6FD5">
        <w:rPr>
          <w:rFonts w:cs="AdvOT0f59d5f2.B"/>
          <w:sz w:val="20"/>
          <w:szCs w:val="20"/>
        </w:rPr>
        <w:t xml:space="preserve"> 35:592</w:t>
      </w:r>
      <w:r w:rsidR="00946573" w:rsidRPr="004B6FD5">
        <w:rPr>
          <w:rFonts w:cs="AdvOT0f59d5f2.B+20"/>
          <w:sz w:val="20"/>
          <w:szCs w:val="20"/>
        </w:rPr>
        <w:t>–</w:t>
      </w:r>
      <w:r w:rsidR="00946573" w:rsidRPr="004B6FD5">
        <w:rPr>
          <w:rFonts w:cs="AdvOT0f59d5f2.B"/>
          <w:sz w:val="20"/>
          <w:szCs w:val="20"/>
        </w:rPr>
        <w:t>596</w:t>
      </w:r>
      <w:r w:rsidR="00F2440F">
        <w:rPr>
          <w:rFonts w:cs="AdvOT0f59d5f2.B"/>
          <w:sz w:val="20"/>
          <w:szCs w:val="20"/>
        </w:rPr>
        <w:t>.</w:t>
      </w:r>
      <w:proofErr w:type="gramEnd"/>
    </w:p>
    <w:p w14:paraId="45BD3057" w14:textId="77777777" w:rsidR="004B6FD5" w:rsidRPr="00412082" w:rsidRDefault="00BC20CB" w:rsidP="00BC20CB">
      <w:pPr>
        <w:autoSpaceDN/>
        <w:textAlignment w:val="auto"/>
        <w:rPr>
          <w:rFonts w:asciiTheme="minorHAnsi" w:eastAsiaTheme="minorHAnsi" w:hAnsiTheme="minorHAnsi" w:cs="AdvOT46dcae81"/>
          <w:sz w:val="20"/>
          <w:szCs w:val="20"/>
        </w:rPr>
      </w:pPr>
      <w:r>
        <w:rPr>
          <w:rFonts w:asciiTheme="minorHAnsi" w:eastAsiaTheme="minorHAnsi" w:hAnsiTheme="minorHAnsi" w:cs="AdvOT07517017"/>
          <w:sz w:val="20"/>
          <w:szCs w:val="20"/>
        </w:rPr>
        <w:t xml:space="preserve">26. </w:t>
      </w:r>
      <w:r w:rsidR="004B6FD5" w:rsidRPr="00412082">
        <w:rPr>
          <w:rFonts w:asciiTheme="minorHAnsi" w:eastAsiaTheme="minorHAnsi" w:hAnsiTheme="minorHAnsi" w:cs="AdvOT07517017"/>
          <w:sz w:val="20"/>
          <w:szCs w:val="20"/>
        </w:rPr>
        <w:t xml:space="preserve">McLarty DG, </w:t>
      </w:r>
      <w:proofErr w:type="spellStart"/>
      <w:r w:rsidR="004B6FD5" w:rsidRPr="00412082">
        <w:rPr>
          <w:rFonts w:asciiTheme="minorHAnsi" w:eastAsiaTheme="minorHAnsi" w:hAnsiTheme="minorHAnsi" w:cs="AdvOT07517017"/>
          <w:sz w:val="20"/>
          <w:szCs w:val="20"/>
        </w:rPr>
        <w:t>Kinabo</w:t>
      </w:r>
      <w:proofErr w:type="spellEnd"/>
      <w:r w:rsidR="004B6FD5" w:rsidRPr="00412082">
        <w:rPr>
          <w:rFonts w:asciiTheme="minorHAnsi" w:eastAsiaTheme="minorHAnsi" w:hAnsiTheme="minorHAnsi" w:cs="AdvOT07517017"/>
          <w:sz w:val="20"/>
          <w:szCs w:val="20"/>
        </w:rPr>
        <w:t xml:space="preserve"> L, </w:t>
      </w:r>
      <w:proofErr w:type="spellStart"/>
      <w:r w:rsidR="004B6FD5" w:rsidRPr="00412082">
        <w:rPr>
          <w:rFonts w:asciiTheme="minorHAnsi" w:eastAsiaTheme="minorHAnsi" w:hAnsiTheme="minorHAnsi" w:cs="AdvOT07517017"/>
          <w:sz w:val="20"/>
          <w:szCs w:val="20"/>
        </w:rPr>
        <w:t>Swai</w:t>
      </w:r>
      <w:proofErr w:type="spellEnd"/>
      <w:r w:rsidR="004B6FD5" w:rsidRPr="00412082">
        <w:rPr>
          <w:rFonts w:asciiTheme="minorHAnsi" w:eastAsiaTheme="minorHAnsi" w:hAnsiTheme="minorHAnsi" w:cs="AdvOT07517017"/>
          <w:sz w:val="20"/>
          <w:szCs w:val="20"/>
        </w:rPr>
        <w:t xml:space="preserve"> AB: </w:t>
      </w:r>
      <w:r w:rsidR="004B6FD5" w:rsidRPr="00412082">
        <w:rPr>
          <w:rFonts w:asciiTheme="minorHAnsi" w:eastAsiaTheme="minorHAnsi" w:hAnsiTheme="minorHAnsi" w:cs="AdvOT46dcae81"/>
          <w:sz w:val="20"/>
          <w:szCs w:val="20"/>
        </w:rPr>
        <w:t xml:space="preserve">Diabetes in tropical Africa: a prospective study, 1981-7. II. Course and prognosis. </w:t>
      </w:r>
      <w:r w:rsidR="004B6FD5" w:rsidRPr="00412082">
        <w:rPr>
          <w:rFonts w:asciiTheme="minorHAnsi" w:eastAsiaTheme="minorHAnsi" w:hAnsiTheme="minorHAnsi" w:cs="AdvOT0d9ab1db.I"/>
          <w:sz w:val="20"/>
          <w:szCs w:val="20"/>
        </w:rPr>
        <w:t xml:space="preserve">BMJ </w:t>
      </w:r>
      <w:r w:rsidR="004B6FD5" w:rsidRPr="00412082">
        <w:rPr>
          <w:rFonts w:asciiTheme="minorHAnsi" w:eastAsiaTheme="minorHAnsi" w:hAnsiTheme="minorHAnsi" w:cs="AdvOT07517017"/>
          <w:sz w:val="20"/>
          <w:szCs w:val="20"/>
        </w:rPr>
        <w:t>1990</w:t>
      </w:r>
      <w:r w:rsidR="00DA1822">
        <w:rPr>
          <w:rFonts w:asciiTheme="minorHAnsi" w:eastAsiaTheme="minorHAnsi" w:hAnsiTheme="minorHAnsi" w:cs="AdvOT07517017"/>
          <w:sz w:val="20"/>
          <w:szCs w:val="20"/>
        </w:rPr>
        <w:t>;</w:t>
      </w:r>
      <w:r w:rsidR="004B6FD5" w:rsidRPr="00412082">
        <w:rPr>
          <w:rFonts w:asciiTheme="minorHAnsi" w:eastAsiaTheme="minorHAnsi" w:hAnsiTheme="minorHAnsi" w:cs="AdvOT07517017"/>
          <w:sz w:val="20"/>
          <w:szCs w:val="20"/>
        </w:rPr>
        <w:t xml:space="preserve"> </w:t>
      </w:r>
      <w:r w:rsidR="004B6FD5" w:rsidRPr="00412082">
        <w:rPr>
          <w:rFonts w:asciiTheme="minorHAnsi" w:eastAsiaTheme="minorHAnsi" w:hAnsiTheme="minorHAnsi" w:cs="AdvOT46dcae81"/>
          <w:sz w:val="20"/>
          <w:szCs w:val="20"/>
        </w:rPr>
        <w:t>300(6732)</w:t>
      </w:r>
      <w:r w:rsidR="004B6FD5" w:rsidRPr="00412082">
        <w:rPr>
          <w:rFonts w:asciiTheme="minorHAnsi" w:eastAsiaTheme="minorHAnsi" w:hAnsiTheme="minorHAnsi" w:cs="AdvOT07517017"/>
          <w:sz w:val="20"/>
          <w:szCs w:val="20"/>
        </w:rPr>
        <w:t>:1107-10.</w:t>
      </w:r>
    </w:p>
    <w:p w14:paraId="05F4541F" w14:textId="77777777" w:rsidR="004B6FD5" w:rsidRPr="00412082" w:rsidRDefault="00BC20CB" w:rsidP="00BC20CB">
      <w:pPr>
        <w:autoSpaceDN/>
        <w:textAlignment w:val="auto"/>
        <w:rPr>
          <w:rFonts w:asciiTheme="minorHAnsi" w:eastAsia="FreeSans" w:hAnsiTheme="minorHAnsi" w:cs="FreeSans"/>
          <w:sz w:val="20"/>
          <w:szCs w:val="20"/>
        </w:rPr>
      </w:pPr>
      <w:r>
        <w:rPr>
          <w:rFonts w:asciiTheme="minorHAnsi" w:eastAsia="FreeSans" w:hAnsiTheme="minorHAnsi" w:cs="FreeSans"/>
          <w:sz w:val="20"/>
          <w:szCs w:val="20"/>
        </w:rPr>
        <w:t xml:space="preserve">27. </w:t>
      </w:r>
      <w:r w:rsidR="004B6FD5" w:rsidRPr="00412082">
        <w:rPr>
          <w:rFonts w:asciiTheme="minorHAnsi" w:eastAsia="FreeSans" w:hAnsiTheme="minorHAnsi" w:cs="FreeSans"/>
          <w:sz w:val="20"/>
          <w:szCs w:val="20"/>
        </w:rPr>
        <w:t xml:space="preserve">UK Prospective Diabetes Study (UKPDS) Group. Intensive blood-glucose control with </w:t>
      </w:r>
      <w:proofErr w:type="spellStart"/>
      <w:r w:rsidR="004B6FD5" w:rsidRPr="00412082">
        <w:rPr>
          <w:rFonts w:asciiTheme="minorHAnsi" w:eastAsia="FreeSans" w:hAnsiTheme="minorHAnsi" w:cs="FreeSans"/>
          <w:sz w:val="20"/>
          <w:szCs w:val="20"/>
        </w:rPr>
        <w:t>sulphonylureas</w:t>
      </w:r>
      <w:proofErr w:type="spellEnd"/>
      <w:r w:rsidR="004B6FD5" w:rsidRPr="00412082">
        <w:rPr>
          <w:rFonts w:asciiTheme="minorHAnsi" w:eastAsia="FreeSans" w:hAnsiTheme="minorHAnsi" w:cs="FreeSans"/>
          <w:sz w:val="20"/>
          <w:szCs w:val="20"/>
        </w:rPr>
        <w:t xml:space="preserve"> or insulin compared with conventional treatment and risk of complications in patients with type 2 diabetes (UKPDS 33). </w:t>
      </w:r>
      <w:r w:rsidR="004B6FD5" w:rsidRPr="00412082">
        <w:rPr>
          <w:rFonts w:asciiTheme="minorHAnsi" w:eastAsia="FreeSans" w:hAnsiTheme="minorHAnsi" w:cs="FreeSansOblique"/>
          <w:i/>
          <w:iCs/>
          <w:sz w:val="20"/>
          <w:szCs w:val="20"/>
        </w:rPr>
        <w:t xml:space="preserve">Lancet </w:t>
      </w:r>
      <w:r w:rsidR="004B6FD5" w:rsidRPr="00412082">
        <w:rPr>
          <w:rFonts w:asciiTheme="minorHAnsi" w:eastAsia="FreeSans" w:hAnsiTheme="minorHAnsi" w:cs="FreeSans"/>
          <w:sz w:val="20"/>
          <w:szCs w:val="20"/>
        </w:rPr>
        <w:t>1998</w:t>
      </w:r>
      <w:proofErr w:type="gramStart"/>
      <w:r w:rsidR="004B6FD5" w:rsidRPr="00412082">
        <w:rPr>
          <w:rFonts w:asciiTheme="minorHAnsi" w:eastAsia="FreeSans" w:hAnsiTheme="minorHAnsi" w:cs="FreeSans"/>
          <w:sz w:val="20"/>
          <w:szCs w:val="20"/>
        </w:rPr>
        <w:t>;352:837</w:t>
      </w:r>
      <w:proofErr w:type="gramEnd"/>
      <w:r w:rsidR="004B6FD5" w:rsidRPr="00412082">
        <w:rPr>
          <w:rFonts w:asciiTheme="minorHAnsi" w:eastAsia="FreeSans" w:hAnsiTheme="minorHAnsi" w:cs="FreeSans"/>
          <w:sz w:val="20"/>
          <w:szCs w:val="20"/>
        </w:rPr>
        <w:t>-53.</w:t>
      </w:r>
    </w:p>
    <w:p w14:paraId="094BECED" w14:textId="77777777" w:rsidR="004B6FD5" w:rsidRPr="00660D66" w:rsidRDefault="00BC20CB" w:rsidP="00BC20CB">
      <w:pPr>
        <w:autoSpaceDN/>
        <w:textAlignment w:val="auto"/>
        <w:rPr>
          <w:highlight w:val="cyan"/>
        </w:rPr>
      </w:pPr>
      <w:r>
        <w:rPr>
          <w:rFonts w:eastAsia="FreeSans" w:cs="FreeSans"/>
          <w:sz w:val="20"/>
          <w:szCs w:val="20"/>
        </w:rPr>
        <w:t xml:space="preserve">28. </w:t>
      </w:r>
      <w:r w:rsidR="004B6FD5" w:rsidRPr="00660D66">
        <w:rPr>
          <w:rFonts w:eastAsia="FreeSans" w:cs="FreeSans"/>
          <w:sz w:val="20"/>
          <w:szCs w:val="20"/>
        </w:rPr>
        <w:t>Ismail-</w:t>
      </w:r>
      <w:proofErr w:type="spellStart"/>
      <w:r w:rsidR="004B6FD5" w:rsidRPr="00660D66">
        <w:rPr>
          <w:rFonts w:eastAsia="FreeSans" w:cs="FreeSans"/>
          <w:sz w:val="20"/>
          <w:szCs w:val="20"/>
        </w:rPr>
        <w:t>Beigi</w:t>
      </w:r>
      <w:proofErr w:type="spellEnd"/>
      <w:r w:rsidR="004B6FD5" w:rsidRPr="00660D66">
        <w:rPr>
          <w:rFonts w:eastAsia="FreeSans" w:cs="FreeSans"/>
          <w:sz w:val="20"/>
          <w:szCs w:val="20"/>
        </w:rPr>
        <w:t xml:space="preserve"> F, Craven T, Banerji MA, </w:t>
      </w:r>
      <w:proofErr w:type="spellStart"/>
      <w:r w:rsidR="004B6FD5" w:rsidRPr="00660D66">
        <w:rPr>
          <w:rFonts w:eastAsia="FreeSans" w:cs="FreeSans"/>
          <w:sz w:val="20"/>
          <w:szCs w:val="20"/>
        </w:rPr>
        <w:t>Basile</w:t>
      </w:r>
      <w:proofErr w:type="spellEnd"/>
      <w:r w:rsidR="004B6FD5" w:rsidRPr="00660D66">
        <w:rPr>
          <w:rFonts w:eastAsia="FreeSans" w:cs="FreeSans"/>
          <w:sz w:val="20"/>
          <w:szCs w:val="20"/>
        </w:rPr>
        <w:t xml:space="preserve"> J, Calles J, Cohen RM, et al. Effect of intensive treatment of hyperglycaemia on microvascular outcomes in type 2 diabetes: an analysis of the ACCORD randomised trial. </w:t>
      </w:r>
      <w:r w:rsidR="004B6FD5" w:rsidRPr="00660D66">
        <w:rPr>
          <w:rFonts w:eastAsia="FreeSans" w:cs="FreeSansOblique"/>
          <w:iCs/>
          <w:sz w:val="20"/>
          <w:szCs w:val="20"/>
        </w:rPr>
        <w:t xml:space="preserve">Lancet </w:t>
      </w:r>
      <w:r w:rsidR="004B6FD5" w:rsidRPr="00660D66">
        <w:rPr>
          <w:rFonts w:eastAsia="FreeSans" w:cs="FreeSans"/>
          <w:sz w:val="20"/>
          <w:szCs w:val="20"/>
        </w:rPr>
        <w:t>2010</w:t>
      </w:r>
      <w:proofErr w:type="gramStart"/>
      <w:r w:rsidR="004B6FD5" w:rsidRPr="00660D66">
        <w:rPr>
          <w:rFonts w:eastAsia="FreeSans" w:cs="FreeSans"/>
          <w:sz w:val="20"/>
          <w:szCs w:val="20"/>
        </w:rPr>
        <w:t>;376:419</w:t>
      </w:r>
      <w:proofErr w:type="gramEnd"/>
      <w:r w:rsidR="004B6FD5" w:rsidRPr="00660D66">
        <w:rPr>
          <w:rFonts w:eastAsia="FreeSans" w:cs="FreeSans"/>
          <w:sz w:val="20"/>
          <w:szCs w:val="20"/>
        </w:rPr>
        <w:t>-30.</w:t>
      </w:r>
    </w:p>
    <w:p w14:paraId="40CCF466" w14:textId="77777777" w:rsidR="004B6FD5" w:rsidRPr="00A60F4D" w:rsidRDefault="00BC20CB" w:rsidP="00F2440F">
      <w:pPr>
        <w:pStyle w:val="NoSpacing"/>
        <w:rPr>
          <w:rFonts w:eastAsia="Times New Roman"/>
          <w:sz w:val="20"/>
          <w:szCs w:val="20"/>
        </w:rPr>
      </w:pPr>
      <w:r>
        <w:rPr>
          <w:rFonts w:eastAsia="Times New Roman"/>
          <w:sz w:val="20"/>
          <w:szCs w:val="20"/>
        </w:rPr>
        <w:t xml:space="preserve">29. </w:t>
      </w:r>
      <w:proofErr w:type="spellStart"/>
      <w:r w:rsidR="004B6FD5" w:rsidRPr="00A60F4D">
        <w:rPr>
          <w:rFonts w:eastAsia="Times New Roman"/>
          <w:sz w:val="20"/>
          <w:szCs w:val="20"/>
        </w:rPr>
        <w:t>Duprez</w:t>
      </w:r>
      <w:proofErr w:type="spellEnd"/>
      <w:r w:rsidR="004B6FD5" w:rsidRPr="00A60F4D">
        <w:rPr>
          <w:rFonts w:eastAsia="Times New Roman"/>
          <w:sz w:val="20"/>
          <w:szCs w:val="20"/>
        </w:rPr>
        <w:t xml:space="preserve"> DA, </w:t>
      </w:r>
      <w:proofErr w:type="spellStart"/>
      <w:r w:rsidR="004B6FD5" w:rsidRPr="00A60F4D">
        <w:rPr>
          <w:rFonts w:eastAsia="Times New Roman"/>
          <w:sz w:val="20"/>
          <w:szCs w:val="20"/>
        </w:rPr>
        <w:t>Neuhaus</w:t>
      </w:r>
      <w:proofErr w:type="spellEnd"/>
      <w:r w:rsidR="004B6FD5" w:rsidRPr="00A60F4D">
        <w:rPr>
          <w:rFonts w:eastAsia="Times New Roman"/>
          <w:sz w:val="20"/>
          <w:szCs w:val="20"/>
        </w:rPr>
        <w:t xml:space="preserve"> J, </w:t>
      </w:r>
      <w:proofErr w:type="spellStart"/>
      <w:r w:rsidR="004B6FD5" w:rsidRPr="00A60F4D">
        <w:rPr>
          <w:rFonts w:eastAsia="Times New Roman"/>
          <w:sz w:val="20"/>
          <w:szCs w:val="20"/>
        </w:rPr>
        <w:t>Kuller</w:t>
      </w:r>
      <w:proofErr w:type="spellEnd"/>
      <w:r w:rsidR="004B6FD5" w:rsidRPr="00A60F4D">
        <w:rPr>
          <w:rFonts w:eastAsia="Times New Roman"/>
          <w:sz w:val="20"/>
          <w:szCs w:val="20"/>
        </w:rPr>
        <w:t xml:space="preserve"> LH, Tracy R, </w:t>
      </w:r>
      <w:proofErr w:type="spellStart"/>
      <w:r w:rsidR="004B6FD5" w:rsidRPr="00A60F4D">
        <w:rPr>
          <w:rFonts w:eastAsia="Times New Roman"/>
          <w:sz w:val="20"/>
          <w:szCs w:val="20"/>
        </w:rPr>
        <w:t>Belloso</w:t>
      </w:r>
      <w:proofErr w:type="spellEnd"/>
      <w:r w:rsidR="004B6FD5" w:rsidRPr="00A60F4D">
        <w:rPr>
          <w:rFonts w:eastAsia="Times New Roman"/>
          <w:sz w:val="20"/>
          <w:szCs w:val="20"/>
        </w:rPr>
        <w:t xml:space="preserve"> W, De Wit S, Drummond F, Lane HC, </w:t>
      </w:r>
      <w:proofErr w:type="spellStart"/>
      <w:r w:rsidR="004B6FD5" w:rsidRPr="00A60F4D">
        <w:rPr>
          <w:rFonts w:eastAsia="Times New Roman"/>
          <w:sz w:val="20"/>
          <w:szCs w:val="20"/>
        </w:rPr>
        <w:t>Ledergerber</w:t>
      </w:r>
      <w:proofErr w:type="spellEnd"/>
      <w:r w:rsidR="004B6FD5" w:rsidRPr="00A60F4D">
        <w:rPr>
          <w:rFonts w:eastAsia="Times New Roman"/>
          <w:sz w:val="20"/>
          <w:szCs w:val="20"/>
        </w:rPr>
        <w:t xml:space="preserve"> B, Lundgren J, Nixon D, Paton NI, </w:t>
      </w:r>
      <w:proofErr w:type="spellStart"/>
      <w:r w:rsidR="004B6FD5" w:rsidRPr="00A60F4D">
        <w:rPr>
          <w:rFonts w:eastAsia="Times New Roman"/>
          <w:sz w:val="20"/>
          <w:szCs w:val="20"/>
        </w:rPr>
        <w:t>Prineas</w:t>
      </w:r>
      <w:proofErr w:type="spellEnd"/>
      <w:r w:rsidR="004B6FD5" w:rsidRPr="00A60F4D">
        <w:rPr>
          <w:rFonts w:eastAsia="Times New Roman"/>
          <w:sz w:val="20"/>
          <w:szCs w:val="20"/>
        </w:rPr>
        <w:t xml:space="preserve"> RJ, </w:t>
      </w:r>
      <w:proofErr w:type="spellStart"/>
      <w:r w:rsidR="004B6FD5" w:rsidRPr="00A60F4D">
        <w:rPr>
          <w:rFonts w:eastAsia="Times New Roman"/>
          <w:sz w:val="20"/>
          <w:szCs w:val="20"/>
        </w:rPr>
        <w:t>Neaton</w:t>
      </w:r>
      <w:proofErr w:type="spellEnd"/>
      <w:r w:rsidR="004B6FD5" w:rsidRPr="00A60F4D">
        <w:rPr>
          <w:rFonts w:eastAsia="Times New Roman"/>
          <w:sz w:val="20"/>
          <w:szCs w:val="20"/>
        </w:rPr>
        <w:t xml:space="preserve"> JD; INSIGHT </w:t>
      </w:r>
      <w:r w:rsidR="004B6FD5" w:rsidRPr="00A60F4D">
        <w:rPr>
          <w:rFonts w:eastAsia="Times New Roman"/>
          <w:bCs/>
          <w:sz w:val="20"/>
          <w:szCs w:val="20"/>
        </w:rPr>
        <w:t>SMART</w:t>
      </w:r>
      <w:r w:rsidR="004B6FD5" w:rsidRPr="00A60F4D">
        <w:rPr>
          <w:rFonts w:eastAsia="Times New Roman"/>
          <w:sz w:val="20"/>
          <w:szCs w:val="20"/>
        </w:rPr>
        <w:t xml:space="preserve"> Study Group.  </w:t>
      </w:r>
      <w:proofErr w:type="gramStart"/>
      <w:r w:rsidR="004B6FD5" w:rsidRPr="00A60F4D">
        <w:rPr>
          <w:rFonts w:eastAsia="Times New Roman"/>
          <w:sz w:val="20"/>
          <w:szCs w:val="20"/>
        </w:rPr>
        <w:t>Inflammation, coagulation and </w:t>
      </w:r>
      <w:r w:rsidR="004B6FD5" w:rsidRPr="00A60F4D">
        <w:rPr>
          <w:rFonts w:eastAsia="Times New Roman"/>
          <w:bCs/>
          <w:sz w:val="20"/>
          <w:szCs w:val="20"/>
        </w:rPr>
        <w:t>cardiovascular disease</w:t>
      </w:r>
      <w:r w:rsidR="004B6FD5" w:rsidRPr="00A60F4D">
        <w:rPr>
          <w:rFonts w:eastAsia="Times New Roman"/>
          <w:sz w:val="20"/>
          <w:szCs w:val="20"/>
        </w:rPr>
        <w:t> in </w:t>
      </w:r>
      <w:r w:rsidR="004B6FD5" w:rsidRPr="00A60F4D">
        <w:rPr>
          <w:rFonts w:eastAsia="Times New Roman"/>
          <w:bCs/>
          <w:sz w:val="20"/>
          <w:szCs w:val="20"/>
        </w:rPr>
        <w:t>HIV</w:t>
      </w:r>
      <w:r w:rsidR="004B6FD5" w:rsidRPr="00A60F4D">
        <w:rPr>
          <w:rFonts w:eastAsia="Times New Roman"/>
          <w:sz w:val="20"/>
          <w:szCs w:val="20"/>
        </w:rPr>
        <w:t>-infected individuals.</w:t>
      </w:r>
      <w:proofErr w:type="gramEnd"/>
      <w:r w:rsidR="004B6FD5" w:rsidRPr="00A60F4D">
        <w:rPr>
          <w:rFonts w:eastAsia="Times New Roman"/>
          <w:sz w:val="20"/>
          <w:szCs w:val="20"/>
        </w:rPr>
        <w:t xml:space="preserve"> </w:t>
      </w:r>
      <w:proofErr w:type="spellStart"/>
      <w:r w:rsidR="004B6FD5" w:rsidRPr="00A60F4D">
        <w:rPr>
          <w:rFonts w:eastAsia="Times New Roman"/>
          <w:sz w:val="20"/>
          <w:szCs w:val="20"/>
        </w:rPr>
        <w:t>PLoS</w:t>
      </w:r>
      <w:proofErr w:type="spellEnd"/>
      <w:r w:rsidR="004B6FD5" w:rsidRPr="00A60F4D">
        <w:rPr>
          <w:rFonts w:eastAsia="Times New Roman"/>
          <w:sz w:val="20"/>
          <w:szCs w:val="20"/>
        </w:rPr>
        <w:t xml:space="preserve"> One. 2012</w:t>
      </w:r>
      <w:proofErr w:type="gramStart"/>
      <w:r w:rsidR="004B6FD5" w:rsidRPr="00A60F4D">
        <w:rPr>
          <w:rFonts w:eastAsia="Times New Roman"/>
          <w:sz w:val="20"/>
          <w:szCs w:val="20"/>
        </w:rPr>
        <w:t>;7</w:t>
      </w:r>
      <w:proofErr w:type="gramEnd"/>
      <w:r w:rsidR="004B6FD5" w:rsidRPr="00A60F4D">
        <w:rPr>
          <w:rFonts w:eastAsia="Times New Roman"/>
          <w:sz w:val="20"/>
          <w:szCs w:val="20"/>
        </w:rPr>
        <w:t>(9)</w:t>
      </w:r>
      <w:r w:rsidR="00F2440F">
        <w:rPr>
          <w:rFonts w:eastAsia="Times New Roman"/>
          <w:sz w:val="20"/>
          <w:szCs w:val="20"/>
        </w:rPr>
        <w:t>.</w:t>
      </w:r>
    </w:p>
    <w:p w14:paraId="11C8BEA8" w14:textId="77777777" w:rsidR="004B6FD5" w:rsidRPr="00A60F4D" w:rsidRDefault="00BC20CB" w:rsidP="004B6FD5">
      <w:pPr>
        <w:pStyle w:val="NoSpacing"/>
        <w:rPr>
          <w:rFonts w:eastAsia="Times New Roman"/>
          <w:sz w:val="20"/>
          <w:szCs w:val="20"/>
        </w:rPr>
      </w:pPr>
      <w:r>
        <w:rPr>
          <w:rFonts w:eastAsia="Times New Roman"/>
          <w:sz w:val="20"/>
          <w:szCs w:val="20"/>
        </w:rPr>
        <w:lastRenderedPageBreak/>
        <w:t xml:space="preserve">30. </w:t>
      </w:r>
      <w:r w:rsidR="004B6FD5" w:rsidRPr="00A60F4D">
        <w:rPr>
          <w:rFonts w:eastAsia="Times New Roman"/>
          <w:sz w:val="20"/>
          <w:szCs w:val="20"/>
        </w:rPr>
        <w:t xml:space="preserve">Benjamin LA, </w:t>
      </w:r>
      <w:proofErr w:type="spellStart"/>
      <w:r w:rsidR="004B6FD5" w:rsidRPr="00A60F4D">
        <w:rPr>
          <w:rFonts w:eastAsia="Times New Roman"/>
          <w:sz w:val="20"/>
          <w:szCs w:val="20"/>
        </w:rPr>
        <w:t>Bryer</w:t>
      </w:r>
      <w:proofErr w:type="spellEnd"/>
      <w:r w:rsidR="004B6FD5" w:rsidRPr="00A60F4D">
        <w:rPr>
          <w:rFonts w:eastAsia="Times New Roman"/>
          <w:sz w:val="20"/>
          <w:szCs w:val="20"/>
        </w:rPr>
        <w:t xml:space="preserve"> A, Emsley HC, </w:t>
      </w:r>
      <w:proofErr w:type="spellStart"/>
      <w:r w:rsidR="004B6FD5" w:rsidRPr="00A60F4D">
        <w:rPr>
          <w:rFonts w:eastAsia="Times New Roman"/>
          <w:sz w:val="20"/>
          <w:szCs w:val="20"/>
        </w:rPr>
        <w:t>Khoo</w:t>
      </w:r>
      <w:proofErr w:type="spellEnd"/>
      <w:r w:rsidR="004B6FD5" w:rsidRPr="00A60F4D">
        <w:rPr>
          <w:rFonts w:eastAsia="Times New Roman"/>
          <w:sz w:val="20"/>
          <w:szCs w:val="20"/>
        </w:rPr>
        <w:t xml:space="preserve"> S, Solomon T, Connor MD. </w:t>
      </w:r>
      <w:r w:rsidR="004B6FD5" w:rsidRPr="00A60F4D">
        <w:rPr>
          <w:rFonts w:eastAsia="Times New Roman"/>
          <w:bCs/>
          <w:sz w:val="20"/>
          <w:szCs w:val="20"/>
        </w:rPr>
        <w:t>HIV</w:t>
      </w:r>
      <w:r w:rsidR="004B6FD5" w:rsidRPr="00A60F4D">
        <w:rPr>
          <w:rFonts w:eastAsia="Times New Roman"/>
          <w:sz w:val="20"/>
          <w:szCs w:val="20"/>
        </w:rPr>
        <w:t> infection and </w:t>
      </w:r>
      <w:r w:rsidR="004B6FD5" w:rsidRPr="00A60F4D">
        <w:rPr>
          <w:rFonts w:eastAsia="Times New Roman"/>
          <w:bCs/>
          <w:sz w:val="20"/>
          <w:szCs w:val="20"/>
        </w:rPr>
        <w:t>stroke</w:t>
      </w:r>
      <w:r w:rsidR="004B6FD5" w:rsidRPr="00A60F4D">
        <w:rPr>
          <w:rFonts w:eastAsia="Times New Roman"/>
          <w:sz w:val="20"/>
          <w:szCs w:val="20"/>
        </w:rPr>
        <w:t>: current perspectives and future directions. Lancet Neurol. 2012 Oct</w:t>
      </w:r>
      <w:proofErr w:type="gramStart"/>
      <w:r w:rsidR="004B6FD5" w:rsidRPr="00A60F4D">
        <w:rPr>
          <w:rFonts w:eastAsia="Times New Roman"/>
          <w:sz w:val="20"/>
          <w:szCs w:val="20"/>
        </w:rPr>
        <w:t>;11</w:t>
      </w:r>
      <w:proofErr w:type="gramEnd"/>
      <w:r w:rsidR="004B6FD5" w:rsidRPr="00A60F4D">
        <w:rPr>
          <w:rFonts w:eastAsia="Times New Roman"/>
          <w:sz w:val="20"/>
          <w:szCs w:val="20"/>
        </w:rPr>
        <w:t>(10):878-90</w:t>
      </w:r>
      <w:r w:rsidR="00F2440F">
        <w:rPr>
          <w:rFonts w:eastAsia="Times New Roman"/>
          <w:sz w:val="20"/>
          <w:szCs w:val="20"/>
        </w:rPr>
        <w:t>.</w:t>
      </w:r>
    </w:p>
    <w:p w14:paraId="5D46DF16" w14:textId="77777777" w:rsidR="004B6FD5" w:rsidRPr="00A60F4D" w:rsidRDefault="00BC20CB" w:rsidP="004B6FD5">
      <w:pPr>
        <w:pStyle w:val="NoSpacing"/>
        <w:rPr>
          <w:rFonts w:cs="Arial"/>
          <w:sz w:val="20"/>
          <w:szCs w:val="20"/>
        </w:rPr>
      </w:pPr>
      <w:r>
        <w:rPr>
          <w:rFonts w:cs="Arial"/>
          <w:sz w:val="20"/>
          <w:szCs w:val="20"/>
        </w:rPr>
        <w:t xml:space="preserve">31. </w:t>
      </w:r>
      <w:proofErr w:type="spellStart"/>
      <w:r w:rsidR="004B6FD5" w:rsidRPr="00A60F4D">
        <w:rPr>
          <w:rFonts w:cs="Arial"/>
          <w:sz w:val="20"/>
          <w:szCs w:val="20"/>
        </w:rPr>
        <w:t>Gravemann</w:t>
      </w:r>
      <w:proofErr w:type="spellEnd"/>
      <w:r w:rsidR="004B6FD5" w:rsidRPr="00A60F4D">
        <w:rPr>
          <w:rFonts w:cs="Arial"/>
          <w:sz w:val="20"/>
          <w:szCs w:val="20"/>
        </w:rPr>
        <w:t xml:space="preserve"> S, </w:t>
      </w:r>
      <w:proofErr w:type="spellStart"/>
      <w:r w:rsidR="004B6FD5" w:rsidRPr="00A60F4D">
        <w:rPr>
          <w:rFonts w:cs="Arial"/>
          <w:sz w:val="20"/>
          <w:szCs w:val="20"/>
        </w:rPr>
        <w:t>Brinkkoetter</w:t>
      </w:r>
      <w:proofErr w:type="spellEnd"/>
      <w:r w:rsidR="004B6FD5" w:rsidRPr="00A60F4D">
        <w:rPr>
          <w:rFonts w:cs="Arial"/>
          <w:sz w:val="20"/>
          <w:szCs w:val="20"/>
        </w:rPr>
        <w:t xml:space="preserve"> PT, </w:t>
      </w:r>
      <w:proofErr w:type="spellStart"/>
      <w:r w:rsidR="004B6FD5" w:rsidRPr="00A60F4D">
        <w:rPr>
          <w:rFonts w:cs="Arial"/>
          <w:sz w:val="20"/>
          <w:szCs w:val="20"/>
        </w:rPr>
        <w:t>Vehreschild</w:t>
      </w:r>
      <w:proofErr w:type="spellEnd"/>
      <w:r w:rsidR="004B6FD5" w:rsidRPr="00A60F4D">
        <w:rPr>
          <w:rFonts w:cs="Arial"/>
          <w:sz w:val="20"/>
          <w:szCs w:val="20"/>
        </w:rPr>
        <w:t xml:space="preserve"> JJ, Franke B, </w:t>
      </w:r>
      <w:proofErr w:type="spellStart"/>
      <w:r w:rsidR="004B6FD5" w:rsidRPr="00A60F4D">
        <w:rPr>
          <w:rFonts w:cs="Arial"/>
          <w:sz w:val="20"/>
          <w:szCs w:val="20"/>
        </w:rPr>
        <w:t>Ehren</w:t>
      </w:r>
      <w:proofErr w:type="spellEnd"/>
      <w:r w:rsidR="004B6FD5" w:rsidRPr="00A60F4D">
        <w:rPr>
          <w:rFonts w:cs="Arial"/>
          <w:sz w:val="20"/>
          <w:szCs w:val="20"/>
        </w:rPr>
        <w:t xml:space="preserve"> K, </w:t>
      </w:r>
      <w:proofErr w:type="spellStart"/>
      <w:r w:rsidR="004B6FD5" w:rsidRPr="00A60F4D">
        <w:rPr>
          <w:rFonts w:cs="Arial"/>
          <w:sz w:val="20"/>
          <w:szCs w:val="20"/>
        </w:rPr>
        <w:t>Bünemann</w:t>
      </w:r>
      <w:proofErr w:type="spellEnd"/>
      <w:r w:rsidR="004B6FD5" w:rsidRPr="00A60F4D">
        <w:rPr>
          <w:rFonts w:cs="Arial"/>
          <w:sz w:val="20"/>
          <w:szCs w:val="20"/>
        </w:rPr>
        <w:t xml:space="preserve"> E, </w:t>
      </w:r>
      <w:proofErr w:type="spellStart"/>
      <w:r w:rsidR="004B6FD5" w:rsidRPr="00A60F4D">
        <w:rPr>
          <w:rFonts w:cs="Arial"/>
          <w:sz w:val="20"/>
          <w:szCs w:val="20"/>
        </w:rPr>
        <w:t>Orbach</w:t>
      </w:r>
      <w:proofErr w:type="spellEnd"/>
      <w:r w:rsidR="004B6FD5" w:rsidRPr="00A60F4D">
        <w:rPr>
          <w:rFonts w:cs="Arial"/>
          <w:sz w:val="20"/>
          <w:szCs w:val="20"/>
        </w:rPr>
        <w:t xml:space="preserve"> H, Wei V, </w:t>
      </w:r>
      <w:proofErr w:type="spellStart"/>
      <w:r w:rsidR="004B6FD5" w:rsidRPr="00A60F4D">
        <w:rPr>
          <w:rFonts w:cs="Arial"/>
          <w:sz w:val="20"/>
          <w:szCs w:val="20"/>
        </w:rPr>
        <w:t>Hellmich</w:t>
      </w:r>
      <w:proofErr w:type="spellEnd"/>
      <w:r w:rsidR="004B6FD5" w:rsidRPr="00A60F4D">
        <w:rPr>
          <w:rFonts w:cs="Arial"/>
          <w:sz w:val="20"/>
          <w:szCs w:val="20"/>
        </w:rPr>
        <w:t xml:space="preserve"> M, </w:t>
      </w:r>
      <w:proofErr w:type="spellStart"/>
      <w:r w:rsidR="004B6FD5" w:rsidRPr="00A60F4D">
        <w:rPr>
          <w:rFonts w:cs="Arial"/>
          <w:sz w:val="20"/>
          <w:szCs w:val="20"/>
        </w:rPr>
        <w:t>Benzing</w:t>
      </w:r>
      <w:proofErr w:type="spellEnd"/>
      <w:r w:rsidR="004B6FD5" w:rsidRPr="00A60F4D">
        <w:rPr>
          <w:rFonts w:cs="Arial"/>
          <w:sz w:val="20"/>
          <w:szCs w:val="20"/>
        </w:rPr>
        <w:t xml:space="preserve"> T, </w:t>
      </w:r>
      <w:proofErr w:type="spellStart"/>
      <w:r w:rsidR="004B6FD5" w:rsidRPr="00A60F4D">
        <w:rPr>
          <w:rFonts w:cs="Arial"/>
          <w:sz w:val="20"/>
          <w:szCs w:val="20"/>
        </w:rPr>
        <w:t>Fätkenheuer</w:t>
      </w:r>
      <w:proofErr w:type="spellEnd"/>
      <w:r w:rsidR="004B6FD5" w:rsidRPr="00A60F4D">
        <w:rPr>
          <w:rFonts w:cs="Arial"/>
          <w:sz w:val="20"/>
          <w:szCs w:val="20"/>
        </w:rPr>
        <w:t xml:space="preserve"> G.  Low-grade proteinuria is highly </w:t>
      </w:r>
      <w:r w:rsidR="004B6FD5" w:rsidRPr="00F2440F">
        <w:rPr>
          <w:rFonts w:cs="Arial"/>
          <w:sz w:val="20"/>
          <w:szCs w:val="20"/>
        </w:rPr>
        <w:t>prevalent in</w:t>
      </w:r>
      <w:r w:rsidR="004B6FD5" w:rsidRPr="00F2440F">
        <w:rPr>
          <w:rStyle w:val="apple-converted-space"/>
          <w:rFonts w:eastAsia="Times New Roman" w:cs="Arial"/>
          <w:sz w:val="20"/>
          <w:szCs w:val="20"/>
        </w:rPr>
        <w:t> </w:t>
      </w:r>
      <w:r w:rsidR="004B6FD5" w:rsidRPr="00F2440F">
        <w:rPr>
          <w:rFonts w:cs="Arial"/>
          <w:bCs/>
          <w:sz w:val="20"/>
          <w:szCs w:val="20"/>
        </w:rPr>
        <w:t>HIV</w:t>
      </w:r>
      <w:r w:rsidR="004B6FD5" w:rsidRPr="00F2440F">
        <w:rPr>
          <w:rFonts w:cs="Arial"/>
          <w:sz w:val="20"/>
          <w:szCs w:val="20"/>
        </w:rPr>
        <w:t>-positive patients</w:t>
      </w:r>
      <w:r w:rsidR="004B6FD5" w:rsidRPr="00A60F4D">
        <w:rPr>
          <w:rFonts w:cs="Arial"/>
          <w:sz w:val="20"/>
          <w:szCs w:val="20"/>
        </w:rPr>
        <w:t xml:space="preserve"> on antiretroviral treatment.  </w:t>
      </w:r>
      <w:r w:rsidR="004B6FD5" w:rsidRPr="00A60F4D">
        <w:rPr>
          <w:rStyle w:val="jrnl"/>
          <w:rFonts w:cs="Arial"/>
          <w:sz w:val="20"/>
          <w:szCs w:val="20"/>
          <w:shd w:val="clear" w:color="auto" w:fill="FFFFFF"/>
        </w:rPr>
        <w:t>AIDS</w:t>
      </w:r>
      <w:r w:rsidR="004B6FD5" w:rsidRPr="00A60F4D">
        <w:rPr>
          <w:rFonts w:cs="Arial"/>
          <w:sz w:val="20"/>
          <w:szCs w:val="20"/>
          <w:shd w:val="clear" w:color="auto" w:fill="FFFFFF"/>
        </w:rPr>
        <w:t>. 2014 Jul 31</w:t>
      </w:r>
      <w:proofErr w:type="gramStart"/>
      <w:r w:rsidR="004B6FD5" w:rsidRPr="00A60F4D">
        <w:rPr>
          <w:rFonts w:cs="Arial"/>
          <w:sz w:val="20"/>
          <w:szCs w:val="20"/>
          <w:shd w:val="clear" w:color="auto" w:fill="FFFFFF"/>
        </w:rPr>
        <w:t>;28</w:t>
      </w:r>
      <w:proofErr w:type="gramEnd"/>
      <w:r w:rsidR="004B6FD5" w:rsidRPr="00A60F4D">
        <w:rPr>
          <w:rFonts w:cs="Arial"/>
          <w:sz w:val="20"/>
          <w:szCs w:val="20"/>
          <w:shd w:val="clear" w:color="auto" w:fill="FFFFFF"/>
        </w:rPr>
        <w:t>(12):1783-9.</w:t>
      </w:r>
    </w:p>
    <w:p w14:paraId="02E947B5" w14:textId="77777777" w:rsidR="004B6FD5" w:rsidRPr="00A60F4D" w:rsidRDefault="00BC20CB" w:rsidP="004B6FD5">
      <w:pPr>
        <w:pStyle w:val="NoSpacing"/>
        <w:rPr>
          <w:rFonts w:eastAsia="Times New Roman" w:cs="Arial"/>
          <w:color w:val="000000"/>
          <w:sz w:val="20"/>
          <w:szCs w:val="20"/>
          <w:shd w:val="clear" w:color="auto" w:fill="FFFFFF"/>
          <w:lang w:eastAsia="en-GB"/>
        </w:rPr>
      </w:pPr>
      <w:r>
        <w:rPr>
          <w:rFonts w:eastAsia="Times New Roman"/>
          <w:sz w:val="20"/>
          <w:szCs w:val="20"/>
          <w:lang w:eastAsia="en-GB"/>
        </w:rPr>
        <w:t xml:space="preserve">32. </w:t>
      </w:r>
      <w:r w:rsidR="004B6FD5" w:rsidRPr="00A60F4D">
        <w:rPr>
          <w:rFonts w:eastAsia="Times New Roman"/>
          <w:sz w:val="20"/>
          <w:szCs w:val="20"/>
          <w:lang w:eastAsia="en-GB"/>
        </w:rPr>
        <w:t xml:space="preserve">Raman R, Gupta A, </w:t>
      </w:r>
      <w:proofErr w:type="spellStart"/>
      <w:r w:rsidR="004B6FD5" w:rsidRPr="00A60F4D">
        <w:rPr>
          <w:rFonts w:eastAsia="Times New Roman"/>
          <w:sz w:val="20"/>
          <w:szCs w:val="20"/>
          <w:lang w:eastAsia="en-GB"/>
        </w:rPr>
        <w:t>Kulothungan</w:t>
      </w:r>
      <w:proofErr w:type="spellEnd"/>
      <w:r w:rsidR="004B6FD5" w:rsidRPr="00A60F4D">
        <w:rPr>
          <w:rFonts w:eastAsia="Times New Roman"/>
          <w:sz w:val="20"/>
          <w:szCs w:val="20"/>
          <w:lang w:eastAsia="en-GB"/>
        </w:rPr>
        <w:t xml:space="preserve"> V, Sharma T. Prevalence and risk factors of </w:t>
      </w:r>
      <w:r w:rsidR="004B6FD5" w:rsidRPr="00A60F4D">
        <w:rPr>
          <w:rFonts w:eastAsia="Times New Roman"/>
          <w:bCs/>
          <w:sz w:val="20"/>
          <w:szCs w:val="20"/>
          <w:lang w:eastAsia="en-GB"/>
        </w:rPr>
        <w:t>diabetic retinopathy</w:t>
      </w:r>
      <w:r w:rsidR="004B6FD5" w:rsidRPr="00A60F4D">
        <w:rPr>
          <w:rFonts w:eastAsia="Times New Roman"/>
          <w:sz w:val="20"/>
          <w:szCs w:val="20"/>
          <w:lang w:eastAsia="en-GB"/>
        </w:rPr>
        <w:t xml:space="preserve"> in subjects with suboptimal </w:t>
      </w:r>
      <w:r w:rsidR="004B6FD5">
        <w:rPr>
          <w:rFonts w:eastAsia="Times New Roman"/>
          <w:sz w:val="20"/>
          <w:szCs w:val="20"/>
          <w:lang w:eastAsia="en-GB"/>
        </w:rPr>
        <w:t>glycaemic</w:t>
      </w:r>
      <w:r w:rsidR="004B6FD5" w:rsidRPr="00A60F4D">
        <w:rPr>
          <w:rFonts w:eastAsia="Times New Roman"/>
          <w:sz w:val="20"/>
          <w:szCs w:val="20"/>
          <w:lang w:eastAsia="en-GB"/>
        </w:rPr>
        <w:t xml:space="preserve">, blood pressure and lipid control. SN-DREAMS Report 33. </w:t>
      </w:r>
      <w:proofErr w:type="spellStart"/>
      <w:r w:rsidR="004B6FD5" w:rsidRPr="00A60F4D">
        <w:rPr>
          <w:rFonts w:eastAsia="Times New Roman"/>
          <w:sz w:val="20"/>
          <w:szCs w:val="20"/>
          <w:lang w:eastAsia="en-GB"/>
        </w:rPr>
        <w:t>Curr</w:t>
      </w:r>
      <w:proofErr w:type="spellEnd"/>
      <w:r w:rsidR="004B6FD5" w:rsidRPr="00A60F4D">
        <w:rPr>
          <w:rFonts w:eastAsia="Times New Roman"/>
          <w:sz w:val="20"/>
          <w:szCs w:val="20"/>
          <w:lang w:eastAsia="en-GB"/>
        </w:rPr>
        <w:t xml:space="preserve"> Eye Res. 2012 Jun</w:t>
      </w:r>
      <w:proofErr w:type="gramStart"/>
      <w:r w:rsidR="004B6FD5" w:rsidRPr="00A60F4D">
        <w:rPr>
          <w:rFonts w:eastAsia="Times New Roman"/>
          <w:sz w:val="20"/>
          <w:szCs w:val="20"/>
          <w:lang w:eastAsia="en-GB"/>
        </w:rPr>
        <w:t>;37</w:t>
      </w:r>
      <w:proofErr w:type="gramEnd"/>
      <w:r w:rsidR="004B6FD5" w:rsidRPr="00A60F4D">
        <w:rPr>
          <w:rFonts w:eastAsia="Times New Roman"/>
          <w:sz w:val="20"/>
          <w:szCs w:val="20"/>
          <w:lang w:eastAsia="en-GB"/>
        </w:rPr>
        <w:t xml:space="preserve">(6):513-23. </w:t>
      </w:r>
    </w:p>
    <w:p w14:paraId="4A708FC5" w14:textId="77777777" w:rsidR="004B6FD5" w:rsidRPr="00A60F4D" w:rsidRDefault="00BC20CB" w:rsidP="004B6FD5">
      <w:pPr>
        <w:pStyle w:val="NoSpacing"/>
        <w:rPr>
          <w:rFonts w:eastAsia="Times New Roman"/>
          <w:sz w:val="20"/>
          <w:szCs w:val="20"/>
          <w:lang w:eastAsia="en-GB"/>
        </w:rPr>
      </w:pPr>
      <w:r>
        <w:rPr>
          <w:rFonts w:eastAsia="Times New Roman"/>
          <w:sz w:val="20"/>
          <w:szCs w:val="20"/>
          <w:lang w:eastAsia="en-GB"/>
        </w:rPr>
        <w:t xml:space="preserve">33. </w:t>
      </w:r>
      <w:proofErr w:type="spellStart"/>
      <w:r w:rsidR="004B6FD5" w:rsidRPr="00A60F4D">
        <w:rPr>
          <w:rFonts w:eastAsia="Times New Roman"/>
          <w:sz w:val="20"/>
          <w:szCs w:val="20"/>
          <w:lang w:eastAsia="en-GB"/>
        </w:rPr>
        <w:t>Damkondwar</w:t>
      </w:r>
      <w:proofErr w:type="spellEnd"/>
      <w:r w:rsidR="004B6FD5" w:rsidRPr="00A60F4D">
        <w:rPr>
          <w:rFonts w:eastAsia="Times New Roman"/>
          <w:sz w:val="20"/>
          <w:szCs w:val="20"/>
          <w:lang w:eastAsia="en-GB"/>
        </w:rPr>
        <w:t xml:space="preserve"> DR, Raman R, </w:t>
      </w:r>
      <w:proofErr w:type="spellStart"/>
      <w:r w:rsidR="004B6FD5" w:rsidRPr="00A60F4D">
        <w:rPr>
          <w:rFonts w:eastAsia="Times New Roman"/>
          <w:sz w:val="20"/>
          <w:szCs w:val="20"/>
          <w:lang w:eastAsia="en-GB"/>
        </w:rPr>
        <w:t>Suganeswari</w:t>
      </w:r>
      <w:proofErr w:type="spellEnd"/>
      <w:r w:rsidR="004B6FD5" w:rsidRPr="00A60F4D">
        <w:rPr>
          <w:rFonts w:eastAsia="Times New Roman"/>
          <w:sz w:val="20"/>
          <w:szCs w:val="20"/>
          <w:lang w:eastAsia="en-GB"/>
        </w:rPr>
        <w:t xml:space="preserve"> G, </w:t>
      </w:r>
      <w:proofErr w:type="spellStart"/>
      <w:r w:rsidR="004B6FD5" w:rsidRPr="00A60F4D">
        <w:rPr>
          <w:rFonts w:eastAsia="Times New Roman"/>
          <w:sz w:val="20"/>
          <w:szCs w:val="20"/>
          <w:lang w:eastAsia="en-GB"/>
        </w:rPr>
        <w:t>Kulothungan</w:t>
      </w:r>
      <w:proofErr w:type="spellEnd"/>
      <w:r w:rsidR="004B6FD5" w:rsidRPr="00A60F4D">
        <w:rPr>
          <w:rFonts w:eastAsia="Times New Roman"/>
          <w:sz w:val="20"/>
          <w:szCs w:val="20"/>
          <w:lang w:eastAsia="en-GB"/>
        </w:rPr>
        <w:t xml:space="preserve"> V, Sharma T. Assessing Framingham cardiovascular risk scores in subjects with diabetes and their correlation with </w:t>
      </w:r>
      <w:r w:rsidR="004B6FD5" w:rsidRPr="00A60F4D">
        <w:rPr>
          <w:rFonts w:eastAsia="Times New Roman"/>
          <w:bCs/>
          <w:sz w:val="20"/>
          <w:szCs w:val="20"/>
          <w:lang w:eastAsia="en-GB"/>
        </w:rPr>
        <w:t>diabetic retinopathy</w:t>
      </w:r>
      <w:r w:rsidR="004B6FD5" w:rsidRPr="00A60F4D">
        <w:rPr>
          <w:rFonts w:eastAsia="Times New Roman"/>
          <w:sz w:val="20"/>
          <w:szCs w:val="20"/>
          <w:lang w:eastAsia="en-GB"/>
        </w:rPr>
        <w:t>.</w:t>
      </w:r>
    </w:p>
    <w:p w14:paraId="5B484811" w14:textId="77777777" w:rsidR="004B6FD5" w:rsidRPr="00A60F4D" w:rsidRDefault="004B6FD5" w:rsidP="004B6FD5">
      <w:pPr>
        <w:pStyle w:val="NoSpacing"/>
        <w:rPr>
          <w:rFonts w:eastAsia="Times New Roman"/>
          <w:sz w:val="20"/>
          <w:szCs w:val="20"/>
          <w:lang w:eastAsia="en-GB"/>
        </w:rPr>
      </w:pPr>
      <w:proofErr w:type="gramStart"/>
      <w:r w:rsidRPr="00A60F4D">
        <w:rPr>
          <w:rFonts w:eastAsia="Times New Roman"/>
          <w:sz w:val="20"/>
          <w:szCs w:val="20"/>
          <w:lang w:eastAsia="en-GB"/>
        </w:rPr>
        <w:t xml:space="preserve">Indian J </w:t>
      </w:r>
      <w:proofErr w:type="spellStart"/>
      <w:r w:rsidRPr="00A60F4D">
        <w:rPr>
          <w:rFonts w:eastAsia="Times New Roman"/>
          <w:sz w:val="20"/>
          <w:szCs w:val="20"/>
          <w:lang w:eastAsia="en-GB"/>
        </w:rPr>
        <w:t>Ophthalmol</w:t>
      </w:r>
      <w:proofErr w:type="spellEnd"/>
      <w:r w:rsidRPr="00A60F4D">
        <w:rPr>
          <w:rFonts w:eastAsia="Times New Roman"/>
          <w:sz w:val="20"/>
          <w:szCs w:val="20"/>
          <w:lang w:eastAsia="en-GB"/>
        </w:rPr>
        <w:t>.</w:t>
      </w:r>
      <w:proofErr w:type="gramEnd"/>
      <w:r w:rsidRPr="00A60F4D">
        <w:rPr>
          <w:rFonts w:eastAsia="Times New Roman"/>
          <w:sz w:val="20"/>
          <w:szCs w:val="20"/>
          <w:lang w:eastAsia="en-GB"/>
        </w:rPr>
        <w:t xml:space="preserve"> 2012; 60(1):45-8.</w:t>
      </w:r>
    </w:p>
    <w:p w14:paraId="7F019A4D" w14:textId="77777777" w:rsidR="004B6FD5" w:rsidRPr="00A60F4D" w:rsidRDefault="00BC20CB" w:rsidP="004B6FD5">
      <w:pPr>
        <w:pStyle w:val="NoSpacing"/>
        <w:rPr>
          <w:rFonts w:eastAsia="Times New Roman"/>
          <w:sz w:val="20"/>
          <w:szCs w:val="20"/>
          <w:lang w:eastAsia="en-GB"/>
        </w:rPr>
      </w:pPr>
      <w:r>
        <w:rPr>
          <w:rFonts w:eastAsia="Times New Roman"/>
          <w:sz w:val="20"/>
          <w:szCs w:val="20"/>
          <w:lang w:eastAsia="en-GB"/>
        </w:rPr>
        <w:t xml:space="preserve">34. </w:t>
      </w:r>
      <w:proofErr w:type="spellStart"/>
      <w:r w:rsidR="004B6FD5" w:rsidRPr="00A60F4D">
        <w:rPr>
          <w:rFonts w:eastAsia="Times New Roman"/>
          <w:sz w:val="20"/>
          <w:szCs w:val="20"/>
          <w:lang w:eastAsia="en-GB"/>
        </w:rPr>
        <w:t>Ajoy</w:t>
      </w:r>
      <w:proofErr w:type="spellEnd"/>
      <w:r w:rsidR="004B6FD5" w:rsidRPr="00A60F4D">
        <w:rPr>
          <w:rFonts w:eastAsia="Times New Roman"/>
          <w:sz w:val="20"/>
          <w:szCs w:val="20"/>
          <w:lang w:eastAsia="en-GB"/>
        </w:rPr>
        <w:t xml:space="preserve"> Mohan VK, </w:t>
      </w:r>
      <w:proofErr w:type="spellStart"/>
      <w:r w:rsidR="004B6FD5" w:rsidRPr="00A60F4D">
        <w:rPr>
          <w:rFonts w:eastAsia="Times New Roman"/>
          <w:sz w:val="20"/>
          <w:szCs w:val="20"/>
          <w:lang w:eastAsia="en-GB"/>
        </w:rPr>
        <w:t>Nithyanandam</w:t>
      </w:r>
      <w:proofErr w:type="spellEnd"/>
      <w:r w:rsidR="004B6FD5" w:rsidRPr="00A60F4D">
        <w:rPr>
          <w:rFonts w:eastAsia="Times New Roman"/>
          <w:sz w:val="20"/>
          <w:szCs w:val="20"/>
          <w:lang w:eastAsia="en-GB"/>
        </w:rPr>
        <w:t xml:space="preserve"> S, </w:t>
      </w:r>
      <w:proofErr w:type="spellStart"/>
      <w:r w:rsidR="004B6FD5" w:rsidRPr="00A60F4D">
        <w:rPr>
          <w:rFonts w:eastAsia="Times New Roman"/>
          <w:sz w:val="20"/>
          <w:szCs w:val="20"/>
          <w:lang w:eastAsia="en-GB"/>
        </w:rPr>
        <w:t>Idiculla</w:t>
      </w:r>
      <w:proofErr w:type="spellEnd"/>
      <w:r w:rsidR="004B6FD5" w:rsidRPr="00A60F4D">
        <w:rPr>
          <w:rFonts w:eastAsia="Times New Roman"/>
          <w:sz w:val="20"/>
          <w:szCs w:val="20"/>
          <w:lang w:eastAsia="en-GB"/>
        </w:rPr>
        <w:t xml:space="preserve"> J. Microalbuminuria and low </w:t>
      </w:r>
      <w:r w:rsidR="004B6FD5">
        <w:rPr>
          <w:rFonts w:eastAsia="Times New Roman"/>
          <w:sz w:val="20"/>
          <w:szCs w:val="20"/>
          <w:lang w:eastAsia="en-GB"/>
        </w:rPr>
        <w:t>haemoglobin</w:t>
      </w:r>
      <w:r w:rsidR="004B6FD5" w:rsidRPr="00A60F4D">
        <w:rPr>
          <w:rFonts w:eastAsia="Times New Roman"/>
          <w:sz w:val="20"/>
          <w:szCs w:val="20"/>
          <w:lang w:eastAsia="en-GB"/>
        </w:rPr>
        <w:t xml:space="preserve"> as risk factors for the occurrence and increasing severity of </w:t>
      </w:r>
      <w:r w:rsidR="004B6FD5" w:rsidRPr="00A60F4D">
        <w:rPr>
          <w:rFonts w:eastAsia="Times New Roman"/>
          <w:bCs/>
          <w:sz w:val="20"/>
          <w:szCs w:val="20"/>
          <w:lang w:eastAsia="en-GB"/>
        </w:rPr>
        <w:t>diabetic retinopathy</w:t>
      </w:r>
      <w:r w:rsidR="004B6FD5" w:rsidRPr="00A60F4D">
        <w:rPr>
          <w:rFonts w:eastAsia="Times New Roman"/>
          <w:sz w:val="20"/>
          <w:szCs w:val="20"/>
          <w:lang w:eastAsia="en-GB"/>
        </w:rPr>
        <w:t xml:space="preserve">. </w:t>
      </w:r>
      <w:proofErr w:type="gramStart"/>
      <w:r w:rsidR="004B6FD5" w:rsidRPr="00A60F4D">
        <w:rPr>
          <w:rFonts w:eastAsia="Times New Roman"/>
          <w:sz w:val="20"/>
          <w:szCs w:val="20"/>
          <w:lang w:eastAsia="en-GB"/>
        </w:rPr>
        <w:t xml:space="preserve">Indian J </w:t>
      </w:r>
      <w:proofErr w:type="spellStart"/>
      <w:r w:rsidR="004B6FD5" w:rsidRPr="00A60F4D">
        <w:rPr>
          <w:rFonts w:eastAsia="Times New Roman"/>
          <w:sz w:val="20"/>
          <w:szCs w:val="20"/>
          <w:lang w:eastAsia="en-GB"/>
        </w:rPr>
        <w:t>Ophthalmol</w:t>
      </w:r>
      <w:proofErr w:type="spellEnd"/>
      <w:r w:rsidR="004B6FD5" w:rsidRPr="00A60F4D">
        <w:rPr>
          <w:rFonts w:eastAsia="Times New Roman"/>
          <w:sz w:val="20"/>
          <w:szCs w:val="20"/>
          <w:lang w:eastAsia="en-GB"/>
        </w:rPr>
        <w:t>.</w:t>
      </w:r>
      <w:proofErr w:type="gramEnd"/>
      <w:r w:rsidR="004B6FD5" w:rsidRPr="00A60F4D">
        <w:rPr>
          <w:rFonts w:eastAsia="Times New Roman"/>
          <w:sz w:val="20"/>
          <w:szCs w:val="20"/>
          <w:lang w:eastAsia="en-GB"/>
        </w:rPr>
        <w:t xml:space="preserve"> 2011; 59(3):207-10.</w:t>
      </w:r>
    </w:p>
    <w:p w14:paraId="7B896BEA" w14:textId="77777777" w:rsidR="004B6FD5" w:rsidRPr="00A60F4D" w:rsidRDefault="00BC20CB" w:rsidP="004B6FD5">
      <w:pPr>
        <w:pStyle w:val="NoSpacing"/>
        <w:rPr>
          <w:rFonts w:eastAsia="Times New Roman"/>
          <w:b/>
          <w:sz w:val="20"/>
          <w:szCs w:val="20"/>
          <w:lang w:eastAsia="en-GB"/>
        </w:rPr>
      </w:pPr>
      <w:r>
        <w:rPr>
          <w:rFonts w:eastAsia="Times New Roman"/>
          <w:sz w:val="20"/>
          <w:szCs w:val="20"/>
          <w:lang w:eastAsia="en-GB"/>
        </w:rPr>
        <w:t>35.</w:t>
      </w:r>
      <w:r w:rsidR="004B6FD5" w:rsidRPr="00A60F4D">
        <w:rPr>
          <w:rFonts w:eastAsia="Times New Roman"/>
          <w:sz w:val="20"/>
          <w:szCs w:val="20"/>
          <w:lang w:eastAsia="en-GB"/>
        </w:rPr>
        <w:t xml:space="preserve"> He BB, Wei L, </w:t>
      </w:r>
      <w:proofErr w:type="spellStart"/>
      <w:r w:rsidR="004B6FD5" w:rsidRPr="00A60F4D">
        <w:rPr>
          <w:rFonts w:eastAsia="Times New Roman"/>
          <w:sz w:val="20"/>
          <w:szCs w:val="20"/>
          <w:lang w:eastAsia="en-GB"/>
        </w:rPr>
        <w:t>Gu</w:t>
      </w:r>
      <w:proofErr w:type="spellEnd"/>
      <w:r w:rsidR="004B6FD5" w:rsidRPr="00A60F4D">
        <w:rPr>
          <w:rFonts w:eastAsia="Times New Roman"/>
          <w:sz w:val="20"/>
          <w:szCs w:val="20"/>
          <w:lang w:eastAsia="en-GB"/>
        </w:rPr>
        <w:t xml:space="preserve"> YJ, Han JF, Li M, Liu YX, </w:t>
      </w:r>
      <w:proofErr w:type="spellStart"/>
      <w:r w:rsidR="004B6FD5" w:rsidRPr="00A60F4D">
        <w:rPr>
          <w:rFonts w:eastAsia="Times New Roman"/>
          <w:sz w:val="20"/>
          <w:szCs w:val="20"/>
          <w:lang w:eastAsia="en-GB"/>
        </w:rPr>
        <w:t>Bao</w:t>
      </w:r>
      <w:proofErr w:type="spellEnd"/>
      <w:r w:rsidR="004B6FD5" w:rsidRPr="00A60F4D">
        <w:rPr>
          <w:rFonts w:eastAsia="Times New Roman"/>
          <w:sz w:val="20"/>
          <w:szCs w:val="20"/>
          <w:lang w:eastAsia="en-GB"/>
        </w:rPr>
        <w:t xml:space="preserve"> YQ, </w:t>
      </w:r>
      <w:proofErr w:type="spellStart"/>
      <w:r w:rsidR="004B6FD5" w:rsidRPr="00A60F4D">
        <w:rPr>
          <w:rFonts w:eastAsia="Times New Roman"/>
          <w:sz w:val="20"/>
          <w:szCs w:val="20"/>
          <w:lang w:eastAsia="en-GB"/>
        </w:rPr>
        <w:t>Jia</w:t>
      </w:r>
      <w:proofErr w:type="spellEnd"/>
      <w:r w:rsidR="004B6FD5" w:rsidRPr="00A60F4D">
        <w:rPr>
          <w:rFonts w:eastAsia="Times New Roman"/>
          <w:sz w:val="20"/>
          <w:szCs w:val="20"/>
          <w:lang w:eastAsia="en-GB"/>
        </w:rPr>
        <w:t xml:space="preserve"> WP. Factors associated with </w:t>
      </w:r>
      <w:r w:rsidR="004B6FD5" w:rsidRPr="00A60F4D">
        <w:rPr>
          <w:rFonts w:eastAsia="Times New Roman"/>
          <w:bCs/>
          <w:sz w:val="20"/>
          <w:szCs w:val="20"/>
          <w:lang w:eastAsia="en-GB"/>
        </w:rPr>
        <w:t>diabetic retinopathy</w:t>
      </w:r>
      <w:r w:rsidR="004B6FD5" w:rsidRPr="00A60F4D">
        <w:rPr>
          <w:rFonts w:eastAsia="Times New Roman"/>
          <w:sz w:val="20"/>
          <w:szCs w:val="20"/>
          <w:lang w:eastAsia="en-GB"/>
        </w:rPr>
        <w:t xml:space="preserve"> in </w:t>
      </w:r>
      <w:proofErr w:type="spellStart"/>
      <w:proofErr w:type="gramStart"/>
      <w:r w:rsidR="004B6FD5" w:rsidRPr="00A60F4D">
        <w:rPr>
          <w:rFonts w:eastAsia="Times New Roman"/>
          <w:sz w:val="20"/>
          <w:szCs w:val="20"/>
          <w:lang w:eastAsia="en-GB"/>
        </w:rPr>
        <w:t>chinese</w:t>
      </w:r>
      <w:proofErr w:type="spellEnd"/>
      <w:proofErr w:type="gramEnd"/>
      <w:r w:rsidR="004B6FD5" w:rsidRPr="00A60F4D">
        <w:rPr>
          <w:rFonts w:eastAsia="Times New Roman"/>
          <w:sz w:val="20"/>
          <w:szCs w:val="20"/>
          <w:lang w:eastAsia="en-GB"/>
        </w:rPr>
        <w:t xml:space="preserve"> patients with type 2 diabetes mellitus. </w:t>
      </w:r>
      <w:proofErr w:type="spellStart"/>
      <w:r w:rsidR="004B6FD5" w:rsidRPr="00A60F4D">
        <w:rPr>
          <w:rFonts w:eastAsia="Times New Roman"/>
          <w:sz w:val="20"/>
          <w:szCs w:val="20"/>
          <w:lang w:eastAsia="en-GB"/>
        </w:rPr>
        <w:t>Int</w:t>
      </w:r>
      <w:proofErr w:type="spellEnd"/>
      <w:r w:rsidR="004B6FD5" w:rsidRPr="00A60F4D">
        <w:rPr>
          <w:rFonts w:eastAsia="Times New Roman"/>
          <w:sz w:val="20"/>
          <w:szCs w:val="20"/>
          <w:lang w:eastAsia="en-GB"/>
        </w:rPr>
        <w:t xml:space="preserve"> J </w:t>
      </w:r>
      <w:proofErr w:type="spellStart"/>
      <w:r w:rsidR="004B6FD5" w:rsidRPr="00A60F4D">
        <w:rPr>
          <w:rFonts w:eastAsia="Times New Roman"/>
          <w:sz w:val="20"/>
          <w:szCs w:val="20"/>
          <w:lang w:eastAsia="en-GB"/>
        </w:rPr>
        <w:t>Endocrinol</w:t>
      </w:r>
      <w:proofErr w:type="spellEnd"/>
      <w:r w:rsidR="004B6FD5" w:rsidRPr="00A60F4D">
        <w:rPr>
          <w:rFonts w:eastAsia="Times New Roman"/>
          <w:sz w:val="20"/>
          <w:szCs w:val="20"/>
          <w:lang w:eastAsia="en-GB"/>
        </w:rPr>
        <w:t>. 2012</w:t>
      </w:r>
      <w:proofErr w:type="gramStart"/>
      <w:r w:rsidR="004B6FD5" w:rsidRPr="00A60F4D">
        <w:rPr>
          <w:rFonts w:eastAsia="Times New Roman"/>
          <w:sz w:val="20"/>
          <w:szCs w:val="20"/>
          <w:lang w:eastAsia="en-GB"/>
        </w:rPr>
        <w:t>;2012:157940</w:t>
      </w:r>
      <w:proofErr w:type="gramEnd"/>
      <w:r w:rsidR="004B6FD5" w:rsidRPr="00A60F4D">
        <w:rPr>
          <w:rFonts w:eastAsia="Times New Roman"/>
          <w:sz w:val="20"/>
          <w:szCs w:val="20"/>
          <w:lang w:eastAsia="en-GB"/>
        </w:rPr>
        <w:t>.</w:t>
      </w:r>
    </w:p>
    <w:p w14:paraId="61FDD83B" w14:textId="77777777" w:rsidR="004B6FD5" w:rsidRPr="00A60F4D" w:rsidRDefault="00BC20CB" w:rsidP="004B6FD5">
      <w:pPr>
        <w:pStyle w:val="NoSpacing"/>
        <w:rPr>
          <w:rFonts w:eastAsia="Times New Roman" w:cs="Arial"/>
          <w:sz w:val="20"/>
          <w:szCs w:val="20"/>
          <w:lang w:eastAsia="en-GB"/>
        </w:rPr>
      </w:pPr>
      <w:r>
        <w:rPr>
          <w:rFonts w:eastAsia="Times New Roman" w:cs="Arial"/>
          <w:sz w:val="20"/>
          <w:szCs w:val="20"/>
          <w:lang w:eastAsia="en-GB"/>
        </w:rPr>
        <w:t xml:space="preserve">36. </w:t>
      </w:r>
      <w:r w:rsidR="004B6FD5" w:rsidRPr="00A60F4D">
        <w:rPr>
          <w:rFonts w:eastAsia="Times New Roman" w:cs="Arial"/>
          <w:sz w:val="20"/>
          <w:szCs w:val="20"/>
          <w:lang w:eastAsia="en-GB"/>
        </w:rPr>
        <w:t xml:space="preserve">Bo S, </w:t>
      </w:r>
      <w:proofErr w:type="spellStart"/>
      <w:r w:rsidR="004B6FD5" w:rsidRPr="00A60F4D">
        <w:rPr>
          <w:rFonts w:eastAsia="Times New Roman" w:cs="Arial"/>
          <w:sz w:val="20"/>
          <w:szCs w:val="20"/>
          <w:lang w:eastAsia="en-GB"/>
        </w:rPr>
        <w:t>Menato</w:t>
      </w:r>
      <w:proofErr w:type="spellEnd"/>
      <w:r w:rsidR="004B6FD5" w:rsidRPr="00A60F4D">
        <w:rPr>
          <w:rFonts w:eastAsia="Times New Roman" w:cs="Arial"/>
          <w:sz w:val="20"/>
          <w:szCs w:val="20"/>
          <w:lang w:eastAsia="en-GB"/>
        </w:rPr>
        <w:t xml:space="preserve"> G, </w:t>
      </w:r>
      <w:proofErr w:type="spellStart"/>
      <w:r w:rsidR="004B6FD5" w:rsidRPr="00A60F4D">
        <w:rPr>
          <w:rFonts w:eastAsia="Times New Roman" w:cs="Arial"/>
          <w:sz w:val="20"/>
          <w:szCs w:val="20"/>
          <w:lang w:eastAsia="en-GB"/>
        </w:rPr>
        <w:t>Villois</w:t>
      </w:r>
      <w:proofErr w:type="spellEnd"/>
      <w:r w:rsidR="004B6FD5" w:rsidRPr="00A60F4D">
        <w:rPr>
          <w:rFonts w:eastAsia="Times New Roman" w:cs="Arial"/>
          <w:sz w:val="20"/>
          <w:szCs w:val="20"/>
          <w:lang w:eastAsia="en-GB"/>
        </w:rPr>
        <w:t xml:space="preserve"> P, Gambino R, </w:t>
      </w:r>
      <w:proofErr w:type="spellStart"/>
      <w:r w:rsidR="004B6FD5" w:rsidRPr="00A60F4D">
        <w:rPr>
          <w:rFonts w:eastAsia="Times New Roman" w:cs="Arial"/>
          <w:sz w:val="20"/>
          <w:szCs w:val="20"/>
          <w:lang w:eastAsia="en-GB"/>
        </w:rPr>
        <w:t>Cassader</w:t>
      </w:r>
      <w:proofErr w:type="spellEnd"/>
      <w:r w:rsidR="004B6FD5" w:rsidRPr="00A60F4D">
        <w:rPr>
          <w:rFonts w:eastAsia="Times New Roman" w:cs="Arial"/>
          <w:sz w:val="20"/>
          <w:szCs w:val="20"/>
          <w:lang w:eastAsia="en-GB"/>
        </w:rPr>
        <w:t xml:space="preserve"> M, </w:t>
      </w:r>
      <w:proofErr w:type="spellStart"/>
      <w:r w:rsidR="004B6FD5" w:rsidRPr="00A60F4D">
        <w:rPr>
          <w:rFonts w:eastAsia="Times New Roman" w:cs="Arial"/>
          <w:sz w:val="20"/>
          <w:szCs w:val="20"/>
          <w:lang w:eastAsia="en-GB"/>
        </w:rPr>
        <w:t>Cotrino</w:t>
      </w:r>
      <w:proofErr w:type="spellEnd"/>
      <w:r w:rsidR="004B6FD5" w:rsidRPr="00A60F4D">
        <w:rPr>
          <w:rFonts w:eastAsia="Times New Roman" w:cs="Arial"/>
          <w:sz w:val="20"/>
          <w:szCs w:val="20"/>
          <w:lang w:eastAsia="en-GB"/>
        </w:rPr>
        <w:t xml:space="preserve"> I, </w:t>
      </w:r>
      <w:proofErr w:type="spellStart"/>
      <w:r w:rsidR="004B6FD5" w:rsidRPr="00A60F4D">
        <w:rPr>
          <w:rFonts w:eastAsia="Times New Roman" w:cs="Arial"/>
          <w:sz w:val="20"/>
          <w:szCs w:val="20"/>
          <w:lang w:eastAsia="en-GB"/>
        </w:rPr>
        <w:t>Cavallo-Perin</w:t>
      </w:r>
      <w:proofErr w:type="spellEnd"/>
      <w:r w:rsidR="004B6FD5" w:rsidRPr="00A60F4D">
        <w:rPr>
          <w:rFonts w:eastAsia="Times New Roman" w:cs="Arial"/>
          <w:sz w:val="20"/>
          <w:szCs w:val="20"/>
          <w:lang w:eastAsia="en-GB"/>
        </w:rPr>
        <w:t xml:space="preserve"> P. </w:t>
      </w:r>
      <w:r w:rsidR="004B6FD5" w:rsidRPr="00A60F4D">
        <w:rPr>
          <w:rFonts w:eastAsia="Times New Roman" w:cs="Arial"/>
          <w:bCs/>
          <w:sz w:val="20"/>
          <w:szCs w:val="20"/>
          <w:lang w:eastAsia="en-GB"/>
        </w:rPr>
        <w:t>Iron</w:t>
      </w:r>
      <w:r w:rsidR="004B6FD5" w:rsidRPr="00A60F4D">
        <w:rPr>
          <w:rFonts w:eastAsia="Times New Roman" w:cs="Arial"/>
          <w:sz w:val="20"/>
          <w:szCs w:val="20"/>
          <w:lang w:eastAsia="en-GB"/>
        </w:rPr>
        <w:t> </w:t>
      </w:r>
      <w:r w:rsidR="004B6FD5" w:rsidRPr="00A60F4D">
        <w:rPr>
          <w:rFonts w:eastAsia="Times New Roman" w:cs="Arial"/>
          <w:bCs/>
          <w:sz w:val="20"/>
          <w:szCs w:val="20"/>
          <w:lang w:eastAsia="en-GB"/>
        </w:rPr>
        <w:t>supplementation</w:t>
      </w:r>
      <w:r w:rsidR="004B6FD5" w:rsidRPr="00A60F4D">
        <w:rPr>
          <w:rFonts w:eastAsia="Times New Roman" w:cs="Arial"/>
          <w:sz w:val="20"/>
          <w:szCs w:val="20"/>
          <w:lang w:eastAsia="en-GB"/>
        </w:rPr>
        <w:t> and gestational </w:t>
      </w:r>
      <w:r w:rsidR="004B6FD5" w:rsidRPr="00A60F4D">
        <w:rPr>
          <w:rFonts w:eastAsia="Times New Roman" w:cs="Arial"/>
          <w:bCs/>
          <w:sz w:val="20"/>
          <w:szCs w:val="20"/>
          <w:lang w:eastAsia="en-GB"/>
        </w:rPr>
        <w:t>diabetes</w:t>
      </w:r>
      <w:r w:rsidR="004B6FD5" w:rsidRPr="00A60F4D">
        <w:rPr>
          <w:rFonts w:eastAsia="Times New Roman" w:cs="Arial"/>
          <w:sz w:val="20"/>
          <w:szCs w:val="20"/>
          <w:lang w:eastAsia="en-GB"/>
        </w:rPr>
        <w:t xml:space="preserve"> in </w:t>
      </w:r>
      <w:proofErr w:type="spellStart"/>
      <w:r w:rsidR="004B6FD5" w:rsidRPr="00A60F4D">
        <w:rPr>
          <w:rFonts w:eastAsia="Times New Roman" w:cs="Arial"/>
          <w:sz w:val="20"/>
          <w:szCs w:val="20"/>
          <w:lang w:eastAsia="en-GB"/>
        </w:rPr>
        <w:t>midpregnancy</w:t>
      </w:r>
      <w:proofErr w:type="spellEnd"/>
      <w:r w:rsidR="004B6FD5" w:rsidRPr="00A60F4D">
        <w:rPr>
          <w:rFonts w:eastAsia="Times New Roman" w:cs="Arial"/>
          <w:sz w:val="20"/>
          <w:szCs w:val="20"/>
          <w:lang w:eastAsia="en-GB"/>
        </w:rPr>
        <w:t xml:space="preserve">. Am J </w:t>
      </w:r>
      <w:proofErr w:type="spellStart"/>
      <w:r w:rsidR="004B6FD5" w:rsidRPr="00A60F4D">
        <w:rPr>
          <w:rFonts w:eastAsia="Times New Roman" w:cs="Arial"/>
          <w:sz w:val="20"/>
          <w:szCs w:val="20"/>
          <w:lang w:eastAsia="en-GB"/>
        </w:rPr>
        <w:t>Obstet</w:t>
      </w:r>
      <w:proofErr w:type="spellEnd"/>
      <w:r w:rsidR="004B6FD5" w:rsidRPr="00A60F4D">
        <w:rPr>
          <w:rFonts w:eastAsia="Times New Roman" w:cs="Arial"/>
          <w:sz w:val="20"/>
          <w:szCs w:val="20"/>
          <w:lang w:eastAsia="en-GB"/>
        </w:rPr>
        <w:t xml:space="preserve"> Gynecol. 2009 Aug</w:t>
      </w:r>
      <w:proofErr w:type="gramStart"/>
      <w:r w:rsidR="004B6FD5" w:rsidRPr="00A60F4D">
        <w:rPr>
          <w:rFonts w:eastAsia="Times New Roman" w:cs="Arial"/>
          <w:sz w:val="20"/>
          <w:szCs w:val="20"/>
          <w:lang w:eastAsia="en-GB"/>
        </w:rPr>
        <w:t>;201</w:t>
      </w:r>
      <w:proofErr w:type="gramEnd"/>
      <w:r w:rsidR="004B6FD5" w:rsidRPr="00A60F4D">
        <w:rPr>
          <w:rFonts w:eastAsia="Times New Roman" w:cs="Arial"/>
          <w:sz w:val="20"/>
          <w:szCs w:val="20"/>
          <w:lang w:eastAsia="en-GB"/>
        </w:rPr>
        <w:t xml:space="preserve">(2):158.e1-6. </w:t>
      </w:r>
    </w:p>
    <w:p w14:paraId="625D42BF" w14:textId="77777777" w:rsidR="007669FF" w:rsidRPr="00FF7713" w:rsidRDefault="00BC20CB" w:rsidP="00FF7713">
      <w:pPr>
        <w:pStyle w:val="NoSpacing"/>
        <w:rPr>
          <w:rFonts w:eastAsia="Times New Roman" w:cs="Arial"/>
          <w:sz w:val="20"/>
          <w:szCs w:val="20"/>
          <w:lang w:eastAsia="en-GB"/>
        </w:rPr>
      </w:pPr>
      <w:r>
        <w:rPr>
          <w:rFonts w:eastAsia="Times New Roman" w:cs="Arial"/>
          <w:sz w:val="20"/>
          <w:szCs w:val="20"/>
          <w:lang w:eastAsia="en-GB"/>
        </w:rPr>
        <w:t xml:space="preserve">37. </w:t>
      </w:r>
      <w:proofErr w:type="spellStart"/>
      <w:r w:rsidR="004B6FD5" w:rsidRPr="00A60F4D">
        <w:rPr>
          <w:rFonts w:eastAsia="Times New Roman" w:cs="Arial"/>
          <w:sz w:val="20"/>
          <w:szCs w:val="20"/>
          <w:lang w:eastAsia="en-GB"/>
        </w:rPr>
        <w:t>Afkhami-Ardekani</w:t>
      </w:r>
      <w:proofErr w:type="spellEnd"/>
      <w:r w:rsidR="004B6FD5" w:rsidRPr="00A60F4D">
        <w:rPr>
          <w:rFonts w:eastAsia="Times New Roman" w:cs="Arial"/>
          <w:sz w:val="20"/>
          <w:szCs w:val="20"/>
          <w:lang w:eastAsia="en-GB"/>
        </w:rPr>
        <w:t xml:space="preserve"> M, </w:t>
      </w:r>
      <w:proofErr w:type="spellStart"/>
      <w:r w:rsidR="004B6FD5" w:rsidRPr="00A60F4D">
        <w:rPr>
          <w:rFonts w:eastAsia="Times New Roman" w:cs="Arial"/>
          <w:sz w:val="20"/>
          <w:szCs w:val="20"/>
          <w:lang w:eastAsia="en-GB"/>
        </w:rPr>
        <w:t>Rashidi</w:t>
      </w:r>
      <w:proofErr w:type="spellEnd"/>
      <w:r w:rsidR="004B6FD5" w:rsidRPr="00A60F4D">
        <w:rPr>
          <w:rFonts w:eastAsia="Times New Roman" w:cs="Arial"/>
          <w:sz w:val="20"/>
          <w:szCs w:val="20"/>
          <w:lang w:eastAsia="en-GB"/>
        </w:rPr>
        <w:t xml:space="preserve"> M. </w:t>
      </w:r>
      <w:r w:rsidR="004B6FD5" w:rsidRPr="00A60F4D">
        <w:rPr>
          <w:rFonts w:eastAsia="Times New Roman" w:cs="Arial"/>
          <w:bCs/>
          <w:sz w:val="20"/>
          <w:szCs w:val="20"/>
          <w:lang w:eastAsia="en-GB"/>
        </w:rPr>
        <w:t>Iron</w:t>
      </w:r>
      <w:r w:rsidR="004B6FD5" w:rsidRPr="00A60F4D">
        <w:rPr>
          <w:rFonts w:eastAsia="Times New Roman" w:cs="Arial"/>
          <w:sz w:val="20"/>
          <w:szCs w:val="20"/>
          <w:lang w:eastAsia="en-GB"/>
        </w:rPr>
        <w:t> status in women with and without gestational </w:t>
      </w:r>
      <w:r w:rsidR="004B6FD5" w:rsidRPr="00A60F4D">
        <w:rPr>
          <w:rFonts w:eastAsia="Times New Roman" w:cs="Arial"/>
          <w:bCs/>
          <w:sz w:val="20"/>
          <w:szCs w:val="20"/>
          <w:lang w:eastAsia="en-GB"/>
        </w:rPr>
        <w:t>diabetes mellitus</w:t>
      </w:r>
      <w:r w:rsidR="004B6FD5" w:rsidRPr="00A60F4D">
        <w:rPr>
          <w:rFonts w:eastAsia="Times New Roman" w:cs="Arial"/>
          <w:sz w:val="20"/>
          <w:szCs w:val="20"/>
          <w:lang w:eastAsia="en-GB"/>
        </w:rPr>
        <w:t xml:space="preserve">. </w:t>
      </w:r>
      <w:proofErr w:type="gramStart"/>
      <w:r w:rsidR="004B6FD5" w:rsidRPr="00A60F4D">
        <w:rPr>
          <w:rFonts w:eastAsia="Times New Roman" w:cs="Arial"/>
          <w:sz w:val="20"/>
          <w:szCs w:val="20"/>
          <w:lang w:eastAsia="en-GB"/>
        </w:rPr>
        <w:t>J </w:t>
      </w:r>
      <w:r w:rsidR="004B6FD5" w:rsidRPr="00A60F4D">
        <w:rPr>
          <w:rFonts w:eastAsia="Times New Roman" w:cs="Arial"/>
          <w:bCs/>
          <w:sz w:val="20"/>
          <w:szCs w:val="20"/>
          <w:lang w:eastAsia="en-GB"/>
        </w:rPr>
        <w:t>Diabetes</w:t>
      </w:r>
      <w:r w:rsidR="004B6FD5" w:rsidRPr="00A60F4D">
        <w:rPr>
          <w:rFonts w:eastAsia="Times New Roman" w:cs="Arial"/>
          <w:sz w:val="20"/>
          <w:szCs w:val="20"/>
          <w:lang w:eastAsia="en-GB"/>
        </w:rPr>
        <w:t> Complicati</w:t>
      </w:r>
      <w:r w:rsidR="00FF7713">
        <w:rPr>
          <w:rFonts w:eastAsia="Times New Roman" w:cs="Arial"/>
          <w:sz w:val="20"/>
          <w:szCs w:val="20"/>
          <w:lang w:eastAsia="en-GB"/>
        </w:rPr>
        <w:t>ons.</w:t>
      </w:r>
      <w:proofErr w:type="gramEnd"/>
      <w:r w:rsidR="00FF7713">
        <w:rPr>
          <w:rFonts w:eastAsia="Times New Roman" w:cs="Arial"/>
          <w:sz w:val="20"/>
          <w:szCs w:val="20"/>
          <w:lang w:eastAsia="en-GB"/>
        </w:rPr>
        <w:t xml:space="preserve"> 2009 May-Jun</w:t>
      </w:r>
      <w:proofErr w:type="gramStart"/>
      <w:r w:rsidR="00FF7713">
        <w:rPr>
          <w:rFonts w:eastAsia="Times New Roman" w:cs="Arial"/>
          <w:sz w:val="20"/>
          <w:szCs w:val="20"/>
          <w:lang w:eastAsia="en-GB"/>
        </w:rPr>
        <w:t>;23</w:t>
      </w:r>
      <w:proofErr w:type="gramEnd"/>
      <w:r w:rsidR="00FF7713">
        <w:rPr>
          <w:rFonts w:eastAsia="Times New Roman" w:cs="Arial"/>
          <w:sz w:val="20"/>
          <w:szCs w:val="20"/>
          <w:lang w:eastAsia="en-GB"/>
        </w:rPr>
        <w:t xml:space="preserve">(3):194-8. </w:t>
      </w:r>
    </w:p>
    <w:sectPr w:rsidR="007669FF" w:rsidRPr="00FF7713" w:rsidSect="000658ED">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F6F00" w14:textId="77777777" w:rsidR="00CB75D4" w:rsidRDefault="00CB75D4" w:rsidP="0099610E">
      <w:pPr>
        <w:spacing w:line="240" w:lineRule="auto"/>
      </w:pPr>
      <w:r>
        <w:separator/>
      </w:r>
    </w:p>
  </w:endnote>
  <w:endnote w:type="continuationSeparator" w:id="0">
    <w:p w14:paraId="3522D401" w14:textId="77777777" w:rsidR="00CB75D4" w:rsidRDefault="00CB75D4" w:rsidP="00996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calaLancetPro">
    <w:panose1 w:val="00000000000000000000"/>
    <w:charset w:val="00"/>
    <w:family w:val="auto"/>
    <w:notTrueType/>
    <w:pitch w:val="default"/>
    <w:sig w:usb0="00000003" w:usb1="00000000" w:usb2="00000000" w:usb3="00000000" w:csb0="00000001" w:csb1="00000000"/>
  </w:font>
  <w:font w:name="AdvPSSAB-R">
    <w:altName w:val="Times New Roman"/>
    <w:charset w:val="00"/>
    <w:family w:val="roman"/>
    <w:pitch w:val="default"/>
    <w:sig w:usb0="00000003" w:usb1="00000000" w:usb2="00000000" w:usb3="00000000" w:csb0="00000001" w:csb1="00000000"/>
  </w:font>
  <w:font w:name="AdvTT3713a231+20">
    <w:altName w:val="Arial"/>
    <w:charset w:val="00"/>
    <w:family w:val="swiss"/>
    <w:pitch w:val="default"/>
    <w:sig w:usb0="00000003" w:usb1="00000000" w:usb2="00000000" w:usb3="00000000" w:csb0="00000001" w:csb1="00000000"/>
  </w:font>
  <w:font w:name="AdvPSFT-B">
    <w:panose1 w:val="00000000000000000000"/>
    <w:charset w:val="00"/>
    <w:family w:val="swiss"/>
    <w:notTrueType/>
    <w:pitch w:val="default"/>
    <w:sig w:usb0="00000003" w:usb1="00000000" w:usb2="00000000" w:usb3="00000000" w:csb0="00000001" w:csb1="00000000"/>
  </w:font>
  <w:font w:name="AdvPECFD34">
    <w:charset w:val="00"/>
    <w:family w:val="swiss"/>
    <w:pitch w:val="default"/>
  </w:font>
  <w:font w:name="AdvTT3713a231">
    <w:altName w:val="Times New Roman"/>
    <w:charset w:val="00"/>
    <w:family w:val="roman"/>
    <w:pitch w:val="default"/>
    <w:sig w:usb0="00000003" w:usb1="00000000" w:usb2="00000000" w:usb3="00000000" w:csb0="00000001" w:csb1="00000000"/>
  </w:font>
  <w:font w:name="AdvTT3713a231+22">
    <w:altName w:val="MS Mincho"/>
    <w:panose1 w:val="00000000000000000000"/>
    <w:charset w:val="80"/>
    <w:family w:val="auto"/>
    <w:notTrueType/>
    <w:pitch w:val="default"/>
    <w:sig w:usb0="00000001" w:usb1="08070000" w:usb2="00000010" w:usb3="00000000" w:csb0="00020000" w:csb1="00000000"/>
  </w:font>
  <w:font w:name="AdvTT5bf2ac07">
    <w:charset w:val="00"/>
    <w:family w:val="roman"/>
    <w:pitch w:val="default"/>
  </w:font>
  <w:font w:name="AdvPSSAB-I">
    <w:panose1 w:val="00000000000000000000"/>
    <w:charset w:val="00"/>
    <w:family w:val="swiss"/>
    <w:notTrueType/>
    <w:pitch w:val="default"/>
    <w:sig w:usb0="00000003" w:usb1="00000000" w:usb2="00000000" w:usb3="00000000" w:csb0="00000001" w:csb1="00000000"/>
  </w:font>
  <w:font w:name="AdvPECFD36">
    <w:charset w:val="00"/>
    <w:family w:val="swiss"/>
    <w:pitch w:val="default"/>
  </w:font>
  <w:font w:name="FreeSans">
    <w:charset w:val="00"/>
    <w:family w:val="auto"/>
    <w:pitch w:val="default"/>
  </w:font>
  <w:font w:name="FranklinGothic-Demi">
    <w:charset w:val="00"/>
    <w:family w:val="auto"/>
    <w:pitch w:val="default"/>
  </w:font>
  <w:font w:name="FranklinGothic-BookItal">
    <w:charset w:val="00"/>
    <w:family w:val="auto"/>
    <w:pitch w:val="default"/>
  </w:font>
  <w:font w:name="FranklinGothic-Book">
    <w:charset w:val="00"/>
    <w:family w:val="auto"/>
    <w:pitch w:val="default"/>
  </w:font>
  <w:font w:name="AdvPSSab-B">
    <w:altName w:val="Times New Roman"/>
    <w:charset w:val="00"/>
    <w:family w:val="roman"/>
    <w:pitch w:val="default"/>
    <w:sig w:usb0="00000003" w:usb1="00000000" w:usb2="00000000" w:usb3="00000000" w:csb0="00000001" w:csb1="00000000"/>
  </w:font>
  <w:font w:name="FreeSansOblique">
    <w:charset w:val="00"/>
    <w:family w:val="auto"/>
    <w:pitch w:val="default"/>
  </w:font>
  <w:font w:name="GCFrutiger-Bold">
    <w:charset w:val="00"/>
    <w:family w:val="auto"/>
    <w:pitch w:val="default"/>
  </w:font>
  <w:font w:name="GCFrutiger-LightItalic">
    <w:charset w:val="00"/>
    <w:family w:val="auto"/>
    <w:pitch w:val="default"/>
  </w:font>
  <w:font w:name="GCFrutiger-Light">
    <w:charset w:val="00"/>
    <w:family w:val="auto"/>
    <w:pitch w:val="default"/>
  </w:font>
  <w:font w:name="AdvOT4d5aeae2.B">
    <w:charset w:val="00"/>
    <w:family w:val="swiss"/>
    <w:pitch w:val="default"/>
  </w:font>
  <w:font w:name="AdvOT0f59d5f2.B">
    <w:charset w:val="00"/>
    <w:family w:val="swiss"/>
    <w:pitch w:val="default"/>
  </w:font>
  <w:font w:name="AdvOT0f59d5f2.B+20">
    <w:charset w:val="00"/>
    <w:family w:val="swiss"/>
    <w:pitch w:val="default"/>
  </w:font>
  <w:font w:name="AdvOT07517017">
    <w:panose1 w:val="00000000000000000000"/>
    <w:charset w:val="00"/>
    <w:family w:val="swiss"/>
    <w:notTrueType/>
    <w:pitch w:val="default"/>
    <w:sig w:usb0="00000003" w:usb1="00000000" w:usb2="00000000" w:usb3="00000000" w:csb0="00000001" w:csb1="00000000"/>
  </w:font>
  <w:font w:name="AdvOT46dcae81">
    <w:panose1 w:val="00000000000000000000"/>
    <w:charset w:val="00"/>
    <w:family w:val="swiss"/>
    <w:notTrueType/>
    <w:pitch w:val="default"/>
    <w:sig w:usb0="00000003" w:usb1="00000000" w:usb2="00000000" w:usb3="00000000" w:csb0="00000001" w:csb1="00000000"/>
  </w:font>
  <w:font w:name="AdvOT0d9ab1db.I">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A9D7E" w14:textId="77777777" w:rsidR="00CB75D4" w:rsidRDefault="00CB75D4">
    <w:pPr>
      <w:pStyle w:val="Footer"/>
      <w:jc w:val="right"/>
    </w:pPr>
    <w:r>
      <w:fldChar w:fldCharType="begin"/>
    </w:r>
    <w:r>
      <w:instrText xml:space="preserve"> PAGE   \* MERGEFORMAT </w:instrText>
    </w:r>
    <w:r>
      <w:fldChar w:fldCharType="separate"/>
    </w:r>
    <w:r w:rsidR="00C20ECD">
      <w:rPr>
        <w:noProof/>
      </w:rPr>
      <w:t>17</w:t>
    </w:r>
    <w:r>
      <w:rPr>
        <w:noProof/>
      </w:rPr>
      <w:fldChar w:fldCharType="end"/>
    </w:r>
  </w:p>
  <w:p w14:paraId="3EC8E0A3" w14:textId="77777777" w:rsidR="00CB75D4" w:rsidRDefault="00CB75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68822" w14:textId="77777777" w:rsidR="00CB75D4" w:rsidRDefault="00CB75D4" w:rsidP="0099610E">
      <w:pPr>
        <w:spacing w:line="240" w:lineRule="auto"/>
      </w:pPr>
      <w:r>
        <w:separator/>
      </w:r>
    </w:p>
  </w:footnote>
  <w:footnote w:type="continuationSeparator" w:id="0">
    <w:p w14:paraId="384A3EE9" w14:textId="77777777" w:rsidR="00CB75D4" w:rsidRDefault="00CB75D4" w:rsidP="0099610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32B7"/>
    <w:multiLevelType w:val="multilevel"/>
    <w:tmpl w:val="A854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04AF6"/>
    <w:multiLevelType w:val="multilevel"/>
    <w:tmpl w:val="23A8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D1109"/>
    <w:multiLevelType w:val="hybridMultilevel"/>
    <w:tmpl w:val="13A86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C70D70"/>
    <w:multiLevelType w:val="hybridMultilevel"/>
    <w:tmpl w:val="3334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A27096"/>
    <w:multiLevelType w:val="hybridMultilevel"/>
    <w:tmpl w:val="9BBAA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F21F9F"/>
    <w:multiLevelType w:val="hybridMultilevel"/>
    <w:tmpl w:val="036A7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6261B0"/>
    <w:multiLevelType w:val="hybridMultilevel"/>
    <w:tmpl w:val="97A4FF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F05643"/>
    <w:multiLevelType w:val="singleLevel"/>
    <w:tmpl w:val="3C620F84"/>
    <w:lvl w:ilvl="0">
      <w:start w:val="10"/>
      <w:numFmt w:val="decimal"/>
      <w:lvlText w:val="%1"/>
      <w:legacy w:legacy="1" w:legacySpace="0" w:legacyIndent="720"/>
      <w:lvlJc w:val="left"/>
      <w:pPr>
        <w:ind w:left="720" w:hanging="720"/>
      </w:pPr>
    </w:lvl>
  </w:abstractNum>
  <w:num w:numId="1">
    <w:abstractNumId w:val="2"/>
  </w:num>
  <w:num w:numId="2">
    <w:abstractNumId w:val="3"/>
  </w:num>
  <w:num w:numId="3">
    <w:abstractNumId w:val="5"/>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7C"/>
    <w:rsid w:val="000021BC"/>
    <w:rsid w:val="000035EE"/>
    <w:rsid w:val="000052B7"/>
    <w:rsid w:val="0001075C"/>
    <w:rsid w:val="00016E90"/>
    <w:rsid w:val="00016EC7"/>
    <w:rsid w:val="00024E1B"/>
    <w:rsid w:val="000331B5"/>
    <w:rsid w:val="00042BF0"/>
    <w:rsid w:val="00043186"/>
    <w:rsid w:val="00043593"/>
    <w:rsid w:val="000471AF"/>
    <w:rsid w:val="00053B17"/>
    <w:rsid w:val="000542F6"/>
    <w:rsid w:val="00055E5E"/>
    <w:rsid w:val="00065535"/>
    <w:rsid w:val="000658ED"/>
    <w:rsid w:val="000662D6"/>
    <w:rsid w:val="000676A5"/>
    <w:rsid w:val="00072F84"/>
    <w:rsid w:val="00075D2C"/>
    <w:rsid w:val="00082C07"/>
    <w:rsid w:val="000835B4"/>
    <w:rsid w:val="000846D4"/>
    <w:rsid w:val="000912BC"/>
    <w:rsid w:val="000A1B8E"/>
    <w:rsid w:val="000B52C3"/>
    <w:rsid w:val="000B5995"/>
    <w:rsid w:val="000C2A0F"/>
    <w:rsid w:val="000C34C0"/>
    <w:rsid w:val="000C3CEE"/>
    <w:rsid w:val="000D1D87"/>
    <w:rsid w:val="000D25CB"/>
    <w:rsid w:val="000D6396"/>
    <w:rsid w:val="000E652B"/>
    <w:rsid w:val="000F0308"/>
    <w:rsid w:val="000F5525"/>
    <w:rsid w:val="001014B2"/>
    <w:rsid w:val="00115B7E"/>
    <w:rsid w:val="001176FC"/>
    <w:rsid w:val="00122C1B"/>
    <w:rsid w:val="00123C2C"/>
    <w:rsid w:val="0013753B"/>
    <w:rsid w:val="00143E3F"/>
    <w:rsid w:val="00153235"/>
    <w:rsid w:val="00157643"/>
    <w:rsid w:val="0016370E"/>
    <w:rsid w:val="00167A13"/>
    <w:rsid w:val="001714FB"/>
    <w:rsid w:val="00176DF7"/>
    <w:rsid w:val="001843BD"/>
    <w:rsid w:val="0019216E"/>
    <w:rsid w:val="0019363E"/>
    <w:rsid w:val="00196AC7"/>
    <w:rsid w:val="001B2411"/>
    <w:rsid w:val="001B35E1"/>
    <w:rsid w:val="001B41A0"/>
    <w:rsid w:val="001C042C"/>
    <w:rsid w:val="001C2076"/>
    <w:rsid w:val="001C59A7"/>
    <w:rsid w:val="001C5E4B"/>
    <w:rsid w:val="001C6C7C"/>
    <w:rsid w:val="001D280D"/>
    <w:rsid w:val="001E5A68"/>
    <w:rsid w:val="001E6DD0"/>
    <w:rsid w:val="001E77FE"/>
    <w:rsid w:val="001F2ECB"/>
    <w:rsid w:val="00200D20"/>
    <w:rsid w:val="002068F6"/>
    <w:rsid w:val="002248C9"/>
    <w:rsid w:val="00224AF1"/>
    <w:rsid w:val="002256FE"/>
    <w:rsid w:val="00226111"/>
    <w:rsid w:val="00232415"/>
    <w:rsid w:val="00235F20"/>
    <w:rsid w:val="00236964"/>
    <w:rsid w:val="002441F5"/>
    <w:rsid w:val="0025383B"/>
    <w:rsid w:val="00261EA8"/>
    <w:rsid w:val="00266AE2"/>
    <w:rsid w:val="002676B6"/>
    <w:rsid w:val="00267D59"/>
    <w:rsid w:val="002706DB"/>
    <w:rsid w:val="002757D7"/>
    <w:rsid w:val="0029247B"/>
    <w:rsid w:val="002A3563"/>
    <w:rsid w:val="002A4D98"/>
    <w:rsid w:val="002A586D"/>
    <w:rsid w:val="002B0AFF"/>
    <w:rsid w:val="002B4C06"/>
    <w:rsid w:val="002B5373"/>
    <w:rsid w:val="002B6500"/>
    <w:rsid w:val="002C0493"/>
    <w:rsid w:val="002D27F6"/>
    <w:rsid w:val="002D30F9"/>
    <w:rsid w:val="002D792B"/>
    <w:rsid w:val="002E1659"/>
    <w:rsid w:val="002E171E"/>
    <w:rsid w:val="002E410C"/>
    <w:rsid w:val="002F3E25"/>
    <w:rsid w:val="002F42EF"/>
    <w:rsid w:val="002F53F2"/>
    <w:rsid w:val="00306377"/>
    <w:rsid w:val="003175D5"/>
    <w:rsid w:val="003232CD"/>
    <w:rsid w:val="00340249"/>
    <w:rsid w:val="003408BA"/>
    <w:rsid w:val="00351E39"/>
    <w:rsid w:val="00353AFF"/>
    <w:rsid w:val="003561AC"/>
    <w:rsid w:val="00360820"/>
    <w:rsid w:val="00360929"/>
    <w:rsid w:val="0036132F"/>
    <w:rsid w:val="00371862"/>
    <w:rsid w:val="003723EA"/>
    <w:rsid w:val="00374663"/>
    <w:rsid w:val="00395916"/>
    <w:rsid w:val="003964DC"/>
    <w:rsid w:val="003B4650"/>
    <w:rsid w:val="003B4696"/>
    <w:rsid w:val="003B5BBC"/>
    <w:rsid w:val="003C0C64"/>
    <w:rsid w:val="003C1BA8"/>
    <w:rsid w:val="003C65E0"/>
    <w:rsid w:val="003D124E"/>
    <w:rsid w:val="003D32BE"/>
    <w:rsid w:val="003E039E"/>
    <w:rsid w:val="003E25D4"/>
    <w:rsid w:val="003E3997"/>
    <w:rsid w:val="003F0450"/>
    <w:rsid w:val="003F1776"/>
    <w:rsid w:val="003F2F80"/>
    <w:rsid w:val="00403A3D"/>
    <w:rsid w:val="00412082"/>
    <w:rsid w:val="00420573"/>
    <w:rsid w:val="00420D67"/>
    <w:rsid w:val="00435BF0"/>
    <w:rsid w:val="0044517D"/>
    <w:rsid w:val="00465AD8"/>
    <w:rsid w:val="00467850"/>
    <w:rsid w:val="004738A7"/>
    <w:rsid w:val="00475635"/>
    <w:rsid w:val="00484238"/>
    <w:rsid w:val="0048705D"/>
    <w:rsid w:val="0049312F"/>
    <w:rsid w:val="00496864"/>
    <w:rsid w:val="004A5A57"/>
    <w:rsid w:val="004B6FD5"/>
    <w:rsid w:val="004C0BE9"/>
    <w:rsid w:val="004C48B6"/>
    <w:rsid w:val="004C5597"/>
    <w:rsid w:val="004D3AB6"/>
    <w:rsid w:val="004D70ED"/>
    <w:rsid w:val="004E3211"/>
    <w:rsid w:val="004E4159"/>
    <w:rsid w:val="004E4EE8"/>
    <w:rsid w:val="004E5545"/>
    <w:rsid w:val="004E7379"/>
    <w:rsid w:val="0051092A"/>
    <w:rsid w:val="0051597D"/>
    <w:rsid w:val="00516AD8"/>
    <w:rsid w:val="00530811"/>
    <w:rsid w:val="00533909"/>
    <w:rsid w:val="0053509C"/>
    <w:rsid w:val="005350C2"/>
    <w:rsid w:val="0053555B"/>
    <w:rsid w:val="00540A94"/>
    <w:rsid w:val="0054206A"/>
    <w:rsid w:val="005535DE"/>
    <w:rsid w:val="00553E0D"/>
    <w:rsid w:val="00556ED8"/>
    <w:rsid w:val="00557143"/>
    <w:rsid w:val="00560A5F"/>
    <w:rsid w:val="005712D3"/>
    <w:rsid w:val="00577693"/>
    <w:rsid w:val="00577BA4"/>
    <w:rsid w:val="00580131"/>
    <w:rsid w:val="00586CC0"/>
    <w:rsid w:val="00591135"/>
    <w:rsid w:val="0059414C"/>
    <w:rsid w:val="005A268F"/>
    <w:rsid w:val="005A2C45"/>
    <w:rsid w:val="005A5638"/>
    <w:rsid w:val="005B2CD1"/>
    <w:rsid w:val="005B31AF"/>
    <w:rsid w:val="005B6340"/>
    <w:rsid w:val="005C2F80"/>
    <w:rsid w:val="005C42ED"/>
    <w:rsid w:val="005C7351"/>
    <w:rsid w:val="005C7DFA"/>
    <w:rsid w:val="005D111E"/>
    <w:rsid w:val="005D13BD"/>
    <w:rsid w:val="005D3499"/>
    <w:rsid w:val="005D3E5F"/>
    <w:rsid w:val="005D7E96"/>
    <w:rsid w:val="005E719E"/>
    <w:rsid w:val="005E73F8"/>
    <w:rsid w:val="005F0536"/>
    <w:rsid w:val="005F3422"/>
    <w:rsid w:val="006009A3"/>
    <w:rsid w:val="006039BE"/>
    <w:rsid w:val="00611CCA"/>
    <w:rsid w:val="00612F66"/>
    <w:rsid w:val="00613079"/>
    <w:rsid w:val="006136C5"/>
    <w:rsid w:val="00620E43"/>
    <w:rsid w:val="00623851"/>
    <w:rsid w:val="00624324"/>
    <w:rsid w:val="006329B7"/>
    <w:rsid w:val="00635516"/>
    <w:rsid w:val="00644D04"/>
    <w:rsid w:val="00646B3F"/>
    <w:rsid w:val="00650038"/>
    <w:rsid w:val="00654C84"/>
    <w:rsid w:val="00655033"/>
    <w:rsid w:val="00655DA5"/>
    <w:rsid w:val="006609A5"/>
    <w:rsid w:val="00660D66"/>
    <w:rsid w:val="006642D7"/>
    <w:rsid w:val="00664DE0"/>
    <w:rsid w:val="00666A32"/>
    <w:rsid w:val="00667A6E"/>
    <w:rsid w:val="00667C6D"/>
    <w:rsid w:val="006716B3"/>
    <w:rsid w:val="00671E86"/>
    <w:rsid w:val="00676ED3"/>
    <w:rsid w:val="006772DA"/>
    <w:rsid w:val="00677BA5"/>
    <w:rsid w:val="00682984"/>
    <w:rsid w:val="00682C94"/>
    <w:rsid w:val="0068358B"/>
    <w:rsid w:val="00687D72"/>
    <w:rsid w:val="006916D9"/>
    <w:rsid w:val="00695C3F"/>
    <w:rsid w:val="006A0B8F"/>
    <w:rsid w:val="006B16B0"/>
    <w:rsid w:val="006B16D9"/>
    <w:rsid w:val="006B6301"/>
    <w:rsid w:val="006B759B"/>
    <w:rsid w:val="006B7CAA"/>
    <w:rsid w:val="006C0D57"/>
    <w:rsid w:val="006D2457"/>
    <w:rsid w:val="006D3A8C"/>
    <w:rsid w:val="006D585E"/>
    <w:rsid w:val="006D7C2A"/>
    <w:rsid w:val="006E307D"/>
    <w:rsid w:val="006F1FD6"/>
    <w:rsid w:val="006F293F"/>
    <w:rsid w:val="006F2F4C"/>
    <w:rsid w:val="006F60D8"/>
    <w:rsid w:val="006F7A9F"/>
    <w:rsid w:val="007022F6"/>
    <w:rsid w:val="00706CDF"/>
    <w:rsid w:val="00706FF4"/>
    <w:rsid w:val="00713983"/>
    <w:rsid w:val="00716138"/>
    <w:rsid w:val="00722A7A"/>
    <w:rsid w:val="007233F3"/>
    <w:rsid w:val="00724007"/>
    <w:rsid w:val="00724430"/>
    <w:rsid w:val="00725596"/>
    <w:rsid w:val="00726B7B"/>
    <w:rsid w:val="007306E9"/>
    <w:rsid w:val="00736089"/>
    <w:rsid w:val="007433C0"/>
    <w:rsid w:val="00743C63"/>
    <w:rsid w:val="00753991"/>
    <w:rsid w:val="0075517C"/>
    <w:rsid w:val="007620F7"/>
    <w:rsid w:val="00762354"/>
    <w:rsid w:val="0076527D"/>
    <w:rsid w:val="0076630D"/>
    <w:rsid w:val="007669FF"/>
    <w:rsid w:val="00774062"/>
    <w:rsid w:val="007808F1"/>
    <w:rsid w:val="007A03BF"/>
    <w:rsid w:val="007A1CCF"/>
    <w:rsid w:val="007A4E0B"/>
    <w:rsid w:val="007A6416"/>
    <w:rsid w:val="007A6E19"/>
    <w:rsid w:val="007A7818"/>
    <w:rsid w:val="007B096C"/>
    <w:rsid w:val="007B09BB"/>
    <w:rsid w:val="007B2E7B"/>
    <w:rsid w:val="007B4A26"/>
    <w:rsid w:val="007B6770"/>
    <w:rsid w:val="007D0FCC"/>
    <w:rsid w:val="007D691B"/>
    <w:rsid w:val="007E38C5"/>
    <w:rsid w:val="007F3A29"/>
    <w:rsid w:val="00805E98"/>
    <w:rsid w:val="00811E0D"/>
    <w:rsid w:val="0082098A"/>
    <w:rsid w:val="008363E4"/>
    <w:rsid w:val="008367DB"/>
    <w:rsid w:val="00860164"/>
    <w:rsid w:val="00863E57"/>
    <w:rsid w:val="0087090F"/>
    <w:rsid w:val="00872DAA"/>
    <w:rsid w:val="0087420D"/>
    <w:rsid w:val="00885091"/>
    <w:rsid w:val="00887BD5"/>
    <w:rsid w:val="00890EB5"/>
    <w:rsid w:val="008A154B"/>
    <w:rsid w:val="008A4EE1"/>
    <w:rsid w:val="008A533B"/>
    <w:rsid w:val="008B3776"/>
    <w:rsid w:val="008B6213"/>
    <w:rsid w:val="008B6DA1"/>
    <w:rsid w:val="008B7FD4"/>
    <w:rsid w:val="008C7A73"/>
    <w:rsid w:val="008D292A"/>
    <w:rsid w:val="008D43DD"/>
    <w:rsid w:val="008D4BFE"/>
    <w:rsid w:val="008F34EC"/>
    <w:rsid w:val="008F4D8E"/>
    <w:rsid w:val="00904BBE"/>
    <w:rsid w:val="009125D8"/>
    <w:rsid w:val="00913D49"/>
    <w:rsid w:val="00915986"/>
    <w:rsid w:val="009160E6"/>
    <w:rsid w:val="00927390"/>
    <w:rsid w:val="00934D88"/>
    <w:rsid w:val="00935B03"/>
    <w:rsid w:val="00940A65"/>
    <w:rsid w:val="00942F9A"/>
    <w:rsid w:val="00946573"/>
    <w:rsid w:val="009468D5"/>
    <w:rsid w:val="0095217F"/>
    <w:rsid w:val="0095644F"/>
    <w:rsid w:val="00956AFF"/>
    <w:rsid w:val="00960A97"/>
    <w:rsid w:val="00961F4C"/>
    <w:rsid w:val="00962F07"/>
    <w:rsid w:val="0096673E"/>
    <w:rsid w:val="00985ECC"/>
    <w:rsid w:val="00992E33"/>
    <w:rsid w:val="00993E72"/>
    <w:rsid w:val="00994619"/>
    <w:rsid w:val="0099610E"/>
    <w:rsid w:val="009A1A4B"/>
    <w:rsid w:val="009A29A1"/>
    <w:rsid w:val="009B59D6"/>
    <w:rsid w:val="009B6EA0"/>
    <w:rsid w:val="009C046B"/>
    <w:rsid w:val="009C1737"/>
    <w:rsid w:val="009C56C0"/>
    <w:rsid w:val="009D419E"/>
    <w:rsid w:val="009E04EC"/>
    <w:rsid w:val="009E07A9"/>
    <w:rsid w:val="009E4571"/>
    <w:rsid w:val="009E7FFE"/>
    <w:rsid w:val="009F150A"/>
    <w:rsid w:val="009F1CAE"/>
    <w:rsid w:val="009F7A11"/>
    <w:rsid w:val="00A216F2"/>
    <w:rsid w:val="00A23812"/>
    <w:rsid w:val="00A267DF"/>
    <w:rsid w:val="00A35EA1"/>
    <w:rsid w:val="00A409EC"/>
    <w:rsid w:val="00A41D93"/>
    <w:rsid w:val="00A42334"/>
    <w:rsid w:val="00A430BC"/>
    <w:rsid w:val="00A5156B"/>
    <w:rsid w:val="00A52E58"/>
    <w:rsid w:val="00A57B00"/>
    <w:rsid w:val="00A60F4D"/>
    <w:rsid w:val="00A61BAD"/>
    <w:rsid w:val="00A66CC6"/>
    <w:rsid w:val="00A7120A"/>
    <w:rsid w:val="00A71BB1"/>
    <w:rsid w:val="00A72972"/>
    <w:rsid w:val="00A73351"/>
    <w:rsid w:val="00A87A12"/>
    <w:rsid w:val="00A87E67"/>
    <w:rsid w:val="00A95CA1"/>
    <w:rsid w:val="00A960B0"/>
    <w:rsid w:val="00AB7318"/>
    <w:rsid w:val="00AC2BDE"/>
    <w:rsid w:val="00AC5E0D"/>
    <w:rsid w:val="00AE004C"/>
    <w:rsid w:val="00AE4D44"/>
    <w:rsid w:val="00B011E6"/>
    <w:rsid w:val="00B10282"/>
    <w:rsid w:val="00B11B46"/>
    <w:rsid w:val="00B16E20"/>
    <w:rsid w:val="00B224C7"/>
    <w:rsid w:val="00B22982"/>
    <w:rsid w:val="00B26117"/>
    <w:rsid w:val="00B30948"/>
    <w:rsid w:val="00B3683A"/>
    <w:rsid w:val="00B375B4"/>
    <w:rsid w:val="00B40036"/>
    <w:rsid w:val="00B41974"/>
    <w:rsid w:val="00B42C27"/>
    <w:rsid w:val="00B50BE4"/>
    <w:rsid w:val="00B54B36"/>
    <w:rsid w:val="00B6095F"/>
    <w:rsid w:val="00B61AE4"/>
    <w:rsid w:val="00B61CB9"/>
    <w:rsid w:val="00B661E2"/>
    <w:rsid w:val="00B66C9D"/>
    <w:rsid w:val="00B67210"/>
    <w:rsid w:val="00B84584"/>
    <w:rsid w:val="00B87FF3"/>
    <w:rsid w:val="00B95718"/>
    <w:rsid w:val="00BA4FAF"/>
    <w:rsid w:val="00BA7AC1"/>
    <w:rsid w:val="00BA7B26"/>
    <w:rsid w:val="00BC20CB"/>
    <w:rsid w:val="00BE7871"/>
    <w:rsid w:val="00BF45BD"/>
    <w:rsid w:val="00C00F70"/>
    <w:rsid w:val="00C015BC"/>
    <w:rsid w:val="00C024BF"/>
    <w:rsid w:val="00C0265E"/>
    <w:rsid w:val="00C04060"/>
    <w:rsid w:val="00C1038D"/>
    <w:rsid w:val="00C17EAB"/>
    <w:rsid w:val="00C20ECD"/>
    <w:rsid w:val="00C2156D"/>
    <w:rsid w:val="00C3476B"/>
    <w:rsid w:val="00C43376"/>
    <w:rsid w:val="00C45320"/>
    <w:rsid w:val="00C46FBB"/>
    <w:rsid w:val="00C613C0"/>
    <w:rsid w:val="00C623A8"/>
    <w:rsid w:val="00C679B1"/>
    <w:rsid w:val="00C67D6C"/>
    <w:rsid w:val="00C7009F"/>
    <w:rsid w:val="00C71049"/>
    <w:rsid w:val="00C71D07"/>
    <w:rsid w:val="00C73B96"/>
    <w:rsid w:val="00C73C68"/>
    <w:rsid w:val="00C83ABF"/>
    <w:rsid w:val="00C91172"/>
    <w:rsid w:val="00C96964"/>
    <w:rsid w:val="00CA028B"/>
    <w:rsid w:val="00CA0EDC"/>
    <w:rsid w:val="00CA3F46"/>
    <w:rsid w:val="00CA50EC"/>
    <w:rsid w:val="00CA7A1C"/>
    <w:rsid w:val="00CB6526"/>
    <w:rsid w:val="00CB75D4"/>
    <w:rsid w:val="00CC57E3"/>
    <w:rsid w:val="00CD3121"/>
    <w:rsid w:val="00CD66CE"/>
    <w:rsid w:val="00CE07EA"/>
    <w:rsid w:val="00CE2021"/>
    <w:rsid w:val="00CE4A0B"/>
    <w:rsid w:val="00CF16B0"/>
    <w:rsid w:val="00CF597E"/>
    <w:rsid w:val="00D00E40"/>
    <w:rsid w:val="00D01274"/>
    <w:rsid w:val="00D04662"/>
    <w:rsid w:val="00D076AE"/>
    <w:rsid w:val="00D4453C"/>
    <w:rsid w:val="00D606F7"/>
    <w:rsid w:val="00D60772"/>
    <w:rsid w:val="00D6309B"/>
    <w:rsid w:val="00D6473A"/>
    <w:rsid w:val="00D6511C"/>
    <w:rsid w:val="00D677F2"/>
    <w:rsid w:val="00D74854"/>
    <w:rsid w:val="00D74E6E"/>
    <w:rsid w:val="00D87A3C"/>
    <w:rsid w:val="00D9314E"/>
    <w:rsid w:val="00DA1822"/>
    <w:rsid w:val="00DA1E67"/>
    <w:rsid w:val="00DC38D9"/>
    <w:rsid w:val="00DD73C2"/>
    <w:rsid w:val="00DE157C"/>
    <w:rsid w:val="00DE15FB"/>
    <w:rsid w:val="00DE61C2"/>
    <w:rsid w:val="00DF0DC6"/>
    <w:rsid w:val="00DF2DA1"/>
    <w:rsid w:val="00DF325D"/>
    <w:rsid w:val="00DF781E"/>
    <w:rsid w:val="00E05A36"/>
    <w:rsid w:val="00E159D7"/>
    <w:rsid w:val="00E22D66"/>
    <w:rsid w:val="00E233E2"/>
    <w:rsid w:val="00E23892"/>
    <w:rsid w:val="00E30ECA"/>
    <w:rsid w:val="00E31D53"/>
    <w:rsid w:val="00E33665"/>
    <w:rsid w:val="00E44891"/>
    <w:rsid w:val="00E51D2B"/>
    <w:rsid w:val="00E5282D"/>
    <w:rsid w:val="00E7192E"/>
    <w:rsid w:val="00E72754"/>
    <w:rsid w:val="00E80047"/>
    <w:rsid w:val="00E86136"/>
    <w:rsid w:val="00E87026"/>
    <w:rsid w:val="00E966A1"/>
    <w:rsid w:val="00EA1839"/>
    <w:rsid w:val="00EA2929"/>
    <w:rsid w:val="00EA75C4"/>
    <w:rsid w:val="00EB1EDE"/>
    <w:rsid w:val="00EB7C6A"/>
    <w:rsid w:val="00ED14B4"/>
    <w:rsid w:val="00ED60CA"/>
    <w:rsid w:val="00EE3180"/>
    <w:rsid w:val="00EE3B5B"/>
    <w:rsid w:val="00EE75B7"/>
    <w:rsid w:val="00EE7C1B"/>
    <w:rsid w:val="00F13668"/>
    <w:rsid w:val="00F1541F"/>
    <w:rsid w:val="00F21E03"/>
    <w:rsid w:val="00F2440F"/>
    <w:rsid w:val="00F24B2E"/>
    <w:rsid w:val="00F27155"/>
    <w:rsid w:val="00F2777A"/>
    <w:rsid w:val="00F3193E"/>
    <w:rsid w:val="00F427D4"/>
    <w:rsid w:val="00F45341"/>
    <w:rsid w:val="00F74D74"/>
    <w:rsid w:val="00F758D2"/>
    <w:rsid w:val="00F814E6"/>
    <w:rsid w:val="00F87C23"/>
    <w:rsid w:val="00FA7ABC"/>
    <w:rsid w:val="00FC0389"/>
    <w:rsid w:val="00FC1357"/>
    <w:rsid w:val="00FC54A6"/>
    <w:rsid w:val="00FC6B17"/>
    <w:rsid w:val="00FC7165"/>
    <w:rsid w:val="00FD287B"/>
    <w:rsid w:val="00FD33D0"/>
    <w:rsid w:val="00FE07BC"/>
    <w:rsid w:val="00FE0A57"/>
    <w:rsid w:val="00FE78AC"/>
    <w:rsid w:val="00FF1EED"/>
    <w:rsid w:val="00FF7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E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0EB5"/>
    <w:pPr>
      <w:autoSpaceDN w:val="0"/>
      <w:spacing w:line="360"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916D9"/>
    <w:pPr>
      <w:ind w:left="720"/>
      <w:contextualSpacing/>
    </w:pPr>
  </w:style>
  <w:style w:type="character" w:styleId="SubtleEmphasis">
    <w:name w:val="Subtle Emphasis"/>
    <w:uiPriority w:val="19"/>
    <w:qFormat/>
    <w:rsid w:val="00E966A1"/>
    <w:rPr>
      <w:i/>
      <w:iCs/>
      <w:color w:val="808080"/>
    </w:rPr>
  </w:style>
  <w:style w:type="paragraph" w:styleId="Subtitle">
    <w:name w:val="Subtitle"/>
    <w:basedOn w:val="Normal"/>
    <w:next w:val="Normal"/>
    <w:link w:val="SubtitleChar"/>
    <w:uiPriority w:val="11"/>
    <w:qFormat/>
    <w:rsid w:val="00E966A1"/>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E966A1"/>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E966A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E966A1"/>
    <w:rPr>
      <w:rFonts w:ascii="Cambria" w:eastAsia="Times New Roman" w:hAnsi="Cambria" w:cs="Times New Roman"/>
      <w:color w:val="17365D"/>
      <w:spacing w:val="5"/>
      <w:kern w:val="28"/>
      <w:sz w:val="52"/>
      <w:szCs w:val="52"/>
    </w:rPr>
  </w:style>
  <w:style w:type="paragraph" w:styleId="Quote">
    <w:name w:val="Quote"/>
    <w:basedOn w:val="Normal"/>
    <w:next w:val="Normal"/>
    <w:link w:val="QuoteChar"/>
    <w:uiPriority w:val="29"/>
    <w:qFormat/>
    <w:rsid w:val="00E966A1"/>
    <w:rPr>
      <w:i/>
      <w:iCs/>
      <w:color w:val="000000"/>
    </w:rPr>
  </w:style>
  <w:style w:type="character" w:customStyle="1" w:styleId="QuoteChar">
    <w:name w:val="Quote Char"/>
    <w:link w:val="Quote"/>
    <w:uiPriority w:val="29"/>
    <w:rsid w:val="00E966A1"/>
    <w:rPr>
      <w:i/>
      <w:iCs/>
      <w:color w:val="000000"/>
    </w:rPr>
  </w:style>
  <w:style w:type="paragraph" w:customStyle="1" w:styleId="Style1">
    <w:name w:val="Style1"/>
    <w:basedOn w:val="Quote"/>
    <w:link w:val="Style1Char"/>
    <w:qFormat/>
    <w:rsid w:val="00E966A1"/>
    <w:rPr>
      <w:i w:val="0"/>
      <w:color w:val="auto"/>
    </w:rPr>
  </w:style>
  <w:style w:type="character" w:customStyle="1" w:styleId="Style1Char">
    <w:name w:val="Style1 Char"/>
    <w:link w:val="Style1"/>
    <w:rsid w:val="00E966A1"/>
    <w:rPr>
      <w:rFonts w:ascii="Calibri" w:hAnsi="Calibri"/>
      <w:i w:val="0"/>
      <w:iCs/>
      <w:color w:val="000000"/>
    </w:rPr>
  </w:style>
  <w:style w:type="paragraph" w:styleId="NoSpacing">
    <w:name w:val="No Spacing"/>
    <w:basedOn w:val="Normal"/>
    <w:uiPriority w:val="1"/>
    <w:qFormat/>
    <w:rsid w:val="007E38C5"/>
    <w:pPr>
      <w:suppressAutoHyphens/>
    </w:pPr>
    <w:rPr>
      <w:sz w:val="24"/>
      <w:szCs w:val="24"/>
    </w:rPr>
  </w:style>
  <w:style w:type="table" w:customStyle="1" w:styleId="TableGrid3">
    <w:name w:val="Table Grid3"/>
    <w:basedOn w:val="TableNormal"/>
    <w:uiPriority w:val="59"/>
    <w:rsid w:val="007E3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E3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01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01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1E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011E6"/>
    <w:rPr>
      <w:rFonts w:ascii="Tahoma" w:hAnsi="Tahoma" w:cs="Tahoma"/>
      <w:sz w:val="16"/>
      <w:szCs w:val="16"/>
    </w:rPr>
  </w:style>
  <w:style w:type="table" w:customStyle="1" w:styleId="TableGrid4">
    <w:name w:val="Table Grid4"/>
    <w:basedOn w:val="TableNormal"/>
    <w:next w:val="TableGrid"/>
    <w:uiPriority w:val="59"/>
    <w:rsid w:val="00340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3408BA"/>
  </w:style>
  <w:style w:type="character" w:styleId="Hyperlink">
    <w:name w:val="Hyperlink"/>
    <w:uiPriority w:val="99"/>
    <w:unhideWhenUsed/>
    <w:rsid w:val="00C83ABF"/>
    <w:rPr>
      <w:color w:val="0000FF"/>
      <w:u w:val="single"/>
    </w:rPr>
  </w:style>
  <w:style w:type="paragraph" w:customStyle="1" w:styleId="desc">
    <w:name w:val="desc"/>
    <w:basedOn w:val="Normal"/>
    <w:rsid w:val="00C83ABF"/>
    <w:pPr>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83ABF"/>
  </w:style>
  <w:style w:type="character" w:customStyle="1" w:styleId="jrnl">
    <w:name w:val="jrnl"/>
    <w:basedOn w:val="DefaultParagraphFont"/>
    <w:rsid w:val="00C83ABF"/>
  </w:style>
  <w:style w:type="paragraph" w:customStyle="1" w:styleId="whs2">
    <w:name w:val="whs2"/>
    <w:basedOn w:val="Normal"/>
    <w:rsid w:val="00D00E40"/>
    <w:pPr>
      <w:autoSpaceDN/>
      <w:spacing w:line="240" w:lineRule="auto"/>
      <w:textAlignment w:val="auto"/>
    </w:pPr>
    <w:rPr>
      <w:rFonts w:ascii="Arial" w:eastAsia="Times New Roman" w:hAnsi="Arial" w:cs="Arial"/>
      <w:sz w:val="20"/>
      <w:szCs w:val="20"/>
      <w:lang w:eastAsia="en-GB"/>
    </w:rPr>
  </w:style>
  <w:style w:type="paragraph" w:customStyle="1" w:styleId="Title1">
    <w:name w:val="Title1"/>
    <w:basedOn w:val="Normal"/>
    <w:rsid w:val="00F2777A"/>
    <w:pPr>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9610E"/>
    <w:pPr>
      <w:tabs>
        <w:tab w:val="center" w:pos="4513"/>
        <w:tab w:val="right" w:pos="9026"/>
      </w:tabs>
      <w:spacing w:line="240" w:lineRule="auto"/>
    </w:pPr>
  </w:style>
  <w:style w:type="character" w:customStyle="1" w:styleId="HeaderChar">
    <w:name w:val="Header Char"/>
    <w:basedOn w:val="DefaultParagraphFont"/>
    <w:link w:val="Header"/>
    <w:uiPriority w:val="99"/>
    <w:rsid w:val="0099610E"/>
  </w:style>
  <w:style w:type="paragraph" w:styleId="Footer">
    <w:name w:val="footer"/>
    <w:basedOn w:val="Normal"/>
    <w:link w:val="FooterChar"/>
    <w:uiPriority w:val="99"/>
    <w:unhideWhenUsed/>
    <w:rsid w:val="0099610E"/>
    <w:pPr>
      <w:tabs>
        <w:tab w:val="center" w:pos="4513"/>
        <w:tab w:val="right" w:pos="9026"/>
      </w:tabs>
      <w:spacing w:line="240" w:lineRule="auto"/>
    </w:pPr>
  </w:style>
  <w:style w:type="character" w:customStyle="1" w:styleId="FooterChar">
    <w:name w:val="Footer Char"/>
    <w:basedOn w:val="DefaultParagraphFont"/>
    <w:link w:val="Footer"/>
    <w:uiPriority w:val="99"/>
    <w:rsid w:val="0099610E"/>
  </w:style>
  <w:style w:type="character" w:styleId="CommentReference">
    <w:name w:val="annotation reference"/>
    <w:uiPriority w:val="99"/>
    <w:semiHidden/>
    <w:unhideWhenUsed/>
    <w:rsid w:val="000C3CEE"/>
    <w:rPr>
      <w:sz w:val="16"/>
      <w:szCs w:val="16"/>
    </w:rPr>
  </w:style>
  <w:style w:type="paragraph" w:styleId="CommentText">
    <w:name w:val="annotation text"/>
    <w:basedOn w:val="Normal"/>
    <w:link w:val="CommentTextChar"/>
    <w:uiPriority w:val="99"/>
    <w:semiHidden/>
    <w:unhideWhenUsed/>
    <w:rsid w:val="000C3CEE"/>
    <w:pPr>
      <w:spacing w:line="240" w:lineRule="auto"/>
    </w:pPr>
    <w:rPr>
      <w:sz w:val="20"/>
      <w:szCs w:val="20"/>
    </w:rPr>
  </w:style>
  <w:style w:type="character" w:customStyle="1" w:styleId="CommentTextChar">
    <w:name w:val="Comment Text Char"/>
    <w:link w:val="CommentText"/>
    <w:uiPriority w:val="99"/>
    <w:semiHidden/>
    <w:rsid w:val="000C3CEE"/>
    <w:rPr>
      <w:sz w:val="20"/>
      <w:szCs w:val="20"/>
    </w:rPr>
  </w:style>
  <w:style w:type="paragraph" w:styleId="CommentSubject">
    <w:name w:val="annotation subject"/>
    <w:basedOn w:val="CommentText"/>
    <w:next w:val="CommentText"/>
    <w:link w:val="CommentSubjectChar"/>
    <w:uiPriority w:val="99"/>
    <w:semiHidden/>
    <w:unhideWhenUsed/>
    <w:rsid w:val="000C3CEE"/>
    <w:rPr>
      <w:b/>
      <w:bCs/>
    </w:rPr>
  </w:style>
  <w:style w:type="character" w:customStyle="1" w:styleId="CommentSubjectChar">
    <w:name w:val="Comment Subject Char"/>
    <w:link w:val="CommentSubject"/>
    <w:uiPriority w:val="99"/>
    <w:semiHidden/>
    <w:rsid w:val="000C3CEE"/>
    <w:rPr>
      <w:b/>
      <w:bCs/>
      <w:sz w:val="20"/>
      <w:szCs w:val="20"/>
    </w:rPr>
  </w:style>
  <w:style w:type="character" w:styleId="LineNumber">
    <w:name w:val="line number"/>
    <w:basedOn w:val="DefaultParagraphFont"/>
    <w:uiPriority w:val="99"/>
    <w:semiHidden/>
    <w:unhideWhenUsed/>
    <w:rsid w:val="000658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0EB5"/>
    <w:pPr>
      <w:autoSpaceDN w:val="0"/>
      <w:spacing w:line="360"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916D9"/>
    <w:pPr>
      <w:ind w:left="720"/>
      <w:contextualSpacing/>
    </w:pPr>
  </w:style>
  <w:style w:type="character" w:styleId="SubtleEmphasis">
    <w:name w:val="Subtle Emphasis"/>
    <w:uiPriority w:val="19"/>
    <w:qFormat/>
    <w:rsid w:val="00E966A1"/>
    <w:rPr>
      <w:i/>
      <w:iCs/>
      <w:color w:val="808080"/>
    </w:rPr>
  </w:style>
  <w:style w:type="paragraph" w:styleId="Subtitle">
    <w:name w:val="Subtitle"/>
    <w:basedOn w:val="Normal"/>
    <w:next w:val="Normal"/>
    <w:link w:val="SubtitleChar"/>
    <w:uiPriority w:val="11"/>
    <w:qFormat/>
    <w:rsid w:val="00E966A1"/>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E966A1"/>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E966A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E966A1"/>
    <w:rPr>
      <w:rFonts w:ascii="Cambria" w:eastAsia="Times New Roman" w:hAnsi="Cambria" w:cs="Times New Roman"/>
      <w:color w:val="17365D"/>
      <w:spacing w:val="5"/>
      <w:kern w:val="28"/>
      <w:sz w:val="52"/>
      <w:szCs w:val="52"/>
    </w:rPr>
  </w:style>
  <w:style w:type="paragraph" w:styleId="Quote">
    <w:name w:val="Quote"/>
    <w:basedOn w:val="Normal"/>
    <w:next w:val="Normal"/>
    <w:link w:val="QuoteChar"/>
    <w:uiPriority w:val="29"/>
    <w:qFormat/>
    <w:rsid w:val="00E966A1"/>
    <w:rPr>
      <w:i/>
      <w:iCs/>
      <w:color w:val="000000"/>
    </w:rPr>
  </w:style>
  <w:style w:type="character" w:customStyle="1" w:styleId="QuoteChar">
    <w:name w:val="Quote Char"/>
    <w:link w:val="Quote"/>
    <w:uiPriority w:val="29"/>
    <w:rsid w:val="00E966A1"/>
    <w:rPr>
      <w:i/>
      <w:iCs/>
      <w:color w:val="000000"/>
    </w:rPr>
  </w:style>
  <w:style w:type="paragraph" w:customStyle="1" w:styleId="Style1">
    <w:name w:val="Style1"/>
    <w:basedOn w:val="Quote"/>
    <w:link w:val="Style1Char"/>
    <w:qFormat/>
    <w:rsid w:val="00E966A1"/>
    <w:rPr>
      <w:i w:val="0"/>
      <w:color w:val="auto"/>
    </w:rPr>
  </w:style>
  <w:style w:type="character" w:customStyle="1" w:styleId="Style1Char">
    <w:name w:val="Style1 Char"/>
    <w:link w:val="Style1"/>
    <w:rsid w:val="00E966A1"/>
    <w:rPr>
      <w:rFonts w:ascii="Calibri" w:hAnsi="Calibri"/>
      <w:i w:val="0"/>
      <w:iCs/>
      <w:color w:val="000000"/>
    </w:rPr>
  </w:style>
  <w:style w:type="paragraph" w:styleId="NoSpacing">
    <w:name w:val="No Spacing"/>
    <w:basedOn w:val="Normal"/>
    <w:uiPriority w:val="1"/>
    <w:qFormat/>
    <w:rsid w:val="007E38C5"/>
    <w:pPr>
      <w:suppressAutoHyphens/>
    </w:pPr>
    <w:rPr>
      <w:sz w:val="24"/>
      <w:szCs w:val="24"/>
    </w:rPr>
  </w:style>
  <w:style w:type="table" w:customStyle="1" w:styleId="TableGrid3">
    <w:name w:val="Table Grid3"/>
    <w:basedOn w:val="TableNormal"/>
    <w:uiPriority w:val="59"/>
    <w:rsid w:val="007E3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E3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01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01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1E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011E6"/>
    <w:rPr>
      <w:rFonts w:ascii="Tahoma" w:hAnsi="Tahoma" w:cs="Tahoma"/>
      <w:sz w:val="16"/>
      <w:szCs w:val="16"/>
    </w:rPr>
  </w:style>
  <w:style w:type="table" w:customStyle="1" w:styleId="TableGrid4">
    <w:name w:val="Table Grid4"/>
    <w:basedOn w:val="TableNormal"/>
    <w:next w:val="TableGrid"/>
    <w:uiPriority w:val="59"/>
    <w:rsid w:val="00340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3408BA"/>
  </w:style>
  <w:style w:type="character" w:styleId="Hyperlink">
    <w:name w:val="Hyperlink"/>
    <w:uiPriority w:val="99"/>
    <w:unhideWhenUsed/>
    <w:rsid w:val="00C83ABF"/>
    <w:rPr>
      <w:color w:val="0000FF"/>
      <w:u w:val="single"/>
    </w:rPr>
  </w:style>
  <w:style w:type="paragraph" w:customStyle="1" w:styleId="desc">
    <w:name w:val="desc"/>
    <w:basedOn w:val="Normal"/>
    <w:rsid w:val="00C83ABF"/>
    <w:pPr>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83ABF"/>
  </w:style>
  <w:style w:type="character" w:customStyle="1" w:styleId="jrnl">
    <w:name w:val="jrnl"/>
    <w:basedOn w:val="DefaultParagraphFont"/>
    <w:rsid w:val="00C83ABF"/>
  </w:style>
  <w:style w:type="paragraph" w:customStyle="1" w:styleId="whs2">
    <w:name w:val="whs2"/>
    <w:basedOn w:val="Normal"/>
    <w:rsid w:val="00D00E40"/>
    <w:pPr>
      <w:autoSpaceDN/>
      <w:spacing w:line="240" w:lineRule="auto"/>
      <w:textAlignment w:val="auto"/>
    </w:pPr>
    <w:rPr>
      <w:rFonts w:ascii="Arial" w:eastAsia="Times New Roman" w:hAnsi="Arial" w:cs="Arial"/>
      <w:sz w:val="20"/>
      <w:szCs w:val="20"/>
      <w:lang w:eastAsia="en-GB"/>
    </w:rPr>
  </w:style>
  <w:style w:type="paragraph" w:customStyle="1" w:styleId="Title1">
    <w:name w:val="Title1"/>
    <w:basedOn w:val="Normal"/>
    <w:rsid w:val="00F2777A"/>
    <w:pPr>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9610E"/>
    <w:pPr>
      <w:tabs>
        <w:tab w:val="center" w:pos="4513"/>
        <w:tab w:val="right" w:pos="9026"/>
      </w:tabs>
      <w:spacing w:line="240" w:lineRule="auto"/>
    </w:pPr>
  </w:style>
  <w:style w:type="character" w:customStyle="1" w:styleId="HeaderChar">
    <w:name w:val="Header Char"/>
    <w:basedOn w:val="DefaultParagraphFont"/>
    <w:link w:val="Header"/>
    <w:uiPriority w:val="99"/>
    <w:rsid w:val="0099610E"/>
  </w:style>
  <w:style w:type="paragraph" w:styleId="Footer">
    <w:name w:val="footer"/>
    <w:basedOn w:val="Normal"/>
    <w:link w:val="FooterChar"/>
    <w:uiPriority w:val="99"/>
    <w:unhideWhenUsed/>
    <w:rsid w:val="0099610E"/>
    <w:pPr>
      <w:tabs>
        <w:tab w:val="center" w:pos="4513"/>
        <w:tab w:val="right" w:pos="9026"/>
      </w:tabs>
      <w:spacing w:line="240" w:lineRule="auto"/>
    </w:pPr>
  </w:style>
  <w:style w:type="character" w:customStyle="1" w:styleId="FooterChar">
    <w:name w:val="Footer Char"/>
    <w:basedOn w:val="DefaultParagraphFont"/>
    <w:link w:val="Footer"/>
    <w:uiPriority w:val="99"/>
    <w:rsid w:val="0099610E"/>
  </w:style>
  <w:style w:type="character" w:styleId="CommentReference">
    <w:name w:val="annotation reference"/>
    <w:uiPriority w:val="99"/>
    <w:semiHidden/>
    <w:unhideWhenUsed/>
    <w:rsid w:val="000C3CEE"/>
    <w:rPr>
      <w:sz w:val="16"/>
      <w:szCs w:val="16"/>
    </w:rPr>
  </w:style>
  <w:style w:type="paragraph" w:styleId="CommentText">
    <w:name w:val="annotation text"/>
    <w:basedOn w:val="Normal"/>
    <w:link w:val="CommentTextChar"/>
    <w:uiPriority w:val="99"/>
    <w:semiHidden/>
    <w:unhideWhenUsed/>
    <w:rsid w:val="000C3CEE"/>
    <w:pPr>
      <w:spacing w:line="240" w:lineRule="auto"/>
    </w:pPr>
    <w:rPr>
      <w:sz w:val="20"/>
      <w:szCs w:val="20"/>
    </w:rPr>
  </w:style>
  <w:style w:type="character" w:customStyle="1" w:styleId="CommentTextChar">
    <w:name w:val="Comment Text Char"/>
    <w:link w:val="CommentText"/>
    <w:uiPriority w:val="99"/>
    <w:semiHidden/>
    <w:rsid w:val="000C3CEE"/>
    <w:rPr>
      <w:sz w:val="20"/>
      <w:szCs w:val="20"/>
    </w:rPr>
  </w:style>
  <w:style w:type="paragraph" w:styleId="CommentSubject">
    <w:name w:val="annotation subject"/>
    <w:basedOn w:val="CommentText"/>
    <w:next w:val="CommentText"/>
    <w:link w:val="CommentSubjectChar"/>
    <w:uiPriority w:val="99"/>
    <w:semiHidden/>
    <w:unhideWhenUsed/>
    <w:rsid w:val="000C3CEE"/>
    <w:rPr>
      <w:b/>
      <w:bCs/>
    </w:rPr>
  </w:style>
  <w:style w:type="character" w:customStyle="1" w:styleId="CommentSubjectChar">
    <w:name w:val="Comment Subject Char"/>
    <w:link w:val="CommentSubject"/>
    <w:uiPriority w:val="99"/>
    <w:semiHidden/>
    <w:rsid w:val="000C3CEE"/>
    <w:rPr>
      <w:b/>
      <w:bCs/>
      <w:sz w:val="20"/>
      <w:szCs w:val="20"/>
    </w:rPr>
  </w:style>
  <w:style w:type="character" w:styleId="LineNumber">
    <w:name w:val="line number"/>
    <w:basedOn w:val="DefaultParagraphFont"/>
    <w:uiPriority w:val="99"/>
    <w:semiHidden/>
    <w:unhideWhenUsed/>
    <w:rsid w:val="0006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814">
      <w:bodyDiv w:val="1"/>
      <w:marLeft w:val="0"/>
      <w:marRight w:val="0"/>
      <w:marTop w:val="0"/>
      <w:marBottom w:val="0"/>
      <w:divBdr>
        <w:top w:val="none" w:sz="0" w:space="0" w:color="auto"/>
        <w:left w:val="none" w:sz="0" w:space="0" w:color="auto"/>
        <w:bottom w:val="none" w:sz="0" w:space="0" w:color="auto"/>
        <w:right w:val="none" w:sz="0" w:space="0" w:color="auto"/>
      </w:divBdr>
    </w:div>
    <w:div w:id="49770707">
      <w:bodyDiv w:val="1"/>
      <w:marLeft w:val="0"/>
      <w:marRight w:val="0"/>
      <w:marTop w:val="0"/>
      <w:marBottom w:val="0"/>
      <w:divBdr>
        <w:top w:val="none" w:sz="0" w:space="0" w:color="auto"/>
        <w:left w:val="none" w:sz="0" w:space="0" w:color="auto"/>
        <w:bottom w:val="none" w:sz="0" w:space="0" w:color="auto"/>
        <w:right w:val="none" w:sz="0" w:space="0" w:color="auto"/>
      </w:divBdr>
    </w:div>
    <w:div w:id="478574929">
      <w:bodyDiv w:val="1"/>
      <w:marLeft w:val="0"/>
      <w:marRight w:val="0"/>
      <w:marTop w:val="0"/>
      <w:marBottom w:val="0"/>
      <w:divBdr>
        <w:top w:val="none" w:sz="0" w:space="0" w:color="auto"/>
        <w:left w:val="none" w:sz="0" w:space="0" w:color="auto"/>
        <w:bottom w:val="none" w:sz="0" w:space="0" w:color="auto"/>
        <w:right w:val="none" w:sz="0" w:space="0" w:color="auto"/>
      </w:divBdr>
    </w:div>
    <w:div w:id="548345157">
      <w:bodyDiv w:val="1"/>
      <w:marLeft w:val="0"/>
      <w:marRight w:val="0"/>
      <w:marTop w:val="0"/>
      <w:marBottom w:val="0"/>
      <w:divBdr>
        <w:top w:val="none" w:sz="0" w:space="0" w:color="auto"/>
        <w:left w:val="none" w:sz="0" w:space="0" w:color="auto"/>
        <w:bottom w:val="none" w:sz="0" w:space="0" w:color="auto"/>
        <w:right w:val="none" w:sz="0" w:space="0" w:color="auto"/>
      </w:divBdr>
    </w:div>
    <w:div w:id="618949900">
      <w:bodyDiv w:val="1"/>
      <w:marLeft w:val="0"/>
      <w:marRight w:val="0"/>
      <w:marTop w:val="0"/>
      <w:marBottom w:val="0"/>
      <w:divBdr>
        <w:top w:val="none" w:sz="0" w:space="0" w:color="auto"/>
        <w:left w:val="none" w:sz="0" w:space="0" w:color="auto"/>
        <w:bottom w:val="none" w:sz="0" w:space="0" w:color="auto"/>
        <w:right w:val="none" w:sz="0" w:space="0" w:color="auto"/>
      </w:divBdr>
    </w:div>
    <w:div w:id="761952789">
      <w:bodyDiv w:val="1"/>
      <w:marLeft w:val="0"/>
      <w:marRight w:val="0"/>
      <w:marTop w:val="0"/>
      <w:marBottom w:val="0"/>
      <w:divBdr>
        <w:top w:val="none" w:sz="0" w:space="0" w:color="auto"/>
        <w:left w:val="none" w:sz="0" w:space="0" w:color="auto"/>
        <w:bottom w:val="none" w:sz="0" w:space="0" w:color="auto"/>
        <w:right w:val="none" w:sz="0" w:space="0" w:color="auto"/>
      </w:divBdr>
      <w:divsChild>
        <w:div w:id="1384479456">
          <w:marLeft w:val="0"/>
          <w:marRight w:val="0"/>
          <w:marTop w:val="0"/>
          <w:marBottom w:val="0"/>
          <w:divBdr>
            <w:top w:val="none" w:sz="0" w:space="0" w:color="auto"/>
            <w:left w:val="none" w:sz="0" w:space="0" w:color="auto"/>
            <w:bottom w:val="none" w:sz="0" w:space="0" w:color="auto"/>
            <w:right w:val="none" w:sz="0" w:space="0" w:color="auto"/>
          </w:divBdr>
        </w:div>
        <w:div w:id="2128884288">
          <w:marLeft w:val="0"/>
          <w:marRight w:val="0"/>
          <w:marTop w:val="0"/>
          <w:marBottom w:val="0"/>
          <w:divBdr>
            <w:top w:val="none" w:sz="0" w:space="0" w:color="auto"/>
            <w:left w:val="none" w:sz="0" w:space="0" w:color="auto"/>
            <w:bottom w:val="none" w:sz="0" w:space="0" w:color="auto"/>
            <w:right w:val="none" w:sz="0" w:space="0" w:color="auto"/>
          </w:divBdr>
        </w:div>
        <w:div w:id="1383365410">
          <w:marLeft w:val="0"/>
          <w:marRight w:val="0"/>
          <w:marTop w:val="0"/>
          <w:marBottom w:val="0"/>
          <w:divBdr>
            <w:top w:val="none" w:sz="0" w:space="0" w:color="auto"/>
            <w:left w:val="none" w:sz="0" w:space="0" w:color="auto"/>
            <w:bottom w:val="none" w:sz="0" w:space="0" w:color="auto"/>
            <w:right w:val="none" w:sz="0" w:space="0" w:color="auto"/>
          </w:divBdr>
        </w:div>
        <w:div w:id="2140029861">
          <w:marLeft w:val="0"/>
          <w:marRight w:val="0"/>
          <w:marTop w:val="0"/>
          <w:marBottom w:val="0"/>
          <w:divBdr>
            <w:top w:val="none" w:sz="0" w:space="0" w:color="auto"/>
            <w:left w:val="none" w:sz="0" w:space="0" w:color="auto"/>
            <w:bottom w:val="none" w:sz="0" w:space="0" w:color="auto"/>
            <w:right w:val="none" w:sz="0" w:space="0" w:color="auto"/>
          </w:divBdr>
        </w:div>
        <w:div w:id="558059100">
          <w:marLeft w:val="0"/>
          <w:marRight w:val="0"/>
          <w:marTop w:val="0"/>
          <w:marBottom w:val="0"/>
          <w:divBdr>
            <w:top w:val="none" w:sz="0" w:space="0" w:color="auto"/>
            <w:left w:val="none" w:sz="0" w:space="0" w:color="auto"/>
            <w:bottom w:val="none" w:sz="0" w:space="0" w:color="auto"/>
            <w:right w:val="none" w:sz="0" w:space="0" w:color="auto"/>
          </w:divBdr>
        </w:div>
        <w:div w:id="944843486">
          <w:marLeft w:val="0"/>
          <w:marRight w:val="0"/>
          <w:marTop w:val="0"/>
          <w:marBottom w:val="0"/>
          <w:divBdr>
            <w:top w:val="none" w:sz="0" w:space="0" w:color="auto"/>
            <w:left w:val="none" w:sz="0" w:space="0" w:color="auto"/>
            <w:bottom w:val="none" w:sz="0" w:space="0" w:color="auto"/>
            <w:right w:val="none" w:sz="0" w:space="0" w:color="auto"/>
          </w:divBdr>
        </w:div>
        <w:div w:id="690764982">
          <w:marLeft w:val="0"/>
          <w:marRight w:val="0"/>
          <w:marTop w:val="0"/>
          <w:marBottom w:val="0"/>
          <w:divBdr>
            <w:top w:val="none" w:sz="0" w:space="0" w:color="auto"/>
            <w:left w:val="none" w:sz="0" w:space="0" w:color="auto"/>
            <w:bottom w:val="none" w:sz="0" w:space="0" w:color="auto"/>
            <w:right w:val="none" w:sz="0" w:space="0" w:color="auto"/>
          </w:divBdr>
        </w:div>
        <w:div w:id="522060623">
          <w:marLeft w:val="0"/>
          <w:marRight w:val="0"/>
          <w:marTop w:val="0"/>
          <w:marBottom w:val="0"/>
          <w:divBdr>
            <w:top w:val="none" w:sz="0" w:space="0" w:color="auto"/>
            <w:left w:val="none" w:sz="0" w:space="0" w:color="auto"/>
            <w:bottom w:val="none" w:sz="0" w:space="0" w:color="auto"/>
            <w:right w:val="none" w:sz="0" w:space="0" w:color="auto"/>
          </w:divBdr>
        </w:div>
        <w:div w:id="1999646208">
          <w:marLeft w:val="0"/>
          <w:marRight w:val="0"/>
          <w:marTop w:val="0"/>
          <w:marBottom w:val="0"/>
          <w:divBdr>
            <w:top w:val="none" w:sz="0" w:space="0" w:color="auto"/>
            <w:left w:val="none" w:sz="0" w:space="0" w:color="auto"/>
            <w:bottom w:val="none" w:sz="0" w:space="0" w:color="auto"/>
            <w:right w:val="none" w:sz="0" w:space="0" w:color="auto"/>
          </w:divBdr>
        </w:div>
        <w:div w:id="1330906095">
          <w:marLeft w:val="0"/>
          <w:marRight w:val="0"/>
          <w:marTop w:val="0"/>
          <w:marBottom w:val="0"/>
          <w:divBdr>
            <w:top w:val="none" w:sz="0" w:space="0" w:color="auto"/>
            <w:left w:val="none" w:sz="0" w:space="0" w:color="auto"/>
            <w:bottom w:val="none" w:sz="0" w:space="0" w:color="auto"/>
            <w:right w:val="none" w:sz="0" w:space="0" w:color="auto"/>
          </w:divBdr>
        </w:div>
        <w:div w:id="1948270778">
          <w:marLeft w:val="0"/>
          <w:marRight w:val="0"/>
          <w:marTop w:val="0"/>
          <w:marBottom w:val="0"/>
          <w:divBdr>
            <w:top w:val="none" w:sz="0" w:space="0" w:color="auto"/>
            <w:left w:val="none" w:sz="0" w:space="0" w:color="auto"/>
            <w:bottom w:val="none" w:sz="0" w:space="0" w:color="auto"/>
            <w:right w:val="none" w:sz="0" w:space="0" w:color="auto"/>
          </w:divBdr>
        </w:div>
        <w:div w:id="687096940">
          <w:marLeft w:val="0"/>
          <w:marRight w:val="0"/>
          <w:marTop w:val="0"/>
          <w:marBottom w:val="0"/>
          <w:divBdr>
            <w:top w:val="none" w:sz="0" w:space="0" w:color="auto"/>
            <w:left w:val="none" w:sz="0" w:space="0" w:color="auto"/>
            <w:bottom w:val="none" w:sz="0" w:space="0" w:color="auto"/>
            <w:right w:val="none" w:sz="0" w:space="0" w:color="auto"/>
          </w:divBdr>
        </w:div>
        <w:div w:id="2142453888">
          <w:marLeft w:val="0"/>
          <w:marRight w:val="0"/>
          <w:marTop w:val="0"/>
          <w:marBottom w:val="0"/>
          <w:divBdr>
            <w:top w:val="none" w:sz="0" w:space="0" w:color="auto"/>
            <w:left w:val="none" w:sz="0" w:space="0" w:color="auto"/>
            <w:bottom w:val="none" w:sz="0" w:space="0" w:color="auto"/>
            <w:right w:val="none" w:sz="0" w:space="0" w:color="auto"/>
          </w:divBdr>
        </w:div>
        <w:div w:id="108093483">
          <w:marLeft w:val="0"/>
          <w:marRight w:val="0"/>
          <w:marTop w:val="0"/>
          <w:marBottom w:val="0"/>
          <w:divBdr>
            <w:top w:val="none" w:sz="0" w:space="0" w:color="auto"/>
            <w:left w:val="none" w:sz="0" w:space="0" w:color="auto"/>
            <w:bottom w:val="none" w:sz="0" w:space="0" w:color="auto"/>
            <w:right w:val="none" w:sz="0" w:space="0" w:color="auto"/>
          </w:divBdr>
        </w:div>
        <w:div w:id="127821390">
          <w:marLeft w:val="0"/>
          <w:marRight w:val="0"/>
          <w:marTop w:val="0"/>
          <w:marBottom w:val="0"/>
          <w:divBdr>
            <w:top w:val="none" w:sz="0" w:space="0" w:color="auto"/>
            <w:left w:val="none" w:sz="0" w:space="0" w:color="auto"/>
            <w:bottom w:val="none" w:sz="0" w:space="0" w:color="auto"/>
            <w:right w:val="none" w:sz="0" w:space="0" w:color="auto"/>
          </w:divBdr>
        </w:div>
        <w:div w:id="1884947500">
          <w:marLeft w:val="0"/>
          <w:marRight w:val="0"/>
          <w:marTop w:val="0"/>
          <w:marBottom w:val="0"/>
          <w:divBdr>
            <w:top w:val="none" w:sz="0" w:space="0" w:color="auto"/>
            <w:left w:val="none" w:sz="0" w:space="0" w:color="auto"/>
            <w:bottom w:val="none" w:sz="0" w:space="0" w:color="auto"/>
            <w:right w:val="none" w:sz="0" w:space="0" w:color="auto"/>
          </w:divBdr>
        </w:div>
        <w:div w:id="183713177">
          <w:marLeft w:val="0"/>
          <w:marRight w:val="0"/>
          <w:marTop w:val="0"/>
          <w:marBottom w:val="0"/>
          <w:divBdr>
            <w:top w:val="none" w:sz="0" w:space="0" w:color="auto"/>
            <w:left w:val="none" w:sz="0" w:space="0" w:color="auto"/>
            <w:bottom w:val="none" w:sz="0" w:space="0" w:color="auto"/>
            <w:right w:val="none" w:sz="0" w:space="0" w:color="auto"/>
          </w:divBdr>
        </w:div>
        <w:div w:id="522019720">
          <w:marLeft w:val="0"/>
          <w:marRight w:val="0"/>
          <w:marTop w:val="0"/>
          <w:marBottom w:val="0"/>
          <w:divBdr>
            <w:top w:val="none" w:sz="0" w:space="0" w:color="auto"/>
            <w:left w:val="none" w:sz="0" w:space="0" w:color="auto"/>
            <w:bottom w:val="none" w:sz="0" w:space="0" w:color="auto"/>
            <w:right w:val="none" w:sz="0" w:space="0" w:color="auto"/>
          </w:divBdr>
        </w:div>
        <w:div w:id="2120099081">
          <w:marLeft w:val="0"/>
          <w:marRight w:val="0"/>
          <w:marTop w:val="0"/>
          <w:marBottom w:val="0"/>
          <w:divBdr>
            <w:top w:val="none" w:sz="0" w:space="0" w:color="auto"/>
            <w:left w:val="none" w:sz="0" w:space="0" w:color="auto"/>
            <w:bottom w:val="none" w:sz="0" w:space="0" w:color="auto"/>
            <w:right w:val="none" w:sz="0" w:space="0" w:color="auto"/>
          </w:divBdr>
        </w:div>
        <w:div w:id="1278831000">
          <w:marLeft w:val="0"/>
          <w:marRight w:val="0"/>
          <w:marTop w:val="0"/>
          <w:marBottom w:val="0"/>
          <w:divBdr>
            <w:top w:val="none" w:sz="0" w:space="0" w:color="auto"/>
            <w:left w:val="none" w:sz="0" w:space="0" w:color="auto"/>
            <w:bottom w:val="none" w:sz="0" w:space="0" w:color="auto"/>
            <w:right w:val="none" w:sz="0" w:space="0" w:color="auto"/>
          </w:divBdr>
        </w:div>
        <w:div w:id="341056003">
          <w:marLeft w:val="0"/>
          <w:marRight w:val="0"/>
          <w:marTop w:val="0"/>
          <w:marBottom w:val="0"/>
          <w:divBdr>
            <w:top w:val="none" w:sz="0" w:space="0" w:color="auto"/>
            <w:left w:val="none" w:sz="0" w:space="0" w:color="auto"/>
            <w:bottom w:val="none" w:sz="0" w:space="0" w:color="auto"/>
            <w:right w:val="none" w:sz="0" w:space="0" w:color="auto"/>
          </w:divBdr>
        </w:div>
        <w:div w:id="1970158545">
          <w:marLeft w:val="0"/>
          <w:marRight w:val="0"/>
          <w:marTop w:val="0"/>
          <w:marBottom w:val="0"/>
          <w:divBdr>
            <w:top w:val="none" w:sz="0" w:space="0" w:color="auto"/>
            <w:left w:val="none" w:sz="0" w:space="0" w:color="auto"/>
            <w:bottom w:val="none" w:sz="0" w:space="0" w:color="auto"/>
            <w:right w:val="none" w:sz="0" w:space="0" w:color="auto"/>
          </w:divBdr>
        </w:div>
        <w:div w:id="1659647830">
          <w:marLeft w:val="0"/>
          <w:marRight w:val="0"/>
          <w:marTop w:val="0"/>
          <w:marBottom w:val="0"/>
          <w:divBdr>
            <w:top w:val="none" w:sz="0" w:space="0" w:color="auto"/>
            <w:left w:val="none" w:sz="0" w:space="0" w:color="auto"/>
            <w:bottom w:val="none" w:sz="0" w:space="0" w:color="auto"/>
            <w:right w:val="none" w:sz="0" w:space="0" w:color="auto"/>
          </w:divBdr>
        </w:div>
        <w:div w:id="2130589703">
          <w:marLeft w:val="0"/>
          <w:marRight w:val="0"/>
          <w:marTop w:val="0"/>
          <w:marBottom w:val="0"/>
          <w:divBdr>
            <w:top w:val="none" w:sz="0" w:space="0" w:color="auto"/>
            <w:left w:val="none" w:sz="0" w:space="0" w:color="auto"/>
            <w:bottom w:val="none" w:sz="0" w:space="0" w:color="auto"/>
            <w:right w:val="none" w:sz="0" w:space="0" w:color="auto"/>
          </w:divBdr>
        </w:div>
        <w:div w:id="2111466173">
          <w:marLeft w:val="0"/>
          <w:marRight w:val="0"/>
          <w:marTop w:val="0"/>
          <w:marBottom w:val="0"/>
          <w:divBdr>
            <w:top w:val="none" w:sz="0" w:space="0" w:color="auto"/>
            <w:left w:val="none" w:sz="0" w:space="0" w:color="auto"/>
            <w:bottom w:val="none" w:sz="0" w:space="0" w:color="auto"/>
            <w:right w:val="none" w:sz="0" w:space="0" w:color="auto"/>
          </w:divBdr>
        </w:div>
        <w:div w:id="2022273479">
          <w:marLeft w:val="0"/>
          <w:marRight w:val="0"/>
          <w:marTop w:val="0"/>
          <w:marBottom w:val="0"/>
          <w:divBdr>
            <w:top w:val="none" w:sz="0" w:space="0" w:color="auto"/>
            <w:left w:val="none" w:sz="0" w:space="0" w:color="auto"/>
            <w:bottom w:val="none" w:sz="0" w:space="0" w:color="auto"/>
            <w:right w:val="none" w:sz="0" w:space="0" w:color="auto"/>
          </w:divBdr>
        </w:div>
        <w:div w:id="2127767142">
          <w:marLeft w:val="0"/>
          <w:marRight w:val="0"/>
          <w:marTop w:val="0"/>
          <w:marBottom w:val="0"/>
          <w:divBdr>
            <w:top w:val="none" w:sz="0" w:space="0" w:color="auto"/>
            <w:left w:val="none" w:sz="0" w:space="0" w:color="auto"/>
            <w:bottom w:val="none" w:sz="0" w:space="0" w:color="auto"/>
            <w:right w:val="none" w:sz="0" w:space="0" w:color="auto"/>
          </w:divBdr>
        </w:div>
        <w:div w:id="618992472">
          <w:marLeft w:val="0"/>
          <w:marRight w:val="0"/>
          <w:marTop w:val="0"/>
          <w:marBottom w:val="0"/>
          <w:divBdr>
            <w:top w:val="none" w:sz="0" w:space="0" w:color="auto"/>
            <w:left w:val="none" w:sz="0" w:space="0" w:color="auto"/>
            <w:bottom w:val="none" w:sz="0" w:space="0" w:color="auto"/>
            <w:right w:val="none" w:sz="0" w:space="0" w:color="auto"/>
          </w:divBdr>
        </w:div>
        <w:div w:id="562251669">
          <w:marLeft w:val="0"/>
          <w:marRight w:val="0"/>
          <w:marTop w:val="0"/>
          <w:marBottom w:val="0"/>
          <w:divBdr>
            <w:top w:val="none" w:sz="0" w:space="0" w:color="auto"/>
            <w:left w:val="none" w:sz="0" w:space="0" w:color="auto"/>
            <w:bottom w:val="none" w:sz="0" w:space="0" w:color="auto"/>
            <w:right w:val="none" w:sz="0" w:space="0" w:color="auto"/>
          </w:divBdr>
        </w:div>
        <w:div w:id="1163856731">
          <w:marLeft w:val="0"/>
          <w:marRight w:val="0"/>
          <w:marTop w:val="0"/>
          <w:marBottom w:val="0"/>
          <w:divBdr>
            <w:top w:val="none" w:sz="0" w:space="0" w:color="auto"/>
            <w:left w:val="none" w:sz="0" w:space="0" w:color="auto"/>
            <w:bottom w:val="none" w:sz="0" w:space="0" w:color="auto"/>
            <w:right w:val="none" w:sz="0" w:space="0" w:color="auto"/>
          </w:divBdr>
        </w:div>
        <w:div w:id="1070882040">
          <w:marLeft w:val="0"/>
          <w:marRight w:val="0"/>
          <w:marTop w:val="0"/>
          <w:marBottom w:val="0"/>
          <w:divBdr>
            <w:top w:val="none" w:sz="0" w:space="0" w:color="auto"/>
            <w:left w:val="none" w:sz="0" w:space="0" w:color="auto"/>
            <w:bottom w:val="none" w:sz="0" w:space="0" w:color="auto"/>
            <w:right w:val="none" w:sz="0" w:space="0" w:color="auto"/>
          </w:divBdr>
        </w:div>
        <w:div w:id="763189450">
          <w:marLeft w:val="0"/>
          <w:marRight w:val="0"/>
          <w:marTop w:val="0"/>
          <w:marBottom w:val="0"/>
          <w:divBdr>
            <w:top w:val="none" w:sz="0" w:space="0" w:color="auto"/>
            <w:left w:val="none" w:sz="0" w:space="0" w:color="auto"/>
            <w:bottom w:val="none" w:sz="0" w:space="0" w:color="auto"/>
            <w:right w:val="none" w:sz="0" w:space="0" w:color="auto"/>
          </w:divBdr>
        </w:div>
        <w:div w:id="1345324507">
          <w:marLeft w:val="0"/>
          <w:marRight w:val="0"/>
          <w:marTop w:val="0"/>
          <w:marBottom w:val="0"/>
          <w:divBdr>
            <w:top w:val="none" w:sz="0" w:space="0" w:color="auto"/>
            <w:left w:val="none" w:sz="0" w:space="0" w:color="auto"/>
            <w:bottom w:val="none" w:sz="0" w:space="0" w:color="auto"/>
            <w:right w:val="none" w:sz="0" w:space="0" w:color="auto"/>
          </w:divBdr>
        </w:div>
      </w:divsChild>
    </w:div>
    <w:div w:id="1226994210">
      <w:bodyDiv w:val="1"/>
      <w:marLeft w:val="0"/>
      <w:marRight w:val="0"/>
      <w:marTop w:val="0"/>
      <w:marBottom w:val="0"/>
      <w:divBdr>
        <w:top w:val="none" w:sz="0" w:space="0" w:color="auto"/>
        <w:left w:val="none" w:sz="0" w:space="0" w:color="auto"/>
        <w:bottom w:val="none" w:sz="0" w:space="0" w:color="auto"/>
        <w:right w:val="none" w:sz="0" w:space="0" w:color="auto"/>
      </w:divBdr>
    </w:div>
    <w:div w:id="1434591495">
      <w:bodyDiv w:val="1"/>
      <w:marLeft w:val="0"/>
      <w:marRight w:val="0"/>
      <w:marTop w:val="0"/>
      <w:marBottom w:val="0"/>
      <w:divBdr>
        <w:top w:val="none" w:sz="0" w:space="0" w:color="auto"/>
        <w:left w:val="none" w:sz="0" w:space="0" w:color="auto"/>
        <w:bottom w:val="none" w:sz="0" w:space="0" w:color="auto"/>
        <w:right w:val="none" w:sz="0" w:space="0" w:color="auto"/>
      </w:divBdr>
    </w:div>
    <w:div w:id="1476991678">
      <w:bodyDiv w:val="1"/>
      <w:marLeft w:val="0"/>
      <w:marRight w:val="0"/>
      <w:marTop w:val="0"/>
      <w:marBottom w:val="0"/>
      <w:divBdr>
        <w:top w:val="none" w:sz="0" w:space="0" w:color="auto"/>
        <w:left w:val="none" w:sz="0" w:space="0" w:color="auto"/>
        <w:bottom w:val="none" w:sz="0" w:space="0" w:color="auto"/>
        <w:right w:val="none" w:sz="0" w:space="0" w:color="auto"/>
      </w:divBdr>
    </w:div>
    <w:div w:id="1477838164">
      <w:bodyDiv w:val="1"/>
      <w:marLeft w:val="0"/>
      <w:marRight w:val="0"/>
      <w:marTop w:val="0"/>
      <w:marBottom w:val="0"/>
      <w:divBdr>
        <w:top w:val="none" w:sz="0" w:space="0" w:color="auto"/>
        <w:left w:val="none" w:sz="0" w:space="0" w:color="auto"/>
        <w:bottom w:val="none" w:sz="0" w:space="0" w:color="auto"/>
        <w:right w:val="none" w:sz="0" w:space="0" w:color="auto"/>
      </w:divBdr>
    </w:div>
    <w:div w:id="1514488789">
      <w:bodyDiv w:val="1"/>
      <w:marLeft w:val="0"/>
      <w:marRight w:val="0"/>
      <w:marTop w:val="0"/>
      <w:marBottom w:val="0"/>
      <w:divBdr>
        <w:top w:val="none" w:sz="0" w:space="0" w:color="auto"/>
        <w:left w:val="none" w:sz="0" w:space="0" w:color="auto"/>
        <w:bottom w:val="none" w:sz="0" w:space="0" w:color="auto"/>
        <w:right w:val="none" w:sz="0" w:space="0" w:color="auto"/>
      </w:divBdr>
    </w:div>
    <w:div w:id="1680309709">
      <w:bodyDiv w:val="1"/>
      <w:marLeft w:val="0"/>
      <w:marRight w:val="0"/>
      <w:marTop w:val="0"/>
      <w:marBottom w:val="0"/>
      <w:divBdr>
        <w:top w:val="none" w:sz="0" w:space="0" w:color="auto"/>
        <w:left w:val="none" w:sz="0" w:space="0" w:color="auto"/>
        <w:bottom w:val="none" w:sz="0" w:space="0" w:color="auto"/>
        <w:right w:val="none" w:sz="0" w:space="0" w:color="auto"/>
      </w:divBdr>
    </w:div>
    <w:div w:id="1793817444">
      <w:bodyDiv w:val="1"/>
      <w:marLeft w:val="0"/>
      <w:marRight w:val="0"/>
      <w:marTop w:val="0"/>
      <w:marBottom w:val="0"/>
      <w:divBdr>
        <w:top w:val="none" w:sz="0" w:space="0" w:color="auto"/>
        <w:left w:val="none" w:sz="0" w:space="0" w:color="auto"/>
        <w:bottom w:val="none" w:sz="0" w:space="0" w:color="auto"/>
        <w:right w:val="none" w:sz="0" w:space="0" w:color="auto"/>
      </w:divBdr>
    </w:div>
    <w:div w:id="1847207017">
      <w:bodyDiv w:val="1"/>
      <w:marLeft w:val="0"/>
      <w:marRight w:val="0"/>
      <w:marTop w:val="0"/>
      <w:marBottom w:val="0"/>
      <w:divBdr>
        <w:top w:val="none" w:sz="0" w:space="0" w:color="auto"/>
        <w:left w:val="none" w:sz="0" w:space="0" w:color="auto"/>
        <w:bottom w:val="none" w:sz="0" w:space="0" w:color="auto"/>
        <w:right w:val="none" w:sz="0" w:space="0" w:color="auto"/>
      </w:divBdr>
    </w:div>
    <w:div w:id="1922517856">
      <w:bodyDiv w:val="1"/>
      <w:marLeft w:val="0"/>
      <w:marRight w:val="0"/>
      <w:marTop w:val="0"/>
      <w:marBottom w:val="0"/>
      <w:divBdr>
        <w:top w:val="none" w:sz="0" w:space="0" w:color="auto"/>
        <w:left w:val="none" w:sz="0" w:space="0" w:color="auto"/>
        <w:bottom w:val="none" w:sz="0" w:space="0" w:color="auto"/>
        <w:right w:val="none" w:sz="0" w:space="0" w:color="auto"/>
      </w:divBdr>
    </w:div>
    <w:div w:id="1994530368">
      <w:bodyDiv w:val="1"/>
      <w:marLeft w:val="0"/>
      <w:marRight w:val="0"/>
      <w:marTop w:val="0"/>
      <w:marBottom w:val="0"/>
      <w:divBdr>
        <w:top w:val="none" w:sz="0" w:space="0" w:color="auto"/>
        <w:left w:val="none" w:sz="0" w:space="0" w:color="auto"/>
        <w:bottom w:val="none" w:sz="0" w:space="0" w:color="auto"/>
        <w:right w:val="none" w:sz="0" w:space="0" w:color="auto"/>
      </w:divBdr>
      <w:divsChild>
        <w:div w:id="276106804">
          <w:marLeft w:val="0"/>
          <w:marRight w:val="0"/>
          <w:marTop w:val="0"/>
          <w:marBottom w:val="0"/>
          <w:divBdr>
            <w:top w:val="none" w:sz="0" w:space="0" w:color="auto"/>
            <w:left w:val="none" w:sz="0" w:space="0" w:color="auto"/>
            <w:bottom w:val="none" w:sz="0" w:space="0" w:color="auto"/>
            <w:right w:val="none" w:sz="0" w:space="0" w:color="auto"/>
          </w:divBdr>
        </w:div>
        <w:div w:id="2012415351">
          <w:marLeft w:val="0"/>
          <w:marRight w:val="0"/>
          <w:marTop w:val="0"/>
          <w:marBottom w:val="0"/>
          <w:divBdr>
            <w:top w:val="none" w:sz="0" w:space="0" w:color="auto"/>
            <w:left w:val="none" w:sz="0" w:space="0" w:color="auto"/>
            <w:bottom w:val="none" w:sz="0" w:space="0" w:color="auto"/>
            <w:right w:val="none" w:sz="0" w:space="0" w:color="auto"/>
          </w:divBdr>
        </w:div>
        <w:div w:id="711423393">
          <w:marLeft w:val="0"/>
          <w:marRight w:val="0"/>
          <w:marTop w:val="0"/>
          <w:marBottom w:val="0"/>
          <w:divBdr>
            <w:top w:val="none" w:sz="0" w:space="0" w:color="auto"/>
            <w:left w:val="none" w:sz="0" w:space="0" w:color="auto"/>
            <w:bottom w:val="none" w:sz="0" w:space="0" w:color="auto"/>
            <w:right w:val="none" w:sz="0" w:space="0" w:color="auto"/>
          </w:divBdr>
          <w:divsChild>
            <w:div w:id="995185527">
              <w:marLeft w:val="0"/>
              <w:marRight w:val="0"/>
              <w:marTop w:val="0"/>
              <w:marBottom w:val="0"/>
              <w:divBdr>
                <w:top w:val="none" w:sz="0" w:space="0" w:color="auto"/>
                <w:left w:val="none" w:sz="0" w:space="0" w:color="auto"/>
                <w:bottom w:val="none" w:sz="0" w:space="0" w:color="auto"/>
                <w:right w:val="none" w:sz="0" w:space="0" w:color="auto"/>
              </w:divBdr>
            </w:div>
          </w:divsChild>
        </w:div>
        <w:div w:id="1507281159">
          <w:marLeft w:val="0"/>
          <w:marRight w:val="0"/>
          <w:marTop w:val="0"/>
          <w:marBottom w:val="0"/>
          <w:divBdr>
            <w:top w:val="none" w:sz="0" w:space="0" w:color="auto"/>
            <w:left w:val="none" w:sz="0" w:space="0" w:color="auto"/>
            <w:bottom w:val="none" w:sz="0" w:space="0" w:color="auto"/>
            <w:right w:val="none" w:sz="0" w:space="0" w:color="auto"/>
          </w:divBdr>
        </w:div>
        <w:div w:id="711728622">
          <w:marLeft w:val="0"/>
          <w:marRight w:val="0"/>
          <w:marTop w:val="0"/>
          <w:marBottom w:val="0"/>
          <w:divBdr>
            <w:top w:val="none" w:sz="0" w:space="0" w:color="auto"/>
            <w:left w:val="none" w:sz="0" w:space="0" w:color="auto"/>
            <w:bottom w:val="none" w:sz="0" w:space="0" w:color="auto"/>
            <w:right w:val="none" w:sz="0" w:space="0" w:color="auto"/>
          </w:divBdr>
        </w:div>
        <w:div w:id="1379891062">
          <w:marLeft w:val="0"/>
          <w:marRight w:val="0"/>
          <w:marTop w:val="0"/>
          <w:marBottom w:val="0"/>
          <w:divBdr>
            <w:top w:val="none" w:sz="0" w:space="0" w:color="auto"/>
            <w:left w:val="none" w:sz="0" w:space="0" w:color="auto"/>
            <w:bottom w:val="none" w:sz="0" w:space="0" w:color="auto"/>
            <w:right w:val="none" w:sz="0" w:space="0" w:color="auto"/>
          </w:divBdr>
        </w:div>
        <w:div w:id="357974308">
          <w:marLeft w:val="0"/>
          <w:marRight w:val="0"/>
          <w:marTop w:val="0"/>
          <w:marBottom w:val="0"/>
          <w:divBdr>
            <w:top w:val="none" w:sz="0" w:space="0" w:color="auto"/>
            <w:left w:val="none" w:sz="0" w:space="0" w:color="auto"/>
            <w:bottom w:val="none" w:sz="0" w:space="0" w:color="auto"/>
            <w:right w:val="none" w:sz="0" w:space="0" w:color="auto"/>
          </w:divBdr>
        </w:div>
        <w:div w:id="396830538">
          <w:marLeft w:val="0"/>
          <w:marRight w:val="0"/>
          <w:marTop w:val="0"/>
          <w:marBottom w:val="0"/>
          <w:divBdr>
            <w:top w:val="none" w:sz="0" w:space="0" w:color="auto"/>
            <w:left w:val="none" w:sz="0" w:space="0" w:color="auto"/>
            <w:bottom w:val="none" w:sz="0" w:space="0" w:color="auto"/>
            <w:right w:val="none" w:sz="0" w:space="0" w:color="auto"/>
          </w:divBdr>
        </w:div>
        <w:div w:id="1667244554">
          <w:marLeft w:val="0"/>
          <w:marRight w:val="0"/>
          <w:marTop w:val="0"/>
          <w:marBottom w:val="0"/>
          <w:divBdr>
            <w:top w:val="none" w:sz="0" w:space="0" w:color="auto"/>
            <w:left w:val="none" w:sz="0" w:space="0" w:color="auto"/>
            <w:bottom w:val="none" w:sz="0" w:space="0" w:color="auto"/>
            <w:right w:val="none" w:sz="0" w:space="0" w:color="auto"/>
          </w:divBdr>
        </w:div>
        <w:div w:id="1823690394">
          <w:marLeft w:val="0"/>
          <w:marRight w:val="0"/>
          <w:marTop w:val="0"/>
          <w:marBottom w:val="0"/>
          <w:divBdr>
            <w:top w:val="none" w:sz="0" w:space="0" w:color="auto"/>
            <w:left w:val="none" w:sz="0" w:space="0" w:color="auto"/>
            <w:bottom w:val="none" w:sz="0" w:space="0" w:color="auto"/>
            <w:right w:val="none" w:sz="0" w:space="0" w:color="auto"/>
          </w:divBdr>
        </w:div>
        <w:div w:id="102504513">
          <w:marLeft w:val="0"/>
          <w:marRight w:val="0"/>
          <w:marTop w:val="0"/>
          <w:marBottom w:val="0"/>
          <w:divBdr>
            <w:top w:val="none" w:sz="0" w:space="0" w:color="auto"/>
            <w:left w:val="none" w:sz="0" w:space="0" w:color="auto"/>
            <w:bottom w:val="none" w:sz="0" w:space="0" w:color="auto"/>
            <w:right w:val="none" w:sz="0" w:space="0" w:color="auto"/>
          </w:divBdr>
        </w:div>
        <w:div w:id="374820404">
          <w:marLeft w:val="0"/>
          <w:marRight w:val="0"/>
          <w:marTop w:val="0"/>
          <w:marBottom w:val="0"/>
          <w:divBdr>
            <w:top w:val="none" w:sz="0" w:space="0" w:color="auto"/>
            <w:left w:val="none" w:sz="0" w:space="0" w:color="auto"/>
            <w:bottom w:val="none" w:sz="0" w:space="0" w:color="auto"/>
            <w:right w:val="none" w:sz="0" w:space="0" w:color="auto"/>
          </w:divBdr>
        </w:div>
        <w:div w:id="1187403204">
          <w:marLeft w:val="0"/>
          <w:marRight w:val="0"/>
          <w:marTop w:val="0"/>
          <w:marBottom w:val="0"/>
          <w:divBdr>
            <w:top w:val="none" w:sz="0" w:space="0" w:color="auto"/>
            <w:left w:val="none" w:sz="0" w:space="0" w:color="auto"/>
            <w:bottom w:val="none" w:sz="0" w:space="0" w:color="auto"/>
            <w:right w:val="none" w:sz="0" w:space="0" w:color="auto"/>
          </w:divBdr>
        </w:div>
        <w:div w:id="166149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98B54-BE0F-A645-845C-809BE5AF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4785</Words>
  <Characters>27278</Characters>
  <Application>Microsoft Macintosh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32000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Marta van der Hoek</cp:lastModifiedBy>
  <cp:revision>2</cp:revision>
  <dcterms:created xsi:type="dcterms:W3CDTF">2016-07-30T17:53:00Z</dcterms:created>
  <dcterms:modified xsi:type="dcterms:W3CDTF">2016-07-30T17:53:00Z</dcterms:modified>
</cp:coreProperties>
</file>