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68" w:rsidRPr="009543BB" w:rsidRDefault="005843EE" w:rsidP="00773A15">
      <w:pPr>
        <w:spacing w:line="360" w:lineRule="auto"/>
        <w:jc w:val="both"/>
        <w:rPr>
          <w:rFonts w:ascii="Times New Roman" w:hAnsi="Times New Roman"/>
          <w:b/>
          <w:sz w:val="28"/>
          <w:szCs w:val="28"/>
        </w:rPr>
      </w:pPr>
      <w:r>
        <w:rPr>
          <w:rFonts w:ascii="Times New Roman" w:hAnsi="Times New Roman"/>
          <w:b/>
          <w:sz w:val="28"/>
          <w:szCs w:val="28"/>
        </w:rPr>
        <w:t>Getting Their “Act” Together?</w:t>
      </w:r>
      <w:r w:rsidR="00A40E32">
        <w:rPr>
          <w:rFonts w:ascii="Times New Roman" w:hAnsi="Times New Roman"/>
          <w:b/>
          <w:sz w:val="28"/>
          <w:szCs w:val="28"/>
        </w:rPr>
        <w:t xml:space="preserve"> Implementin</w:t>
      </w:r>
      <w:r w:rsidR="00622918">
        <w:rPr>
          <w:rFonts w:ascii="Times New Roman" w:hAnsi="Times New Roman"/>
          <w:b/>
          <w:sz w:val="28"/>
          <w:szCs w:val="28"/>
        </w:rPr>
        <w:t>g Statutory Reform of Offences against t</w:t>
      </w:r>
      <w:r w:rsidR="00A40E32">
        <w:rPr>
          <w:rFonts w:ascii="Times New Roman" w:hAnsi="Times New Roman"/>
          <w:b/>
          <w:sz w:val="28"/>
          <w:szCs w:val="28"/>
        </w:rPr>
        <w:t>he Person</w:t>
      </w:r>
    </w:p>
    <w:p w:rsidR="009543BB" w:rsidRDefault="009543BB" w:rsidP="003B1065">
      <w:pPr>
        <w:spacing w:line="360" w:lineRule="auto"/>
        <w:jc w:val="center"/>
        <w:rPr>
          <w:rFonts w:ascii="Times New Roman" w:hAnsi="Times New Roman"/>
          <w:b/>
        </w:rPr>
      </w:pPr>
    </w:p>
    <w:p w:rsidR="009543BB" w:rsidRPr="00CA2C5D" w:rsidRDefault="00F41693" w:rsidP="009543BB">
      <w:pPr>
        <w:rPr>
          <w:rFonts w:ascii="Times New Roman" w:hAnsi="Times New Roman"/>
        </w:rPr>
      </w:pPr>
      <w:r>
        <w:rPr>
          <w:rFonts w:ascii="Times New Roman" w:hAnsi="Times New Roman"/>
          <w:b/>
        </w:rPr>
        <w:t>Matthew Gibson</w:t>
      </w:r>
      <w:r w:rsidR="00CA2C5D" w:rsidRPr="00B072D2">
        <w:rPr>
          <w:rStyle w:val="FootnoteReference"/>
          <w:rFonts w:ascii="Times New Roman" w:hAnsi="Times New Roman"/>
          <w:sz w:val="28"/>
          <w:szCs w:val="28"/>
        </w:rPr>
        <w:footnoteReference w:customMarkFollows="1" w:id="1"/>
        <w:sym w:font="Symbol" w:char="F02A"/>
      </w:r>
    </w:p>
    <w:p w:rsidR="009543BB" w:rsidRDefault="00F41693" w:rsidP="009543BB">
      <w:pPr>
        <w:rPr>
          <w:rFonts w:ascii="Times New Roman" w:hAnsi="Times New Roman"/>
          <w:i/>
        </w:rPr>
      </w:pPr>
      <w:r>
        <w:rPr>
          <w:rFonts w:ascii="Times New Roman" w:hAnsi="Times New Roman"/>
          <w:i/>
        </w:rPr>
        <w:t>Lecturer in Law, University of Liverpool</w:t>
      </w:r>
    </w:p>
    <w:p w:rsidR="009543BB" w:rsidRDefault="009543BB" w:rsidP="00334BF3">
      <w:pPr>
        <w:spacing w:line="480" w:lineRule="auto"/>
        <w:rPr>
          <w:rFonts w:ascii="Times New Roman" w:hAnsi="Times New Roman"/>
          <w:i/>
        </w:rPr>
      </w:pPr>
    </w:p>
    <w:p w:rsidR="009543BB" w:rsidRDefault="009543BB" w:rsidP="00334BF3">
      <w:pPr>
        <w:spacing w:line="480" w:lineRule="auto"/>
        <w:jc w:val="both"/>
        <w:rPr>
          <w:rFonts w:ascii="Times New Roman" w:hAnsi="Times New Roman"/>
          <w:i/>
        </w:rPr>
      </w:pPr>
      <w:r w:rsidRPr="00E80F77">
        <w:rPr>
          <w:rFonts w:ascii="Times New Roman" w:hAnsi="Times New Roman"/>
          <w:i/>
        </w:rPr>
        <w:t>In November 2015</w:t>
      </w:r>
      <w:r w:rsidR="004B40A2">
        <w:rPr>
          <w:rFonts w:ascii="Times New Roman" w:hAnsi="Times New Roman"/>
          <w:i/>
        </w:rPr>
        <w:t>,</w:t>
      </w:r>
      <w:r w:rsidRPr="00E80F77">
        <w:rPr>
          <w:rFonts w:ascii="Times New Roman" w:hAnsi="Times New Roman"/>
          <w:i/>
        </w:rPr>
        <w:t xml:space="preserve"> the Law Commission</w:t>
      </w:r>
      <w:r w:rsidR="001D4CCA">
        <w:rPr>
          <w:rFonts w:ascii="Times New Roman" w:hAnsi="Times New Roman"/>
          <w:i/>
        </w:rPr>
        <w:t xml:space="preserve"> </w:t>
      </w:r>
      <w:r w:rsidRPr="00E80F77">
        <w:rPr>
          <w:rFonts w:ascii="Times New Roman" w:hAnsi="Times New Roman"/>
          <w:i/>
        </w:rPr>
        <w:t xml:space="preserve">published </w:t>
      </w:r>
      <w:r w:rsidR="00075F11">
        <w:rPr>
          <w:rFonts w:ascii="Times New Roman" w:hAnsi="Times New Roman"/>
          <w:i/>
        </w:rPr>
        <w:t xml:space="preserve">a </w:t>
      </w:r>
      <w:r w:rsidR="005B2F90">
        <w:rPr>
          <w:rFonts w:ascii="Times New Roman" w:hAnsi="Times New Roman"/>
          <w:i/>
        </w:rPr>
        <w:t xml:space="preserve">scoping </w:t>
      </w:r>
      <w:r w:rsidR="00075F11">
        <w:rPr>
          <w:rFonts w:ascii="Times New Roman" w:hAnsi="Times New Roman"/>
          <w:i/>
        </w:rPr>
        <w:t>report on</w:t>
      </w:r>
      <w:r w:rsidR="00DE6EFF">
        <w:rPr>
          <w:rFonts w:ascii="Times New Roman" w:hAnsi="Times New Roman"/>
          <w:i/>
        </w:rPr>
        <w:t xml:space="preserve"> </w:t>
      </w:r>
      <w:r w:rsidR="009771D5">
        <w:rPr>
          <w:rFonts w:ascii="Times New Roman" w:hAnsi="Times New Roman"/>
          <w:i/>
        </w:rPr>
        <w:t xml:space="preserve">the future of </w:t>
      </w:r>
      <w:r w:rsidR="00E80F77">
        <w:rPr>
          <w:rFonts w:ascii="Times New Roman" w:hAnsi="Times New Roman"/>
          <w:i/>
        </w:rPr>
        <w:t xml:space="preserve">offences against </w:t>
      </w:r>
      <w:r w:rsidR="00DA6D79">
        <w:rPr>
          <w:rFonts w:ascii="Times New Roman" w:hAnsi="Times New Roman"/>
          <w:i/>
        </w:rPr>
        <w:t>the person.</w:t>
      </w:r>
      <w:r w:rsidR="00E90C9C">
        <w:rPr>
          <w:rFonts w:ascii="Times New Roman" w:hAnsi="Times New Roman"/>
          <w:i/>
        </w:rPr>
        <w:t xml:space="preserve"> </w:t>
      </w:r>
      <w:r w:rsidR="008169D2">
        <w:rPr>
          <w:rFonts w:ascii="Times New Roman" w:hAnsi="Times New Roman"/>
          <w:i/>
        </w:rPr>
        <w:t xml:space="preserve">Building on </w:t>
      </w:r>
      <w:r w:rsidR="009771D5">
        <w:rPr>
          <w:rFonts w:ascii="Times New Roman" w:hAnsi="Times New Roman"/>
          <w:i/>
        </w:rPr>
        <w:t>previous reform</w:t>
      </w:r>
      <w:r w:rsidR="008169D2">
        <w:rPr>
          <w:rFonts w:ascii="Times New Roman" w:hAnsi="Times New Roman"/>
          <w:i/>
        </w:rPr>
        <w:t xml:space="preserve"> </w:t>
      </w:r>
      <w:r w:rsidR="00F644CD">
        <w:rPr>
          <w:rFonts w:ascii="Times New Roman" w:hAnsi="Times New Roman"/>
          <w:i/>
        </w:rPr>
        <w:t xml:space="preserve">efforts, the report </w:t>
      </w:r>
      <w:r w:rsidR="008169D2">
        <w:rPr>
          <w:rFonts w:ascii="Times New Roman" w:hAnsi="Times New Roman"/>
          <w:i/>
        </w:rPr>
        <w:t xml:space="preserve">proposed </w:t>
      </w:r>
      <w:r w:rsidR="009771D5">
        <w:rPr>
          <w:rFonts w:ascii="Times New Roman" w:hAnsi="Times New Roman"/>
          <w:i/>
        </w:rPr>
        <w:t>reworked</w:t>
      </w:r>
      <w:r w:rsidR="00766FFA">
        <w:rPr>
          <w:rFonts w:ascii="Times New Roman" w:hAnsi="Times New Roman"/>
          <w:i/>
        </w:rPr>
        <w:t xml:space="preserve"> versions of</w:t>
      </w:r>
      <w:r w:rsidR="002201EF">
        <w:rPr>
          <w:rFonts w:ascii="Times New Roman" w:hAnsi="Times New Roman"/>
          <w:i/>
        </w:rPr>
        <w:t xml:space="preserve"> </w:t>
      </w:r>
      <w:r w:rsidR="00472602">
        <w:rPr>
          <w:rFonts w:ascii="Times New Roman" w:hAnsi="Times New Roman"/>
          <w:i/>
        </w:rPr>
        <w:t>the</w:t>
      </w:r>
      <w:r w:rsidR="001448B9">
        <w:rPr>
          <w:rFonts w:ascii="Times New Roman" w:hAnsi="Times New Roman"/>
          <w:i/>
        </w:rPr>
        <w:t xml:space="preserve">se </w:t>
      </w:r>
      <w:r w:rsidR="00712B35">
        <w:rPr>
          <w:rFonts w:ascii="Times New Roman" w:hAnsi="Times New Roman"/>
          <w:i/>
        </w:rPr>
        <w:t>offences</w:t>
      </w:r>
      <w:r w:rsidR="00450B94">
        <w:rPr>
          <w:rFonts w:ascii="Times New Roman" w:hAnsi="Times New Roman"/>
          <w:i/>
        </w:rPr>
        <w:t xml:space="preserve"> </w:t>
      </w:r>
      <w:r w:rsidR="00135307">
        <w:rPr>
          <w:rFonts w:ascii="Times New Roman" w:hAnsi="Times New Roman"/>
          <w:i/>
        </w:rPr>
        <w:t>for inclusion</w:t>
      </w:r>
      <w:r w:rsidR="00A70363">
        <w:rPr>
          <w:rFonts w:ascii="Times New Roman" w:hAnsi="Times New Roman"/>
          <w:i/>
        </w:rPr>
        <w:t xml:space="preserve"> </w:t>
      </w:r>
      <w:r w:rsidR="00115271">
        <w:rPr>
          <w:rFonts w:ascii="Times New Roman" w:hAnsi="Times New Roman"/>
          <w:i/>
        </w:rPr>
        <w:t xml:space="preserve">in a new </w:t>
      </w:r>
      <w:r w:rsidR="007430E1">
        <w:rPr>
          <w:rFonts w:ascii="Times New Roman" w:hAnsi="Times New Roman"/>
          <w:i/>
        </w:rPr>
        <w:t>statute</w:t>
      </w:r>
      <w:r w:rsidR="00F57436">
        <w:rPr>
          <w:rFonts w:ascii="Times New Roman" w:hAnsi="Times New Roman"/>
          <w:i/>
        </w:rPr>
        <w:t xml:space="preserve">. </w:t>
      </w:r>
      <w:r w:rsidR="002B65AF">
        <w:rPr>
          <w:rFonts w:ascii="Times New Roman" w:hAnsi="Times New Roman"/>
          <w:i/>
        </w:rPr>
        <w:t>This</w:t>
      </w:r>
      <w:r w:rsidR="00E80F77">
        <w:rPr>
          <w:rFonts w:ascii="Times New Roman" w:hAnsi="Times New Roman"/>
          <w:i/>
        </w:rPr>
        <w:t xml:space="preserve"> article </w:t>
      </w:r>
      <w:r w:rsidR="009B5193">
        <w:rPr>
          <w:rFonts w:ascii="Times New Roman" w:hAnsi="Times New Roman"/>
          <w:i/>
        </w:rPr>
        <w:t>critiques</w:t>
      </w:r>
      <w:r w:rsidR="00CE46AE">
        <w:rPr>
          <w:rFonts w:ascii="Times New Roman" w:hAnsi="Times New Roman"/>
          <w:i/>
        </w:rPr>
        <w:t xml:space="preserve"> </w:t>
      </w:r>
      <w:r w:rsidR="003E7F62">
        <w:rPr>
          <w:rFonts w:ascii="Times New Roman" w:hAnsi="Times New Roman"/>
          <w:i/>
        </w:rPr>
        <w:t>those</w:t>
      </w:r>
      <w:r w:rsidR="008169D2">
        <w:rPr>
          <w:rFonts w:ascii="Times New Roman" w:hAnsi="Times New Roman"/>
          <w:i/>
        </w:rPr>
        <w:t xml:space="preserve"> plans</w:t>
      </w:r>
      <w:r w:rsidR="009C6BD2">
        <w:rPr>
          <w:rFonts w:ascii="Times New Roman" w:hAnsi="Times New Roman"/>
          <w:i/>
        </w:rPr>
        <w:t>.</w:t>
      </w:r>
      <w:r w:rsidR="00E80F77">
        <w:rPr>
          <w:rFonts w:ascii="Times New Roman" w:hAnsi="Times New Roman"/>
          <w:i/>
        </w:rPr>
        <w:t xml:space="preserve"> First, it </w:t>
      </w:r>
      <w:r w:rsidR="00407088">
        <w:rPr>
          <w:rFonts w:ascii="Times New Roman" w:hAnsi="Times New Roman"/>
          <w:i/>
        </w:rPr>
        <w:t>summarises</w:t>
      </w:r>
      <w:r w:rsidR="00AA3BE4">
        <w:rPr>
          <w:rFonts w:ascii="Times New Roman" w:hAnsi="Times New Roman"/>
          <w:i/>
        </w:rPr>
        <w:t xml:space="preserve"> </w:t>
      </w:r>
      <w:r w:rsidR="0029103F">
        <w:rPr>
          <w:rFonts w:ascii="Times New Roman" w:hAnsi="Times New Roman"/>
          <w:i/>
        </w:rPr>
        <w:t>the</w:t>
      </w:r>
      <w:r w:rsidR="00CA2C5D">
        <w:rPr>
          <w:rFonts w:ascii="Times New Roman" w:hAnsi="Times New Roman"/>
          <w:i/>
        </w:rPr>
        <w:t xml:space="preserve"> </w:t>
      </w:r>
      <w:r w:rsidR="00CD78E0">
        <w:rPr>
          <w:rFonts w:ascii="Times New Roman" w:hAnsi="Times New Roman"/>
          <w:i/>
        </w:rPr>
        <w:t>background</w:t>
      </w:r>
      <w:r w:rsidR="00407088">
        <w:rPr>
          <w:rFonts w:ascii="Times New Roman" w:hAnsi="Times New Roman"/>
          <w:i/>
        </w:rPr>
        <w:t xml:space="preserve"> to</w:t>
      </w:r>
      <w:r w:rsidR="00407088" w:rsidRPr="00407088">
        <w:rPr>
          <w:rFonts w:ascii="Times New Roman" w:hAnsi="Times New Roman"/>
          <w:i/>
        </w:rPr>
        <w:t xml:space="preserve"> </w:t>
      </w:r>
      <w:r w:rsidR="009771D5">
        <w:rPr>
          <w:rFonts w:ascii="Times New Roman" w:hAnsi="Times New Roman"/>
          <w:i/>
        </w:rPr>
        <w:t>the report</w:t>
      </w:r>
      <w:r w:rsidR="00BD08F8">
        <w:rPr>
          <w:rFonts w:ascii="Times New Roman" w:hAnsi="Times New Roman"/>
          <w:i/>
        </w:rPr>
        <w:t>.</w:t>
      </w:r>
      <w:r w:rsidR="0029103F">
        <w:rPr>
          <w:rFonts w:ascii="Times New Roman" w:hAnsi="Times New Roman"/>
          <w:i/>
        </w:rPr>
        <w:t xml:space="preserve"> Secondly, </w:t>
      </w:r>
      <w:r w:rsidR="00B81630">
        <w:rPr>
          <w:rFonts w:ascii="Times New Roman" w:hAnsi="Times New Roman"/>
          <w:i/>
        </w:rPr>
        <w:t xml:space="preserve">it </w:t>
      </w:r>
      <w:r w:rsidR="00A1128E">
        <w:rPr>
          <w:rFonts w:ascii="Times New Roman" w:hAnsi="Times New Roman"/>
          <w:i/>
        </w:rPr>
        <w:t>outlines</w:t>
      </w:r>
      <w:r w:rsidR="00B81630">
        <w:rPr>
          <w:rFonts w:ascii="Times New Roman" w:hAnsi="Times New Roman"/>
          <w:i/>
        </w:rPr>
        <w:t xml:space="preserve"> </w:t>
      </w:r>
      <w:r w:rsidR="007858D8">
        <w:rPr>
          <w:rFonts w:ascii="Times New Roman" w:hAnsi="Times New Roman"/>
          <w:i/>
        </w:rPr>
        <w:t xml:space="preserve">the </w:t>
      </w:r>
      <w:r w:rsidR="002D75CB">
        <w:rPr>
          <w:rFonts w:ascii="Times New Roman" w:hAnsi="Times New Roman"/>
          <w:i/>
        </w:rPr>
        <w:t>problems with</w:t>
      </w:r>
      <w:r w:rsidR="00A1128E">
        <w:rPr>
          <w:rFonts w:ascii="Times New Roman" w:hAnsi="Times New Roman"/>
          <w:i/>
        </w:rPr>
        <w:t xml:space="preserve"> </w:t>
      </w:r>
      <w:r w:rsidR="00B81630">
        <w:rPr>
          <w:rFonts w:ascii="Times New Roman" w:hAnsi="Times New Roman"/>
          <w:i/>
        </w:rPr>
        <w:t xml:space="preserve">the </w:t>
      </w:r>
      <w:r w:rsidR="003E7F62">
        <w:rPr>
          <w:rFonts w:ascii="Times New Roman" w:hAnsi="Times New Roman"/>
          <w:i/>
        </w:rPr>
        <w:t>existing</w:t>
      </w:r>
      <w:r w:rsidR="00FA59D0">
        <w:rPr>
          <w:rFonts w:ascii="Times New Roman" w:hAnsi="Times New Roman"/>
          <w:i/>
        </w:rPr>
        <w:t xml:space="preserve"> crimes</w:t>
      </w:r>
      <w:r w:rsidR="00C92CFF">
        <w:rPr>
          <w:rFonts w:ascii="Times New Roman" w:hAnsi="Times New Roman"/>
          <w:i/>
        </w:rPr>
        <w:t>.</w:t>
      </w:r>
      <w:r w:rsidR="00B81630">
        <w:rPr>
          <w:rFonts w:ascii="Times New Roman" w:hAnsi="Times New Roman"/>
          <w:i/>
        </w:rPr>
        <w:t xml:space="preserve"> Thirdly, </w:t>
      </w:r>
      <w:r w:rsidR="00052E44">
        <w:rPr>
          <w:rFonts w:ascii="Times New Roman" w:hAnsi="Times New Roman"/>
          <w:i/>
        </w:rPr>
        <w:t xml:space="preserve">it </w:t>
      </w:r>
      <w:r w:rsidR="00E70D06">
        <w:rPr>
          <w:rFonts w:ascii="Times New Roman" w:hAnsi="Times New Roman"/>
          <w:i/>
        </w:rPr>
        <w:t>examines</w:t>
      </w:r>
      <w:r w:rsidR="00AF3901">
        <w:rPr>
          <w:rFonts w:ascii="Times New Roman" w:hAnsi="Times New Roman"/>
          <w:i/>
        </w:rPr>
        <w:t xml:space="preserve"> </w:t>
      </w:r>
      <w:r w:rsidR="005B1A43">
        <w:rPr>
          <w:rFonts w:ascii="Times New Roman" w:hAnsi="Times New Roman"/>
          <w:i/>
        </w:rPr>
        <w:t xml:space="preserve">the </w:t>
      </w:r>
      <w:r w:rsidR="00A1128E">
        <w:rPr>
          <w:rFonts w:ascii="Times New Roman" w:hAnsi="Times New Roman"/>
          <w:i/>
        </w:rPr>
        <w:t>comparative</w:t>
      </w:r>
      <w:r w:rsidR="00C91DCC">
        <w:rPr>
          <w:rFonts w:ascii="Times New Roman" w:hAnsi="Times New Roman"/>
          <w:i/>
        </w:rPr>
        <w:t xml:space="preserve"> </w:t>
      </w:r>
      <w:r w:rsidR="005B1A43">
        <w:rPr>
          <w:rFonts w:ascii="Times New Roman" w:hAnsi="Times New Roman"/>
          <w:i/>
        </w:rPr>
        <w:t xml:space="preserve">coherence of </w:t>
      </w:r>
      <w:r w:rsidR="0014139F">
        <w:rPr>
          <w:rFonts w:ascii="Times New Roman" w:hAnsi="Times New Roman"/>
          <w:i/>
        </w:rPr>
        <w:t>the recast offences</w:t>
      </w:r>
      <w:r w:rsidR="00897813">
        <w:rPr>
          <w:rFonts w:ascii="Times New Roman" w:hAnsi="Times New Roman"/>
          <w:i/>
        </w:rPr>
        <w:t>.</w:t>
      </w:r>
      <w:r w:rsidR="00916C0A">
        <w:rPr>
          <w:rFonts w:ascii="Times New Roman" w:hAnsi="Times New Roman"/>
          <w:i/>
        </w:rPr>
        <w:t xml:space="preserve"> </w:t>
      </w:r>
      <w:r w:rsidR="0046125F">
        <w:rPr>
          <w:rFonts w:ascii="Times New Roman" w:hAnsi="Times New Roman"/>
          <w:i/>
        </w:rPr>
        <w:t>Fourthly</w:t>
      </w:r>
      <w:r w:rsidR="004D48BB">
        <w:rPr>
          <w:rFonts w:ascii="Times New Roman" w:hAnsi="Times New Roman"/>
          <w:i/>
        </w:rPr>
        <w:t xml:space="preserve">, it offers some </w:t>
      </w:r>
      <w:r w:rsidR="00861EE3">
        <w:rPr>
          <w:rFonts w:ascii="Times New Roman" w:hAnsi="Times New Roman"/>
          <w:i/>
        </w:rPr>
        <w:t xml:space="preserve">concluding </w:t>
      </w:r>
      <w:r w:rsidR="00103480">
        <w:rPr>
          <w:rFonts w:ascii="Times New Roman" w:hAnsi="Times New Roman"/>
          <w:i/>
        </w:rPr>
        <w:t>thoughts</w:t>
      </w:r>
      <w:r w:rsidR="004D48BB">
        <w:rPr>
          <w:rFonts w:ascii="Times New Roman" w:hAnsi="Times New Roman"/>
          <w:i/>
        </w:rPr>
        <w:t xml:space="preserve"> </w:t>
      </w:r>
      <w:r w:rsidR="002D45E1">
        <w:rPr>
          <w:rFonts w:ascii="Times New Roman" w:hAnsi="Times New Roman"/>
          <w:i/>
        </w:rPr>
        <w:t>on the</w:t>
      </w:r>
      <w:r w:rsidR="00F57436">
        <w:rPr>
          <w:rFonts w:ascii="Times New Roman" w:hAnsi="Times New Roman"/>
          <w:i/>
        </w:rPr>
        <w:t xml:space="preserve"> </w:t>
      </w:r>
      <w:r w:rsidR="00B5400C">
        <w:rPr>
          <w:rFonts w:ascii="Times New Roman" w:hAnsi="Times New Roman"/>
          <w:i/>
        </w:rPr>
        <w:t>revised</w:t>
      </w:r>
      <w:r w:rsidR="002D45E1">
        <w:rPr>
          <w:rFonts w:ascii="Times New Roman" w:hAnsi="Times New Roman"/>
          <w:i/>
        </w:rPr>
        <w:t xml:space="preserve"> scheme </w:t>
      </w:r>
      <w:r w:rsidR="00DA6D79">
        <w:rPr>
          <w:rFonts w:ascii="Times New Roman" w:hAnsi="Times New Roman"/>
          <w:i/>
        </w:rPr>
        <w:t xml:space="preserve">of </w:t>
      </w:r>
      <w:r w:rsidR="00A10DA7">
        <w:rPr>
          <w:rFonts w:ascii="Times New Roman" w:hAnsi="Times New Roman"/>
          <w:i/>
        </w:rPr>
        <w:t>liability</w:t>
      </w:r>
      <w:r w:rsidR="00F57436">
        <w:rPr>
          <w:rFonts w:ascii="Times New Roman" w:hAnsi="Times New Roman"/>
          <w:i/>
        </w:rPr>
        <w:t>.</w:t>
      </w:r>
    </w:p>
    <w:p w:rsidR="00B13BCE" w:rsidRDefault="00B13BCE" w:rsidP="00B81630">
      <w:pPr>
        <w:spacing w:line="480" w:lineRule="auto"/>
        <w:jc w:val="both"/>
        <w:rPr>
          <w:rFonts w:ascii="Times New Roman" w:hAnsi="Times New Roman"/>
          <w:i/>
        </w:rPr>
      </w:pPr>
    </w:p>
    <w:p w:rsidR="00B60899" w:rsidRPr="00B81630" w:rsidRDefault="00B81630" w:rsidP="00B81630">
      <w:pPr>
        <w:spacing w:line="480" w:lineRule="auto"/>
        <w:jc w:val="both"/>
        <w:rPr>
          <w:rFonts w:ascii="Times New Roman" w:hAnsi="Times New Roman"/>
          <w:b/>
        </w:rPr>
      </w:pPr>
      <w:r w:rsidRPr="00B81630">
        <w:rPr>
          <w:rFonts w:ascii="Times New Roman" w:hAnsi="Times New Roman"/>
          <w:b/>
        </w:rPr>
        <w:t>1.</w:t>
      </w:r>
      <w:r>
        <w:rPr>
          <w:rFonts w:ascii="Times New Roman" w:hAnsi="Times New Roman"/>
          <w:b/>
        </w:rPr>
        <w:t xml:space="preserve"> </w:t>
      </w:r>
      <w:r w:rsidR="00B60899" w:rsidRPr="00B81630">
        <w:rPr>
          <w:rFonts w:ascii="Times New Roman" w:hAnsi="Times New Roman"/>
          <w:b/>
        </w:rPr>
        <w:t>Introduction</w:t>
      </w:r>
    </w:p>
    <w:p w:rsidR="00B60899" w:rsidRDefault="00B60899" w:rsidP="00334BF3">
      <w:pPr>
        <w:spacing w:line="480" w:lineRule="auto"/>
        <w:jc w:val="both"/>
        <w:rPr>
          <w:rFonts w:ascii="Times New Roman" w:hAnsi="Times New Roman"/>
          <w:b/>
        </w:rPr>
      </w:pPr>
    </w:p>
    <w:p w:rsidR="002217A6" w:rsidRDefault="00030D62" w:rsidP="00334BF3">
      <w:pPr>
        <w:spacing w:line="480" w:lineRule="auto"/>
        <w:jc w:val="both"/>
        <w:rPr>
          <w:rFonts w:ascii="Times New Roman" w:hAnsi="Times New Roman"/>
        </w:rPr>
      </w:pPr>
      <w:r>
        <w:rPr>
          <w:rFonts w:ascii="Times New Roman" w:hAnsi="Times New Roman"/>
        </w:rPr>
        <w:t xml:space="preserve">Law reform </w:t>
      </w:r>
      <w:r w:rsidR="00737FCF">
        <w:rPr>
          <w:rFonts w:ascii="Times New Roman" w:hAnsi="Times New Roman"/>
        </w:rPr>
        <w:t>is a protracted affair.</w:t>
      </w:r>
      <w:r w:rsidR="00B61D98">
        <w:rPr>
          <w:rFonts w:ascii="Times New Roman" w:hAnsi="Times New Roman"/>
        </w:rPr>
        <w:t xml:space="preserve"> </w:t>
      </w:r>
      <w:r w:rsidR="00525C81">
        <w:rPr>
          <w:rFonts w:ascii="Times New Roman" w:hAnsi="Times New Roman"/>
        </w:rPr>
        <w:t>Nowhere is this more apparent than in</w:t>
      </w:r>
      <w:r w:rsidR="00F313A8">
        <w:rPr>
          <w:rFonts w:ascii="Times New Roman" w:hAnsi="Times New Roman"/>
        </w:rPr>
        <w:t xml:space="preserve"> attempts to </w:t>
      </w:r>
      <w:r w:rsidR="00857EDF">
        <w:rPr>
          <w:rFonts w:ascii="Times New Roman" w:hAnsi="Times New Roman"/>
        </w:rPr>
        <w:t>update</w:t>
      </w:r>
      <w:r w:rsidR="000B08DB">
        <w:rPr>
          <w:rFonts w:ascii="Times New Roman" w:hAnsi="Times New Roman"/>
        </w:rPr>
        <w:t xml:space="preserve"> </w:t>
      </w:r>
      <w:r w:rsidR="00C0769B">
        <w:rPr>
          <w:rFonts w:ascii="Times New Roman" w:hAnsi="Times New Roman"/>
        </w:rPr>
        <w:t xml:space="preserve">offences against the person. </w:t>
      </w:r>
      <w:r w:rsidR="00112620">
        <w:rPr>
          <w:rFonts w:ascii="Times New Roman" w:hAnsi="Times New Roman"/>
        </w:rPr>
        <w:t>Following</w:t>
      </w:r>
      <w:r w:rsidR="001B157F">
        <w:rPr>
          <w:rFonts w:ascii="Times New Roman" w:hAnsi="Times New Roman"/>
        </w:rPr>
        <w:t xml:space="preserve"> </w:t>
      </w:r>
      <w:r w:rsidR="00F72C03">
        <w:rPr>
          <w:rFonts w:ascii="Times New Roman" w:hAnsi="Times New Roman"/>
        </w:rPr>
        <w:t xml:space="preserve">the Criminal Law Revision Committee’s </w:t>
      </w:r>
      <w:r w:rsidR="00B13BCE">
        <w:rPr>
          <w:rFonts w:ascii="Times New Roman" w:hAnsi="Times New Roman"/>
        </w:rPr>
        <w:t>review of</w:t>
      </w:r>
      <w:r w:rsidR="00F72C03">
        <w:rPr>
          <w:rFonts w:ascii="Times New Roman" w:hAnsi="Times New Roman"/>
        </w:rPr>
        <w:t xml:space="preserve"> these crimes in 1980</w:t>
      </w:r>
      <w:r w:rsidR="007D1912">
        <w:rPr>
          <w:rFonts w:ascii="Times New Roman" w:hAnsi="Times New Roman"/>
        </w:rPr>
        <w:t>,</w:t>
      </w:r>
      <w:r w:rsidR="006B49B0">
        <w:rPr>
          <w:rStyle w:val="FootnoteReference"/>
          <w:rFonts w:ascii="Times New Roman" w:hAnsi="Times New Roman"/>
        </w:rPr>
        <w:footnoteReference w:id="2"/>
      </w:r>
      <w:r w:rsidR="00112620">
        <w:rPr>
          <w:rFonts w:ascii="Times New Roman" w:hAnsi="Times New Roman"/>
        </w:rPr>
        <w:t xml:space="preserve"> </w:t>
      </w:r>
      <w:r w:rsidR="006B49B0">
        <w:rPr>
          <w:rFonts w:ascii="Times New Roman" w:hAnsi="Times New Roman"/>
        </w:rPr>
        <w:t xml:space="preserve">the Law Commission </w:t>
      </w:r>
      <w:r w:rsidR="00334BF3">
        <w:rPr>
          <w:rFonts w:ascii="Times New Roman" w:hAnsi="Times New Roman"/>
        </w:rPr>
        <w:t xml:space="preserve">for England and Wales (the Commission) </w:t>
      </w:r>
      <w:r w:rsidR="006B49B0">
        <w:rPr>
          <w:rFonts w:ascii="Times New Roman" w:hAnsi="Times New Roman"/>
        </w:rPr>
        <w:t xml:space="preserve">released no fewer than </w:t>
      </w:r>
      <w:r w:rsidR="0004491F">
        <w:rPr>
          <w:rFonts w:ascii="Times New Roman" w:hAnsi="Times New Roman"/>
        </w:rPr>
        <w:t>five</w:t>
      </w:r>
      <w:r w:rsidR="006B49B0">
        <w:rPr>
          <w:rFonts w:ascii="Times New Roman" w:hAnsi="Times New Roman"/>
        </w:rPr>
        <w:t xml:space="preserve"> </w:t>
      </w:r>
      <w:r w:rsidR="00490903">
        <w:rPr>
          <w:rFonts w:ascii="Times New Roman" w:hAnsi="Times New Roman"/>
        </w:rPr>
        <w:t>related</w:t>
      </w:r>
      <w:r w:rsidR="006B49B0">
        <w:rPr>
          <w:rFonts w:ascii="Times New Roman" w:hAnsi="Times New Roman"/>
        </w:rPr>
        <w:t xml:space="preserve"> publications</w:t>
      </w:r>
      <w:r w:rsidR="00EC09F1">
        <w:rPr>
          <w:rFonts w:ascii="Times New Roman" w:hAnsi="Times New Roman"/>
        </w:rPr>
        <w:t>,</w:t>
      </w:r>
      <w:r w:rsidR="00EC09F1">
        <w:rPr>
          <w:rStyle w:val="FootnoteReference"/>
          <w:rFonts w:ascii="Times New Roman" w:hAnsi="Times New Roman"/>
        </w:rPr>
        <w:footnoteReference w:id="3"/>
      </w:r>
      <w:r w:rsidR="00EC09F1">
        <w:rPr>
          <w:rFonts w:ascii="Times New Roman" w:hAnsi="Times New Roman"/>
        </w:rPr>
        <w:t xml:space="preserve"> </w:t>
      </w:r>
      <w:r w:rsidR="006B49B0">
        <w:rPr>
          <w:rFonts w:ascii="Times New Roman" w:hAnsi="Times New Roman"/>
        </w:rPr>
        <w:t xml:space="preserve">culminating </w:t>
      </w:r>
      <w:r w:rsidR="00AE4E4D">
        <w:rPr>
          <w:rFonts w:ascii="Times New Roman" w:hAnsi="Times New Roman"/>
        </w:rPr>
        <w:t>in</w:t>
      </w:r>
      <w:r w:rsidR="006B49B0">
        <w:rPr>
          <w:rFonts w:ascii="Times New Roman" w:hAnsi="Times New Roman"/>
        </w:rPr>
        <w:t xml:space="preserve"> </w:t>
      </w:r>
      <w:r w:rsidR="00EF7A40">
        <w:rPr>
          <w:rFonts w:ascii="Times New Roman" w:hAnsi="Times New Roman"/>
        </w:rPr>
        <w:t>a Home Office</w:t>
      </w:r>
      <w:r w:rsidR="0068732B">
        <w:rPr>
          <w:rFonts w:ascii="Times New Roman" w:hAnsi="Times New Roman"/>
        </w:rPr>
        <w:t xml:space="preserve"> </w:t>
      </w:r>
      <w:r w:rsidR="006B49B0">
        <w:rPr>
          <w:rFonts w:ascii="Times New Roman" w:hAnsi="Times New Roman"/>
        </w:rPr>
        <w:t xml:space="preserve">draft </w:t>
      </w:r>
      <w:r w:rsidR="00261D5C">
        <w:rPr>
          <w:rFonts w:ascii="Times New Roman" w:hAnsi="Times New Roman"/>
        </w:rPr>
        <w:t xml:space="preserve">Bill </w:t>
      </w:r>
      <w:r w:rsidR="006B49B0">
        <w:rPr>
          <w:rFonts w:ascii="Times New Roman" w:hAnsi="Times New Roman"/>
        </w:rPr>
        <w:t>in 1998</w:t>
      </w:r>
      <w:r w:rsidR="00557100">
        <w:rPr>
          <w:rFonts w:ascii="Times New Roman" w:hAnsi="Times New Roman"/>
        </w:rPr>
        <w:t xml:space="preserve"> (the draft Bill)</w:t>
      </w:r>
      <w:r w:rsidR="006B49B0">
        <w:rPr>
          <w:rFonts w:ascii="Times New Roman" w:hAnsi="Times New Roman"/>
        </w:rPr>
        <w:t>.</w:t>
      </w:r>
      <w:r w:rsidR="00CD3A3F">
        <w:rPr>
          <w:rStyle w:val="FootnoteReference"/>
          <w:rFonts w:ascii="Times New Roman" w:hAnsi="Times New Roman"/>
        </w:rPr>
        <w:footnoteReference w:id="4"/>
      </w:r>
      <w:r w:rsidR="00F81772">
        <w:rPr>
          <w:rFonts w:ascii="Times New Roman" w:hAnsi="Times New Roman"/>
        </w:rPr>
        <w:t xml:space="preserve"> </w:t>
      </w:r>
      <w:r w:rsidR="00FA54CF">
        <w:rPr>
          <w:rFonts w:ascii="Times New Roman" w:hAnsi="Times New Roman"/>
        </w:rPr>
        <w:t>That</w:t>
      </w:r>
      <w:r w:rsidR="008A21E5">
        <w:rPr>
          <w:rFonts w:ascii="Times New Roman" w:hAnsi="Times New Roman"/>
        </w:rPr>
        <w:t xml:space="preserve"> Bill</w:t>
      </w:r>
      <w:r w:rsidR="00803B65">
        <w:rPr>
          <w:rFonts w:ascii="Times New Roman" w:hAnsi="Times New Roman"/>
        </w:rPr>
        <w:t xml:space="preserve"> </w:t>
      </w:r>
      <w:r w:rsidR="005C3A0A">
        <w:rPr>
          <w:rFonts w:ascii="Times New Roman" w:hAnsi="Times New Roman"/>
        </w:rPr>
        <w:t>recommended</w:t>
      </w:r>
      <w:r w:rsidR="00FA54CF">
        <w:rPr>
          <w:rFonts w:ascii="Times New Roman" w:hAnsi="Times New Roman"/>
        </w:rPr>
        <w:t xml:space="preserve"> a </w:t>
      </w:r>
      <w:r w:rsidR="00204E30">
        <w:rPr>
          <w:rFonts w:ascii="Times New Roman" w:hAnsi="Times New Roman"/>
        </w:rPr>
        <w:t xml:space="preserve">new </w:t>
      </w:r>
      <w:r w:rsidR="005C4667">
        <w:rPr>
          <w:rFonts w:ascii="Times New Roman" w:hAnsi="Times New Roman"/>
        </w:rPr>
        <w:t>hierarchy of offences</w:t>
      </w:r>
      <w:r w:rsidR="00803B65">
        <w:rPr>
          <w:rFonts w:ascii="Times New Roman" w:hAnsi="Times New Roman"/>
        </w:rPr>
        <w:t xml:space="preserve"> which</w:t>
      </w:r>
      <w:r w:rsidR="005C4667">
        <w:rPr>
          <w:rFonts w:ascii="Times New Roman" w:hAnsi="Times New Roman"/>
        </w:rPr>
        <w:t>,</w:t>
      </w:r>
      <w:r w:rsidR="00803B65">
        <w:rPr>
          <w:rFonts w:ascii="Times New Roman" w:hAnsi="Times New Roman"/>
        </w:rPr>
        <w:t xml:space="preserve"> to date,</w:t>
      </w:r>
      <w:r w:rsidR="005843EE">
        <w:rPr>
          <w:rFonts w:ascii="Times New Roman" w:hAnsi="Times New Roman"/>
        </w:rPr>
        <w:t xml:space="preserve"> </w:t>
      </w:r>
      <w:r w:rsidR="00FA54CF">
        <w:rPr>
          <w:rFonts w:ascii="Times New Roman" w:hAnsi="Times New Roman"/>
        </w:rPr>
        <w:t>remains unimplemented.</w:t>
      </w:r>
      <w:r w:rsidR="007F1010">
        <w:rPr>
          <w:rFonts w:ascii="Times New Roman" w:hAnsi="Times New Roman"/>
        </w:rPr>
        <w:t xml:space="preserve"> </w:t>
      </w:r>
    </w:p>
    <w:p w:rsidR="00EB3253" w:rsidRDefault="00EB3253" w:rsidP="00334BF3">
      <w:pPr>
        <w:spacing w:line="480" w:lineRule="auto"/>
        <w:jc w:val="both"/>
        <w:rPr>
          <w:rFonts w:ascii="Times New Roman" w:hAnsi="Times New Roman"/>
        </w:rPr>
      </w:pPr>
    </w:p>
    <w:p w:rsidR="00B60899" w:rsidRDefault="00464EBD" w:rsidP="00334BF3">
      <w:pPr>
        <w:spacing w:line="480" w:lineRule="auto"/>
        <w:jc w:val="both"/>
        <w:rPr>
          <w:rFonts w:ascii="Times New Roman" w:hAnsi="Times New Roman"/>
        </w:rPr>
      </w:pPr>
      <w:r>
        <w:rPr>
          <w:rFonts w:ascii="Times New Roman" w:hAnsi="Times New Roman"/>
        </w:rPr>
        <w:lastRenderedPageBreak/>
        <w:t>Fast-</w:t>
      </w:r>
      <w:r w:rsidR="00334BF3">
        <w:rPr>
          <w:rFonts w:ascii="Times New Roman" w:hAnsi="Times New Roman"/>
        </w:rPr>
        <w:t>forward to 2011 and, as part of its 11</w:t>
      </w:r>
      <w:r w:rsidR="00334BF3" w:rsidRPr="00334BF3">
        <w:rPr>
          <w:rFonts w:ascii="Times New Roman" w:hAnsi="Times New Roman"/>
          <w:vertAlign w:val="superscript"/>
        </w:rPr>
        <w:t>th</w:t>
      </w:r>
      <w:r w:rsidR="00334BF3">
        <w:rPr>
          <w:rFonts w:ascii="Times New Roman" w:hAnsi="Times New Roman"/>
        </w:rPr>
        <w:t xml:space="preserve"> Programme of Law Reform, the Commission was asked by the Ministry of Justice to carry out a scoping exercise </w:t>
      </w:r>
      <w:r w:rsidR="00460DCA">
        <w:rPr>
          <w:rFonts w:ascii="Times New Roman" w:hAnsi="Times New Roman"/>
        </w:rPr>
        <w:t xml:space="preserve">on </w:t>
      </w:r>
      <w:r w:rsidR="00777C91">
        <w:rPr>
          <w:rFonts w:ascii="Times New Roman" w:hAnsi="Times New Roman"/>
        </w:rPr>
        <w:t>reform of</w:t>
      </w:r>
      <w:r w:rsidR="00334BF3">
        <w:rPr>
          <w:rFonts w:ascii="Times New Roman" w:hAnsi="Times New Roman"/>
        </w:rPr>
        <w:t xml:space="preserve"> offences against the person.</w:t>
      </w:r>
      <w:r w:rsidR="00334BF3">
        <w:rPr>
          <w:rStyle w:val="FootnoteReference"/>
          <w:rFonts w:ascii="Times New Roman" w:hAnsi="Times New Roman"/>
        </w:rPr>
        <w:footnoteReference w:id="5"/>
      </w:r>
      <w:r w:rsidR="00334BF3">
        <w:rPr>
          <w:rFonts w:ascii="Times New Roman" w:hAnsi="Times New Roman"/>
        </w:rPr>
        <w:t xml:space="preserve"> The Commission </w:t>
      </w:r>
      <w:r w:rsidR="002B65AF">
        <w:rPr>
          <w:rFonts w:ascii="Times New Roman" w:hAnsi="Times New Roman"/>
        </w:rPr>
        <w:t>issued</w:t>
      </w:r>
      <w:r w:rsidR="00EF7A40">
        <w:rPr>
          <w:rFonts w:ascii="Times New Roman" w:hAnsi="Times New Roman"/>
        </w:rPr>
        <w:t xml:space="preserve"> a scoping consultation paper </w:t>
      </w:r>
      <w:r w:rsidR="0068732B">
        <w:rPr>
          <w:rFonts w:ascii="Times New Roman" w:hAnsi="Times New Roman"/>
        </w:rPr>
        <w:t xml:space="preserve">(SCP) </w:t>
      </w:r>
      <w:r w:rsidR="00245B60">
        <w:rPr>
          <w:rFonts w:ascii="Times New Roman" w:hAnsi="Times New Roman"/>
        </w:rPr>
        <w:t xml:space="preserve">on </w:t>
      </w:r>
      <w:r w:rsidR="00501E8D">
        <w:rPr>
          <w:rFonts w:ascii="Times New Roman" w:hAnsi="Times New Roman"/>
        </w:rPr>
        <w:t xml:space="preserve">November </w:t>
      </w:r>
      <w:r w:rsidR="00245B60">
        <w:rPr>
          <w:rFonts w:ascii="Times New Roman" w:hAnsi="Times New Roman"/>
        </w:rPr>
        <w:t xml:space="preserve">12, </w:t>
      </w:r>
      <w:r w:rsidR="00C03BCC">
        <w:rPr>
          <w:rFonts w:ascii="Times New Roman" w:hAnsi="Times New Roman"/>
        </w:rPr>
        <w:t>2014 setting out:</w:t>
      </w:r>
      <w:r w:rsidR="00223C7C">
        <w:rPr>
          <w:rFonts w:ascii="Times New Roman" w:hAnsi="Times New Roman"/>
        </w:rPr>
        <w:t xml:space="preserve"> the </w:t>
      </w:r>
      <w:r w:rsidR="00CD18AA">
        <w:rPr>
          <w:rFonts w:ascii="Times New Roman" w:hAnsi="Times New Roman"/>
        </w:rPr>
        <w:t>present</w:t>
      </w:r>
      <w:r w:rsidR="00223C7C">
        <w:rPr>
          <w:rFonts w:ascii="Times New Roman" w:hAnsi="Times New Roman"/>
        </w:rPr>
        <w:t xml:space="preserve"> </w:t>
      </w:r>
      <w:r w:rsidR="00BB2A38">
        <w:rPr>
          <w:rFonts w:ascii="Times New Roman" w:hAnsi="Times New Roman"/>
        </w:rPr>
        <w:t>scheme</w:t>
      </w:r>
      <w:r w:rsidR="00223C7C">
        <w:rPr>
          <w:rFonts w:ascii="Times New Roman" w:hAnsi="Times New Roman"/>
        </w:rPr>
        <w:t xml:space="preserve"> of offences</w:t>
      </w:r>
      <w:r w:rsidR="00C03BCC">
        <w:rPr>
          <w:rFonts w:ascii="Times New Roman" w:hAnsi="Times New Roman"/>
        </w:rPr>
        <w:t>;</w:t>
      </w:r>
      <w:r w:rsidR="00223C7C">
        <w:rPr>
          <w:rFonts w:ascii="Times New Roman" w:hAnsi="Times New Roman"/>
        </w:rPr>
        <w:t xml:space="preserve"> the </w:t>
      </w:r>
      <w:r w:rsidR="00C03BCC">
        <w:rPr>
          <w:rFonts w:ascii="Times New Roman" w:hAnsi="Times New Roman"/>
        </w:rPr>
        <w:t>problems with those offences;</w:t>
      </w:r>
      <w:r w:rsidR="00223C7C">
        <w:rPr>
          <w:rFonts w:ascii="Times New Roman" w:hAnsi="Times New Roman"/>
        </w:rPr>
        <w:t xml:space="preserve"> previous attempts at reform; </w:t>
      </w:r>
      <w:r w:rsidR="00075C98">
        <w:rPr>
          <w:rFonts w:ascii="Times New Roman" w:hAnsi="Times New Roman"/>
        </w:rPr>
        <w:t>possible</w:t>
      </w:r>
      <w:r w:rsidR="00223C7C">
        <w:rPr>
          <w:rFonts w:ascii="Times New Roman" w:hAnsi="Times New Roman"/>
        </w:rPr>
        <w:t xml:space="preserve"> approaches to reform</w:t>
      </w:r>
      <w:r w:rsidR="008E6C35">
        <w:rPr>
          <w:rFonts w:ascii="Times New Roman" w:hAnsi="Times New Roman"/>
        </w:rPr>
        <w:t>; and the unique difficulties of disease transmission</w:t>
      </w:r>
      <w:r w:rsidR="00223C7C">
        <w:rPr>
          <w:rFonts w:ascii="Times New Roman" w:hAnsi="Times New Roman"/>
        </w:rPr>
        <w:t>.</w:t>
      </w:r>
      <w:r w:rsidR="0038569C">
        <w:rPr>
          <w:rStyle w:val="FootnoteReference"/>
          <w:rFonts w:ascii="Times New Roman" w:hAnsi="Times New Roman"/>
        </w:rPr>
        <w:footnoteReference w:id="6"/>
      </w:r>
      <w:r w:rsidR="00761801">
        <w:rPr>
          <w:rFonts w:ascii="Times New Roman" w:hAnsi="Times New Roman"/>
        </w:rPr>
        <w:t xml:space="preserve"> </w:t>
      </w:r>
      <w:r w:rsidR="00223C7C">
        <w:rPr>
          <w:rFonts w:ascii="Times New Roman" w:hAnsi="Times New Roman"/>
        </w:rPr>
        <w:t>In respect of</w:t>
      </w:r>
      <w:r w:rsidR="00C03BCC">
        <w:rPr>
          <w:rFonts w:ascii="Times New Roman" w:hAnsi="Times New Roman"/>
        </w:rPr>
        <w:t xml:space="preserve"> </w:t>
      </w:r>
      <w:r w:rsidR="00790C9E">
        <w:rPr>
          <w:rFonts w:ascii="Times New Roman" w:hAnsi="Times New Roman"/>
        </w:rPr>
        <w:t>th</w:t>
      </w:r>
      <w:r w:rsidR="00F22847">
        <w:rPr>
          <w:rFonts w:ascii="Times New Roman" w:hAnsi="Times New Roman"/>
        </w:rPr>
        <w:t>e</w:t>
      </w:r>
      <w:r w:rsidR="00A27A2B">
        <w:rPr>
          <w:rFonts w:ascii="Times New Roman" w:hAnsi="Times New Roman"/>
        </w:rPr>
        <w:t>se</w:t>
      </w:r>
      <w:r w:rsidR="00C03BCC">
        <w:rPr>
          <w:rFonts w:ascii="Times New Roman" w:hAnsi="Times New Roman"/>
        </w:rPr>
        <w:t xml:space="preserve"> last </w:t>
      </w:r>
      <w:r w:rsidR="008E6C35">
        <w:rPr>
          <w:rFonts w:ascii="Times New Roman" w:hAnsi="Times New Roman"/>
        </w:rPr>
        <w:t>four</w:t>
      </w:r>
      <w:r w:rsidR="00223C7C">
        <w:rPr>
          <w:rFonts w:ascii="Times New Roman" w:hAnsi="Times New Roman"/>
        </w:rPr>
        <w:t xml:space="preserve"> </w:t>
      </w:r>
      <w:r w:rsidR="00C03BCC">
        <w:rPr>
          <w:rFonts w:ascii="Times New Roman" w:hAnsi="Times New Roman"/>
        </w:rPr>
        <w:t>matters</w:t>
      </w:r>
      <w:r w:rsidR="0038569C">
        <w:rPr>
          <w:rFonts w:ascii="Times New Roman" w:hAnsi="Times New Roman"/>
        </w:rPr>
        <w:t xml:space="preserve">, it </w:t>
      </w:r>
      <w:r w:rsidR="00F46341">
        <w:rPr>
          <w:rFonts w:ascii="Times New Roman" w:hAnsi="Times New Roman"/>
        </w:rPr>
        <w:t>posed</w:t>
      </w:r>
      <w:r w:rsidR="00271E47">
        <w:rPr>
          <w:rFonts w:ascii="Times New Roman" w:hAnsi="Times New Roman"/>
        </w:rPr>
        <w:t xml:space="preserve"> 38 questions</w:t>
      </w:r>
      <w:r w:rsidR="00281CFC">
        <w:rPr>
          <w:rFonts w:ascii="Times New Roman" w:hAnsi="Times New Roman"/>
        </w:rPr>
        <w:t xml:space="preserve"> </w:t>
      </w:r>
      <w:r w:rsidR="001C5355">
        <w:rPr>
          <w:rFonts w:ascii="Times New Roman" w:hAnsi="Times New Roman"/>
        </w:rPr>
        <w:t>to</w:t>
      </w:r>
      <w:r w:rsidR="00BB3581">
        <w:rPr>
          <w:rFonts w:ascii="Times New Roman" w:hAnsi="Times New Roman"/>
        </w:rPr>
        <w:t xml:space="preserve"> consultee</w:t>
      </w:r>
      <w:r w:rsidR="001C5355">
        <w:rPr>
          <w:rFonts w:ascii="Times New Roman" w:hAnsi="Times New Roman"/>
        </w:rPr>
        <w:t>s for</w:t>
      </w:r>
      <w:r w:rsidR="0073171D">
        <w:rPr>
          <w:rFonts w:ascii="Times New Roman" w:hAnsi="Times New Roman"/>
        </w:rPr>
        <w:t xml:space="preserve"> response</w:t>
      </w:r>
      <w:r w:rsidR="00781E40">
        <w:rPr>
          <w:rFonts w:ascii="Times New Roman" w:hAnsi="Times New Roman"/>
        </w:rPr>
        <w:t xml:space="preserve"> </w:t>
      </w:r>
      <w:r w:rsidR="00245B60">
        <w:rPr>
          <w:rFonts w:ascii="Times New Roman" w:hAnsi="Times New Roman"/>
        </w:rPr>
        <w:t xml:space="preserve">by </w:t>
      </w:r>
      <w:r w:rsidR="00F46341">
        <w:rPr>
          <w:rFonts w:ascii="Times New Roman" w:hAnsi="Times New Roman"/>
        </w:rPr>
        <w:t>February</w:t>
      </w:r>
      <w:r w:rsidR="00245B60">
        <w:rPr>
          <w:rFonts w:ascii="Times New Roman" w:hAnsi="Times New Roman"/>
        </w:rPr>
        <w:t xml:space="preserve"> 11,</w:t>
      </w:r>
      <w:r w:rsidR="00F46341">
        <w:rPr>
          <w:rFonts w:ascii="Times New Roman" w:hAnsi="Times New Roman"/>
        </w:rPr>
        <w:t xml:space="preserve"> 2015.</w:t>
      </w:r>
      <w:r w:rsidR="00BB3581">
        <w:rPr>
          <w:rStyle w:val="FootnoteReference"/>
          <w:rFonts w:ascii="Times New Roman" w:hAnsi="Times New Roman"/>
        </w:rPr>
        <w:footnoteReference w:id="7"/>
      </w:r>
      <w:r w:rsidR="0073171D">
        <w:rPr>
          <w:rFonts w:ascii="Times New Roman" w:hAnsi="Times New Roman"/>
        </w:rPr>
        <w:t xml:space="preserve"> </w:t>
      </w:r>
      <w:r w:rsidR="00C50BAD">
        <w:rPr>
          <w:rFonts w:ascii="Times New Roman" w:hAnsi="Times New Roman"/>
        </w:rPr>
        <w:t xml:space="preserve">On November </w:t>
      </w:r>
      <w:r w:rsidR="00245B60">
        <w:rPr>
          <w:rFonts w:ascii="Times New Roman" w:hAnsi="Times New Roman"/>
        </w:rPr>
        <w:t xml:space="preserve">3, </w:t>
      </w:r>
      <w:r w:rsidR="00C50BAD">
        <w:rPr>
          <w:rFonts w:ascii="Times New Roman" w:hAnsi="Times New Roman"/>
        </w:rPr>
        <w:t xml:space="preserve">2015 </w:t>
      </w:r>
      <w:r w:rsidR="00993EEF">
        <w:rPr>
          <w:rFonts w:ascii="Times New Roman" w:hAnsi="Times New Roman"/>
        </w:rPr>
        <w:t>the Commission</w:t>
      </w:r>
      <w:r w:rsidR="00C50BAD">
        <w:rPr>
          <w:rFonts w:ascii="Times New Roman" w:hAnsi="Times New Roman"/>
        </w:rPr>
        <w:t xml:space="preserve"> published </w:t>
      </w:r>
      <w:r w:rsidR="00781E40">
        <w:rPr>
          <w:rFonts w:ascii="Times New Roman" w:hAnsi="Times New Roman"/>
        </w:rPr>
        <w:t>its</w:t>
      </w:r>
      <w:r w:rsidR="007017D5">
        <w:rPr>
          <w:rFonts w:ascii="Times New Roman" w:hAnsi="Times New Roman"/>
        </w:rPr>
        <w:t xml:space="preserve"> </w:t>
      </w:r>
      <w:r w:rsidR="00790C9E">
        <w:rPr>
          <w:rFonts w:ascii="Times New Roman" w:hAnsi="Times New Roman"/>
        </w:rPr>
        <w:t>scoping</w:t>
      </w:r>
      <w:r w:rsidR="00781E40">
        <w:rPr>
          <w:rFonts w:ascii="Times New Roman" w:hAnsi="Times New Roman"/>
        </w:rPr>
        <w:t xml:space="preserve"> </w:t>
      </w:r>
      <w:r w:rsidR="00790C9E">
        <w:rPr>
          <w:rFonts w:ascii="Times New Roman" w:hAnsi="Times New Roman"/>
        </w:rPr>
        <w:t>report</w:t>
      </w:r>
      <w:r w:rsidR="00A55BC9">
        <w:rPr>
          <w:rFonts w:ascii="Times New Roman" w:hAnsi="Times New Roman"/>
        </w:rPr>
        <w:t>.</w:t>
      </w:r>
      <w:r w:rsidR="00ED1A31">
        <w:rPr>
          <w:rStyle w:val="FootnoteReference"/>
          <w:rFonts w:ascii="Times New Roman" w:hAnsi="Times New Roman"/>
        </w:rPr>
        <w:footnoteReference w:id="8"/>
      </w:r>
      <w:r w:rsidR="00ED1A31">
        <w:rPr>
          <w:rFonts w:ascii="Times New Roman" w:hAnsi="Times New Roman"/>
        </w:rPr>
        <w:t xml:space="preserve"> </w:t>
      </w:r>
      <w:r w:rsidR="009F023A">
        <w:rPr>
          <w:rFonts w:ascii="Times New Roman" w:hAnsi="Times New Roman"/>
        </w:rPr>
        <w:t xml:space="preserve">In </w:t>
      </w:r>
      <w:r w:rsidR="00C50BAD">
        <w:rPr>
          <w:rFonts w:ascii="Times New Roman" w:hAnsi="Times New Roman"/>
        </w:rPr>
        <w:t xml:space="preserve">that </w:t>
      </w:r>
      <w:r w:rsidR="00CD78E0">
        <w:rPr>
          <w:rFonts w:ascii="Times New Roman" w:hAnsi="Times New Roman"/>
        </w:rPr>
        <w:t>document</w:t>
      </w:r>
      <w:r w:rsidR="009F023A">
        <w:rPr>
          <w:rFonts w:ascii="Times New Roman" w:hAnsi="Times New Roman"/>
        </w:rPr>
        <w:t xml:space="preserve">, </w:t>
      </w:r>
      <w:r w:rsidR="00832AC8">
        <w:rPr>
          <w:rFonts w:ascii="Times New Roman" w:hAnsi="Times New Roman"/>
        </w:rPr>
        <w:t xml:space="preserve">it </w:t>
      </w:r>
      <w:r w:rsidR="00BB1876">
        <w:rPr>
          <w:rFonts w:ascii="Times New Roman" w:hAnsi="Times New Roman"/>
        </w:rPr>
        <w:t>revealed</w:t>
      </w:r>
      <w:r w:rsidR="009F023A">
        <w:rPr>
          <w:rFonts w:ascii="Times New Roman" w:hAnsi="Times New Roman"/>
        </w:rPr>
        <w:t xml:space="preserve"> it </w:t>
      </w:r>
      <w:r w:rsidR="00BB1876">
        <w:rPr>
          <w:rFonts w:ascii="Times New Roman" w:hAnsi="Times New Roman"/>
        </w:rPr>
        <w:t xml:space="preserve">had </w:t>
      </w:r>
      <w:r w:rsidR="00ED1A31">
        <w:rPr>
          <w:rFonts w:ascii="Times New Roman" w:hAnsi="Times New Roman"/>
        </w:rPr>
        <w:t>received</w:t>
      </w:r>
      <w:r w:rsidR="00EE5D78">
        <w:rPr>
          <w:rFonts w:ascii="Times New Roman" w:hAnsi="Times New Roman"/>
        </w:rPr>
        <w:t xml:space="preserve"> 53 </w:t>
      </w:r>
      <w:r w:rsidR="00C50BAD">
        <w:rPr>
          <w:rFonts w:ascii="Times New Roman" w:hAnsi="Times New Roman"/>
        </w:rPr>
        <w:t>replies</w:t>
      </w:r>
      <w:r w:rsidR="00A06818">
        <w:rPr>
          <w:rFonts w:ascii="Times New Roman" w:hAnsi="Times New Roman"/>
        </w:rPr>
        <w:t xml:space="preserve"> to the SCP</w:t>
      </w:r>
      <w:r w:rsidR="00ED1A31">
        <w:rPr>
          <w:rFonts w:ascii="Times New Roman" w:hAnsi="Times New Roman"/>
        </w:rPr>
        <w:t>,</w:t>
      </w:r>
      <w:r w:rsidR="00ED1A31">
        <w:rPr>
          <w:rStyle w:val="FootnoteReference"/>
          <w:rFonts w:ascii="Times New Roman" w:hAnsi="Times New Roman"/>
        </w:rPr>
        <w:footnoteReference w:id="9"/>
      </w:r>
      <w:r w:rsidR="00A06818">
        <w:rPr>
          <w:rFonts w:ascii="Times New Roman" w:hAnsi="Times New Roman"/>
        </w:rPr>
        <w:t xml:space="preserve"> </w:t>
      </w:r>
      <w:r w:rsidR="00A55BC9">
        <w:rPr>
          <w:rFonts w:ascii="Times New Roman" w:hAnsi="Times New Roman"/>
        </w:rPr>
        <w:t xml:space="preserve">with consultees drawn from, amongst other </w:t>
      </w:r>
      <w:r w:rsidR="009F023A">
        <w:rPr>
          <w:rFonts w:ascii="Times New Roman" w:hAnsi="Times New Roman"/>
        </w:rPr>
        <w:t>areas</w:t>
      </w:r>
      <w:r w:rsidR="00882B22">
        <w:rPr>
          <w:rFonts w:ascii="Times New Roman" w:hAnsi="Times New Roman"/>
        </w:rPr>
        <w:t>:</w:t>
      </w:r>
      <w:r w:rsidR="00A55BC9">
        <w:rPr>
          <w:rFonts w:ascii="Times New Roman" w:hAnsi="Times New Roman"/>
        </w:rPr>
        <w:t xml:space="preserve"> </w:t>
      </w:r>
      <w:r w:rsidR="00882B22">
        <w:rPr>
          <w:rFonts w:ascii="Times New Roman" w:hAnsi="Times New Roman"/>
        </w:rPr>
        <w:t>the judiciary;</w:t>
      </w:r>
      <w:r w:rsidR="0048328F">
        <w:rPr>
          <w:rFonts w:ascii="Times New Roman" w:hAnsi="Times New Roman"/>
        </w:rPr>
        <w:t xml:space="preserve"> </w:t>
      </w:r>
      <w:r w:rsidR="00882B22">
        <w:rPr>
          <w:rFonts w:ascii="Times New Roman" w:hAnsi="Times New Roman"/>
        </w:rPr>
        <w:t>general public;</w:t>
      </w:r>
      <w:r w:rsidR="00BB1876">
        <w:rPr>
          <w:rFonts w:ascii="Times New Roman" w:hAnsi="Times New Roman"/>
        </w:rPr>
        <w:t xml:space="preserve"> </w:t>
      </w:r>
      <w:r w:rsidR="00882B22">
        <w:rPr>
          <w:rFonts w:ascii="Times New Roman" w:hAnsi="Times New Roman"/>
        </w:rPr>
        <w:t>legal practice;</w:t>
      </w:r>
      <w:r w:rsidR="0048328F">
        <w:rPr>
          <w:rFonts w:ascii="Times New Roman" w:hAnsi="Times New Roman"/>
        </w:rPr>
        <w:t xml:space="preserve"> </w:t>
      </w:r>
      <w:r w:rsidR="00882B22">
        <w:rPr>
          <w:rFonts w:ascii="Times New Roman" w:hAnsi="Times New Roman"/>
        </w:rPr>
        <w:t xml:space="preserve">police; Crown Prosecution Service; </w:t>
      </w:r>
      <w:r w:rsidR="0048328F">
        <w:rPr>
          <w:rFonts w:ascii="Times New Roman" w:hAnsi="Times New Roman"/>
        </w:rPr>
        <w:t>academia</w:t>
      </w:r>
      <w:r w:rsidR="00882B22">
        <w:rPr>
          <w:rFonts w:ascii="Times New Roman" w:hAnsi="Times New Roman"/>
        </w:rPr>
        <w:t>;</w:t>
      </w:r>
      <w:r w:rsidR="0048328F">
        <w:rPr>
          <w:rFonts w:ascii="Times New Roman" w:hAnsi="Times New Roman"/>
        </w:rPr>
        <w:t xml:space="preserve"> and </w:t>
      </w:r>
      <w:r w:rsidR="00BB1876">
        <w:rPr>
          <w:rFonts w:ascii="Times New Roman" w:hAnsi="Times New Roman"/>
        </w:rPr>
        <w:t>medical profession</w:t>
      </w:r>
      <w:r w:rsidR="00F06CB4">
        <w:rPr>
          <w:rFonts w:ascii="Times New Roman" w:hAnsi="Times New Roman"/>
        </w:rPr>
        <w:t>.</w:t>
      </w:r>
      <w:r w:rsidR="00ED1A31">
        <w:rPr>
          <w:rStyle w:val="FootnoteReference"/>
          <w:rFonts w:ascii="Times New Roman" w:hAnsi="Times New Roman"/>
        </w:rPr>
        <w:footnoteReference w:id="10"/>
      </w:r>
      <w:r w:rsidR="00A06818">
        <w:rPr>
          <w:rFonts w:ascii="Times New Roman" w:hAnsi="Times New Roman"/>
        </w:rPr>
        <w:t xml:space="preserve"> </w:t>
      </w:r>
      <w:r w:rsidR="00781E40">
        <w:rPr>
          <w:rFonts w:ascii="Times New Roman" w:hAnsi="Times New Roman"/>
        </w:rPr>
        <w:t xml:space="preserve">Of the 32 respondents who </w:t>
      </w:r>
      <w:r w:rsidR="0087422F">
        <w:rPr>
          <w:rFonts w:ascii="Times New Roman" w:hAnsi="Times New Roman"/>
        </w:rPr>
        <w:t>commented</w:t>
      </w:r>
      <w:r w:rsidR="00781E40">
        <w:rPr>
          <w:rFonts w:ascii="Times New Roman" w:hAnsi="Times New Roman"/>
        </w:rPr>
        <w:t xml:space="preserve"> on the </w:t>
      </w:r>
      <w:r w:rsidR="00BB1876">
        <w:rPr>
          <w:rFonts w:ascii="Times New Roman" w:hAnsi="Times New Roman"/>
        </w:rPr>
        <w:t>need</w:t>
      </w:r>
      <w:r w:rsidR="00781E40">
        <w:rPr>
          <w:rFonts w:ascii="Times New Roman" w:hAnsi="Times New Roman"/>
        </w:rPr>
        <w:t xml:space="preserve"> for reform, a </w:t>
      </w:r>
      <w:r w:rsidR="00E33552">
        <w:rPr>
          <w:rFonts w:ascii="Times New Roman" w:hAnsi="Times New Roman"/>
        </w:rPr>
        <w:t>large</w:t>
      </w:r>
      <w:r w:rsidR="00781E40">
        <w:rPr>
          <w:rFonts w:ascii="Times New Roman" w:hAnsi="Times New Roman"/>
        </w:rPr>
        <w:t xml:space="preserve"> majority (28</w:t>
      </w:r>
      <w:r w:rsidR="00A034A0">
        <w:rPr>
          <w:rFonts w:ascii="Times New Roman" w:hAnsi="Times New Roman"/>
        </w:rPr>
        <w:t xml:space="preserve">) </w:t>
      </w:r>
      <w:r w:rsidR="0087422F">
        <w:rPr>
          <w:rFonts w:ascii="Times New Roman" w:hAnsi="Times New Roman"/>
        </w:rPr>
        <w:t>favoured</w:t>
      </w:r>
      <w:r w:rsidR="00993EEF">
        <w:rPr>
          <w:rFonts w:ascii="Times New Roman" w:hAnsi="Times New Roman"/>
        </w:rPr>
        <w:t xml:space="preserve"> the</w:t>
      </w:r>
      <w:r w:rsidR="00781E40">
        <w:rPr>
          <w:rFonts w:ascii="Times New Roman" w:hAnsi="Times New Roman"/>
        </w:rPr>
        <w:t xml:space="preserve"> </w:t>
      </w:r>
      <w:r w:rsidR="007A7F46">
        <w:rPr>
          <w:rFonts w:ascii="Times New Roman" w:hAnsi="Times New Roman"/>
        </w:rPr>
        <w:t>creation</w:t>
      </w:r>
      <w:r w:rsidR="00993EEF">
        <w:rPr>
          <w:rFonts w:ascii="Times New Roman" w:hAnsi="Times New Roman"/>
        </w:rPr>
        <w:t xml:space="preserve"> of </w:t>
      </w:r>
      <w:r w:rsidR="00857EDF">
        <w:rPr>
          <w:rFonts w:ascii="Times New Roman" w:hAnsi="Times New Roman"/>
        </w:rPr>
        <w:t>modernised</w:t>
      </w:r>
      <w:r w:rsidR="00A34E0F">
        <w:rPr>
          <w:rFonts w:ascii="Times New Roman" w:hAnsi="Times New Roman"/>
        </w:rPr>
        <w:t xml:space="preserve"> offences </w:t>
      </w:r>
      <w:r w:rsidR="002B7C8F">
        <w:rPr>
          <w:rFonts w:ascii="Times New Roman" w:hAnsi="Times New Roman"/>
        </w:rPr>
        <w:t>via</w:t>
      </w:r>
      <w:r w:rsidR="00A34E0F">
        <w:rPr>
          <w:rFonts w:ascii="Times New Roman" w:hAnsi="Times New Roman"/>
        </w:rPr>
        <w:t xml:space="preserve"> a new </w:t>
      </w:r>
      <w:r w:rsidR="00751FD5">
        <w:rPr>
          <w:rFonts w:ascii="Times New Roman" w:hAnsi="Times New Roman"/>
        </w:rPr>
        <w:t>statute</w:t>
      </w:r>
      <w:r w:rsidR="00F46341">
        <w:rPr>
          <w:rFonts w:ascii="Times New Roman" w:hAnsi="Times New Roman"/>
        </w:rPr>
        <w:t>.</w:t>
      </w:r>
      <w:r w:rsidR="00781E40">
        <w:rPr>
          <w:rStyle w:val="FootnoteReference"/>
          <w:rFonts w:ascii="Times New Roman" w:hAnsi="Times New Roman"/>
        </w:rPr>
        <w:footnoteReference w:id="11"/>
      </w:r>
      <w:r w:rsidR="00751FD5">
        <w:rPr>
          <w:rFonts w:ascii="Times New Roman" w:hAnsi="Times New Roman"/>
        </w:rPr>
        <w:t xml:space="preserve"> </w:t>
      </w:r>
      <w:r w:rsidR="007A7F46">
        <w:rPr>
          <w:rFonts w:ascii="Times New Roman" w:hAnsi="Times New Roman"/>
        </w:rPr>
        <w:t xml:space="preserve">The </w:t>
      </w:r>
      <w:r w:rsidR="00D61721">
        <w:rPr>
          <w:rFonts w:ascii="Times New Roman" w:hAnsi="Times New Roman"/>
        </w:rPr>
        <w:t xml:space="preserve">scoping </w:t>
      </w:r>
      <w:r w:rsidR="007A7F46">
        <w:rPr>
          <w:rFonts w:ascii="Times New Roman" w:hAnsi="Times New Roman"/>
        </w:rPr>
        <w:t xml:space="preserve">report </w:t>
      </w:r>
      <w:r w:rsidR="0087422F">
        <w:rPr>
          <w:rFonts w:ascii="Times New Roman" w:hAnsi="Times New Roman"/>
        </w:rPr>
        <w:t>supports that idea</w:t>
      </w:r>
      <w:r w:rsidR="00977D74">
        <w:rPr>
          <w:rFonts w:ascii="Times New Roman" w:hAnsi="Times New Roman"/>
        </w:rPr>
        <w:t xml:space="preserve">, albeit </w:t>
      </w:r>
      <w:r w:rsidR="00E761A4">
        <w:rPr>
          <w:rFonts w:ascii="Times New Roman" w:hAnsi="Times New Roman"/>
        </w:rPr>
        <w:t>with</w:t>
      </w:r>
      <w:r w:rsidR="002C3A22">
        <w:rPr>
          <w:rFonts w:ascii="Times New Roman" w:hAnsi="Times New Roman"/>
        </w:rPr>
        <w:t xml:space="preserve"> such a statute </w:t>
      </w:r>
      <w:r w:rsidR="00E761A4">
        <w:rPr>
          <w:rFonts w:ascii="Times New Roman" w:hAnsi="Times New Roman"/>
        </w:rPr>
        <w:t xml:space="preserve">based </w:t>
      </w:r>
      <w:r w:rsidR="00FB3AD1">
        <w:rPr>
          <w:rFonts w:ascii="Times New Roman" w:hAnsi="Times New Roman"/>
        </w:rPr>
        <w:t>on</w:t>
      </w:r>
      <w:r w:rsidR="00916C0A">
        <w:rPr>
          <w:rFonts w:ascii="Times New Roman" w:hAnsi="Times New Roman"/>
        </w:rPr>
        <w:t xml:space="preserve"> a</w:t>
      </w:r>
      <w:r w:rsidR="00FB3AD1">
        <w:rPr>
          <w:rFonts w:ascii="Times New Roman" w:hAnsi="Times New Roman"/>
        </w:rPr>
        <w:t xml:space="preserve"> modified version</w:t>
      </w:r>
      <w:r w:rsidR="0030230A">
        <w:rPr>
          <w:rFonts w:ascii="Times New Roman" w:hAnsi="Times New Roman"/>
        </w:rPr>
        <w:t xml:space="preserve"> of the </w:t>
      </w:r>
      <w:r w:rsidR="00FB3AD1">
        <w:rPr>
          <w:rFonts w:ascii="Times New Roman" w:hAnsi="Times New Roman"/>
        </w:rPr>
        <w:t>draft Bill</w:t>
      </w:r>
      <w:r w:rsidR="0068732B">
        <w:rPr>
          <w:rFonts w:ascii="Times New Roman" w:hAnsi="Times New Roman"/>
        </w:rPr>
        <w:t>.</w:t>
      </w:r>
      <w:r w:rsidR="003E7911">
        <w:rPr>
          <w:rStyle w:val="FootnoteReference"/>
          <w:rFonts w:ascii="Times New Roman" w:hAnsi="Times New Roman"/>
        </w:rPr>
        <w:footnoteReference w:id="12"/>
      </w:r>
      <w:r w:rsidR="00BC717C">
        <w:rPr>
          <w:rFonts w:ascii="Times New Roman" w:hAnsi="Times New Roman"/>
        </w:rPr>
        <w:t xml:space="preserve"> </w:t>
      </w:r>
      <w:r w:rsidR="00D53D62">
        <w:rPr>
          <w:rFonts w:ascii="Times New Roman" w:hAnsi="Times New Roman"/>
        </w:rPr>
        <w:t>That</w:t>
      </w:r>
      <w:r w:rsidR="004D48BB">
        <w:rPr>
          <w:rFonts w:ascii="Times New Roman" w:hAnsi="Times New Roman"/>
        </w:rPr>
        <w:t xml:space="preserve"> </w:t>
      </w:r>
      <w:r w:rsidR="0030230A">
        <w:rPr>
          <w:rFonts w:ascii="Times New Roman" w:hAnsi="Times New Roman"/>
        </w:rPr>
        <w:t>strategy</w:t>
      </w:r>
      <w:r w:rsidR="00BC717C">
        <w:rPr>
          <w:rFonts w:ascii="Times New Roman" w:hAnsi="Times New Roman"/>
        </w:rPr>
        <w:t xml:space="preserve"> </w:t>
      </w:r>
      <w:r w:rsidR="005C3A0A">
        <w:rPr>
          <w:rFonts w:ascii="Times New Roman" w:hAnsi="Times New Roman"/>
        </w:rPr>
        <w:t>makes pragmatic sense:</w:t>
      </w:r>
      <w:r w:rsidR="005F0CDA">
        <w:rPr>
          <w:rFonts w:ascii="Times New Roman" w:hAnsi="Times New Roman"/>
        </w:rPr>
        <w:t xml:space="preserve"> </w:t>
      </w:r>
      <w:r w:rsidR="004D48BB">
        <w:rPr>
          <w:rFonts w:ascii="Times New Roman" w:hAnsi="Times New Roman"/>
        </w:rPr>
        <w:t>the draft Bill</w:t>
      </w:r>
      <w:r w:rsidR="00594FD9">
        <w:rPr>
          <w:rFonts w:ascii="Times New Roman" w:hAnsi="Times New Roman"/>
        </w:rPr>
        <w:t xml:space="preserve"> </w:t>
      </w:r>
      <w:r w:rsidR="00916C0A">
        <w:rPr>
          <w:rFonts w:ascii="Times New Roman" w:hAnsi="Times New Roman"/>
        </w:rPr>
        <w:t>represents</w:t>
      </w:r>
      <w:r w:rsidR="00594FD9">
        <w:rPr>
          <w:rFonts w:ascii="Times New Roman" w:hAnsi="Times New Roman"/>
        </w:rPr>
        <w:t xml:space="preserve"> a </w:t>
      </w:r>
      <w:r w:rsidR="005C3A0A">
        <w:rPr>
          <w:rFonts w:ascii="Times New Roman" w:hAnsi="Times New Roman"/>
        </w:rPr>
        <w:t xml:space="preserve">ready-made and </w:t>
      </w:r>
      <w:r w:rsidR="00594FD9">
        <w:rPr>
          <w:rFonts w:ascii="Times New Roman" w:hAnsi="Times New Roman"/>
        </w:rPr>
        <w:t>popular</w:t>
      </w:r>
      <w:r w:rsidR="005C3A0A">
        <w:rPr>
          <w:rFonts w:ascii="Times New Roman" w:hAnsi="Times New Roman"/>
        </w:rPr>
        <w:t xml:space="preserve"> </w:t>
      </w:r>
      <w:r w:rsidR="00916C0A">
        <w:rPr>
          <w:rFonts w:ascii="Times New Roman" w:hAnsi="Times New Roman"/>
        </w:rPr>
        <w:t>framework</w:t>
      </w:r>
      <w:r w:rsidR="005C3A0A">
        <w:rPr>
          <w:rStyle w:val="FootnoteReference"/>
          <w:rFonts w:ascii="Times New Roman" w:hAnsi="Times New Roman"/>
        </w:rPr>
        <w:footnoteReference w:id="13"/>
      </w:r>
      <w:r w:rsidR="008F2476">
        <w:rPr>
          <w:rFonts w:ascii="Times New Roman" w:hAnsi="Times New Roman"/>
        </w:rPr>
        <w:t xml:space="preserve"> </w:t>
      </w:r>
      <w:r w:rsidR="007E0FD2">
        <w:rPr>
          <w:rFonts w:ascii="Times New Roman" w:hAnsi="Times New Roman"/>
        </w:rPr>
        <w:t>which</w:t>
      </w:r>
      <w:r w:rsidR="005F0CDA">
        <w:rPr>
          <w:rFonts w:ascii="Times New Roman" w:hAnsi="Times New Roman"/>
        </w:rPr>
        <w:t xml:space="preserve"> offers t</w:t>
      </w:r>
      <w:r w:rsidR="005C3A0A">
        <w:rPr>
          <w:rFonts w:ascii="Times New Roman" w:hAnsi="Times New Roman"/>
        </w:rPr>
        <w:t>he most likely way of achieving</w:t>
      </w:r>
      <w:r w:rsidR="005F0CDA">
        <w:rPr>
          <w:rFonts w:ascii="Times New Roman" w:hAnsi="Times New Roman"/>
        </w:rPr>
        <w:t xml:space="preserve"> reform</w:t>
      </w:r>
      <w:r w:rsidR="00A300E5">
        <w:rPr>
          <w:rFonts w:ascii="Times New Roman" w:hAnsi="Times New Roman"/>
        </w:rPr>
        <w:t>.</w:t>
      </w:r>
      <w:r w:rsidR="005F0CDA">
        <w:rPr>
          <w:rStyle w:val="FootnoteReference"/>
          <w:rFonts w:ascii="Times New Roman" w:hAnsi="Times New Roman"/>
        </w:rPr>
        <w:footnoteReference w:id="14"/>
      </w:r>
    </w:p>
    <w:p w:rsidR="00562124" w:rsidRDefault="00562124" w:rsidP="00334BF3">
      <w:pPr>
        <w:spacing w:line="480" w:lineRule="auto"/>
        <w:jc w:val="both"/>
        <w:rPr>
          <w:rFonts w:ascii="Times New Roman" w:hAnsi="Times New Roman"/>
        </w:rPr>
      </w:pPr>
    </w:p>
    <w:p w:rsidR="002E1472" w:rsidRDefault="00277FDA" w:rsidP="00334BF3">
      <w:pPr>
        <w:spacing w:line="480" w:lineRule="auto"/>
        <w:jc w:val="both"/>
        <w:rPr>
          <w:rFonts w:ascii="Times New Roman" w:hAnsi="Times New Roman"/>
        </w:rPr>
      </w:pPr>
      <w:r>
        <w:rPr>
          <w:rFonts w:ascii="Times New Roman" w:hAnsi="Times New Roman"/>
        </w:rPr>
        <w:t xml:space="preserve">This article </w:t>
      </w:r>
      <w:r w:rsidR="002A5EB6">
        <w:rPr>
          <w:rFonts w:ascii="Times New Roman" w:hAnsi="Times New Roman"/>
        </w:rPr>
        <w:t>critiques</w:t>
      </w:r>
      <w:r>
        <w:rPr>
          <w:rFonts w:ascii="Times New Roman" w:hAnsi="Times New Roman"/>
        </w:rPr>
        <w:t xml:space="preserve"> the </w:t>
      </w:r>
      <w:r w:rsidR="00B149EB">
        <w:rPr>
          <w:rFonts w:ascii="Times New Roman" w:hAnsi="Times New Roman"/>
        </w:rPr>
        <w:t>scoping report’s</w:t>
      </w:r>
      <w:r w:rsidR="00D9297A">
        <w:rPr>
          <w:rFonts w:ascii="Times New Roman" w:hAnsi="Times New Roman"/>
        </w:rPr>
        <w:t xml:space="preserve"> </w:t>
      </w:r>
      <w:r w:rsidR="005C3A0A">
        <w:rPr>
          <w:rFonts w:ascii="Times New Roman" w:hAnsi="Times New Roman"/>
        </w:rPr>
        <w:t xml:space="preserve">proposed </w:t>
      </w:r>
      <w:r w:rsidR="00F54B12">
        <w:rPr>
          <w:rFonts w:ascii="Times New Roman" w:hAnsi="Times New Roman"/>
        </w:rPr>
        <w:t>changes to</w:t>
      </w:r>
      <w:r w:rsidR="00790C9E">
        <w:rPr>
          <w:rFonts w:ascii="Times New Roman" w:hAnsi="Times New Roman"/>
        </w:rPr>
        <w:t xml:space="preserve"> </w:t>
      </w:r>
      <w:r w:rsidR="00A654E9">
        <w:rPr>
          <w:rFonts w:ascii="Times New Roman" w:hAnsi="Times New Roman"/>
        </w:rPr>
        <w:t>offences against the person.</w:t>
      </w:r>
      <w:r w:rsidR="00D9297A">
        <w:rPr>
          <w:rFonts w:ascii="Times New Roman" w:hAnsi="Times New Roman"/>
        </w:rPr>
        <w:t xml:space="preserve"> </w:t>
      </w:r>
      <w:r w:rsidR="00407026">
        <w:rPr>
          <w:rFonts w:ascii="Times New Roman" w:hAnsi="Times New Roman"/>
        </w:rPr>
        <w:t xml:space="preserve">In particular, it concentrates on the </w:t>
      </w:r>
      <w:r w:rsidR="00790C9E">
        <w:rPr>
          <w:rFonts w:ascii="Times New Roman" w:hAnsi="Times New Roman"/>
        </w:rPr>
        <w:t xml:space="preserve">three main crimes of violence </w:t>
      </w:r>
      <w:r w:rsidR="00CE199F">
        <w:rPr>
          <w:rFonts w:ascii="Times New Roman" w:hAnsi="Times New Roman"/>
        </w:rPr>
        <w:t>contained</w:t>
      </w:r>
      <w:r w:rsidR="00CD39AD">
        <w:rPr>
          <w:rFonts w:ascii="Times New Roman" w:hAnsi="Times New Roman"/>
        </w:rPr>
        <w:t xml:space="preserve"> in </w:t>
      </w:r>
      <w:r w:rsidR="00776E2F">
        <w:rPr>
          <w:rFonts w:ascii="Times New Roman" w:hAnsi="Times New Roman"/>
        </w:rPr>
        <w:t>the Offences</w:t>
      </w:r>
      <w:r w:rsidR="00E314B7">
        <w:rPr>
          <w:rFonts w:ascii="Times New Roman" w:hAnsi="Times New Roman"/>
        </w:rPr>
        <w:t xml:space="preserve"> a</w:t>
      </w:r>
      <w:r w:rsidR="00776E2F">
        <w:rPr>
          <w:rFonts w:ascii="Times New Roman" w:hAnsi="Times New Roman"/>
        </w:rPr>
        <w:t>ga</w:t>
      </w:r>
      <w:r w:rsidR="008E2E2C">
        <w:rPr>
          <w:rFonts w:ascii="Times New Roman" w:hAnsi="Times New Roman"/>
        </w:rPr>
        <w:t>inst the Person Act 1861 (OAPA)</w:t>
      </w:r>
      <w:r w:rsidR="007877FF">
        <w:rPr>
          <w:rFonts w:ascii="Times New Roman" w:hAnsi="Times New Roman"/>
        </w:rPr>
        <w:t>. In order of seriousness, these are</w:t>
      </w:r>
      <w:r w:rsidR="00EC713E">
        <w:rPr>
          <w:rFonts w:ascii="Times New Roman" w:hAnsi="Times New Roman"/>
        </w:rPr>
        <w:t xml:space="preserve">: </w:t>
      </w:r>
    </w:p>
    <w:p w:rsidR="002E1472" w:rsidRPr="00B00EA9" w:rsidRDefault="00043E7E" w:rsidP="002E1472">
      <w:pPr>
        <w:pStyle w:val="ListParagraph"/>
        <w:numPr>
          <w:ilvl w:val="0"/>
          <w:numId w:val="4"/>
        </w:numPr>
        <w:spacing w:line="480" w:lineRule="auto"/>
        <w:jc w:val="both"/>
        <w:rPr>
          <w:rFonts w:ascii="Times New Roman" w:hAnsi="Times New Roman"/>
        </w:rPr>
      </w:pPr>
      <w:r>
        <w:rPr>
          <w:rFonts w:ascii="Times New Roman" w:hAnsi="Times New Roman"/>
        </w:rPr>
        <w:lastRenderedPageBreak/>
        <w:t>“</w:t>
      </w:r>
      <w:r w:rsidR="00773A15">
        <w:rPr>
          <w:rFonts w:ascii="Times New Roman" w:hAnsi="Times New Roman"/>
        </w:rPr>
        <w:t xml:space="preserve">maliciously </w:t>
      </w:r>
      <w:r w:rsidR="00EC713E" w:rsidRPr="00B00EA9">
        <w:rPr>
          <w:rFonts w:ascii="Times New Roman" w:hAnsi="Times New Roman"/>
        </w:rPr>
        <w:t xml:space="preserve">wounding or causing grievous bodily </w:t>
      </w:r>
      <w:r w:rsidR="005B1977" w:rsidRPr="00B00EA9">
        <w:rPr>
          <w:rFonts w:ascii="Times New Roman" w:hAnsi="Times New Roman"/>
        </w:rPr>
        <w:t xml:space="preserve">harm </w:t>
      </w:r>
      <w:r w:rsidR="001701A6">
        <w:rPr>
          <w:rFonts w:ascii="Times New Roman" w:hAnsi="Times New Roman"/>
        </w:rPr>
        <w:t>[</w:t>
      </w:r>
      <w:r w:rsidR="005B1977" w:rsidRPr="00B00EA9">
        <w:rPr>
          <w:rFonts w:ascii="Times New Roman" w:hAnsi="Times New Roman"/>
        </w:rPr>
        <w:t>(GBH)</w:t>
      </w:r>
      <w:r w:rsidR="001701A6">
        <w:rPr>
          <w:rFonts w:ascii="Times New Roman" w:hAnsi="Times New Roman"/>
        </w:rPr>
        <w:t>]</w:t>
      </w:r>
      <w:r w:rsidR="005B1977" w:rsidRPr="00B00EA9">
        <w:rPr>
          <w:rFonts w:ascii="Times New Roman" w:hAnsi="Times New Roman"/>
        </w:rPr>
        <w:t xml:space="preserve"> with intent</w:t>
      </w:r>
      <w:r>
        <w:rPr>
          <w:rFonts w:ascii="Times New Roman" w:hAnsi="Times New Roman"/>
        </w:rPr>
        <w:t>”</w:t>
      </w:r>
      <w:r w:rsidR="005B1977" w:rsidRPr="00B00EA9">
        <w:rPr>
          <w:rFonts w:ascii="Times New Roman" w:hAnsi="Times New Roman"/>
        </w:rPr>
        <w:t xml:space="preserve"> under s.</w:t>
      </w:r>
      <w:r w:rsidR="00EC713E" w:rsidRPr="00B00EA9">
        <w:rPr>
          <w:rFonts w:ascii="Times New Roman" w:hAnsi="Times New Roman"/>
        </w:rPr>
        <w:t xml:space="preserve">18; </w:t>
      </w:r>
    </w:p>
    <w:p w:rsidR="002E1472" w:rsidRPr="00B00EA9" w:rsidRDefault="00043E7E" w:rsidP="002E1472">
      <w:pPr>
        <w:pStyle w:val="ListParagraph"/>
        <w:numPr>
          <w:ilvl w:val="0"/>
          <w:numId w:val="4"/>
        </w:numPr>
        <w:spacing w:line="480" w:lineRule="auto"/>
        <w:jc w:val="both"/>
        <w:rPr>
          <w:rFonts w:ascii="Times New Roman" w:hAnsi="Times New Roman"/>
        </w:rPr>
      </w:pPr>
      <w:r>
        <w:rPr>
          <w:rFonts w:ascii="Times New Roman" w:hAnsi="Times New Roman"/>
        </w:rPr>
        <w:t>“</w:t>
      </w:r>
      <w:r w:rsidR="00EC713E" w:rsidRPr="00B00EA9">
        <w:rPr>
          <w:rFonts w:ascii="Times New Roman" w:hAnsi="Times New Roman"/>
        </w:rPr>
        <w:t xml:space="preserve">maliciously wounding or </w:t>
      </w:r>
      <w:r w:rsidR="005B1977" w:rsidRPr="00B00EA9">
        <w:rPr>
          <w:rFonts w:ascii="Times New Roman" w:hAnsi="Times New Roman"/>
        </w:rPr>
        <w:t>inflicting GBH</w:t>
      </w:r>
      <w:r>
        <w:rPr>
          <w:rFonts w:ascii="Times New Roman" w:hAnsi="Times New Roman"/>
        </w:rPr>
        <w:t>”</w:t>
      </w:r>
      <w:r w:rsidR="005B1977" w:rsidRPr="00B00EA9">
        <w:rPr>
          <w:rFonts w:ascii="Times New Roman" w:hAnsi="Times New Roman"/>
        </w:rPr>
        <w:t xml:space="preserve"> under s.</w:t>
      </w:r>
      <w:r w:rsidR="00EC713E" w:rsidRPr="00B00EA9">
        <w:rPr>
          <w:rFonts w:ascii="Times New Roman" w:hAnsi="Times New Roman"/>
        </w:rPr>
        <w:t xml:space="preserve">20; and </w:t>
      </w:r>
    </w:p>
    <w:p w:rsidR="002E1472" w:rsidRPr="00A300E5" w:rsidRDefault="00043E7E" w:rsidP="00A300E5">
      <w:pPr>
        <w:pStyle w:val="ListParagraph"/>
        <w:numPr>
          <w:ilvl w:val="0"/>
          <w:numId w:val="4"/>
        </w:numPr>
        <w:spacing w:line="480" w:lineRule="auto"/>
        <w:jc w:val="both"/>
        <w:rPr>
          <w:rFonts w:ascii="Times New Roman" w:hAnsi="Times New Roman"/>
        </w:rPr>
      </w:pPr>
      <w:r>
        <w:rPr>
          <w:rFonts w:ascii="Times New Roman" w:hAnsi="Times New Roman"/>
        </w:rPr>
        <w:t>“</w:t>
      </w:r>
      <w:proofErr w:type="gramStart"/>
      <w:r w:rsidR="00EC713E" w:rsidRPr="00A300E5">
        <w:rPr>
          <w:rFonts w:ascii="Times New Roman" w:hAnsi="Times New Roman"/>
        </w:rPr>
        <w:t>assault</w:t>
      </w:r>
      <w:proofErr w:type="gramEnd"/>
      <w:r w:rsidR="00EC713E" w:rsidRPr="00A300E5">
        <w:rPr>
          <w:rFonts w:ascii="Times New Roman" w:hAnsi="Times New Roman"/>
        </w:rPr>
        <w:t xml:space="preserve"> occasioning actual bodily</w:t>
      </w:r>
      <w:r w:rsidR="005B1977" w:rsidRPr="00A300E5">
        <w:rPr>
          <w:rFonts w:ascii="Times New Roman" w:hAnsi="Times New Roman"/>
        </w:rPr>
        <w:t xml:space="preserve"> harm</w:t>
      </w:r>
      <w:r w:rsidR="008340D2">
        <w:rPr>
          <w:rFonts w:ascii="Times New Roman" w:hAnsi="Times New Roman"/>
        </w:rPr>
        <w:t xml:space="preserve"> [(ABH)</w:t>
      </w:r>
      <w:bookmarkStart w:id="0" w:name="_GoBack"/>
      <w:bookmarkEnd w:id="0"/>
      <w:r w:rsidR="008340D2">
        <w:rPr>
          <w:rFonts w:ascii="Times New Roman" w:hAnsi="Times New Roman"/>
        </w:rPr>
        <w:t>]</w:t>
      </w:r>
      <w:r w:rsidR="001701A6">
        <w:rPr>
          <w:rFonts w:ascii="Times New Roman" w:hAnsi="Times New Roman"/>
        </w:rPr>
        <w:t>”</w:t>
      </w:r>
      <w:r w:rsidR="005B1977" w:rsidRPr="00A300E5">
        <w:rPr>
          <w:rFonts w:ascii="Times New Roman" w:hAnsi="Times New Roman"/>
        </w:rPr>
        <w:t xml:space="preserve">  under s.</w:t>
      </w:r>
      <w:r w:rsidR="00EC713E" w:rsidRPr="00A300E5">
        <w:rPr>
          <w:rFonts w:ascii="Times New Roman" w:hAnsi="Times New Roman"/>
        </w:rPr>
        <w:t xml:space="preserve">47. </w:t>
      </w:r>
    </w:p>
    <w:p w:rsidR="002E1472" w:rsidRDefault="002E1472" w:rsidP="002E1472">
      <w:pPr>
        <w:spacing w:line="480" w:lineRule="auto"/>
        <w:jc w:val="both"/>
        <w:rPr>
          <w:rFonts w:ascii="Times New Roman" w:hAnsi="Times New Roman"/>
        </w:rPr>
      </w:pPr>
    </w:p>
    <w:p w:rsidR="004316BA" w:rsidRDefault="00EC713E" w:rsidP="00334BF3">
      <w:pPr>
        <w:spacing w:line="480" w:lineRule="auto"/>
        <w:jc w:val="both"/>
        <w:rPr>
          <w:rFonts w:ascii="Times New Roman" w:hAnsi="Times New Roman"/>
        </w:rPr>
      </w:pPr>
      <w:r>
        <w:rPr>
          <w:rFonts w:ascii="Times New Roman" w:hAnsi="Times New Roman"/>
        </w:rPr>
        <w:t>Outside the OAPA,</w:t>
      </w:r>
      <w:r w:rsidR="00B00EA9">
        <w:rPr>
          <w:rFonts w:ascii="Times New Roman" w:hAnsi="Times New Roman"/>
        </w:rPr>
        <w:t xml:space="preserve"> and </w:t>
      </w:r>
      <w:r w:rsidR="002F09D8">
        <w:rPr>
          <w:rFonts w:ascii="Times New Roman" w:hAnsi="Times New Roman"/>
        </w:rPr>
        <w:t>lower</w:t>
      </w:r>
      <w:r w:rsidR="00B00EA9">
        <w:rPr>
          <w:rFonts w:ascii="Times New Roman" w:hAnsi="Times New Roman"/>
        </w:rPr>
        <w:t xml:space="preserve"> down the seriousness hierarchy,</w:t>
      </w:r>
      <w:r>
        <w:rPr>
          <w:rFonts w:ascii="Times New Roman" w:hAnsi="Times New Roman"/>
        </w:rPr>
        <w:t xml:space="preserve"> </w:t>
      </w:r>
      <w:r w:rsidR="00407026">
        <w:rPr>
          <w:rFonts w:ascii="Times New Roman" w:hAnsi="Times New Roman"/>
        </w:rPr>
        <w:t xml:space="preserve">the article also focusses on </w:t>
      </w:r>
      <w:r w:rsidR="00567CF2">
        <w:rPr>
          <w:rFonts w:ascii="Times New Roman" w:hAnsi="Times New Roman"/>
        </w:rPr>
        <w:t xml:space="preserve">two </w:t>
      </w:r>
      <w:r w:rsidR="00407026">
        <w:rPr>
          <w:rFonts w:ascii="Times New Roman" w:hAnsi="Times New Roman"/>
        </w:rPr>
        <w:t>further</w:t>
      </w:r>
      <w:r w:rsidR="00567CF2">
        <w:rPr>
          <w:rFonts w:ascii="Times New Roman" w:hAnsi="Times New Roman"/>
        </w:rPr>
        <w:t xml:space="preserve"> </w:t>
      </w:r>
      <w:r w:rsidR="008E2E2C">
        <w:rPr>
          <w:rFonts w:ascii="Times New Roman" w:hAnsi="Times New Roman"/>
        </w:rPr>
        <w:t xml:space="preserve">statutory offences: </w:t>
      </w:r>
      <w:r w:rsidRPr="00B00EA9">
        <w:rPr>
          <w:rFonts w:ascii="Times New Roman" w:hAnsi="Times New Roman"/>
        </w:rPr>
        <w:t>assault</w:t>
      </w:r>
      <w:r w:rsidR="00F635DF">
        <w:rPr>
          <w:rFonts w:ascii="Times New Roman" w:hAnsi="Times New Roman"/>
        </w:rPr>
        <w:t xml:space="preserve"> </w:t>
      </w:r>
      <w:r w:rsidRPr="00B00EA9">
        <w:rPr>
          <w:rFonts w:ascii="Times New Roman" w:hAnsi="Times New Roman"/>
        </w:rPr>
        <w:t xml:space="preserve">and </w:t>
      </w:r>
      <w:r w:rsidRPr="00A300E5">
        <w:rPr>
          <w:rFonts w:ascii="Times New Roman" w:hAnsi="Times New Roman"/>
        </w:rPr>
        <w:t>battery.</w:t>
      </w:r>
      <w:r w:rsidR="0091318E">
        <w:rPr>
          <w:rStyle w:val="FootnoteReference"/>
          <w:rFonts w:ascii="Times New Roman" w:hAnsi="Times New Roman"/>
        </w:rPr>
        <w:footnoteReference w:id="15"/>
      </w:r>
      <w:r w:rsidRPr="00A300E5">
        <w:rPr>
          <w:rFonts w:ascii="Times New Roman" w:hAnsi="Times New Roman"/>
        </w:rPr>
        <w:t xml:space="preserve"> </w:t>
      </w:r>
      <w:r w:rsidR="00DA30CB">
        <w:rPr>
          <w:rFonts w:ascii="Times New Roman" w:hAnsi="Times New Roman"/>
        </w:rPr>
        <w:t>Beyond</w:t>
      </w:r>
      <w:r w:rsidR="00A343C6">
        <w:rPr>
          <w:rFonts w:ascii="Times New Roman" w:hAnsi="Times New Roman"/>
        </w:rPr>
        <w:t xml:space="preserve"> these</w:t>
      </w:r>
      <w:r w:rsidR="00F635DF">
        <w:rPr>
          <w:rFonts w:ascii="Times New Roman" w:hAnsi="Times New Roman"/>
        </w:rPr>
        <w:t xml:space="preserve"> </w:t>
      </w:r>
      <w:r w:rsidR="00F05FE8">
        <w:rPr>
          <w:rFonts w:ascii="Times New Roman" w:hAnsi="Times New Roman"/>
        </w:rPr>
        <w:t>five</w:t>
      </w:r>
      <w:r w:rsidR="002A7B21">
        <w:rPr>
          <w:rFonts w:ascii="Times New Roman" w:hAnsi="Times New Roman"/>
        </w:rPr>
        <w:t xml:space="preserve"> </w:t>
      </w:r>
      <w:r w:rsidR="00407026">
        <w:rPr>
          <w:rFonts w:ascii="Times New Roman" w:hAnsi="Times New Roman"/>
        </w:rPr>
        <w:t xml:space="preserve">“core” </w:t>
      </w:r>
      <w:r w:rsidR="001109FC">
        <w:rPr>
          <w:rFonts w:ascii="Times New Roman" w:hAnsi="Times New Roman"/>
        </w:rPr>
        <w:t>crimes</w:t>
      </w:r>
      <w:r w:rsidR="00DA30CB">
        <w:rPr>
          <w:rFonts w:ascii="Times New Roman" w:hAnsi="Times New Roman"/>
        </w:rPr>
        <w:t>,</w:t>
      </w:r>
      <w:r w:rsidR="00567CF2">
        <w:rPr>
          <w:rFonts w:ascii="Times New Roman" w:hAnsi="Times New Roman"/>
        </w:rPr>
        <w:t xml:space="preserve"> </w:t>
      </w:r>
      <w:r w:rsidR="000A1F50">
        <w:rPr>
          <w:rFonts w:ascii="Times New Roman" w:hAnsi="Times New Roman"/>
        </w:rPr>
        <w:t>it does not consider the remaining</w:t>
      </w:r>
      <w:r w:rsidR="00007FB9">
        <w:rPr>
          <w:rFonts w:ascii="Times New Roman" w:hAnsi="Times New Roman"/>
        </w:rPr>
        <w:t xml:space="preserve"> </w:t>
      </w:r>
      <w:r w:rsidR="001109FC">
        <w:rPr>
          <w:rFonts w:ascii="Times New Roman" w:hAnsi="Times New Roman"/>
        </w:rPr>
        <w:t>offences</w:t>
      </w:r>
      <w:r w:rsidR="00092702">
        <w:rPr>
          <w:rFonts w:ascii="Times New Roman" w:hAnsi="Times New Roman"/>
        </w:rPr>
        <w:t xml:space="preserve"> </w:t>
      </w:r>
      <w:r w:rsidR="007F5D55">
        <w:rPr>
          <w:rFonts w:ascii="Times New Roman" w:hAnsi="Times New Roman"/>
        </w:rPr>
        <w:t>against the person</w:t>
      </w:r>
      <w:r w:rsidR="00214DA7">
        <w:rPr>
          <w:rFonts w:ascii="Times New Roman" w:hAnsi="Times New Roman"/>
        </w:rPr>
        <w:t>,</w:t>
      </w:r>
      <w:r w:rsidR="00043E7E">
        <w:rPr>
          <w:rFonts w:ascii="Times New Roman" w:hAnsi="Times New Roman"/>
        </w:rPr>
        <w:t xml:space="preserve"> </w:t>
      </w:r>
      <w:r w:rsidR="00836CF7">
        <w:rPr>
          <w:rFonts w:ascii="Times New Roman" w:hAnsi="Times New Roman"/>
        </w:rPr>
        <w:t xml:space="preserve">although these </w:t>
      </w:r>
      <w:r w:rsidR="008A5B87">
        <w:rPr>
          <w:rFonts w:ascii="Times New Roman" w:hAnsi="Times New Roman"/>
        </w:rPr>
        <w:t xml:space="preserve">are </w:t>
      </w:r>
      <w:r w:rsidR="00EA4E4F">
        <w:rPr>
          <w:rFonts w:ascii="Times New Roman" w:hAnsi="Times New Roman"/>
        </w:rPr>
        <w:t>addressed</w:t>
      </w:r>
      <w:r w:rsidR="00043E7E">
        <w:rPr>
          <w:rFonts w:ascii="Times New Roman" w:hAnsi="Times New Roman"/>
        </w:rPr>
        <w:t xml:space="preserve"> in the scoping report</w:t>
      </w:r>
      <w:r w:rsidR="00836CF7">
        <w:rPr>
          <w:rFonts w:ascii="Times New Roman" w:hAnsi="Times New Roman"/>
        </w:rPr>
        <w:t>.</w:t>
      </w:r>
      <w:r w:rsidR="00281CFC">
        <w:rPr>
          <w:rStyle w:val="FootnoteReference"/>
          <w:rFonts w:ascii="Times New Roman" w:hAnsi="Times New Roman"/>
        </w:rPr>
        <w:footnoteReference w:id="16"/>
      </w:r>
      <w:r w:rsidR="00043E7E">
        <w:rPr>
          <w:rFonts w:ascii="Times New Roman" w:hAnsi="Times New Roman"/>
        </w:rPr>
        <w:t xml:space="preserve"> </w:t>
      </w:r>
      <w:r w:rsidR="00836CF7">
        <w:rPr>
          <w:rFonts w:ascii="Times New Roman" w:hAnsi="Times New Roman"/>
        </w:rPr>
        <w:t xml:space="preserve">Such offences, as contained in the OAPA, </w:t>
      </w:r>
      <w:r w:rsidR="00043E7E">
        <w:rPr>
          <w:rFonts w:ascii="Times New Roman" w:hAnsi="Times New Roman"/>
        </w:rPr>
        <w:t xml:space="preserve">are </w:t>
      </w:r>
      <w:r w:rsidR="005B2F90">
        <w:rPr>
          <w:rFonts w:ascii="Times New Roman" w:hAnsi="Times New Roman"/>
        </w:rPr>
        <w:t xml:space="preserve">undeniably </w:t>
      </w:r>
      <w:r w:rsidR="008E018D">
        <w:rPr>
          <w:rFonts w:ascii="Times New Roman" w:hAnsi="Times New Roman"/>
        </w:rPr>
        <w:t>problematic</w:t>
      </w:r>
      <w:r w:rsidR="00ED6A84">
        <w:rPr>
          <w:rFonts w:ascii="Times New Roman" w:hAnsi="Times New Roman"/>
        </w:rPr>
        <w:t>.</w:t>
      </w:r>
      <w:r w:rsidR="00074B7D">
        <w:rPr>
          <w:rFonts w:ascii="Times New Roman" w:hAnsi="Times New Roman"/>
        </w:rPr>
        <w:t xml:space="preserve"> </w:t>
      </w:r>
      <w:r w:rsidR="00773A15">
        <w:rPr>
          <w:rFonts w:ascii="Times New Roman" w:hAnsi="Times New Roman"/>
        </w:rPr>
        <w:t>For example, s</w:t>
      </w:r>
      <w:r w:rsidR="00BC26F3">
        <w:rPr>
          <w:rFonts w:ascii="Times New Roman" w:hAnsi="Times New Roman"/>
        </w:rPr>
        <w:t>ome</w:t>
      </w:r>
      <w:r w:rsidR="00412709">
        <w:rPr>
          <w:rFonts w:ascii="Times New Roman" w:hAnsi="Times New Roman"/>
        </w:rPr>
        <w:t xml:space="preserve"> are obsolete</w:t>
      </w:r>
      <w:r w:rsidR="007C2574">
        <w:rPr>
          <w:rFonts w:ascii="Times New Roman" w:hAnsi="Times New Roman"/>
        </w:rPr>
        <w:t xml:space="preserve"> (</w:t>
      </w:r>
      <w:r w:rsidR="00043E7E">
        <w:rPr>
          <w:rFonts w:ascii="Times New Roman" w:hAnsi="Times New Roman"/>
        </w:rPr>
        <w:t>“</w:t>
      </w:r>
      <w:r w:rsidR="00281CFC" w:rsidRPr="006356FF">
        <w:rPr>
          <w:rFonts w:ascii="Times New Roman" w:hAnsi="Times New Roman"/>
        </w:rPr>
        <w:t>impeding a person escaping from a wreck</w:t>
      </w:r>
      <w:r w:rsidR="00043E7E">
        <w:rPr>
          <w:rFonts w:ascii="Times New Roman" w:hAnsi="Times New Roman"/>
        </w:rPr>
        <w:t>”</w:t>
      </w:r>
      <w:r w:rsidR="00281CFC" w:rsidRPr="006356FF">
        <w:rPr>
          <w:rFonts w:ascii="Times New Roman" w:hAnsi="Times New Roman"/>
        </w:rPr>
        <w:t xml:space="preserve"> under s.17</w:t>
      </w:r>
      <w:r w:rsidR="000C18E8">
        <w:rPr>
          <w:rFonts w:ascii="Times New Roman" w:hAnsi="Times New Roman"/>
        </w:rPr>
        <w:t xml:space="preserve"> or</w:t>
      </w:r>
      <w:r w:rsidR="00281CFC">
        <w:rPr>
          <w:rFonts w:ascii="Times New Roman" w:hAnsi="Times New Roman"/>
        </w:rPr>
        <w:t xml:space="preserve"> </w:t>
      </w:r>
      <w:r w:rsidR="00836CF7">
        <w:rPr>
          <w:rFonts w:ascii="Times New Roman" w:hAnsi="Times New Roman"/>
        </w:rPr>
        <w:t>“</w:t>
      </w:r>
      <w:r w:rsidR="00281CFC" w:rsidRPr="006356FF">
        <w:rPr>
          <w:rFonts w:ascii="Times New Roman" w:hAnsi="Times New Roman"/>
        </w:rPr>
        <w:t>not providing servants or apprentices with food</w:t>
      </w:r>
      <w:r w:rsidR="00836CF7">
        <w:rPr>
          <w:rFonts w:ascii="Times New Roman" w:hAnsi="Times New Roman"/>
        </w:rPr>
        <w:t>”</w:t>
      </w:r>
      <w:r w:rsidR="00281CFC" w:rsidRPr="006356FF">
        <w:rPr>
          <w:rFonts w:ascii="Times New Roman" w:hAnsi="Times New Roman"/>
        </w:rPr>
        <w:t xml:space="preserve"> under s.26</w:t>
      </w:r>
      <w:r w:rsidR="007C2574">
        <w:rPr>
          <w:rFonts w:ascii="Times New Roman" w:hAnsi="Times New Roman"/>
        </w:rPr>
        <w:t>)</w:t>
      </w:r>
      <w:r w:rsidR="00773A15">
        <w:rPr>
          <w:rFonts w:ascii="Times New Roman" w:hAnsi="Times New Roman"/>
        </w:rPr>
        <w:t>, whilst</w:t>
      </w:r>
      <w:r w:rsidR="00B149EB">
        <w:rPr>
          <w:rFonts w:ascii="Times New Roman" w:hAnsi="Times New Roman"/>
        </w:rPr>
        <w:t xml:space="preserve"> </w:t>
      </w:r>
      <w:r w:rsidR="00F976A3">
        <w:rPr>
          <w:rFonts w:ascii="Times New Roman" w:hAnsi="Times New Roman"/>
        </w:rPr>
        <w:t xml:space="preserve">many </w:t>
      </w:r>
      <w:r w:rsidR="005F5172">
        <w:rPr>
          <w:rFonts w:ascii="Times New Roman" w:hAnsi="Times New Roman"/>
        </w:rPr>
        <w:t xml:space="preserve">are duplicated </w:t>
      </w:r>
      <w:r w:rsidR="004044AE">
        <w:rPr>
          <w:rFonts w:ascii="Times New Roman" w:hAnsi="Times New Roman"/>
        </w:rPr>
        <w:t>(</w:t>
      </w:r>
      <w:r w:rsidR="00836CF7">
        <w:rPr>
          <w:rFonts w:ascii="Times New Roman" w:hAnsi="Times New Roman"/>
        </w:rPr>
        <w:t>“</w:t>
      </w:r>
      <w:r w:rsidR="000C18E8">
        <w:rPr>
          <w:rFonts w:ascii="Times New Roman" w:hAnsi="Times New Roman"/>
        </w:rPr>
        <w:t>doing GBH by explosion</w:t>
      </w:r>
      <w:r w:rsidR="00836CF7">
        <w:rPr>
          <w:rFonts w:ascii="Times New Roman" w:hAnsi="Times New Roman"/>
        </w:rPr>
        <w:t>”</w:t>
      </w:r>
      <w:r w:rsidR="000C18E8">
        <w:rPr>
          <w:rFonts w:ascii="Times New Roman" w:hAnsi="Times New Roman"/>
        </w:rPr>
        <w:t xml:space="preserve"> under s.28 and </w:t>
      </w:r>
      <w:r w:rsidR="00836CF7">
        <w:rPr>
          <w:rFonts w:ascii="Times New Roman" w:hAnsi="Times New Roman"/>
        </w:rPr>
        <w:t>“</w:t>
      </w:r>
      <w:r w:rsidR="000C18E8">
        <w:rPr>
          <w:rFonts w:ascii="Times New Roman" w:hAnsi="Times New Roman"/>
        </w:rPr>
        <w:t>exploding or sending a substance with intent to do GBH</w:t>
      </w:r>
      <w:r w:rsidR="00836CF7">
        <w:rPr>
          <w:rFonts w:ascii="Times New Roman" w:hAnsi="Times New Roman"/>
        </w:rPr>
        <w:t>”</w:t>
      </w:r>
      <w:r w:rsidR="000C18E8">
        <w:rPr>
          <w:rFonts w:ascii="Times New Roman" w:hAnsi="Times New Roman"/>
        </w:rPr>
        <w:t xml:space="preserve"> under s.29</w:t>
      </w:r>
      <w:r w:rsidR="004044AE">
        <w:rPr>
          <w:rFonts w:ascii="Times New Roman" w:hAnsi="Times New Roman"/>
        </w:rPr>
        <w:t>).</w:t>
      </w:r>
      <w:r w:rsidR="00074336">
        <w:rPr>
          <w:rFonts w:ascii="Times New Roman" w:hAnsi="Times New Roman"/>
        </w:rPr>
        <w:t xml:space="preserve"> </w:t>
      </w:r>
      <w:r w:rsidR="00645603">
        <w:rPr>
          <w:rFonts w:ascii="Times New Roman" w:hAnsi="Times New Roman"/>
        </w:rPr>
        <w:t>However</w:t>
      </w:r>
      <w:r w:rsidR="00D61721">
        <w:rPr>
          <w:rFonts w:ascii="Times New Roman" w:hAnsi="Times New Roman"/>
        </w:rPr>
        <w:t xml:space="preserve">, </w:t>
      </w:r>
      <w:r w:rsidR="006F273D">
        <w:rPr>
          <w:rFonts w:ascii="Times New Roman" w:hAnsi="Times New Roman"/>
        </w:rPr>
        <w:t>the</w:t>
      </w:r>
      <w:r w:rsidR="00D61721">
        <w:rPr>
          <w:rFonts w:ascii="Times New Roman" w:hAnsi="Times New Roman"/>
        </w:rPr>
        <w:t xml:space="preserve"> article’s </w:t>
      </w:r>
      <w:r w:rsidR="00E50B58">
        <w:rPr>
          <w:rFonts w:ascii="Times New Roman" w:hAnsi="Times New Roman"/>
        </w:rPr>
        <w:t>focus on</w:t>
      </w:r>
      <w:r w:rsidR="00492C26">
        <w:rPr>
          <w:rFonts w:ascii="Times New Roman" w:hAnsi="Times New Roman"/>
        </w:rPr>
        <w:t xml:space="preserve"> the core </w:t>
      </w:r>
      <w:r w:rsidR="00777902">
        <w:rPr>
          <w:rFonts w:ascii="Times New Roman" w:hAnsi="Times New Roman"/>
        </w:rPr>
        <w:t>crimes</w:t>
      </w:r>
      <w:r w:rsidR="00257B0D">
        <w:rPr>
          <w:rFonts w:ascii="Times New Roman" w:hAnsi="Times New Roman"/>
        </w:rPr>
        <w:t xml:space="preserve"> </w:t>
      </w:r>
      <w:r w:rsidR="00112620">
        <w:rPr>
          <w:rFonts w:ascii="Times New Roman" w:hAnsi="Times New Roman"/>
        </w:rPr>
        <w:t>reflects their</w:t>
      </w:r>
      <w:r w:rsidR="000341D1">
        <w:rPr>
          <w:rFonts w:ascii="Times New Roman" w:hAnsi="Times New Roman"/>
        </w:rPr>
        <w:t xml:space="preserve"> greater significance</w:t>
      </w:r>
      <w:r w:rsidR="00A512AB">
        <w:rPr>
          <w:rFonts w:ascii="Times New Roman" w:hAnsi="Times New Roman"/>
        </w:rPr>
        <w:t xml:space="preserve"> –</w:t>
      </w:r>
      <w:r w:rsidR="004316BA">
        <w:rPr>
          <w:rFonts w:ascii="Times New Roman" w:hAnsi="Times New Roman"/>
        </w:rPr>
        <w:t xml:space="preserve"> </w:t>
      </w:r>
      <w:r w:rsidR="00A512AB">
        <w:rPr>
          <w:rFonts w:ascii="Times New Roman" w:hAnsi="Times New Roman"/>
        </w:rPr>
        <w:t>they are the most prosecuted offences against the person.</w:t>
      </w:r>
      <w:r w:rsidR="00A512AB">
        <w:rPr>
          <w:rStyle w:val="FootnoteReference"/>
          <w:rFonts w:ascii="Times New Roman" w:hAnsi="Times New Roman"/>
        </w:rPr>
        <w:footnoteReference w:id="17"/>
      </w:r>
      <w:r w:rsidR="00A512AB">
        <w:rPr>
          <w:rFonts w:ascii="Times New Roman" w:hAnsi="Times New Roman"/>
        </w:rPr>
        <w:t xml:space="preserve"> </w:t>
      </w:r>
    </w:p>
    <w:p w:rsidR="004316BA" w:rsidRDefault="004316BA" w:rsidP="00334BF3">
      <w:pPr>
        <w:spacing w:line="480" w:lineRule="auto"/>
        <w:jc w:val="both"/>
        <w:rPr>
          <w:rFonts w:ascii="Times New Roman" w:hAnsi="Times New Roman"/>
        </w:rPr>
      </w:pPr>
    </w:p>
    <w:p w:rsidR="00257B0D" w:rsidRDefault="000B2DB6" w:rsidP="00334BF3">
      <w:pPr>
        <w:spacing w:line="480" w:lineRule="auto"/>
        <w:jc w:val="both"/>
        <w:rPr>
          <w:rFonts w:ascii="Times New Roman" w:hAnsi="Times New Roman"/>
        </w:rPr>
      </w:pPr>
      <w:r>
        <w:rPr>
          <w:rFonts w:ascii="Times New Roman" w:hAnsi="Times New Roman"/>
        </w:rPr>
        <w:t>With this focus in mind</w:t>
      </w:r>
      <w:r w:rsidR="000B48D6">
        <w:rPr>
          <w:rFonts w:ascii="Times New Roman" w:hAnsi="Times New Roman"/>
        </w:rPr>
        <w:t xml:space="preserve">, </w:t>
      </w:r>
      <w:r w:rsidR="003B0EAD">
        <w:rPr>
          <w:rFonts w:ascii="Times New Roman" w:hAnsi="Times New Roman"/>
        </w:rPr>
        <w:t>t</w:t>
      </w:r>
      <w:r w:rsidR="005640A4">
        <w:rPr>
          <w:rFonts w:ascii="Times New Roman" w:hAnsi="Times New Roman"/>
        </w:rPr>
        <w:t>he</w:t>
      </w:r>
      <w:r w:rsidR="001A1FC8">
        <w:rPr>
          <w:rFonts w:ascii="Times New Roman" w:hAnsi="Times New Roman"/>
        </w:rPr>
        <w:t xml:space="preserve"> </w:t>
      </w:r>
      <w:r w:rsidR="00CD78E0">
        <w:rPr>
          <w:rFonts w:ascii="Times New Roman" w:hAnsi="Times New Roman"/>
        </w:rPr>
        <w:t>article</w:t>
      </w:r>
      <w:r w:rsidR="003A657A">
        <w:rPr>
          <w:rFonts w:ascii="Times New Roman" w:hAnsi="Times New Roman"/>
        </w:rPr>
        <w:t xml:space="preserve"> </w:t>
      </w:r>
      <w:r w:rsidR="005640A4">
        <w:rPr>
          <w:rFonts w:ascii="Times New Roman" w:hAnsi="Times New Roman"/>
        </w:rPr>
        <w:t xml:space="preserve">proceeds in </w:t>
      </w:r>
      <w:r w:rsidR="008F2476">
        <w:rPr>
          <w:rFonts w:ascii="Times New Roman" w:hAnsi="Times New Roman"/>
        </w:rPr>
        <w:t>three</w:t>
      </w:r>
      <w:r w:rsidR="005640A4">
        <w:rPr>
          <w:rFonts w:ascii="Times New Roman" w:hAnsi="Times New Roman"/>
        </w:rPr>
        <w:t xml:space="preserve"> </w:t>
      </w:r>
      <w:r w:rsidR="00681372">
        <w:rPr>
          <w:rFonts w:ascii="Times New Roman" w:hAnsi="Times New Roman"/>
        </w:rPr>
        <w:t>sections</w:t>
      </w:r>
      <w:r w:rsidR="003A657A">
        <w:rPr>
          <w:rFonts w:ascii="Times New Roman" w:hAnsi="Times New Roman"/>
        </w:rPr>
        <w:t>.</w:t>
      </w:r>
      <w:r w:rsidR="00777902">
        <w:rPr>
          <w:rFonts w:ascii="Times New Roman" w:hAnsi="Times New Roman"/>
        </w:rPr>
        <w:t xml:space="preserve"> </w:t>
      </w:r>
      <w:r w:rsidR="00473C33">
        <w:rPr>
          <w:rFonts w:ascii="Times New Roman" w:hAnsi="Times New Roman"/>
        </w:rPr>
        <w:t xml:space="preserve">Section two </w:t>
      </w:r>
      <w:r>
        <w:rPr>
          <w:rFonts w:ascii="Times New Roman" w:hAnsi="Times New Roman"/>
        </w:rPr>
        <w:t>identifies</w:t>
      </w:r>
      <w:r w:rsidR="00473C33">
        <w:rPr>
          <w:rFonts w:ascii="Times New Roman" w:hAnsi="Times New Roman"/>
        </w:rPr>
        <w:t xml:space="preserve"> the </w:t>
      </w:r>
      <w:r w:rsidR="00D51E0E">
        <w:rPr>
          <w:rFonts w:ascii="Times New Roman" w:hAnsi="Times New Roman"/>
        </w:rPr>
        <w:t>chief</w:t>
      </w:r>
      <w:r w:rsidR="00EA477C">
        <w:rPr>
          <w:rFonts w:ascii="Times New Roman" w:hAnsi="Times New Roman"/>
        </w:rPr>
        <w:t xml:space="preserve"> problem with the core offence</w:t>
      </w:r>
      <w:r w:rsidR="00E11530">
        <w:rPr>
          <w:rFonts w:ascii="Times New Roman" w:hAnsi="Times New Roman"/>
        </w:rPr>
        <w:t>s</w:t>
      </w:r>
      <w:r w:rsidR="00EA477C">
        <w:rPr>
          <w:rFonts w:ascii="Times New Roman" w:hAnsi="Times New Roman"/>
        </w:rPr>
        <w:t xml:space="preserve"> –</w:t>
      </w:r>
      <w:r w:rsidR="00473C33">
        <w:rPr>
          <w:rFonts w:ascii="Times New Roman" w:hAnsi="Times New Roman"/>
        </w:rPr>
        <w:t xml:space="preserve"> incoherence. It </w:t>
      </w:r>
      <w:r w:rsidR="00FA27AE">
        <w:rPr>
          <w:rFonts w:ascii="Times New Roman" w:hAnsi="Times New Roman"/>
        </w:rPr>
        <w:t>evaluates</w:t>
      </w:r>
      <w:r w:rsidR="00473C33">
        <w:rPr>
          <w:rFonts w:ascii="Times New Roman" w:hAnsi="Times New Roman"/>
        </w:rPr>
        <w:t xml:space="preserve"> </w:t>
      </w:r>
      <w:r w:rsidR="00584221">
        <w:rPr>
          <w:rFonts w:ascii="Times New Roman" w:hAnsi="Times New Roman"/>
        </w:rPr>
        <w:t>this</w:t>
      </w:r>
      <w:r w:rsidR="00473C33">
        <w:rPr>
          <w:rFonts w:ascii="Times New Roman" w:hAnsi="Times New Roman"/>
        </w:rPr>
        <w:t xml:space="preserve"> problem </w:t>
      </w:r>
      <w:r w:rsidR="006F273D">
        <w:rPr>
          <w:rFonts w:ascii="Times New Roman" w:hAnsi="Times New Roman"/>
        </w:rPr>
        <w:t>under three separate headings</w:t>
      </w:r>
      <w:r w:rsidR="00473C33">
        <w:rPr>
          <w:rFonts w:ascii="Times New Roman" w:hAnsi="Times New Roman"/>
        </w:rPr>
        <w:t xml:space="preserve">: conduct; fault; and punishment. </w:t>
      </w:r>
      <w:r w:rsidR="00D219BC">
        <w:rPr>
          <w:rFonts w:ascii="Times New Roman" w:hAnsi="Times New Roman"/>
        </w:rPr>
        <w:t xml:space="preserve">These headings </w:t>
      </w:r>
      <w:r w:rsidR="00773A15">
        <w:rPr>
          <w:rFonts w:ascii="Times New Roman" w:hAnsi="Times New Roman"/>
        </w:rPr>
        <w:t>reflect</w:t>
      </w:r>
      <w:r w:rsidR="00815711">
        <w:rPr>
          <w:rFonts w:ascii="Times New Roman" w:hAnsi="Times New Roman"/>
        </w:rPr>
        <w:t xml:space="preserve"> the </w:t>
      </w:r>
      <w:r w:rsidR="00773A15">
        <w:rPr>
          <w:rFonts w:ascii="Times New Roman" w:hAnsi="Times New Roman"/>
        </w:rPr>
        <w:t>extent</w:t>
      </w:r>
      <w:r w:rsidR="00815711">
        <w:rPr>
          <w:rFonts w:ascii="Times New Roman" w:hAnsi="Times New Roman"/>
        </w:rPr>
        <w:t xml:space="preserve"> </w:t>
      </w:r>
      <w:r w:rsidR="00F65B74">
        <w:rPr>
          <w:rFonts w:ascii="Times New Roman" w:hAnsi="Times New Roman"/>
        </w:rPr>
        <w:t xml:space="preserve">of </w:t>
      </w:r>
      <w:r w:rsidR="00975C52">
        <w:rPr>
          <w:rFonts w:ascii="Times New Roman" w:hAnsi="Times New Roman"/>
        </w:rPr>
        <w:t xml:space="preserve">that incoherence, </w:t>
      </w:r>
      <w:r w:rsidR="0009012D">
        <w:rPr>
          <w:rFonts w:ascii="Times New Roman" w:hAnsi="Times New Roman"/>
        </w:rPr>
        <w:t>the various features of which are</w:t>
      </w:r>
      <w:r w:rsidR="00815711">
        <w:rPr>
          <w:rFonts w:ascii="Times New Roman" w:hAnsi="Times New Roman"/>
        </w:rPr>
        <w:t xml:space="preserve"> </w:t>
      </w:r>
      <w:r w:rsidR="00635E52">
        <w:rPr>
          <w:rFonts w:ascii="Times New Roman" w:hAnsi="Times New Roman"/>
        </w:rPr>
        <w:t>documented</w:t>
      </w:r>
      <w:r w:rsidR="00815711">
        <w:rPr>
          <w:rFonts w:ascii="Times New Roman" w:hAnsi="Times New Roman"/>
        </w:rPr>
        <w:t xml:space="preserve"> throughout</w:t>
      </w:r>
      <w:r w:rsidR="00D219BC">
        <w:rPr>
          <w:rFonts w:ascii="Times New Roman" w:hAnsi="Times New Roman"/>
        </w:rPr>
        <w:t xml:space="preserve"> the SCP, ca</w:t>
      </w:r>
      <w:r w:rsidR="00787C07">
        <w:rPr>
          <w:rFonts w:ascii="Times New Roman" w:hAnsi="Times New Roman"/>
        </w:rPr>
        <w:t xml:space="preserve">se law and academic literature. </w:t>
      </w:r>
      <w:r w:rsidR="00CC30C4">
        <w:rPr>
          <w:rFonts w:ascii="Times New Roman" w:hAnsi="Times New Roman"/>
        </w:rPr>
        <w:t>Thereafter</w:t>
      </w:r>
      <w:r w:rsidR="00B90447">
        <w:rPr>
          <w:rFonts w:ascii="Times New Roman" w:hAnsi="Times New Roman"/>
        </w:rPr>
        <w:t xml:space="preserve">, section three examines </w:t>
      </w:r>
      <w:r w:rsidR="00C91DCC">
        <w:rPr>
          <w:rFonts w:ascii="Times New Roman" w:hAnsi="Times New Roman"/>
        </w:rPr>
        <w:t>the comparative coherence</w:t>
      </w:r>
      <w:r w:rsidR="003D70F1">
        <w:rPr>
          <w:rFonts w:ascii="Times New Roman" w:hAnsi="Times New Roman"/>
        </w:rPr>
        <w:t xml:space="preserve"> </w:t>
      </w:r>
      <w:r w:rsidR="00C91DCC">
        <w:rPr>
          <w:rFonts w:ascii="Times New Roman" w:hAnsi="Times New Roman"/>
        </w:rPr>
        <w:t>of</w:t>
      </w:r>
      <w:r w:rsidR="00176022">
        <w:rPr>
          <w:rFonts w:ascii="Times New Roman" w:hAnsi="Times New Roman"/>
        </w:rPr>
        <w:t xml:space="preserve"> </w:t>
      </w:r>
      <w:r w:rsidR="008125B3">
        <w:rPr>
          <w:rFonts w:ascii="Times New Roman" w:hAnsi="Times New Roman"/>
        </w:rPr>
        <w:t xml:space="preserve">the </w:t>
      </w:r>
      <w:r w:rsidR="00235366">
        <w:rPr>
          <w:rFonts w:ascii="Times New Roman" w:hAnsi="Times New Roman"/>
          <w:i/>
        </w:rPr>
        <w:t>new</w:t>
      </w:r>
      <w:r w:rsidR="00AF2D4D">
        <w:rPr>
          <w:rFonts w:ascii="Times New Roman" w:hAnsi="Times New Roman"/>
        </w:rPr>
        <w:t xml:space="preserve"> </w:t>
      </w:r>
      <w:r w:rsidR="00F54B12">
        <w:rPr>
          <w:rFonts w:ascii="Times New Roman" w:hAnsi="Times New Roman"/>
        </w:rPr>
        <w:t xml:space="preserve">core </w:t>
      </w:r>
      <w:r w:rsidR="00AF2D4D">
        <w:rPr>
          <w:rFonts w:ascii="Times New Roman" w:hAnsi="Times New Roman"/>
        </w:rPr>
        <w:t>offences</w:t>
      </w:r>
      <w:r w:rsidR="00176022">
        <w:rPr>
          <w:rFonts w:ascii="Times New Roman" w:hAnsi="Times New Roman"/>
        </w:rPr>
        <w:t>.</w:t>
      </w:r>
      <w:r w:rsidR="009D7ED9">
        <w:rPr>
          <w:rFonts w:ascii="Times New Roman" w:hAnsi="Times New Roman"/>
        </w:rPr>
        <w:t xml:space="preserve"> </w:t>
      </w:r>
      <w:r w:rsidR="00A1128E">
        <w:rPr>
          <w:rFonts w:ascii="Times New Roman" w:hAnsi="Times New Roman"/>
        </w:rPr>
        <w:t xml:space="preserve">In doing so, it </w:t>
      </w:r>
      <w:r w:rsidR="001047BC">
        <w:rPr>
          <w:rFonts w:ascii="Times New Roman" w:hAnsi="Times New Roman"/>
        </w:rPr>
        <w:t xml:space="preserve">considers matters of conduct, fault and punishment through </w:t>
      </w:r>
      <w:r w:rsidR="009D7ED9" w:rsidRPr="00B5400C">
        <w:rPr>
          <w:rFonts w:ascii="Times New Roman" w:hAnsi="Times New Roman"/>
          <w:i/>
        </w:rPr>
        <w:t>broader</w:t>
      </w:r>
      <w:r w:rsidR="008125B3">
        <w:rPr>
          <w:rFonts w:ascii="Times New Roman" w:hAnsi="Times New Roman"/>
        </w:rPr>
        <w:t xml:space="preserve"> reform </w:t>
      </w:r>
      <w:r w:rsidR="00A1128E">
        <w:rPr>
          <w:rFonts w:ascii="Times New Roman" w:hAnsi="Times New Roman"/>
        </w:rPr>
        <w:t>controversies</w:t>
      </w:r>
      <w:r w:rsidR="001047BC">
        <w:rPr>
          <w:rFonts w:ascii="Times New Roman" w:hAnsi="Times New Roman"/>
        </w:rPr>
        <w:t xml:space="preserve">, </w:t>
      </w:r>
      <w:r w:rsidR="00A6657B">
        <w:rPr>
          <w:rFonts w:ascii="Times New Roman" w:hAnsi="Times New Roman"/>
        </w:rPr>
        <w:t>namely</w:t>
      </w:r>
      <w:r w:rsidR="00F37643">
        <w:rPr>
          <w:rFonts w:ascii="Times New Roman" w:hAnsi="Times New Roman"/>
        </w:rPr>
        <w:t xml:space="preserve">: offence definition; disease transmission; and the role </w:t>
      </w:r>
      <w:r w:rsidR="00F37643">
        <w:rPr>
          <w:rFonts w:ascii="Times New Roman" w:hAnsi="Times New Roman"/>
        </w:rPr>
        <w:lastRenderedPageBreak/>
        <w:t>of consent.</w:t>
      </w:r>
      <w:r w:rsidR="00464EBD">
        <w:rPr>
          <w:rFonts w:ascii="Times New Roman" w:hAnsi="Times New Roman"/>
        </w:rPr>
        <w:t xml:space="preserve"> </w:t>
      </w:r>
      <w:r w:rsidR="00414959">
        <w:rPr>
          <w:rFonts w:ascii="Times New Roman" w:hAnsi="Times New Roman"/>
        </w:rPr>
        <w:t>Reference to t</w:t>
      </w:r>
      <w:r w:rsidR="008125B3">
        <w:rPr>
          <w:rFonts w:ascii="Times New Roman" w:hAnsi="Times New Roman"/>
        </w:rPr>
        <w:t xml:space="preserve">hese </w:t>
      </w:r>
      <w:r w:rsidR="00414959">
        <w:rPr>
          <w:rFonts w:ascii="Times New Roman" w:hAnsi="Times New Roman"/>
        </w:rPr>
        <w:t>longstanding</w:t>
      </w:r>
      <w:r w:rsidR="009D7ED9">
        <w:rPr>
          <w:rFonts w:ascii="Times New Roman" w:hAnsi="Times New Roman"/>
        </w:rPr>
        <w:t xml:space="preserve"> </w:t>
      </w:r>
      <w:r w:rsidR="001B75A5">
        <w:rPr>
          <w:rFonts w:ascii="Times New Roman" w:hAnsi="Times New Roman"/>
        </w:rPr>
        <w:t>controversies</w:t>
      </w:r>
      <w:r w:rsidR="00D90A92">
        <w:rPr>
          <w:rFonts w:ascii="Times New Roman" w:hAnsi="Times New Roman"/>
        </w:rPr>
        <w:t xml:space="preserve"> </w:t>
      </w:r>
      <w:r w:rsidR="00A50150">
        <w:rPr>
          <w:rFonts w:ascii="Times New Roman" w:hAnsi="Times New Roman"/>
        </w:rPr>
        <w:t>yields</w:t>
      </w:r>
      <w:r w:rsidR="00D90A92">
        <w:rPr>
          <w:rFonts w:ascii="Times New Roman" w:hAnsi="Times New Roman"/>
        </w:rPr>
        <w:t xml:space="preserve"> </w:t>
      </w:r>
      <w:r w:rsidR="00414959">
        <w:rPr>
          <w:rFonts w:ascii="Times New Roman" w:hAnsi="Times New Roman"/>
        </w:rPr>
        <w:t>yet more</w:t>
      </w:r>
      <w:r w:rsidR="00C91A7F">
        <w:rPr>
          <w:rFonts w:ascii="Times New Roman" w:hAnsi="Times New Roman"/>
        </w:rPr>
        <w:t xml:space="preserve"> </w:t>
      </w:r>
      <w:r w:rsidR="00A87678">
        <w:rPr>
          <w:rFonts w:ascii="Times New Roman" w:hAnsi="Times New Roman"/>
        </w:rPr>
        <w:t>insights into</w:t>
      </w:r>
      <w:r w:rsidR="00C91A7F">
        <w:rPr>
          <w:rFonts w:ascii="Times New Roman" w:hAnsi="Times New Roman"/>
        </w:rPr>
        <w:t xml:space="preserve"> the </w:t>
      </w:r>
      <w:r w:rsidR="00414959">
        <w:rPr>
          <w:rFonts w:ascii="Times New Roman" w:hAnsi="Times New Roman"/>
        </w:rPr>
        <w:t>rationality</w:t>
      </w:r>
      <w:r w:rsidR="004850CC">
        <w:rPr>
          <w:rFonts w:ascii="Times New Roman" w:hAnsi="Times New Roman"/>
        </w:rPr>
        <w:t xml:space="preserve"> of the </w:t>
      </w:r>
      <w:r w:rsidR="00657226">
        <w:rPr>
          <w:rFonts w:ascii="Times New Roman" w:hAnsi="Times New Roman"/>
        </w:rPr>
        <w:t>recast</w:t>
      </w:r>
      <w:r w:rsidR="00C91A7F">
        <w:rPr>
          <w:rFonts w:ascii="Times New Roman" w:hAnsi="Times New Roman"/>
        </w:rPr>
        <w:t xml:space="preserve"> </w:t>
      </w:r>
      <w:r w:rsidR="00773A15">
        <w:rPr>
          <w:rFonts w:ascii="Times New Roman" w:hAnsi="Times New Roman"/>
        </w:rPr>
        <w:t>crimes</w:t>
      </w:r>
      <w:r w:rsidR="00C91A7F">
        <w:rPr>
          <w:rFonts w:ascii="Times New Roman" w:hAnsi="Times New Roman"/>
        </w:rPr>
        <w:t xml:space="preserve">. </w:t>
      </w:r>
      <w:r w:rsidR="00CA2C5D">
        <w:rPr>
          <w:rFonts w:ascii="Times New Roman" w:hAnsi="Times New Roman"/>
        </w:rPr>
        <w:t xml:space="preserve">Finally, section </w:t>
      </w:r>
      <w:r w:rsidR="008F2476">
        <w:rPr>
          <w:rFonts w:ascii="Times New Roman" w:hAnsi="Times New Roman"/>
        </w:rPr>
        <w:t>four</w:t>
      </w:r>
      <w:r w:rsidR="00CA2C5D">
        <w:rPr>
          <w:rFonts w:ascii="Times New Roman" w:hAnsi="Times New Roman"/>
        </w:rPr>
        <w:t xml:space="preserve"> offers</w:t>
      </w:r>
      <w:r w:rsidR="00CD18AA" w:rsidRPr="00AC23D9">
        <w:rPr>
          <w:rFonts w:ascii="Times New Roman" w:hAnsi="Times New Roman"/>
        </w:rPr>
        <w:t xml:space="preserve"> </w:t>
      </w:r>
      <w:r w:rsidR="00115F27">
        <w:rPr>
          <w:rFonts w:ascii="Times New Roman" w:hAnsi="Times New Roman"/>
        </w:rPr>
        <w:t xml:space="preserve">some concluding </w:t>
      </w:r>
      <w:r w:rsidR="00467A17">
        <w:rPr>
          <w:rFonts w:ascii="Times New Roman" w:hAnsi="Times New Roman"/>
        </w:rPr>
        <w:t>thoughts</w:t>
      </w:r>
      <w:r w:rsidR="00CD18AA" w:rsidRPr="00AC23D9">
        <w:rPr>
          <w:rFonts w:ascii="Times New Roman" w:hAnsi="Times New Roman"/>
        </w:rPr>
        <w:t xml:space="preserve"> on </w:t>
      </w:r>
      <w:r w:rsidR="00115F27">
        <w:rPr>
          <w:rFonts w:ascii="Times New Roman" w:hAnsi="Times New Roman"/>
        </w:rPr>
        <w:t xml:space="preserve">the </w:t>
      </w:r>
      <w:r w:rsidR="005077F4">
        <w:rPr>
          <w:rFonts w:ascii="Times New Roman" w:hAnsi="Times New Roman"/>
        </w:rPr>
        <w:t xml:space="preserve">scoping report’s </w:t>
      </w:r>
      <w:r w:rsidR="008D0204">
        <w:rPr>
          <w:rFonts w:ascii="Times New Roman" w:hAnsi="Times New Roman"/>
        </w:rPr>
        <w:t>recommended offences</w:t>
      </w:r>
      <w:r w:rsidR="005077F4">
        <w:rPr>
          <w:rFonts w:ascii="Times New Roman" w:hAnsi="Times New Roman"/>
        </w:rPr>
        <w:t>.</w:t>
      </w:r>
      <w:r w:rsidR="00FF6417">
        <w:rPr>
          <w:rFonts w:ascii="Times New Roman" w:hAnsi="Times New Roman"/>
        </w:rPr>
        <w:t xml:space="preserve"> </w:t>
      </w:r>
    </w:p>
    <w:p w:rsidR="00DD5452" w:rsidRDefault="00DD5452" w:rsidP="00334BF3">
      <w:pPr>
        <w:spacing w:line="480" w:lineRule="auto"/>
        <w:jc w:val="both"/>
        <w:rPr>
          <w:rFonts w:ascii="Times New Roman" w:hAnsi="Times New Roman"/>
        </w:rPr>
      </w:pPr>
    </w:p>
    <w:p w:rsidR="00B713A3" w:rsidRDefault="00B81630" w:rsidP="00334BF3">
      <w:pPr>
        <w:spacing w:line="480" w:lineRule="auto"/>
        <w:jc w:val="both"/>
        <w:rPr>
          <w:rFonts w:ascii="Times New Roman" w:hAnsi="Times New Roman"/>
          <w:b/>
        </w:rPr>
      </w:pPr>
      <w:r>
        <w:rPr>
          <w:rFonts w:ascii="Times New Roman" w:hAnsi="Times New Roman"/>
          <w:b/>
        </w:rPr>
        <w:t xml:space="preserve">2. </w:t>
      </w:r>
      <w:r w:rsidR="0063295A">
        <w:rPr>
          <w:rFonts w:ascii="Times New Roman" w:hAnsi="Times New Roman"/>
          <w:b/>
        </w:rPr>
        <w:t xml:space="preserve">Offences against the person: </w:t>
      </w:r>
      <w:r w:rsidR="004C0AF2">
        <w:rPr>
          <w:rFonts w:ascii="Times New Roman" w:hAnsi="Times New Roman"/>
          <w:b/>
        </w:rPr>
        <w:t>identifying</w:t>
      </w:r>
      <w:r w:rsidR="00273D69">
        <w:rPr>
          <w:rFonts w:ascii="Times New Roman" w:hAnsi="Times New Roman"/>
          <w:b/>
        </w:rPr>
        <w:t xml:space="preserve"> incoherence</w:t>
      </w:r>
    </w:p>
    <w:p w:rsidR="00C76212" w:rsidRDefault="00C76212" w:rsidP="00334BF3">
      <w:pPr>
        <w:spacing w:line="480" w:lineRule="auto"/>
        <w:jc w:val="both"/>
        <w:rPr>
          <w:rFonts w:ascii="Times New Roman" w:hAnsi="Times New Roman"/>
          <w:b/>
        </w:rPr>
      </w:pPr>
    </w:p>
    <w:p w:rsidR="001C60A1" w:rsidRPr="00C0697C" w:rsidRDefault="00BA1237" w:rsidP="00C0697C">
      <w:pPr>
        <w:spacing w:line="480" w:lineRule="auto"/>
        <w:jc w:val="both"/>
        <w:rPr>
          <w:rFonts w:ascii="Times New Roman" w:hAnsi="Times New Roman"/>
        </w:rPr>
      </w:pPr>
      <w:r>
        <w:rPr>
          <w:rFonts w:ascii="Times New Roman" w:hAnsi="Times New Roman"/>
        </w:rPr>
        <w:t xml:space="preserve">It is unsurprising that the OAPA </w:t>
      </w:r>
      <w:r w:rsidR="007F565A">
        <w:rPr>
          <w:rFonts w:ascii="Times New Roman" w:hAnsi="Times New Roman"/>
        </w:rPr>
        <w:t xml:space="preserve">is </w:t>
      </w:r>
      <w:r>
        <w:rPr>
          <w:rFonts w:ascii="Times New Roman" w:hAnsi="Times New Roman"/>
        </w:rPr>
        <w:t xml:space="preserve">no longer </w:t>
      </w:r>
      <w:r w:rsidR="00A6695C">
        <w:rPr>
          <w:rFonts w:ascii="Times New Roman" w:hAnsi="Times New Roman"/>
        </w:rPr>
        <w:t>fit for purpose</w:t>
      </w:r>
      <w:r w:rsidR="001C60A1">
        <w:rPr>
          <w:rFonts w:ascii="Times New Roman" w:hAnsi="Times New Roman"/>
        </w:rPr>
        <w:t>. Even on its enactment it was only ever a consolidating statute</w:t>
      </w:r>
      <w:r w:rsidR="00A6695C">
        <w:rPr>
          <w:rFonts w:ascii="Times New Roman" w:hAnsi="Times New Roman"/>
        </w:rPr>
        <w:t xml:space="preserve">, bringing together </w:t>
      </w:r>
      <w:r w:rsidR="007F565A">
        <w:rPr>
          <w:rFonts w:ascii="Times New Roman" w:hAnsi="Times New Roman"/>
        </w:rPr>
        <w:t xml:space="preserve">prohibitions </w:t>
      </w:r>
      <w:r w:rsidR="00DF3311">
        <w:rPr>
          <w:rFonts w:ascii="Times New Roman" w:hAnsi="Times New Roman"/>
        </w:rPr>
        <w:t xml:space="preserve">that were already </w:t>
      </w:r>
      <w:r w:rsidR="00B30ED1">
        <w:rPr>
          <w:rFonts w:ascii="Times New Roman" w:hAnsi="Times New Roman"/>
        </w:rPr>
        <w:t>quite</w:t>
      </w:r>
      <w:r w:rsidR="00DF3311">
        <w:rPr>
          <w:rFonts w:ascii="Times New Roman" w:hAnsi="Times New Roman"/>
        </w:rPr>
        <w:t xml:space="preserve"> old. </w:t>
      </w:r>
      <w:r w:rsidR="007F565A">
        <w:rPr>
          <w:rFonts w:ascii="Times New Roman" w:hAnsi="Times New Roman"/>
        </w:rPr>
        <w:t>This explains why</w:t>
      </w:r>
      <w:r w:rsidR="001C60A1">
        <w:rPr>
          <w:rFonts w:ascii="Times New Roman" w:hAnsi="Times New Roman"/>
        </w:rPr>
        <w:t xml:space="preserve"> </w:t>
      </w:r>
      <w:r w:rsidR="00A45DF8">
        <w:rPr>
          <w:rFonts w:ascii="Times New Roman" w:hAnsi="Times New Roman"/>
        </w:rPr>
        <w:t xml:space="preserve">the </w:t>
      </w:r>
      <w:r w:rsidR="005077F4">
        <w:rPr>
          <w:rFonts w:ascii="Times New Roman" w:hAnsi="Times New Roman"/>
        </w:rPr>
        <w:t xml:space="preserve">core </w:t>
      </w:r>
      <w:r w:rsidR="00B02024">
        <w:rPr>
          <w:rFonts w:ascii="Times New Roman" w:hAnsi="Times New Roman"/>
        </w:rPr>
        <w:t>offences it contains</w:t>
      </w:r>
      <w:r w:rsidR="00100BF5">
        <w:rPr>
          <w:rFonts w:ascii="Times New Roman" w:hAnsi="Times New Roman"/>
        </w:rPr>
        <w:t xml:space="preserve"> </w:t>
      </w:r>
      <w:r w:rsidR="00C52DB7">
        <w:rPr>
          <w:rFonts w:ascii="Times New Roman" w:hAnsi="Times New Roman"/>
        </w:rPr>
        <w:t>seem</w:t>
      </w:r>
      <w:r w:rsidR="001C60A1">
        <w:rPr>
          <w:rFonts w:ascii="Times New Roman" w:hAnsi="Times New Roman"/>
        </w:rPr>
        <w:t xml:space="preserve"> </w:t>
      </w:r>
      <w:r w:rsidR="00C91DCC">
        <w:rPr>
          <w:rFonts w:ascii="Times New Roman" w:hAnsi="Times New Roman"/>
        </w:rPr>
        <w:t>ill-conceived</w:t>
      </w:r>
      <w:r w:rsidR="00B02024">
        <w:rPr>
          <w:rFonts w:ascii="Times New Roman" w:hAnsi="Times New Roman"/>
        </w:rPr>
        <w:t xml:space="preserve">. </w:t>
      </w:r>
      <w:r w:rsidR="00C91DCC">
        <w:rPr>
          <w:rFonts w:ascii="Times New Roman" w:hAnsi="Times New Roman"/>
        </w:rPr>
        <w:t xml:space="preserve">Similar </w:t>
      </w:r>
      <w:r w:rsidR="00C52DB7">
        <w:rPr>
          <w:rFonts w:ascii="Times New Roman" w:hAnsi="Times New Roman"/>
        </w:rPr>
        <w:t>challenges</w:t>
      </w:r>
      <w:r w:rsidR="000C6CB6">
        <w:rPr>
          <w:rFonts w:ascii="Times New Roman" w:hAnsi="Times New Roman"/>
        </w:rPr>
        <w:t xml:space="preserve"> arise in </w:t>
      </w:r>
      <w:r w:rsidR="00F635DF">
        <w:rPr>
          <w:rFonts w:ascii="Times New Roman" w:hAnsi="Times New Roman"/>
        </w:rPr>
        <w:t xml:space="preserve">the </w:t>
      </w:r>
      <w:r w:rsidR="00273D69">
        <w:rPr>
          <w:rFonts w:ascii="Times New Roman" w:hAnsi="Times New Roman"/>
        </w:rPr>
        <w:t xml:space="preserve">other </w:t>
      </w:r>
      <w:r w:rsidR="003A657A">
        <w:rPr>
          <w:rFonts w:ascii="Times New Roman" w:hAnsi="Times New Roman"/>
        </w:rPr>
        <w:t>core</w:t>
      </w:r>
      <w:r w:rsidR="00B02024">
        <w:rPr>
          <w:rFonts w:ascii="Times New Roman" w:hAnsi="Times New Roman"/>
        </w:rPr>
        <w:t xml:space="preserve"> crimes of assault and battery</w:t>
      </w:r>
      <w:r w:rsidR="00100BF5">
        <w:rPr>
          <w:rFonts w:ascii="Times New Roman" w:hAnsi="Times New Roman"/>
        </w:rPr>
        <w:t>.</w:t>
      </w:r>
      <w:r w:rsidR="004412EB">
        <w:rPr>
          <w:rFonts w:ascii="Times New Roman" w:hAnsi="Times New Roman"/>
        </w:rPr>
        <w:t xml:space="preserve"> In this</w:t>
      </w:r>
      <w:r w:rsidR="00501E8D">
        <w:rPr>
          <w:rFonts w:ascii="Times New Roman" w:hAnsi="Times New Roman"/>
        </w:rPr>
        <w:t xml:space="preserve"> section, the article </w:t>
      </w:r>
      <w:r w:rsidR="00273D69">
        <w:rPr>
          <w:rFonts w:ascii="Times New Roman" w:hAnsi="Times New Roman"/>
        </w:rPr>
        <w:t>highlights</w:t>
      </w:r>
      <w:r w:rsidR="00501E8D">
        <w:rPr>
          <w:rFonts w:ascii="Times New Roman" w:hAnsi="Times New Roman"/>
        </w:rPr>
        <w:t xml:space="preserve"> </w:t>
      </w:r>
      <w:r w:rsidR="00797F10">
        <w:rPr>
          <w:rFonts w:ascii="Times New Roman" w:hAnsi="Times New Roman"/>
        </w:rPr>
        <w:t xml:space="preserve">the incoherence </w:t>
      </w:r>
      <w:r w:rsidR="009B29E7">
        <w:rPr>
          <w:rFonts w:ascii="Times New Roman" w:hAnsi="Times New Roman"/>
        </w:rPr>
        <w:t>of the</w:t>
      </w:r>
      <w:r w:rsidR="005077F4">
        <w:rPr>
          <w:rFonts w:ascii="Times New Roman" w:hAnsi="Times New Roman"/>
        </w:rPr>
        <w:t>se five</w:t>
      </w:r>
      <w:r w:rsidR="009B29E7">
        <w:rPr>
          <w:rFonts w:ascii="Times New Roman" w:hAnsi="Times New Roman"/>
        </w:rPr>
        <w:t xml:space="preserve"> </w:t>
      </w:r>
      <w:r w:rsidR="008A0DBF">
        <w:rPr>
          <w:rFonts w:ascii="Times New Roman" w:hAnsi="Times New Roman"/>
        </w:rPr>
        <w:t xml:space="preserve">offences </w:t>
      </w:r>
      <w:r w:rsidR="00276D14">
        <w:rPr>
          <w:rFonts w:ascii="Times New Roman" w:hAnsi="Times New Roman"/>
        </w:rPr>
        <w:t xml:space="preserve">according to </w:t>
      </w:r>
      <w:r w:rsidR="00773A15">
        <w:rPr>
          <w:rFonts w:ascii="Times New Roman" w:hAnsi="Times New Roman"/>
        </w:rPr>
        <w:t xml:space="preserve">the </w:t>
      </w:r>
      <w:r w:rsidR="00276D14">
        <w:rPr>
          <w:rFonts w:ascii="Times New Roman" w:hAnsi="Times New Roman"/>
        </w:rPr>
        <w:t xml:space="preserve">three </w:t>
      </w:r>
      <w:r w:rsidR="006B72B7">
        <w:rPr>
          <w:rFonts w:ascii="Times New Roman" w:hAnsi="Times New Roman"/>
        </w:rPr>
        <w:t>factors</w:t>
      </w:r>
      <w:r w:rsidR="00124880">
        <w:rPr>
          <w:rFonts w:ascii="Times New Roman" w:hAnsi="Times New Roman"/>
        </w:rPr>
        <w:t xml:space="preserve"> outlined above</w:t>
      </w:r>
      <w:r w:rsidR="00276D14">
        <w:rPr>
          <w:rFonts w:ascii="Times New Roman" w:hAnsi="Times New Roman"/>
        </w:rPr>
        <w:t xml:space="preserve">: </w:t>
      </w:r>
      <w:r w:rsidR="009951F6">
        <w:rPr>
          <w:rFonts w:ascii="Times New Roman" w:hAnsi="Times New Roman"/>
        </w:rPr>
        <w:t>conduct</w:t>
      </w:r>
      <w:r w:rsidR="00276D14">
        <w:rPr>
          <w:rFonts w:ascii="Times New Roman" w:hAnsi="Times New Roman"/>
        </w:rPr>
        <w:t>;</w:t>
      </w:r>
      <w:r w:rsidR="00810B70">
        <w:rPr>
          <w:rFonts w:ascii="Times New Roman" w:hAnsi="Times New Roman"/>
        </w:rPr>
        <w:t xml:space="preserve"> </w:t>
      </w:r>
      <w:r w:rsidR="003A657A">
        <w:rPr>
          <w:rFonts w:ascii="Times New Roman" w:hAnsi="Times New Roman"/>
        </w:rPr>
        <w:t>fault</w:t>
      </w:r>
      <w:r w:rsidR="00276D14">
        <w:rPr>
          <w:rFonts w:ascii="Times New Roman" w:hAnsi="Times New Roman"/>
        </w:rPr>
        <w:t>;</w:t>
      </w:r>
      <w:r w:rsidR="003A657A">
        <w:rPr>
          <w:rFonts w:ascii="Times New Roman" w:hAnsi="Times New Roman"/>
        </w:rPr>
        <w:t xml:space="preserve"> </w:t>
      </w:r>
      <w:r w:rsidR="00B81C8B">
        <w:rPr>
          <w:rFonts w:ascii="Times New Roman" w:hAnsi="Times New Roman"/>
        </w:rPr>
        <w:t>and</w:t>
      </w:r>
      <w:r w:rsidR="00CE6292">
        <w:rPr>
          <w:rFonts w:ascii="Times New Roman" w:hAnsi="Times New Roman"/>
        </w:rPr>
        <w:t xml:space="preserve"> </w:t>
      </w:r>
      <w:r w:rsidR="00244FC7">
        <w:rPr>
          <w:rFonts w:ascii="Times New Roman" w:hAnsi="Times New Roman"/>
        </w:rPr>
        <w:t>punishment</w:t>
      </w:r>
      <w:r w:rsidR="00276D14">
        <w:rPr>
          <w:rFonts w:ascii="Times New Roman" w:hAnsi="Times New Roman"/>
        </w:rPr>
        <w:t>.</w:t>
      </w:r>
      <w:r w:rsidR="009E0652">
        <w:rPr>
          <w:rFonts w:ascii="Times New Roman" w:hAnsi="Times New Roman"/>
        </w:rPr>
        <w:t xml:space="preserve"> </w:t>
      </w:r>
      <w:r w:rsidR="0055458D">
        <w:rPr>
          <w:rFonts w:ascii="Times New Roman" w:hAnsi="Times New Roman"/>
        </w:rPr>
        <w:t>Significantly</w:t>
      </w:r>
      <w:r w:rsidR="004C0AF2">
        <w:rPr>
          <w:rFonts w:ascii="Times New Roman" w:hAnsi="Times New Roman"/>
        </w:rPr>
        <w:t xml:space="preserve">, </w:t>
      </w:r>
      <w:r w:rsidR="00BF76A5">
        <w:rPr>
          <w:rFonts w:ascii="Times New Roman" w:hAnsi="Times New Roman"/>
        </w:rPr>
        <w:t>this framework</w:t>
      </w:r>
      <w:r w:rsidR="004C0AF2">
        <w:rPr>
          <w:rFonts w:ascii="Times New Roman" w:hAnsi="Times New Roman"/>
        </w:rPr>
        <w:t xml:space="preserve"> reveal</w:t>
      </w:r>
      <w:r w:rsidR="00BF76A5">
        <w:rPr>
          <w:rFonts w:ascii="Times New Roman" w:hAnsi="Times New Roman"/>
        </w:rPr>
        <w:t>s</w:t>
      </w:r>
      <w:r w:rsidR="004C0AF2">
        <w:rPr>
          <w:rFonts w:ascii="Times New Roman" w:hAnsi="Times New Roman"/>
        </w:rPr>
        <w:t xml:space="preserve"> how </w:t>
      </w:r>
      <w:r w:rsidR="00AE4DF8">
        <w:rPr>
          <w:rFonts w:ascii="Times New Roman" w:hAnsi="Times New Roman"/>
        </w:rPr>
        <w:t>such incoherence manifests itself</w:t>
      </w:r>
      <w:r w:rsidR="004C0AF2">
        <w:rPr>
          <w:rFonts w:ascii="Times New Roman" w:hAnsi="Times New Roman"/>
        </w:rPr>
        <w:t xml:space="preserve"> both within and across the core</w:t>
      </w:r>
      <w:r w:rsidR="00FD5A53">
        <w:rPr>
          <w:rFonts w:ascii="Times New Roman" w:hAnsi="Times New Roman"/>
        </w:rPr>
        <w:t xml:space="preserve"> offences. </w:t>
      </w:r>
      <w:r w:rsidR="009B29E7">
        <w:rPr>
          <w:rFonts w:ascii="Times New Roman" w:hAnsi="Times New Roman"/>
        </w:rPr>
        <w:t xml:space="preserve"> </w:t>
      </w:r>
    </w:p>
    <w:p w:rsidR="005403FB" w:rsidRPr="00C0697C" w:rsidRDefault="005403FB" w:rsidP="00C0697C">
      <w:pPr>
        <w:spacing w:line="480" w:lineRule="auto"/>
        <w:jc w:val="both"/>
        <w:rPr>
          <w:rFonts w:ascii="Times New Roman" w:hAnsi="Times New Roman"/>
        </w:rPr>
      </w:pPr>
    </w:p>
    <w:p w:rsidR="00B81630" w:rsidRDefault="00B81630" w:rsidP="00B81630">
      <w:pPr>
        <w:spacing w:line="480" w:lineRule="auto"/>
        <w:jc w:val="both"/>
        <w:rPr>
          <w:rFonts w:ascii="Times New Roman" w:hAnsi="Times New Roman"/>
        </w:rPr>
      </w:pPr>
      <w:r>
        <w:rPr>
          <w:rFonts w:ascii="Times New Roman" w:hAnsi="Times New Roman"/>
          <w:i/>
        </w:rPr>
        <w:t>Framing conduct</w:t>
      </w:r>
    </w:p>
    <w:p w:rsidR="00522FA1" w:rsidRDefault="00D532C6" w:rsidP="00B34887">
      <w:pPr>
        <w:autoSpaceDE w:val="0"/>
        <w:autoSpaceDN w:val="0"/>
        <w:adjustRightInd w:val="0"/>
        <w:spacing w:line="480" w:lineRule="auto"/>
        <w:jc w:val="both"/>
        <w:rPr>
          <w:rFonts w:ascii="Times New Roman" w:hAnsi="Times New Roman"/>
        </w:rPr>
      </w:pPr>
      <w:r w:rsidRPr="00B34887">
        <w:rPr>
          <w:rFonts w:ascii="Times New Roman" w:hAnsi="Times New Roman"/>
        </w:rPr>
        <w:t xml:space="preserve">Due to its status as a consolidating Act, the drafters of the OAPA </w:t>
      </w:r>
      <w:r w:rsidR="000C18E8">
        <w:rPr>
          <w:rFonts w:ascii="Times New Roman" w:hAnsi="Times New Roman"/>
        </w:rPr>
        <w:t>made no effort to place</w:t>
      </w:r>
      <w:r w:rsidRPr="00B34887">
        <w:rPr>
          <w:rFonts w:ascii="Times New Roman" w:hAnsi="Times New Roman"/>
        </w:rPr>
        <w:t xml:space="preserve"> the offences into a hierarchy of seriousness</w:t>
      </w:r>
      <w:r w:rsidR="000C18E8">
        <w:rPr>
          <w:rFonts w:ascii="Times New Roman" w:hAnsi="Times New Roman"/>
        </w:rPr>
        <w:t>.</w:t>
      </w:r>
      <w:r w:rsidRPr="00B34887">
        <w:rPr>
          <w:rFonts w:ascii="Times New Roman" w:hAnsi="Times New Roman"/>
        </w:rPr>
        <w:t xml:space="preserve"> </w:t>
      </w:r>
      <w:r w:rsidR="006B05A5" w:rsidRPr="00B34887">
        <w:rPr>
          <w:rFonts w:ascii="Times New Roman" w:hAnsi="Times New Roman"/>
        </w:rPr>
        <w:t>As a result</w:t>
      </w:r>
      <w:r w:rsidRPr="00B34887">
        <w:rPr>
          <w:rFonts w:ascii="Times New Roman" w:hAnsi="Times New Roman"/>
        </w:rPr>
        <w:t>, t</w:t>
      </w:r>
      <w:r w:rsidR="00685870" w:rsidRPr="00B34887">
        <w:rPr>
          <w:rFonts w:ascii="Times New Roman" w:hAnsi="Times New Roman"/>
        </w:rPr>
        <w:t xml:space="preserve">he OAPA does not grade harmful conduct in a logical manner. </w:t>
      </w:r>
      <w:r w:rsidR="005A1CAB">
        <w:rPr>
          <w:rFonts w:ascii="Times New Roman" w:hAnsi="Times New Roman"/>
        </w:rPr>
        <w:t>It also does not clearly define that conduct. These are two</w:t>
      </w:r>
      <w:r w:rsidR="00685870" w:rsidRPr="00B34887">
        <w:rPr>
          <w:rFonts w:ascii="Times New Roman" w:hAnsi="Times New Roman"/>
        </w:rPr>
        <w:t xml:space="preserve"> </w:t>
      </w:r>
      <w:r w:rsidR="005A1CAB">
        <w:rPr>
          <w:rFonts w:ascii="Times New Roman" w:hAnsi="Times New Roman"/>
        </w:rPr>
        <w:t xml:space="preserve">of its key </w:t>
      </w:r>
      <w:r w:rsidR="00685870" w:rsidRPr="00B34887">
        <w:rPr>
          <w:rFonts w:ascii="Times New Roman" w:hAnsi="Times New Roman"/>
        </w:rPr>
        <w:t>weaknesses</w:t>
      </w:r>
      <w:r w:rsidR="00B23319">
        <w:rPr>
          <w:rFonts w:ascii="Times New Roman" w:hAnsi="Times New Roman"/>
        </w:rPr>
        <w:t>, as emphasised in the SCP.</w:t>
      </w:r>
      <w:r w:rsidR="00685870" w:rsidRPr="00B34887">
        <w:rPr>
          <w:rStyle w:val="FootnoteReference"/>
          <w:rFonts w:ascii="Times New Roman" w:hAnsi="Times New Roman"/>
        </w:rPr>
        <w:footnoteReference w:id="18"/>
      </w:r>
      <w:r w:rsidR="00F24563" w:rsidRPr="00B34887">
        <w:rPr>
          <w:rFonts w:ascii="Times New Roman" w:hAnsi="Times New Roman"/>
        </w:rPr>
        <w:t xml:space="preserve"> </w:t>
      </w:r>
      <w:r w:rsidR="00BA7439">
        <w:rPr>
          <w:rFonts w:ascii="Times New Roman" w:hAnsi="Times New Roman"/>
        </w:rPr>
        <w:t>Those weaknesses</w:t>
      </w:r>
      <w:r w:rsidR="00F24563" w:rsidRPr="00B34887">
        <w:rPr>
          <w:rFonts w:ascii="Times New Roman" w:hAnsi="Times New Roman"/>
        </w:rPr>
        <w:t xml:space="preserve"> create </w:t>
      </w:r>
      <w:r w:rsidR="006B05A5" w:rsidRPr="00B34887">
        <w:rPr>
          <w:rFonts w:ascii="Times New Roman" w:hAnsi="Times New Roman"/>
        </w:rPr>
        <w:t xml:space="preserve">confusion in the OAPA’s </w:t>
      </w:r>
      <w:r w:rsidR="003A4D44">
        <w:rPr>
          <w:rFonts w:ascii="Times New Roman" w:hAnsi="Times New Roman"/>
        </w:rPr>
        <w:t>division</w:t>
      </w:r>
      <w:r w:rsidR="00D53D62">
        <w:rPr>
          <w:rFonts w:ascii="Times New Roman" w:hAnsi="Times New Roman"/>
        </w:rPr>
        <w:t xml:space="preserve">s </w:t>
      </w:r>
      <w:r w:rsidR="005A1CAB">
        <w:rPr>
          <w:rFonts w:ascii="Times New Roman" w:hAnsi="Times New Roman"/>
        </w:rPr>
        <w:t xml:space="preserve">of harm, </w:t>
      </w:r>
      <w:r w:rsidR="00BA7439">
        <w:rPr>
          <w:rFonts w:ascii="Times New Roman" w:hAnsi="Times New Roman"/>
        </w:rPr>
        <w:t>a</w:t>
      </w:r>
      <w:r w:rsidR="009A69B7">
        <w:rPr>
          <w:rFonts w:ascii="Times New Roman" w:hAnsi="Times New Roman"/>
        </w:rPr>
        <w:t xml:space="preserve">n issue </w:t>
      </w:r>
      <w:r w:rsidR="005A1CAB">
        <w:rPr>
          <w:rFonts w:ascii="Times New Roman" w:hAnsi="Times New Roman"/>
        </w:rPr>
        <w:t xml:space="preserve">which extends to assault and battery. </w:t>
      </w:r>
    </w:p>
    <w:p w:rsidR="00414959" w:rsidRDefault="00414959" w:rsidP="00B34887">
      <w:pPr>
        <w:autoSpaceDE w:val="0"/>
        <w:autoSpaceDN w:val="0"/>
        <w:adjustRightInd w:val="0"/>
        <w:spacing w:line="480" w:lineRule="auto"/>
        <w:jc w:val="both"/>
        <w:rPr>
          <w:rFonts w:ascii="Times New Roman" w:hAnsi="Times New Roman"/>
        </w:rPr>
      </w:pPr>
    </w:p>
    <w:p w:rsidR="00B81630" w:rsidRPr="00B34887" w:rsidRDefault="00554F3E" w:rsidP="00B81630">
      <w:pPr>
        <w:spacing w:line="480" w:lineRule="auto"/>
        <w:jc w:val="both"/>
        <w:rPr>
          <w:rFonts w:ascii="Times New Roman" w:hAnsi="Times New Roman"/>
        </w:rPr>
      </w:pPr>
      <w:r>
        <w:rPr>
          <w:rFonts w:ascii="Times New Roman" w:hAnsi="Times New Roman"/>
        </w:rPr>
        <w:t>(</w:t>
      </w:r>
      <w:proofErr w:type="gramStart"/>
      <w:r>
        <w:rPr>
          <w:rFonts w:ascii="Times New Roman" w:hAnsi="Times New Roman"/>
        </w:rPr>
        <w:t>a</w:t>
      </w:r>
      <w:proofErr w:type="gramEnd"/>
      <w:r w:rsidR="00B81630" w:rsidRPr="00B34887">
        <w:rPr>
          <w:rFonts w:ascii="Times New Roman" w:hAnsi="Times New Roman"/>
        </w:rPr>
        <w:t xml:space="preserve">) </w:t>
      </w:r>
      <w:r w:rsidR="00B81630">
        <w:rPr>
          <w:rFonts w:ascii="Times New Roman" w:hAnsi="Times New Roman"/>
        </w:rPr>
        <w:t>Sections 18 and 20</w:t>
      </w:r>
    </w:p>
    <w:p w:rsidR="00223626" w:rsidRDefault="00A94D9B" w:rsidP="00B34887">
      <w:pPr>
        <w:autoSpaceDE w:val="0"/>
        <w:autoSpaceDN w:val="0"/>
        <w:adjustRightInd w:val="0"/>
        <w:spacing w:line="480" w:lineRule="auto"/>
        <w:jc w:val="both"/>
        <w:rPr>
          <w:rFonts w:ascii="Times New Roman" w:hAnsi="Times New Roman"/>
        </w:rPr>
      </w:pPr>
      <w:r w:rsidRPr="00B34887">
        <w:rPr>
          <w:rFonts w:ascii="Times New Roman" w:hAnsi="Times New Roman"/>
        </w:rPr>
        <w:t>Such confusion can be seen a</w:t>
      </w:r>
      <w:r w:rsidR="0019010D" w:rsidRPr="00B34887">
        <w:rPr>
          <w:rFonts w:ascii="Times New Roman" w:hAnsi="Times New Roman"/>
        </w:rPr>
        <w:t xml:space="preserve">t the top of the </w:t>
      </w:r>
      <w:r w:rsidR="001434E1" w:rsidRPr="00B34887">
        <w:rPr>
          <w:rFonts w:ascii="Times New Roman" w:hAnsi="Times New Roman"/>
        </w:rPr>
        <w:t>injury</w:t>
      </w:r>
      <w:r w:rsidRPr="00B34887">
        <w:rPr>
          <w:rFonts w:ascii="Times New Roman" w:hAnsi="Times New Roman"/>
        </w:rPr>
        <w:t xml:space="preserve"> scale</w:t>
      </w:r>
      <w:r w:rsidR="00CA7F6B" w:rsidRPr="00B34887">
        <w:rPr>
          <w:rFonts w:ascii="Times New Roman" w:hAnsi="Times New Roman"/>
        </w:rPr>
        <w:t xml:space="preserve">. </w:t>
      </w:r>
      <w:r w:rsidR="00250D0C" w:rsidRPr="00B34887">
        <w:rPr>
          <w:rFonts w:ascii="Times New Roman" w:hAnsi="Times New Roman"/>
        </w:rPr>
        <w:t>Notably</w:t>
      </w:r>
      <w:r w:rsidR="00434B67" w:rsidRPr="00B34887">
        <w:rPr>
          <w:rFonts w:ascii="Times New Roman" w:hAnsi="Times New Roman"/>
        </w:rPr>
        <w:t xml:space="preserve">, </w:t>
      </w:r>
      <w:r w:rsidR="00AA19DF">
        <w:rPr>
          <w:rFonts w:ascii="Times New Roman" w:hAnsi="Times New Roman"/>
        </w:rPr>
        <w:t>in ss.</w:t>
      </w:r>
      <w:r w:rsidR="005B3362" w:rsidRPr="00B34887">
        <w:rPr>
          <w:rFonts w:ascii="Times New Roman" w:hAnsi="Times New Roman"/>
        </w:rPr>
        <w:t xml:space="preserve">18 </w:t>
      </w:r>
      <w:r w:rsidR="005B3362" w:rsidRPr="00965937">
        <w:rPr>
          <w:rFonts w:ascii="Times New Roman" w:hAnsi="Times New Roman"/>
        </w:rPr>
        <w:t>and</w:t>
      </w:r>
      <w:r w:rsidR="005B3362" w:rsidRPr="00B34887">
        <w:rPr>
          <w:rFonts w:ascii="Times New Roman" w:hAnsi="Times New Roman"/>
        </w:rPr>
        <w:t xml:space="preserve"> 20, </w:t>
      </w:r>
      <w:r w:rsidR="00434B67" w:rsidRPr="00B34887">
        <w:rPr>
          <w:rFonts w:ascii="Times New Roman" w:hAnsi="Times New Roman"/>
        </w:rPr>
        <w:t xml:space="preserve">the </w:t>
      </w:r>
      <w:r w:rsidR="006356FF">
        <w:rPr>
          <w:rFonts w:ascii="Times New Roman" w:hAnsi="Times New Roman"/>
        </w:rPr>
        <w:t>term “grievous”</w:t>
      </w:r>
      <w:r w:rsidR="00CA7F6B" w:rsidRPr="00B34887">
        <w:rPr>
          <w:rFonts w:ascii="Times New Roman" w:hAnsi="Times New Roman"/>
        </w:rPr>
        <w:t xml:space="preserve"> </w:t>
      </w:r>
      <w:r w:rsidR="00434B67" w:rsidRPr="00B34887">
        <w:rPr>
          <w:rFonts w:ascii="Times New Roman" w:hAnsi="Times New Roman"/>
        </w:rPr>
        <w:t>has become outdated</w:t>
      </w:r>
      <w:r w:rsidR="000B4E84">
        <w:rPr>
          <w:rFonts w:ascii="Times New Roman" w:hAnsi="Times New Roman"/>
        </w:rPr>
        <w:t xml:space="preserve">. </w:t>
      </w:r>
      <w:r w:rsidR="00F44E37">
        <w:rPr>
          <w:rFonts w:ascii="Times New Roman" w:hAnsi="Times New Roman"/>
        </w:rPr>
        <w:t xml:space="preserve">This has </w:t>
      </w:r>
      <w:r w:rsidR="007D1912">
        <w:rPr>
          <w:rFonts w:ascii="Times New Roman" w:hAnsi="Times New Roman"/>
        </w:rPr>
        <w:t>generated</w:t>
      </w:r>
      <w:r w:rsidR="00F44E37">
        <w:rPr>
          <w:rFonts w:ascii="Times New Roman" w:hAnsi="Times New Roman"/>
        </w:rPr>
        <w:t xml:space="preserve"> difficulties in articulating </w:t>
      </w:r>
      <w:r w:rsidR="000B4E84">
        <w:rPr>
          <w:rFonts w:ascii="Times New Roman" w:hAnsi="Times New Roman"/>
        </w:rPr>
        <w:t xml:space="preserve">a </w:t>
      </w:r>
      <w:r w:rsidR="007D73BE">
        <w:rPr>
          <w:rFonts w:ascii="Times New Roman" w:hAnsi="Times New Roman"/>
        </w:rPr>
        <w:t>precise</w:t>
      </w:r>
      <w:r w:rsidR="000B4E84">
        <w:rPr>
          <w:rFonts w:ascii="Times New Roman" w:hAnsi="Times New Roman"/>
        </w:rPr>
        <w:t xml:space="preserve"> </w:t>
      </w:r>
      <w:r w:rsidR="000B4E84">
        <w:rPr>
          <w:rFonts w:ascii="Times New Roman" w:hAnsi="Times New Roman"/>
        </w:rPr>
        <w:lastRenderedPageBreak/>
        <w:t xml:space="preserve">definition of </w:t>
      </w:r>
      <w:r w:rsidR="006356FF">
        <w:rPr>
          <w:rFonts w:ascii="Times New Roman" w:hAnsi="Times New Roman"/>
        </w:rPr>
        <w:t>“grievous”</w:t>
      </w:r>
      <w:r w:rsidR="00B97D67">
        <w:rPr>
          <w:rFonts w:ascii="Times New Roman" w:hAnsi="Times New Roman"/>
        </w:rPr>
        <w:t xml:space="preserve"> bodily harm</w:t>
      </w:r>
      <w:r w:rsidR="00434B67" w:rsidRPr="00B34887">
        <w:rPr>
          <w:rFonts w:ascii="Times New Roman" w:hAnsi="Times New Roman"/>
        </w:rPr>
        <w:t xml:space="preserve">. </w:t>
      </w:r>
      <w:r w:rsidR="00CA7F6B" w:rsidRPr="00B34887">
        <w:rPr>
          <w:rFonts w:ascii="Times New Roman" w:hAnsi="Times New Roman"/>
        </w:rPr>
        <w:t>In</w:t>
      </w:r>
      <w:r w:rsidRPr="00B34887">
        <w:rPr>
          <w:rFonts w:ascii="Times New Roman" w:hAnsi="Times New Roman"/>
        </w:rPr>
        <w:t xml:space="preserve"> </w:t>
      </w:r>
      <w:r w:rsidRPr="00B34887">
        <w:rPr>
          <w:rFonts w:ascii="Times New Roman" w:hAnsi="Times New Roman"/>
          <w:i/>
        </w:rPr>
        <w:t>DPP v Smith</w:t>
      </w:r>
      <w:r w:rsidR="00CA7F6B" w:rsidRPr="00B34887">
        <w:rPr>
          <w:rFonts w:ascii="Times New Roman" w:hAnsi="Times New Roman"/>
        </w:rPr>
        <w:t>,</w:t>
      </w:r>
      <w:r w:rsidR="00F414D2">
        <w:rPr>
          <w:rStyle w:val="FootnoteReference"/>
          <w:rFonts w:ascii="Times New Roman" w:hAnsi="Times New Roman"/>
        </w:rPr>
        <w:footnoteReference w:id="19"/>
      </w:r>
      <w:r w:rsidRPr="00B34887">
        <w:rPr>
          <w:rFonts w:ascii="Times New Roman" w:hAnsi="Times New Roman"/>
        </w:rPr>
        <w:t xml:space="preserve"> the House of Lords held that</w:t>
      </w:r>
      <w:r w:rsidR="0019010D" w:rsidRPr="00B34887">
        <w:rPr>
          <w:rFonts w:ascii="Times New Roman" w:hAnsi="Times New Roman"/>
        </w:rPr>
        <w:t xml:space="preserve"> </w:t>
      </w:r>
      <w:r w:rsidR="004D46D3">
        <w:rPr>
          <w:rFonts w:ascii="Times New Roman" w:hAnsi="Times New Roman"/>
        </w:rPr>
        <w:t>GBH</w:t>
      </w:r>
      <w:r w:rsidR="00434B67" w:rsidRPr="00B34887">
        <w:rPr>
          <w:rFonts w:ascii="Times New Roman" w:hAnsi="Times New Roman"/>
        </w:rPr>
        <w:t xml:space="preserve"> </w:t>
      </w:r>
      <w:r w:rsidRPr="00B34887">
        <w:rPr>
          <w:rFonts w:ascii="Times New Roman" w:hAnsi="Times New Roman"/>
        </w:rPr>
        <w:t>meant</w:t>
      </w:r>
      <w:r w:rsidR="006356FF">
        <w:rPr>
          <w:rFonts w:ascii="Times New Roman" w:hAnsi="Times New Roman"/>
        </w:rPr>
        <w:t xml:space="preserve"> “really serious harm”</w:t>
      </w:r>
      <w:r w:rsidR="001434E1" w:rsidRPr="00B34887">
        <w:rPr>
          <w:rFonts w:ascii="Times New Roman" w:hAnsi="Times New Roman"/>
        </w:rPr>
        <w:t>,</w:t>
      </w:r>
      <w:r w:rsidR="0019010D" w:rsidRPr="00B34887">
        <w:rPr>
          <w:rStyle w:val="FootnoteReference"/>
          <w:rFonts w:ascii="Times New Roman" w:hAnsi="Times New Roman"/>
        </w:rPr>
        <w:footnoteReference w:id="20"/>
      </w:r>
      <w:r w:rsidR="0019010D" w:rsidRPr="00B34887">
        <w:rPr>
          <w:rFonts w:ascii="Times New Roman" w:hAnsi="Times New Roman"/>
        </w:rPr>
        <w:t xml:space="preserve"> </w:t>
      </w:r>
      <w:r w:rsidR="001434E1" w:rsidRPr="00B34887">
        <w:rPr>
          <w:rFonts w:ascii="Times New Roman" w:hAnsi="Times New Roman"/>
        </w:rPr>
        <w:t xml:space="preserve">implying that only </w:t>
      </w:r>
      <w:r w:rsidR="001434E1" w:rsidRPr="00B34887">
        <w:rPr>
          <w:rFonts w:ascii="Times New Roman" w:hAnsi="Times New Roman"/>
          <w:i/>
        </w:rPr>
        <w:t>very</w:t>
      </w:r>
      <w:r w:rsidR="001434E1" w:rsidRPr="00B34887">
        <w:rPr>
          <w:rFonts w:ascii="Times New Roman" w:hAnsi="Times New Roman"/>
        </w:rPr>
        <w:t xml:space="preserve"> serious harm (as opposed to </w:t>
      </w:r>
      <w:r w:rsidR="005B3362" w:rsidRPr="00B34887">
        <w:rPr>
          <w:rFonts w:ascii="Times New Roman" w:hAnsi="Times New Roman"/>
        </w:rPr>
        <w:t xml:space="preserve">only </w:t>
      </w:r>
      <w:r w:rsidR="001434E1" w:rsidRPr="00B34887">
        <w:rPr>
          <w:rFonts w:ascii="Times New Roman" w:hAnsi="Times New Roman"/>
        </w:rPr>
        <w:t xml:space="preserve">serious or non-serious harm) </w:t>
      </w:r>
      <w:r w:rsidR="004D46D3">
        <w:rPr>
          <w:rFonts w:ascii="Times New Roman" w:hAnsi="Times New Roman"/>
        </w:rPr>
        <w:t>satisfied the GBH threshold</w:t>
      </w:r>
      <w:r w:rsidR="001434E1" w:rsidRPr="00B34887">
        <w:rPr>
          <w:rFonts w:ascii="Times New Roman" w:hAnsi="Times New Roman"/>
        </w:rPr>
        <w:t xml:space="preserve">. </w:t>
      </w:r>
      <w:r w:rsidRPr="00B34887">
        <w:rPr>
          <w:rFonts w:ascii="Times New Roman" w:hAnsi="Times New Roman"/>
        </w:rPr>
        <w:t>However,</w:t>
      </w:r>
      <w:r w:rsidR="0019010D" w:rsidRPr="00B34887">
        <w:rPr>
          <w:rFonts w:ascii="Times New Roman" w:hAnsi="Times New Roman"/>
        </w:rPr>
        <w:t xml:space="preserve"> </w:t>
      </w:r>
      <w:proofErr w:type="spellStart"/>
      <w:r w:rsidRPr="00B34887">
        <w:rPr>
          <w:rFonts w:ascii="Times New Roman" w:hAnsi="Times New Roman"/>
          <w:i/>
        </w:rPr>
        <w:t>Janjua</w:t>
      </w:r>
      <w:proofErr w:type="spellEnd"/>
      <w:r w:rsidRPr="00B34887">
        <w:rPr>
          <w:rStyle w:val="FootnoteReference"/>
          <w:rFonts w:ascii="Times New Roman" w:hAnsi="Times New Roman"/>
        </w:rPr>
        <w:footnoteReference w:id="21"/>
      </w:r>
      <w:r w:rsidR="0019010D" w:rsidRPr="00B34887">
        <w:rPr>
          <w:rFonts w:ascii="Times New Roman" w:hAnsi="Times New Roman"/>
        </w:rPr>
        <w:t xml:space="preserve"> </w:t>
      </w:r>
      <w:r w:rsidR="00203739">
        <w:rPr>
          <w:rFonts w:ascii="Times New Roman" w:hAnsi="Times New Roman"/>
        </w:rPr>
        <w:t>has since</w:t>
      </w:r>
      <w:r w:rsidR="000B4E84">
        <w:rPr>
          <w:rFonts w:ascii="Times New Roman" w:hAnsi="Times New Roman"/>
        </w:rPr>
        <w:t xml:space="preserve"> </w:t>
      </w:r>
      <w:r w:rsidR="00FB1010">
        <w:rPr>
          <w:rFonts w:ascii="Times New Roman" w:hAnsi="Times New Roman"/>
        </w:rPr>
        <w:t>interpreted</w:t>
      </w:r>
      <w:r w:rsidRPr="00B34887">
        <w:rPr>
          <w:rFonts w:ascii="Times New Roman" w:hAnsi="Times New Roman"/>
        </w:rPr>
        <w:t xml:space="preserve"> </w:t>
      </w:r>
      <w:r w:rsidR="000B4E84">
        <w:rPr>
          <w:rFonts w:ascii="Times New Roman" w:hAnsi="Times New Roman"/>
        </w:rPr>
        <w:t xml:space="preserve">GBH </w:t>
      </w:r>
      <w:r w:rsidR="00FB1010">
        <w:rPr>
          <w:rFonts w:ascii="Times New Roman" w:hAnsi="Times New Roman"/>
        </w:rPr>
        <w:t>as</w:t>
      </w:r>
      <w:r w:rsidR="000B4E84">
        <w:rPr>
          <w:rFonts w:ascii="Times New Roman" w:hAnsi="Times New Roman"/>
        </w:rPr>
        <w:t xml:space="preserve"> </w:t>
      </w:r>
      <w:r w:rsidR="00124880">
        <w:rPr>
          <w:rFonts w:ascii="Times New Roman" w:hAnsi="Times New Roman"/>
        </w:rPr>
        <w:t xml:space="preserve">meaning </w:t>
      </w:r>
      <w:r w:rsidR="00FB1010">
        <w:rPr>
          <w:rFonts w:ascii="Times New Roman" w:hAnsi="Times New Roman"/>
        </w:rPr>
        <w:t>merely</w:t>
      </w:r>
      <w:r w:rsidR="001D1D51">
        <w:rPr>
          <w:rFonts w:ascii="Times New Roman" w:hAnsi="Times New Roman"/>
        </w:rPr>
        <w:t xml:space="preserve"> </w:t>
      </w:r>
      <w:r w:rsidR="006356FF">
        <w:rPr>
          <w:rFonts w:ascii="Times New Roman" w:hAnsi="Times New Roman"/>
        </w:rPr>
        <w:t>“serious harm”</w:t>
      </w:r>
      <w:r w:rsidR="001D1D51">
        <w:rPr>
          <w:rFonts w:ascii="Times New Roman" w:hAnsi="Times New Roman"/>
        </w:rPr>
        <w:t>,</w:t>
      </w:r>
      <w:r w:rsidR="001434E1" w:rsidRPr="00B34887">
        <w:rPr>
          <w:rStyle w:val="FootnoteReference"/>
          <w:rFonts w:ascii="Times New Roman" w:hAnsi="Times New Roman"/>
        </w:rPr>
        <w:footnoteReference w:id="22"/>
      </w:r>
      <w:r w:rsidR="0019010D" w:rsidRPr="00B34887">
        <w:rPr>
          <w:rFonts w:ascii="Times New Roman" w:hAnsi="Times New Roman"/>
        </w:rPr>
        <w:t xml:space="preserve"> </w:t>
      </w:r>
      <w:r w:rsidR="00203739">
        <w:rPr>
          <w:rFonts w:ascii="Times New Roman" w:hAnsi="Times New Roman"/>
        </w:rPr>
        <w:t>thereby potentially broadening its ambit</w:t>
      </w:r>
      <w:r w:rsidR="00FA38A8">
        <w:rPr>
          <w:rFonts w:ascii="Times New Roman" w:hAnsi="Times New Roman"/>
        </w:rPr>
        <w:t>.</w:t>
      </w:r>
      <w:r w:rsidR="000C586B">
        <w:rPr>
          <w:rFonts w:ascii="Times New Roman" w:hAnsi="Times New Roman"/>
        </w:rPr>
        <w:t xml:space="preserve"> </w:t>
      </w:r>
      <w:r w:rsidR="00203739" w:rsidRPr="00D55DE1">
        <w:rPr>
          <w:rFonts w:ascii="Times New Roman" w:hAnsi="Times New Roman"/>
          <w:i/>
        </w:rPr>
        <w:t>Golding</w:t>
      </w:r>
      <w:r w:rsidR="00D55DE1" w:rsidRPr="00D55DE1">
        <w:rPr>
          <w:rStyle w:val="FootnoteReference"/>
          <w:rFonts w:ascii="Times New Roman" w:hAnsi="Times New Roman"/>
        </w:rPr>
        <w:footnoteReference w:id="23"/>
      </w:r>
      <w:r w:rsidR="00FB1010">
        <w:rPr>
          <w:rFonts w:ascii="Times New Roman" w:hAnsi="Times New Roman"/>
          <w:i/>
        </w:rPr>
        <w:t xml:space="preserve"> </w:t>
      </w:r>
      <w:r w:rsidR="000C586B">
        <w:rPr>
          <w:rFonts w:ascii="Times New Roman" w:hAnsi="Times New Roman"/>
        </w:rPr>
        <w:t xml:space="preserve">confirms </w:t>
      </w:r>
      <w:r w:rsidR="00183A29">
        <w:rPr>
          <w:rFonts w:ascii="Times New Roman" w:hAnsi="Times New Roman"/>
        </w:rPr>
        <w:t>that breadth</w:t>
      </w:r>
      <w:r w:rsidR="000C586B">
        <w:rPr>
          <w:rFonts w:ascii="Times New Roman" w:hAnsi="Times New Roman"/>
        </w:rPr>
        <w:t xml:space="preserve">: </w:t>
      </w:r>
      <w:r w:rsidR="00965937">
        <w:rPr>
          <w:rFonts w:ascii="Times New Roman" w:hAnsi="Times New Roman"/>
        </w:rPr>
        <w:t xml:space="preserve">what counts as </w:t>
      </w:r>
      <w:r w:rsidR="00B55C4D">
        <w:rPr>
          <w:rFonts w:ascii="Times New Roman" w:hAnsi="Times New Roman"/>
        </w:rPr>
        <w:t>serious harm</w:t>
      </w:r>
      <w:r w:rsidR="006356FF">
        <w:rPr>
          <w:rFonts w:ascii="Times New Roman" w:hAnsi="Times New Roman"/>
        </w:rPr>
        <w:t xml:space="preserve"> </w:t>
      </w:r>
      <w:r w:rsidR="00FB1010">
        <w:rPr>
          <w:rFonts w:ascii="Times New Roman" w:hAnsi="Times New Roman"/>
        </w:rPr>
        <w:t xml:space="preserve">depends on </w:t>
      </w:r>
      <w:r w:rsidR="006356FF">
        <w:rPr>
          <w:rFonts w:ascii="Times New Roman" w:hAnsi="Times New Roman"/>
        </w:rPr>
        <w:t>“</w:t>
      </w:r>
      <w:r w:rsidR="00D55DE1">
        <w:rPr>
          <w:rFonts w:ascii="Times New Roman" w:hAnsi="Times New Roman"/>
        </w:rPr>
        <w:t>contemporary</w:t>
      </w:r>
      <w:r w:rsidR="004022B1">
        <w:rPr>
          <w:rFonts w:ascii="Times New Roman" w:hAnsi="Times New Roman"/>
        </w:rPr>
        <w:t xml:space="preserve"> social standards”.</w:t>
      </w:r>
      <w:r w:rsidR="00D55DE1">
        <w:rPr>
          <w:rStyle w:val="FootnoteReference"/>
          <w:rFonts w:ascii="Times New Roman" w:hAnsi="Times New Roman"/>
        </w:rPr>
        <w:footnoteReference w:id="24"/>
      </w:r>
      <w:r w:rsidR="00965937">
        <w:rPr>
          <w:rFonts w:ascii="Times New Roman" w:hAnsi="Times New Roman"/>
        </w:rPr>
        <w:t xml:space="preserve"> Accordingly, t</w:t>
      </w:r>
      <w:r w:rsidR="00630272">
        <w:rPr>
          <w:rFonts w:ascii="Times New Roman" w:hAnsi="Times New Roman"/>
        </w:rPr>
        <w:t>he lack of</w:t>
      </w:r>
      <w:r w:rsidR="007D73BE">
        <w:rPr>
          <w:rFonts w:ascii="Times New Roman" w:hAnsi="Times New Roman"/>
        </w:rPr>
        <w:t xml:space="preserve"> criteria in delimiting </w:t>
      </w:r>
      <w:r w:rsidR="00D53D62">
        <w:rPr>
          <w:rFonts w:ascii="Times New Roman" w:hAnsi="Times New Roman"/>
        </w:rPr>
        <w:t>GBH</w:t>
      </w:r>
      <w:r w:rsidR="00630272">
        <w:rPr>
          <w:rFonts w:ascii="Times New Roman" w:hAnsi="Times New Roman"/>
        </w:rPr>
        <w:t xml:space="preserve"> </w:t>
      </w:r>
      <w:r w:rsidR="000C586B">
        <w:rPr>
          <w:rFonts w:ascii="Times New Roman" w:hAnsi="Times New Roman"/>
        </w:rPr>
        <w:t xml:space="preserve">now </w:t>
      </w:r>
      <w:r w:rsidR="00630272">
        <w:rPr>
          <w:rFonts w:ascii="Times New Roman" w:hAnsi="Times New Roman"/>
        </w:rPr>
        <w:t xml:space="preserve">permits a </w:t>
      </w:r>
      <w:r w:rsidR="007D73BE">
        <w:rPr>
          <w:rFonts w:ascii="Times New Roman" w:hAnsi="Times New Roman"/>
        </w:rPr>
        <w:t xml:space="preserve">range of </w:t>
      </w:r>
      <w:r w:rsidR="00B97D67">
        <w:rPr>
          <w:rFonts w:ascii="Times New Roman" w:hAnsi="Times New Roman"/>
        </w:rPr>
        <w:t>injuries</w:t>
      </w:r>
      <w:r w:rsidR="0087422F">
        <w:rPr>
          <w:rFonts w:ascii="Times New Roman" w:hAnsi="Times New Roman"/>
        </w:rPr>
        <w:t xml:space="preserve"> to fall within its </w:t>
      </w:r>
      <w:r w:rsidR="00B55C4D">
        <w:rPr>
          <w:rFonts w:ascii="Times New Roman" w:hAnsi="Times New Roman"/>
        </w:rPr>
        <w:t>reach</w:t>
      </w:r>
      <w:r w:rsidR="0087422F">
        <w:rPr>
          <w:rFonts w:ascii="Times New Roman" w:hAnsi="Times New Roman"/>
        </w:rPr>
        <w:t xml:space="preserve">. These harms may be </w:t>
      </w:r>
      <w:r w:rsidR="007D73BE">
        <w:rPr>
          <w:rFonts w:ascii="Times New Roman" w:hAnsi="Times New Roman"/>
        </w:rPr>
        <w:t>tangible (unconsciousness</w:t>
      </w:r>
      <w:r w:rsidR="007D73BE" w:rsidRPr="007D73BE">
        <w:rPr>
          <w:rStyle w:val="FootnoteReference"/>
          <w:rFonts w:ascii="Times New Roman" w:hAnsi="Times New Roman"/>
        </w:rPr>
        <w:t xml:space="preserve"> </w:t>
      </w:r>
      <w:r w:rsidR="007D73BE">
        <w:rPr>
          <w:rStyle w:val="FootnoteReference"/>
          <w:rFonts w:ascii="Times New Roman" w:hAnsi="Times New Roman"/>
        </w:rPr>
        <w:footnoteReference w:id="25"/>
      </w:r>
      <w:r w:rsidR="0072727E">
        <w:rPr>
          <w:rFonts w:ascii="Times New Roman" w:hAnsi="Times New Roman"/>
        </w:rPr>
        <w:t xml:space="preserve">; </w:t>
      </w:r>
      <w:r w:rsidR="007D73BE">
        <w:rPr>
          <w:rFonts w:ascii="Times New Roman" w:hAnsi="Times New Roman"/>
        </w:rPr>
        <w:t>broken bones</w:t>
      </w:r>
      <w:r w:rsidR="007D73BE">
        <w:rPr>
          <w:rStyle w:val="FootnoteReference"/>
          <w:rFonts w:ascii="Times New Roman" w:hAnsi="Times New Roman"/>
        </w:rPr>
        <w:footnoteReference w:id="26"/>
      </w:r>
      <w:r w:rsidR="007D73BE">
        <w:rPr>
          <w:rFonts w:ascii="Times New Roman" w:hAnsi="Times New Roman"/>
        </w:rPr>
        <w:t xml:space="preserve">) </w:t>
      </w:r>
      <w:r w:rsidR="0087422F">
        <w:rPr>
          <w:rFonts w:ascii="Times New Roman" w:hAnsi="Times New Roman"/>
        </w:rPr>
        <w:t>or</w:t>
      </w:r>
      <w:r w:rsidR="007D73BE">
        <w:rPr>
          <w:rFonts w:ascii="Times New Roman" w:hAnsi="Times New Roman"/>
        </w:rPr>
        <w:t xml:space="preserve"> intangible (</w:t>
      </w:r>
      <w:r w:rsidR="007B6CAE">
        <w:rPr>
          <w:rFonts w:ascii="Times New Roman" w:hAnsi="Times New Roman"/>
        </w:rPr>
        <w:t>transmission of sexual disease</w:t>
      </w:r>
      <w:r w:rsidR="007D73BE">
        <w:rPr>
          <w:rStyle w:val="FootnoteReference"/>
          <w:rFonts w:ascii="Times New Roman" w:hAnsi="Times New Roman"/>
        </w:rPr>
        <w:footnoteReference w:id="27"/>
      </w:r>
      <w:r w:rsidR="007D73BE">
        <w:rPr>
          <w:rFonts w:ascii="Times New Roman" w:hAnsi="Times New Roman"/>
        </w:rPr>
        <w:t xml:space="preserve">). </w:t>
      </w:r>
    </w:p>
    <w:p w:rsidR="00223626" w:rsidRDefault="00223626" w:rsidP="00B34887">
      <w:pPr>
        <w:autoSpaceDE w:val="0"/>
        <w:autoSpaceDN w:val="0"/>
        <w:adjustRightInd w:val="0"/>
        <w:spacing w:line="480" w:lineRule="auto"/>
        <w:jc w:val="both"/>
        <w:rPr>
          <w:rFonts w:ascii="Times New Roman" w:hAnsi="Times New Roman"/>
        </w:rPr>
      </w:pPr>
    </w:p>
    <w:p w:rsidR="00FE2CED" w:rsidRDefault="00965937" w:rsidP="00B34887">
      <w:pPr>
        <w:autoSpaceDE w:val="0"/>
        <w:autoSpaceDN w:val="0"/>
        <w:adjustRightInd w:val="0"/>
        <w:spacing w:line="480" w:lineRule="auto"/>
        <w:jc w:val="both"/>
        <w:rPr>
          <w:rFonts w:ascii="Times New Roman" w:hAnsi="Times New Roman"/>
        </w:rPr>
      </w:pPr>
      <w:r>
        <w:rPr>
          <w:rFonts w:ascii="Times New Roman" w:hAnsi="Times New Roman"/>
        </w:rPr>
        <w:t>Other t</w:t>
      </w:r>
      <w:r w:rsidR="00D040CA">
        <w:rPr>
          <w:rFonts w:ascii="Times New Roman" w:hAnsi="Times New Roman"/>
        </w:rPr>
        <w:t>erminological</w:t>
      </w:r>
      <w:r w:rsidR="008906CF" w:rsidRPr="00B34887">
        <w:rPr>
          <w:rFonts w:ascii="Times New Roman" w:hAnsi="Times New Roman"/>
        </w:rPr>
        <w:t xml:space="preserve"> </w:t>
      </w:r>
      <w:r w:rsidR="008906CF">
        <w:rPr>
          <w:rFonts w:ascii="Times New Roman" w:hAnsi="Times New Roman"/>
        </w:rPr>
        <w:t xml:space="preserve">difficulties also appear </w:t>
      </w:r>
      <w:r>
        <w:rPr>
          <w:rFonts w:ascii="Times New Roman" w:hAnsi="Times New Roman"/>
        </w:rPr>
        <w:t>in</w:t>
      </w:r>
      <w:r w:rsidR="008906CF">
        <w:rPr>
          <w:rFonts w:ascii="Times New Roman" w:hAnsi="Times New Roman"/>
        </w:rPr>
        <w:t xml:space="preserve"> ss.18 and 20</w:t>
      </w:r>
      <w:r w:rsidR="00B34887">
        <w:rPr>
          <w:rFonts w:ascii="Times New Roman" w:hAnsi="Times New Roman"/>
        </w:rPr>
        <w:t xml:space="preserve">. In particular, the former speaks of </w:t>
      </w:r>
      <w:r w:rsidR="006356FF">
        <w:rPr>
          <w:rFonts w:ascii="Times New Roman" w:hAnsi="Times New Roman"/>
        </w:rPr>
        <w:t>“</w:t>
      </w:r>
      <w:r w:rsidR="00231CC9" w:rsidRPr="00B34887">
        <w:rPr>
          <w:rFonts w:ascii="Times New Roman" w:hAnsi="Times New Roman"/>
        </w:rPr>
        <w:t>causing</w:t>
      </w:r>
      <w:r w:rsidR="006356FF">
        <w:rPr>
          <w:rFonts w:ascii="Times New Roman" w:hAnsi="Times New Roman"/>
        </w:rPr>
        <w:t>”</w:t>
      </w:r>
      <w:r w:rsidR="00BA4965" w:rsidRPr="00B34887">
        <w:rPr>
          <w:rFonts w:ascii="Times New Roman" w:hAnsi="Times New Roman"/>
        </w:rPr>
        <w:t xml:space="preserve"> </w:t>
      </w:r>
      <w:r w:rsidR="00B34887">
        <w:rPr>
          <w:rFonts w:ascii="Times New Roman" w:hAnsi="Times New Roman"/>
        </w:rPr>
        <w:t>GBH, whilst the latter refers to</w:t>
      </w:r>
      <w:r w:rsidR="006356FF">
        <w:rPr>
          <w:rFonts w:ascii="Times New Roman" w:hAnsi="Times New Roman"/>
        </w:rPr>
        <w:t xml:space="preserve"> “inflicting”</w:t>
      </w:r>
      <w:r w:rsidR="00BA4965" w:rsidRPr="00B34887">
        <w:rPr>
          <w:rFonts w:ascii="Times New Roman" w:hAnsi="Times New Roman"/>
        </w:rPr>
        <w:t xml:space="preserve"> GBH.</w:t>
      </w:r>
      <w:r w:rsidR="00676CE6">
        <w:rPr>
          <w:rFonts w:ascii="Times New Roman" w:hAnsi="Times New Roman"/>
        </w:rPr>
        <w:t xml:space="preserve"> </w:t>
      </w:r>
      <w:r w:rsidR="00010366">
        <w:rPr>
          <w:rFonts w:ascii="Times New Roman" w:hAnsi="Times New Roman"/>
        </w:rPr>
        <w:t>Previously,</w:t>
      </w:r>
      <w:r w:rsidR="00010366" w:rsidRPr="00B34887">
        <w:rPr>
          <w:rFonts w:ascii="Times New Roman" w:hAnsi="Times New Roman"/>
        </w:rPr>
        <w:t xml:space="preserve"> </w:t>
      </w:r>
      <w:r w:rsidR="00010366">
        <w:rPr>
          <w:rFonts w:ascii="Times New Roman" w:hAnsi="Times New Roman"/>
        </w:rPr>
        <w:t>“</w:t>
      </w:r>
      <w:r w:rsidR="00010366" w:rsidRPr="00B34887">
        <w:rPr>
          <w:rFonts w:ascii="Times New Roman" w:hAnsi="Times New Roman"/>
        </w:rPr>
        <w:t>i</w:t>
      </w:r>
      <w:r w:rsidR="00010366">
        <w:rPr>
          <w:rFonts w:ascii="Times New Roman" w:hAnsi="Times New Roman"/>
        </w:rPr>
        <w:t>nflict”</w:t>
      </w:r>
      <w:r w:rsidR="00010366" w:rsidRPr="00B34887">
        <w:rPr>
          <w:rFonts w:ascii="Times New Roman" w:hAnsi="Times New Roman"/>
        </w:rPr>
        <w:t xml:space="preserve"> was interpreted as implying </w:t>
      </w:r>
      <w:r w:rsidR="00010366" w:rsidRPr="00B34887">
        <w:rPr>
          <w:rFonts w:ascii="Times New Roman" w:hAnsi="Times New Roman"/>
          <w:i/>
        </w:rPr>
        <w:t>violence</w:t>
      </w:r>
      <w:r w:rsidR="00010366">
        <w:rPr>
          <w:rFonts w:ascii="Times New Roman" w:hAnsi="Times New Roman"/>
        </w:rPr>
        <w:t xml:space="preserve"> – GBH had to result from a direct and hostile application of force. In contrast, “cause” required no such force – GBH could occur in </w:t>
      </w:r>
      <w:r w:rsidR="00010366" w:rsidRPr="002C3A22">
        <w:rPr>
          <w:rFonts w:ascii="Times New Roman" w:hAnsi="Times New Roman"/>
          <w:i/>
        </w:rPr>
        <w:t>any</w:t>
      </w:r>
      <w:r w:rsidR="00010366">
        <w:rPr>
          <w:rFonts w:ascii="Times New Roman" w:hAnsi="Times New Roman"/>
        </w:rPr>
        <w:t xml:space="preserve"> way. “Inflict” </w:t>
      </w:r>
      <w:r w:rsidR="00010366" w:rsidRPr="00B34887">
        <w:rPr>
          <w:rFonts w:ascii="Times New Roman" w:hAnsi="Times New Roman"/>
        </w:rPr>
        <w:t xml:space="preserve">was </w:t>
      </w:r>
      <w:r w:rsidR="00010366">
        <w:rPr>
          <w:rFonts w:ascii="Times New Roman" w:hAnsi="Times New Roman"/>
        </w:rPr>
        <w:t>consequently</w:t>
      </w:r>
      <w:r w:rsidR="00010366" w:rsidRPr="00B34887">
        <w:rPr>
          <w:rFonts w:ascii="Times New Roman" w:hAnsi="Times New Roman"/>
        </w:rPr>
        <w:t xml:space="preserve"> viewed as </w:t>
      </w:r>
      <w:r w:rsidR="00010366">
        <w:rPr>
          <w:rFonts w:ascii="Times New Roman" w:hAnsi="Times New Roman"/>
        </w:rPr>
        <w:t>narrower</w:t>
      </w:r>
      <w:r w:rsidR="00010366" w:rsidRPr="00B34887">
        <w:rPr>
          <w:rFonts w:ascii="Times New Roman" w:hAnsi="Times New Roman"/>
        </w:rPr>
        <w:t xml:space="preserve"> than </w:t>
      </w:r>
      <w:r w:rsidR="00010366">
        <w:rPr>
          <w:rFonts w:ascii="Times New Roman" w:hAnsi="Times New Roman"/>
        </w:rPr>
        <w:t>“cause”,</w:t>
      </w:r>
      <w:r w:rsidR="00010366" w:rsidRPr="00B34887">
        <w:rPr>
          <w:rStyle w:val="FootnoteReference"/>
          <w:rFonts w:ascii="Times New Roman" w:hAnsi="Times New Roman"/>
        </w:rPr>
        <w:footnoteReference w:id="28"/>
      </w:r>
      <w:r w:rsidR="00010366">
        <w:rPr>
          <w:rFonts w:ascii="Times New Roman" w:hAnsi="Times New Roman"/>
        </w:rPr>
        <w:t xml:space="preserve"> </w:t>
      </w:r>
      <w:r w:rsidR="00010366" w:rsidRPr="0046318D">
        <w:rPr>
          <w:rFonts w:ascii="Times New Roman" w:hAnsi="Times New Roman"/>
          <w:i/>
        </w:rPr>
        <w:t>despite</w:t>
      </w:r>
      <w:r w:rsidR="00010366">
        <w:rPr>
          <w:rFonts w:ascii="Times New Roman" w:hAnsi="Times New Roman"/>
        </w:rPr>
        <w:t xml:space="preserve"> s.18 being more serious than s.20 on grounds of </w:t>
      </w:r>
      <w:proofErr w:type="spellStart"/>
      <w:r w:rsidR="00010366">
        <w:rPr>
          <w:rFonts w:ascii="Times New Roman" w:hAnsi="Times New Roman"/>
        </w:rPr>
        <w:t>mens</w:t>
      </w:r>
      <w:proofErr w:type="spellEnd"/>
      <w:r w:rsidR="00010366">
        <w:rPr>
          <w:rFonts w:ascii="Times New Roman" w:hAnsi="Times New Roman"/>
        </w:rPr>
        <w:t xml:space="preserve"> rea.</w:t>
      </w:r>
      <w:r w:rsidR="00010366">
        <w:rPr>
          <w:rStyle w:val="FootnoteReference"/>
          <w:rFonts w:ascii="Times New Roman" w:hAnsi="Times New Roman"/>
        </w:rPr>
        <w:footnoteReference w:id="29"/>
      </w:r>
      <w:r w:rsidR="00010366">
        <w:rPr>
          <w:rFonts w:ascii="Times New Roman" w:hAnsi="Times New Roman"/>
        </w:rPr>
        <w:t xml:space="preserve"> </w:t>
      </w:r>
      <w:r w:rsidR="008906CF">
        <w:rPr>
          <w:rFonts w:ascii="Times New Roman" w:hAnsi="Times New Roman"/>
        </w:rPr>
        <w:t>Usefully</w:t>
      </w:r>
      <w:r w:rsidR="00676CE6">
        <w:rPr>
          <w:rFonts w:ascii="Times New Roman" w:hAnsi="Times New Roman"/>
        </w:rPr>
        <w:t>,</w:t>
      </w:r>
      <w:r w:rsidR="00231CC9" w:rsidRPr="00B34887">
        <w:rPr>
          <w:rFonts w:ascii="Times New Roman" w:hAnsi="Times New Roman"/>
        </w:rPr>
        <w:t xml:space="preserve"> </w:t>
      </w:r>
      <w:r w:rsidR="00231CC9" w:rsidRPr="00B34887">
        <w:rPr>
          <w:rFonts w:ascii="Times New Roman" w:hAnsi="Times New Roman"/>
          <w:i/>
        </w:rPr>
        <w:t>Ireland</w:t>
      </w:r>
      <w:r w:rsidR="00BA4965" w:rsidRPr="00B34887">
        <w:rPr>
          <w:rFonts w:ascii="Times New Roman" w:hAnsi="Times New Roman"/>
          <w:i/>
        </w:rPr>
        <w:t xml:space="preserve"> and </w:t>
      </w:r>
      <w:proofErr w:type="spellStart"/>
      <w:r w:rsidR="00BA4965" w:rsidRPr="00B34887">
        <w:rPr>
          <w:rFonts w:ascii="Times New Roman" w:hAnsi="Times New Roman"/>
          <w:i/>
        </w:rPr>
        <w:t>Burstow</w:t>
      </w:r>
      <w:proofErr w:type="spellEnd"/>
      <w:r w:rsidR="00E047DF" w:rsidRPr="00B34887">
        <w:rPr>
          <w:rStyle w:val="FootnoteReference"/>
          <w:rFonts w:ascii="Times New Roman" w:hAnsi="Times New Roman"/>
        </w:rPr>
        <w:footnoteReference w:id="30"/>
      </w:r>
      <w:r w:rsidR="00E047DF" w:rsidRPr="00B34887">
        <w:rPr>
          <w:rFonts w:ascii="Times New Roman" w:hAnsi="Times New Roman"/>
        </w:rPr>
        <w:t xml:space="preserve"> </w:t>
      </w:r>
      <w:r w:rsidR="00676CE6">
        <w:rPr>
          <w:rFonts w:ascii="Times New Roman" w:hAnsi="Times New Roman"/>
        </w:rPr>
        <w:t>clarifies</w:t>
      </w:r>
      <w:r w:rsidR="00231CC9" w:rsidRPr="00B34887">
        <w:rPr>
          <w:rFonts w:ascii="Times New Roman" w:hAnsi="Times New Roman"/>
        </w:rPr>
        <w:t xml:space="preserve"> that </w:t>
      </w:r>
      <w:r w:rsidR="006356FF">
        <w:rPr>
          <w:rFonts w:ascii="Times New Roman" w:hAnsi="Times New Roman"/>
        </w:rPr>
        <w:t>“inflict”</w:t>
      </w:r>
      <w:r w:rsidR="00676CE6">
        <w:rPr>
          <w:rFonts w:ascii="Times New Roman" w:hAnsi="Times New Roman"/>
        </w:rPr>
        <w:t xml:space="preserve"> </w:t>
      </w:r>
      <w:r w:rsidR="001742CC">
        <w:rPr>
          <w:rFonts w:ascii="Times New Roman" w:hAnsi="Times New Roman"/>
        </w:rPr>
        <w:t>is synonymous with</w:t>
      </w:r>
      <w:r w:rsidR="00231CC9" w:rsidRPr="00B34887">
        <w:rPr>
          <w:rFonts w:ascii="Times New Roman" w:hAnsi="Times New Roman"/>
        </w:rPr>
        <w:t xml:space="preserve"> </w:t>
      </w:r>
      <w:r w:rsidR="006356FF">
        <w:rPr>
          <w:rFonts w:ascii="Times New Roman" w:hAnsi="Times New Roman"/>
        </w:rPr>
        <w:t>“cause”</w:t>
      </w:r>
      <w:r w:rsidR="001742CC">
        <w:rPr>
          <w:rFonts w:ascii="Times New Roman" w:hAnsi="Times New Roman"/>
        </w:rPr>
        <w:t>,</w:t>
      </w:r>
      <w:r w:rsidR="00AA19DF" w:rsidRPr="00B34887">
        <w:rPr>
          <w:rStyle w:val="FootnoteReference"/>
          <w:rFonts w:ascii="Times New Roman" w:hAnsi="Times New Roman"/>
        </w:rPr>
        <w:footnoteReference w:id="31"/>
      </w:r>
      <w:r w:rsidR="001742CC">
        <w:rPr>
          <w:rFonts w:ascii="Times New Roman" w:hAnsi="Times New Roman"/>
        </w:rPr>
        <w:t xml:space="preserve"> meaning that </w:t>
      </w:r>
      <w:r w:rsidR="0046318D">
        <w:rPr>
          <w:rFonts w:ascii="Times New Roman" w:hAnsi="Times New Roman"/>
        </w:rPr>
        <w:t>principles</w:t>
      </w:r>
      <w:r w:rsidR="00607963">
        <w:rPr>
          <w:rFonts w:ascii="Times New Roman" w:hAnsi="Times New Roman"/>
        </w:rPr>
        <w:t xml:space="preserve"> of causation apply</w:t>
      </w:r>
      <w:r w:rsidR="001742CC">
        <w:rPr>
          <w:rFonts w:ascii="Times New Roman" w:hAnsi="Times New Roman"/>
        </w:rPr>
        <w:t xml:space="preserve"> consistently across both offences. </w:t>
      </w:r>
      <w:r>
        <w:rPr>
          <w:rFonts w:ascii="Times New Roman" w:hAnsi="Times New Roman"/>
        </w:rPr>
        <w:t>Further</w:t>
      </w:r>
      <w:r w:rsidR="00F7153F">
        <w:rPr>
          <w:rFonts w:ascii="Times New Roman" w:hAnsi="Times New Roman"/>
        </w:rPr>
        <w:t xml:space="preserve"> terminological </w:t>
      </w:r>
      <w:r w:rsidR="00584791">
        <w:rPr>
          <w:rFonts w:ascii="Times New Roman" w:hAnsi="Times New Roman"/>
        </w:rPr>
        <w:t>discrepancies include the fact that</w:t>
      </w:r>
      <w:r w:rsidR="00855D0D" w:rsidRPr="00B34887">
        <w:rPr>
          <w:rFonts w:ascii="Times New Roman" w:hAnsi="Times New Roman"/>
        </w:rPr>
        <w:t xml:space="preserve"> s.20 may only be committed against </w:t>
      </w:r>
      <w:r w:rsidR="006356FF">
        <w:rPr>
          <w:rFonts w:ascii="Times New Roman" w:hAnsi="Times New Roman"/>
        </w:rPr>
        <w:t>“</w:t>
      </w:r>
      <w:r w:rsidR="00855D0D" w:rsidRPr="00B34887">
        <w:rPr>
          <w:rFonts w:ascii="Times New Roman" w:hAnsi="Times New Roman"/>
        </w:rPr>
        <w:t xml:space="preserve">any </w:t>
      </w:r>
      <w:r w:rsidR="00855D0D" w:rsidRPr="00B34887">
        <w:rPr>
          <w:rFonts w:ascii="Times New Roman" w:hAnsi="Times New Roman"/>
          <w:i/>
        </w:rPr>
        <w:t>other</w:t>
      </w:r>
      <w:r w:rsidR="00855D0D" w:rsidRPr="00B34887">
        <w:rPr>
          <w:rFonts w:ascii="Times New Roman" w:hAnsi="Times New Roman"/>
        </w:rPr>
        <w:t xml:space="preserve"> person</w:t>
      </w:r>
      <w:r w:rsidR="006356FF">
        <w:rPr>
          <w:rFonts w:ascii="Times New Roman" w:hAnsi="Times New Roman"/>
        </w:rPr>
        <w:t>”</w:t>
      </w:r>
      <w:r w:rsidR="008906CF">
        <w:rPr>
          <w:rFonts w:ascii="Times New Roman" w:hAnsi="Times New Roman"/>
        </w:rPr>
        <w:t>, whilst s.</w:t>
      </w:r>
      <w:r w:rsidR="00855D0D" w:rsidRPr="00B34887">
        <w:rPr>
          <w:rFonts w:ascii="Times New Roman" w:hAnsi="Times New Roman"/>
        </w:rPr>
        <w:t xml:space="preserve">18 may be committed against </w:t>
      </w:r>
      <w:r w:rsidR="00BC686B">
        <w:rPr>
          <w:rFonts w:ascii="Times New Roman" w:hAnsi="Times New Roman"/>
        </w:rPr>
        <w:t>“</w:t>
      </w:r>
      <w:r w:rsidR="00855D0D" w:rsidRPr="00B34887">
        <w:rPr>
          <w:rFonts w:ascii="Times New Roman" w:hAnsi="Times New Roman"/>
          <w:i/>
        </w:rPr>
        <w:t>any</w:t>
      </w:r>
      <w:r w:rsidR="00855D0D" w:rsidRPr="00B34887">
        <w:rPr>
          <w:rFonts w:ascii="Times New Roman" w:hAnsi="Times New Roman"/>
        </w:rPr>
        <w:t xml:space="preserve"> person</w:t>
      </w:r>
      <w:r w:rsidR="006356FF">
        <w:rPr>
          <w:rFonts w:ascii="Times New Roman" w:hAnsi="Times New Roman"/>
        </w:rPr>
        <w:t>”</w:t>
      </w:r>
      <w:r w:rsidR="00855D0D" w:rsidRPr="00B34887">
        <w:rPr>
          <w:rFonts w:ascii="Times New Roman" w:hAnsi="Times New Roman"/>
        </w:rPr>
        <w:t>.</w:t>
      </w:r>
      <w:r w:rsidR="00B34887" w:rsidRPr="00B34887">
        <w:rPr>
          <w:rFonts w:ascii="Times New Roman" w:hAnsi="Times New Roman"/>
        </w:rPr>
        <w:t xml:space="preserve"> </w:t>
      </w:r>
      <w:r w:rsidR="002B39A7">
        <w:rPr>
          <w:rFonts w:ascii="Times New Roman" w:hAnsi="Times New Roman"/>
        </w:rPr>
        <w:lastRenderedPageBreak/>
        <w:t>S.18</w:t>
      </w:r>
      <w:r w:rsidR="00B34887" w:rsidRPr="00B34887">
        <w:rPr>
          <w:rFonts w:ascii="Times New Roman" w:hAnsi="Times New Roman"/>
        </w:rPr>
        <w:t xml:space="preserve"> </w:t>
      </w:r>
      <w:r w:rsidR="0059661F">
        <w:rPr>
          <w:rFonts w:ascii="Times New Roman" w:hAnsi="Times New Roman"/>
        </w:rPr>
        <w:t>therefore</w:t>
      </w:r>
      <w:r w:rsidR="00B34887" w:rsidRPr="00B34887">
        <w:rPr>
          <w:rFonts w:ascii="Times New Roman" w:hAnsi="Times New Roman"/>
        </w:rPr>
        <w:t xml:space="preserve"> </w:t>
      </w:r>
      <w:r w:rsidR="008906CF">
        <w:rPr>
          <w:rFonts w:ascii="Times New Roman" w:hAnsi="Times New Roman"/>
        </w:rPr>
        <w:t>proscribes</w:t>
      </w:r>
      <w:r w:rsidR="00B34887" w:rsidRPr="00B34887">
        <w:rPr>
          <w:rFonts w:ascii="Times New Roman" w:hAnsi="Times New Roman"/>
        </w:rPr>
        <w:t xml:space="preserve"> </w:t>
      </w:r>
      <w:r w:rsidR="00B34887" w:rsidRPr="00607963">
        <w:rPr>
          <w:rFonts w:ascii="Times New Roman" w:hAnsi="Times New Roman"/>
          <w:i/>
        </w:rPr>
        <w:t>self</w:t>
      </w:r>
      <w:r w:rsidR="00B34887" w:rsidRPr="00B34887">
        <w:rPr>
          <w:rFonts w:ascii="Times New Roman" w:hAnsi="Times New Roman"/>
        </w:rPr>
        <w:t xml:space="preserve">-harm </w:t>
      </w:r>
      <w:r w:rsidR="008906CF">
        <w:rPr>
          <w:rFonts w:ascii="Times New Roman" w:hAnsi="Times New Roman"/>
        </w:rPr>
        <w:t>which</w:t>
      </w:r>
      <w:r w:rsidR="00953FD3">
        <w:rPr>
          <w:rFonts w:ascii="Times New Roman" w:hAnsi="Times New Roman"/>
        </w:rPr>
        <w:t xml:space="preserve"> </w:t>
      </w:r>
      <w:r w:rsidR="00426C85">
        <w:rPr>
          <w:rFonts w:ascii="Times New Roman" w:hAnsi="Times New Roman"/>
        </w:rPr>
        <w:t>in the past</w:t>
      </w:r>
      <w:r w:rsidR="00953FD3">
        <w:rPr>
          <w:rFonts w:ascii="Times New Roman" w:hAnsi="Times New Roman"/>
        </w:rPr>
        <w:t xml:space="preserve"> </w:t>
      </w:r>
      <w:r w:rsidR="00426C85">
        <w:rPr>
          <w:rFonts w:ascii="Times New Roman" w:hAnsi="Times New Roman"/>
        </w:rPr>
        <w:t xml:space="preserve">might </w:t>
      </w:r>
      <w:r w:rsidR="00953FD3">
        <w:rPr>
          <w:rFonts w:ascii="Times New Roman" w:hAnsi="Times New Roman"/>
        </w:rPr>
        <w:t xml:space="preserve">have been committed </w:t>
      </w:r>
      <w:r w:rsidR="00B34887" w:rsidRPr="00B34887">
        <w:rPr>
          <w:rFonts w:ascii="Times New Roman" w:hAnsi="Times New Roman"/>
        </w:rPr>
        <w:t>to escape service in the</w:t>
      </w:r>
      <w:r w:rsidR="00B34887">
        <w:rPr>
          <w:rFonts w:ascii="Times New Roman" w:hAnsi="Times New Roman"/>
        </w:rPr>
        <w:t xml:space="preserve"> </w:t>
      </w:r>
      <w:r w:rsidR="00B34887" w:rsidRPr="00B34887">
        <w:rPr>
          <w:rFonts w:ascii="Times New Roman" w:hAnsi="Times New Roman"/>
        </w:rPr>
        <w:t>armed forces</w:t>
      </w:r>
      <w:r w:rsidR="00B34887">
        <w:rPr>
          <w:rFonts w:ascii="Times New Roman" w:hAnsi="Times New Roman"/>
        </w:rPr>
        <w:t>.</w:t>
      </w:r>
      <w:r w:rsidR="00AA19DF">
        <w:rPr>
          <w:rStyle w:val="FootnoteReference"/>
          <w:rFonts w:ascii="Times New Roman" w:hAnsi="Times New Roman"/>
        </w:rPr>
        <w:footnoteReference w:id="32"/>
      </w:r>
      <w:r w:rsidR="00AA19DF">
        <w:rPr>
          <w:rFonts w:ascii="Times New Roman" w:hAnsi="Times New Roman"/>
        </w:rPr>
        <w:t xml:space="preserve"> Understandably, t</w:t>
      </w:r>
      <w:r w:rsidR="00B34887">
        <w:rPr>
          <w:rFonts w:ascii="Times New Roman" w:hAnsi="Times New Roman"/>
        </w:rPr>
        <w:t xml:space="preserve">he </w:t>
      </w:r>
      <w:r w:rsidR="00243071" w:rsidRPr="00B34887">
        <w:rPr>
          <w:rFonts w:ascii="Times New Roman" w:hAnsi="Times New Roman"/>
        </w:rPr>
        <w:t xml:space="preserve">linguistic </w:t>
      </w:r>
      <w:r>
        <w:rPr>
          <w:rFonts w:ascii="Times New Roman" w:hAnsi="Times New Roman"/>
        </w:rPr>
        <w:t>challenges</w:t>
      </w:r>
      <w:r w:rsidR="00243071" w:rsidRPr="00B34887">
        <w:rPr>
          <w:rFonts w:ascii="Times New Roman" w:hAnsi="Times New Roman"/>
        </w:rPr>
        <w:t xml:space="preserve"> </w:t>
      </w:r>
      <w:r w:rsidR="008906CF">
        <w:rPr>
          <w:rFonts w:ascii="Times New Roman" w:hAnsi="Times New Roman"/>
        </w:rPr>
        <w:t>in</w:t>
      </w:r>
      <w:r w:rsidR="00AA19DF">
        <w:rPr>
          <w:rFonts w:ascii="Times New Roman" w:hAnsi="Times New Roman"/>
        </w:rPr>
        <w:t xml:space="preserve"> ss.18 and 20 </w:t>
      </w:r>
      <w:r w:rsidR="008906CF">
        <w:rPr>
          <w:rFonts w:ascii="Times New Roman" w:hAnsi="Times New Roman"/>
        </w:rPr>
        <w:t>detract from their utility</w:t>
      </w:r>
      <w:r w:rsidR="00243071" w:rsidRPr="00B34887">
        <w:rPr>
          <w:rFonts w:ascii="Times New Roman" w:hAnsi="Times New Roman"/>
        </w:rPr>
        <w:t>.</w:t>
      </w:r>
      <w:r w:rsidR="007C4131">
        <w:rPr>
          <w:rFonts w:ascii="Times New Roman" w:hAnsi="Times New Roman"/>
        </w:rPr>
        <w:t xml:space="preserve"> </w:t>
      </w:r>
    </w:p>
    <w:p w:rsidR="00352175" w:rsidRDefault="00352175" w:rsidP="00B34887">
      <w:pPr>
        <w:autoSpaceDE w:val="0"/>
        <w:autoSpaceDN w:val="0"/>
        <w:adjustRightInd w:val="0"/>
        <w:spacing w:line="480" w:lineRule="auto"/>
        <w:jc w:val="both"/>
        <w:rPr>
          <w:rFonts w:ascii="Times New Roman" w:hAnsi="Times New Roman"/>
        </w:rPr>
      </w:pPr>
    </w:p>
    <w:p w:rsidR="0086017F" w:rsidRDefault="00D437A6" w:rsidP="00B34887">
      <w:pPr>
        <w:autoSpaceDE w:val="0"/>
        <w:autoSpaceDN w:val="0"/>
        <w:adjustRightInd w:val="0"/>
        <w:spacing w:line="480" w:lineRule="auto"/>
        <w:jc w:val="both"/>
        <w:rPr>
          <w:rFonts w:ascii="Times New Roman" w:hAnsi="Times New Roman"/>
        </w:rPr>
      </w:pPr>
      <w:r w:rsidRPr="00B34887">
        <w:rPr>
          <w:rFonts w:ascii="Times New Roman" w:hAnsi="Times New Roman"/>
        </w:rPr>
        <w:t>A</w:t>
      </w:r>
      <w:r w:rsidR="00183A29">
        <w:rPr>
          <w:rFonts w:ascii="Times New Roman" w:hAnsi="Times New Roman"/>
        </w:rPr>
        <w:t>n</w:t>
      </w:r>
      <w:r w:rsidRPr="00B34887">
        <w:rPr>
          <w:rFonts w:ascii="Times New Roman" w:hAnsi="Times New Roman"/>
        </w:rPr>
        <w:t xml:space="preserve"> </w:t>
      </w:r>
      <w:r w:rsidR="00183A29">
        <w:rPr>
          <w:rFonts w:ascii="Times New Roman" w:hAnsi="Times New Roman"/>
        </w:rPr>
        <w:t>additional</w:t>
      </w:r>
      <w:r w:rsidRPr="00B34887">
        <w:rPr>
          <w:rFonts w:ascii="Times New Roman" w:hAnsi="Times New Roman"/>
        </w:rPr>
        <w:t xml:space="preserve"> </w:t>
      </w:r>
      <w:r w:rsidR="00965937">
        <w:rPr>
          <w:rFonts w:ascii="Times New Roman" w:hAnsi="Times New Roman"/>
        </w:rPr>
        <w:t>curiosity</w:t>
      </w:r>
      <w:r w:rsidRPr="00B34887">
        <w:rPr>
          <w:rFonts w:ascii="Times New Roman" w:hAnsi="Times New Roman"/>
        </w:rPr>
        <w:t xml:space="preserve"> </w:t>
      </w:r>
      <w:r w:rsidR="007C4131" w:rsidRPr="00B34887">
        <w:rPr>
          <w:rFonts w:ascii="Times New Roman" w:hAnsi="Times New Roman"/>
        </w:rPr>
        <w:t xml:space="preserve">in </w:t>
      </w:r>
      <w:r w:rsidR="002C3A22">
        <w:rPr>
          <w:rFonts w:ascii="Times New Roman" w:hAnsi="Times New Roman"/>
        </w:rPr>
        <w:t>these sections</w:t>
      </w:r>
      <w:r w:rsidR="007C4131">
        <w:rPr>
          <w:rFonts w:ascii="Times New Roman" w:hAnsi="Times New Roman"/>
        </w:rPr>
        <w:t xml:space="preserve"> </w:t>
      </w:r>
      <w:r w:rsidRPr="00B34887">
        <w:rPr>
          <w:rFonts w:ascii="Times New Roman" w:hAnsi="Times New Roman"/>
        </w:rPr>
        <w:t xml:space="preserve">is the fact that wounding sits alongside GBH </w:t>
      </w:r>
      <w:r w:rsidR="00346598" w:rsidRPr="00B34887">
        <w:rPr>
          <w:rFonts w:ascii="Times New Roman" w:hAnsi="Times New Roman"/>
        </w:rPr>
        <w:t xml:space="preserve">as an alternative </w:t>
      </w:r>
      <w:r w:rsidR="00346598" w:rsidRPr="00E51A72">
        <w:rPr>
          <w:rFonts w:ascii="Times New Roman" w:hAnsi="Times New Roman"/>
        </w:rPr>
        <w:t xml:space="preserve">actus </w:t>
      </w:r>
      <w:proofErr w:type="spellStart"/>
      <w:proofErr w:type="gramStart"/>
      <w:r w:rsidR="00346598" w:rsidRPr="00E51A72">
        <w:rPr>
          <w:rFonts w:ascii="Times New Roman" w:hAnsi="Times New Roman"/>
        </w:rPr>
        <w:t>reus</w:t>
      </w:r>
      <w:proofErr w:type="spellEnd"/>
      <w:proofErr w:type="gramEnd"/>
      <w:r w:rsidR="00346598" w:rsidRPr="00B34887">
        <w:rPr>
          <w:rFonts w:ascii="Times New Roman" w:hAnsi="Times New Roman"/>
        </w:rPr>
        <w:t xml:space="preserve"> mode</w:t>
      </w:r>
      <w:r w:rsidRPr="00B34887">
        <w:rPr>
          <w:rFonts w:ascii="Times New Roman" w:hAnsi="Times New Roman"/>
        </w:rPr>
        <w:t xml:space="preserve">. </w:t>
      </w:r>
      <w:r w:rsidR="003C5E10" w:rsidRPr="00B34887">
        <w:rPr>
          <w:rFonts w:ascii="Times New Roman" w:hAnsi="Times New Roman"/>
        </w:rPr>
        <w:t>Wounding is defined as a break in the continuity of the whole skin.</w:t>
      </w:r>
      <w:r w:rsidR="003C5E10" w:rsidRPr="00B34887">
        <w:rPr>
          <w:rStyle w:val="FootnoteReference"/>
          <w:rFonts w:ascii="Times New Roman" w:hAnsi="Times New Roman"/>
        </w:rPr>
        <w:footnoteReference w:id="33"/>
      </w:r>
      <w:r w:rsidR="003C5E10" w:rsidRPr="00B34887">
        <w:rPr>
          <w:rFonts w:ascii="Times New Roman" w:hAnsi="Times New Roman"/>
        </w:rPr>
        <w:t xml:space="preserve"> Whilst </w:t>
      </w:r>
      <w:r w:rsidR="00346598" w:rsidRPr="00B34887">
        <w:rPr>
          <w:rFonts w:ascii="Times New Roman" w:hAnsi="Times New Roman"/>
        </w:rPr>
        <w:t>a wound</w:t>
      </w:r>
      <w:r w:rsidR="003C5E10" w:rsidRPr="00B34887">
        <w:rPr>
          <w:rFonts w:ascii="Times New Roman" w:hAnsi="Times New Roman"/>
        </w:rPr>
        <w:t xml:space="preserve"> may amount to serious harm so as </w:t>
      </w:r>
      <w:r w:rsidR="007C4131">
        <w:rPr>
          <w:rFonts w:ascii="Times New Roman" w:hAnsi="Times New Roman"/>
        </w:rPr>
        <w:t>to feature justifiably in the same offence as</w:t>
      </w:r>
      <w:r w:rsidR="003C5E10" w:rsidRPr="00B34887">
        <w:rPr>
          <w:rFonts w:ascii="Times New Roman" w:hAnsi="Times New Roman"/>
        </w:rPr>
        <w:t xml:space="preserve"> GBH (for instance, stabbing with a knife), </w:t>
      </w:r>
      <w:r w:rsidR="00346598" w:rsidRPr="00B34887">
        <w:rPr>
          <w:rFonts w:ascii="Times New Roman" w:hAnsi="Times New Roman"/>
        </w:rPr>
        <w:t>other</w:t>
      </w:r>
      <w:r w:rsidR="003C5E10" w:rsidRPr="00B34887">
        <w:rPr>
          <w:rFonts w:ascii="Times New Roman" w:hAnsi="Times New Roman"/>
        </w:rPr>
        <w:t xml:space="preserve"> wound</w:t>
      </w:r>
      <w:r w:rsidR="00346598" w:rsidRPr="00B34887">
        <w:rPr>
          <w:rFonts w:ascii="Times New Roman" w:hAnsi="Times New Roman"/>
        </w:rPr>
        <w:t>s</w:t>
      </w:r>
      <w:r w:rsidR="003C5E10" w:rsidRPr="00B34887">
        <w:rPr>
          <w:rFonts w:ascii="Times New Roman" w:hAnsi="Times New Roman"/>
        </w:rPr>
        <w:t xml:space="preserve"> </w:t>
      </w:r>
      <w:r w:rsidR="00346598" w:rsidRPr="00B34887">
        <w:rPr>
          <w:rFonts w:ascii="Times New Roman" w:hAnsi="Times New Roman"/>
        </w:rPr>
        <w:t>may</w:t>
      </w:r>
      <w:r w:rsidR="003C5E10" w:rsidRPr="00B34887">
        <w:rPr>
          <w:rFonts w:ascii="Times New Roman" w:hAnsi="Times New Roman"/>
        </w:rPr>
        <w:t xml:space="preserve"> </w:t>
      </w:r>
      <w:r w:rsidR="00346598" w:rsidRPr="00B34887">
        <w:rPr>
          <w:rFonts w:ascii="Times New Roman" w:hAnsi="Times New Roman"/>
        </w:rPr>
        <w:t>constitute</w:t>
      </w:r>
      <w:r w:rsidR="003C5E10" w:rsidRPr="00B34887">
        <w:rPr>
          <w:rFonts w:ascii="Times New Roman" w:hAnsi="Times New Roman"/>
        </w:rPr>
        <w:t xml:space="preserve"> only minor harm</w:t>
      </w:r>
      <w:r w:rsidR="00346598" w:rsidRPr="00B34887">
        <w:rPr>
          <w:rFonts w:ascii="Times New Roman" w:hAnsi="Times New Roman"/>
        </w:rPr>
        <w:t xml:space="preserve"> </w:t>
      </w:r>
      <w:r w:rsidR="00BF04AB" w:rsidRPr="00B34887">
        <w:rPr>
          <w:rFonts w:ascii="Times New Roman" w:hAnsi="Times New Roman"/>
        </w:rPr>
        <w:t>so as to be incomparable to</w:t>
      </w:r>
      <w:r w:rsidR="00346598" w:rsidRPr="00B34887">
        <w:rPr>
          <w:rFonts w:ascii="Times New Roman" w:hAnsi="Times New Roman"/>
        </w:rPr>
        <w:t xml:space="preserve"> GBH (for example, pricking with a </w:t>
      </w:r>
      <w:r w:rsidR="00FF24B2" w:rsidRPr="00B34887">
        <w:rPr>
          <w:rFonts w:ascii="Times New Roman" w:hAnsi="Times New Roman"/>
        </w:rPr>
        <w:t xml:space="preserve">drawing </w:t>
      </w:r>
      <w:r w:rsidR="00346598" w:rsidRPr="00B34887">
        <w:rPr>
          <w:rFonts w:ascii="Times New Roman" w:hAnsi="Times New Roman"/>
        </w:rPr>
        <w:t>pin).</w:t>
      </w:r>
      <w:r w:rsidR="00BF04AB" w:rsidRPr="00B34887">
        <w:rPr>
          <w:rStyle w:val="FootnoteReference"/>
          <w:rFonts w:ascii="Times New Roman" w:hAnsi="Times New Roman"/>
        </w:rPr>
        <w:footnoteReference w:id="34"/>
      </w:r>
      <w:r w:rsidR="00346598" w:rsidRPr="00B34887">
        <w:rPr>
          <w:rFonts w:ascii="Times New Roman" w:hAnsi="Times New Roman"/>
        </w:rPr>
        <w:t xml:space="preserve"> </w:t>
      </w:r>
      <w:r w:rsidR="006A1AE3">
        <w:rPr>
          <w:rFonts w:ascii="Times New Roman" w:hAnsi="Times New Roman"/>
        </w:rPr>
        <w:t>The</w:t>
      </w:r>
      <w:r w:rsidR="00C0697C" w:rsidRPr="00C0697C">
        <w:rPr>
          <w:rFonts w:ascii="Times New Roman" w:hAnsi="Times New Roman"/>
        </w:rPr>
        <w:t xml:space="preserve"> 19th century r</w:t>
      </w:r>
      <w:r w:rsidR="006A1AE3">
        <w:rPr>
          <w:rFonts w:ascii="Times New Roman" w:hAnsi="Times New Roman"/>
        </w:rPr>
        <w:t xml:space="preserve">ationale </w:t>
      </w:r>
      <w:r w:rsidR="006B5025">
        <w:rPr>
          <w:rFonts w:ascii="Times New Roman" w:hAnsi="Times New Roman"/>
        </w:rPr>
        <w:t>for equating</w:t>
      </w:r>
      <w:r w:rsidR="006A1AE3">
        <w:rPr>
          <w:rFonts w:ascii="Times New Roman" w:hAnsi="Times New Roman"/>
        </w:rPr>
        <w:t xml:space="preserve"> a minor</w:t>
      </w:r>
      <w:r w:rsidR="00C0697C" w:rsidRPr="00C0697C">
        <w:rPr>
          <w:rFonts w:ascii="Times New Roman" w:hAnsi="Times New Roman"/>
        </w:rPr>
        <w:t xml:space="preserve"> wound </w:t>
      </w:r>
      <w:r w:rsidR="006A1AE3">
        <w:rPr>
          <w:rFonts w:ascii="Times New Roman" w:hAnsi="Times New Roman"/>
        </w:rPr>
        <w:t>with a major</w:t>
      </w:r>
      <w:r w:rsidR="00C0697C" w:rsidRPr="00C0697C">
        <w:rPr>
          <w:rFonts w:ascii="Times New Roman" w:hAnsi="Times New Roman"/>
        </w:rPr>
        <w:t xml:space="preserve"> harm </w:t>
      </w:r>
      <w:r w:rsidR="00352175">
        <w:rPr>
          <w:rFonts w:ascii="Times New Roman" w:hAnsi="Times New Roman"/>
        </w:rPr>
        <w:t>was</w:t>
      </w:r>
      <w:r w:rsidR="00C0697C" w:rsidRPr="00C0697C">
        <w:rPr>
          <w:rFonts w:ascii="Times New Roman" w:hAnsi="Times New Roman"/>
        </w:rPr>
        <w:t xml:space="preserve"> that even a minor wound could become </w:t>
      </w:r>
      <w:r w:rsidR="006B5025" w:rsidRPr="00C0697C">
        <w:rPr>
          <w:rFonts w:ascii="Times New Roman" w:hAnsi="Times New Roman"/>
        </w:rPr>
        <w:t xml:space="preserve">easily </w:t>
      </w:r>
      <w:r w:rsidR="00C0697C" w:rsidRPr="00C0697C">
        <w:rPr>
          <w:rFonts w:ascii="Times New Roman" w:hAnsi="Times New Roman"/>
        </w:rPr>
        <w:t>infected</w:t>
      </w:r>
      <w:r w:rsidR="006A1AE3">
        <w:rPr>
          <w:rFonts w:ascii="Times New Roman" w:hAnsi="Times New Roman"/>
        </w:rPr>
        <w:t>, resulting in</w:t>
      </w:r>
      <w:r w:rsidR="00C0697C" w:rsidRPr="00C0697C">
        <w:rPr>
          <w:rFonts w:ascii="Times New Roman" w:hAnsi="Times New Roman"/>
        </w:rPr>
        <w:t xml:space="preserve"> death</w:t>
      </w:r>
      <w:r w:rsidR="006A1AE3">
        <w:rPr>
          <w:rFonts w:ascii="Times New Roman" w:hAnsi="Times New Roman"/>
        </w:rPr>
        <w:t xml:space="preserve">. Given medical advances, </w:t>
      </w:r>
      <w:r w:rsidR="00C0697C" w:rsidRPr="00C0697C">
        <w:rPr>
          <w:rFonts w:ascii="Times New Roman" w:hAnsi="Times New Roman"/>
        </w:rPr>
        <w:t xml:space="preserve">that reasoning </w:t>
      </w:r>
      <w:r w:rsidR="006A1AE3">
        <w:rPr>
          <w:rFonts w:ascii="Times New Roman" w:hAnsi="Times New Roman"/>
        </w:rPr>
        <w:t xml:space="preserve">is now </w:t>
      </w:r>
      <w:r w:rsidR="000D1A68">
        <w:rPr>
          <w:rFonts w:ascii="Times New Roman" w:hAnsi="Times New Roman"/>
        </w:rPr>
        <w:t>outdated</w:t>
      </w:r>
      <w:r w:rsidR="00C0697C" w:rsidRPr="00C0697C">
        <w:rPr>
          <w:rFonts w:ascii="Times New Roman" w:hAnsi="Times New Roman"/>
        </w:rPr>
        <w:t>.</w:t>
      </w:r>
      <w:r w:rsidR="00131366">
        <w:rPr>
          <w:rFonts w:ascii="Times New Roman" w:hAnsi="Times New Roman"/>
        </w:rPr>
        <w:t xml:space="preserve"> Of course, </w:t>
      </w:r>
      <w:r w:rsidR="00CE0013">
        <w:rPr>
          <w:rFonts w:ascii="Times New Roman" w:hAnsi="Times New Roman"/>
        </w:rPr>
        <w:t xml:space="preserve">where a wound </w:t>
      </w:r>
      <w:r w:rsidR="00CE0013" w:rsidRPr="008420FF">
        <w:rPr>
          <w:rFonts w:ascii="Times New Roman" w:hAnsi="Times New Roman"/>
          <w:i/>
        </w:rPr>
        <w:t>is</w:t>
      </w:r>
      <w:r w:rsidR="00CE0013">
        <w:rPr>
          <w:rFonts w:ascii="Times New Roman" w:hAnsi="Times New Roman"/>
        </w:rPr>
        <w:t xml:space="preserve"> equivalent to serious harm</w:t>
      </w:r>
      <w:r w:rsidR="00DF752C">
        <w:rPr>
          <w:rFonts w:ascii="Times New Roman" w:hAnsi="Times New Roman"/>
        </w:rPr>
        <w:t>,</w:t>
      </w:r>
      <w:r w:rsidR="00CE0013">
        <w:rPr>
          <w:rFonts w:ascii="Times New Roman" w:hAnsi="Times New Roman"/>
        </w:rPr>
        <w:t xml:space="preserve"> it might be argued that wounding is redundant as an </w:t>
      </w:r>
      <w:r w:rsidR="00CE0013" w:rsidRPr="00E51A72">
        <w:rPr>
          <w:rFonts w:ascii="Times New Roman" w:hAnsi="Times New Roman"/>
        </w:rPr>
        <w:t xml:space="preserve">actus </w:t>
      </w:r>
      <w:proofErr w:type="spellStart"/>
      <w:proofErr w:type="gramStart"/>
      <w:r w:rsidR="00CE0013" w:rsidRPr="00E51A72">
        <w:rPr>
          <w:rFonts w:ascii="Times New Roman" w:hAnsi="Times New Roman"/>
        </w:rPr>
        <w:t>reus</w:t>
      </w:r>
      <w:proofErr w:type="spellEnd"/>
      <w:proofErr w:type="gramEnd"/>
      <w:r w:rsidR="00CE0013">
        <w:rPr>
          <w:rFonts w:ascii="Times New Roman" w:hAnsi="Times New Roman"/>
        </w:rPr>
        <w:t xml:space="preserve"> mode in </w:t>
      </w:r>
      <w:r w:rsidR="00C56272">
        <w:rPr>
          <w:rFonts w:ascii="Times New Roman" w:hAnsi="Times New Roman"/>
        </w:rPr>
        <w:t>ss.18 and 20: it should</w:t>
      </w:r>
      <w:r w:rsidR="002D5BD4">
        <w:rPr>
          <w:rFonts w:ascii="Times New Roman" w:hAnsi="Times New Roman"/>
        </w:rPr>
        <w:t xml:space="preserve"> simply</w:t>
      </w:r>
      <w:r w:rsidR="00C56272">
        <w:rPr>
          <w:rFonts w:ascii="Times New Roman" w:hAnsi="Times New Roman"/>
        </w:rPr>
        <w:t xml:space="preserve"> be subsumed within GBH. </w:t>
      </w:r>
      <w:r w:rsidR="00187F19">
        <w:rPr>
          <w:rFonts w:ascii="Times New Roman" w:hAnsi="Times New Roman"/>
        </w:rPr>
        <w:t xml:space="preserve">Lesser wounds could </w:t>
      </w:r>
      <w:r w:rsidR="004B2C6A">
        <w:rPr>
          <w:rFonts w:ascii="Times New Roman" w:hAnsi="Times New Roman"/>
        </w:rPr>
        <w:t>also</w:t>
      </w:r>
      <w:r w:rsidR="00187F19">
        <w:rPr>
          <w:rFonts w:ascii="Times New Roman" w:hAnsi="Times New Roman"/>
        </w:rPr>
        <w:t xml:space="preserve"> be </w:t>
      </w:r>
      <w:r w:rsidR="0084644D">
        <w:rPr>
          <w:rFonts w:ascii="Times New Roman" w:hAnsi="Times New Roman"/>
        </w:rPr>
        <w:t>incorporated</w:t>
      </w:r>
      <w:r w:rsidR="00187F19">
        <w:rPr>
          <w:rFonts w:ascii="Times New Roman" w:hAnsi="Times New Roman"/>
        </w:rPr>
        <w:t xml:space="preserve"> within lower forms of </w:t>
      </w:r>
      <w:r w:rsidR="000D1A68">
        <w:rPr>
          <w:rFonts w:ascii="Times New Roman" w:hAnsi="Times New Roman"/>
        </w:rPr>
        <w:t xml:space="preserve">bodily </w:t>
      </w:r>
      <w:r w:rsidR="00187F19">
        <w:rPr>
          <w:rFonts w:ascii="Times New Roman" w:hAnsi="Times New Roman"/>
        </w:rPr>
        <w:t xml:space="preserve">harm. </w:t>
      </w:r>
    </w:p>
    <w:p w:rsidR="00E02814" w:rsidRDefault="00E02814" w:rsidP="00C0697C">
      <w:pPr>
        <w:autoSpaceDE w:val="0"/>
        <w:autoSpaceDN w:val="0"/>
        <w:adjustRightInd w:val="0"/>
        <w:spacing w:line="480" w:lineRule="auto"/>
        <w:jc w:val="both"/>
        <w:rPr>
          <w:rFonts w:ascii="Times New Roman" w:hAnsi="Times New Roman"/>
        </w:rPr>
      </w:pPr>
    </w:p>
    <w:p w:rsidR="00B81630" w:rsidRDefault="00554F3E" w:rsidP="00C0697C">
      <w:pPr>
        <w:autoSpaceDE w:val="0"/>
        <w:autoSpaceDN w:val="0"/>
        <w:adjustRightInd w:val="0"/>
        <w:spacing w:line="480" w:lineRule="auto"/>
        <w:jc w:val="both"/>
        <w:rPr>
          <w:rFonts w:ascii="Times New Roman" w:hAnsi="Times New Roman"/>
        </w:rPr>
      </w:pPr>
      <w:r>
        <w:rPr>
          <w:rFonts w:ascii="Times New Roman" w:hAnsi="Times New Roman"/>
        </w:rPr>
        <w:t>(b</w:t>
      </w:r>
      <w:r w:rsidR="00B81630">
        <w:rPr>
          <w:rFonts w:ascii="Times New Roman" w:hAnsi="Times New Roman"/>
        </w:rPr>
        <w:t>) Section 47</w:t>
      </w:r>
    </w:p>
    <w:p w:rsidR="00FE2CED" w:rsidRDefault="00723759" w:rsidP="00C0697C">
      <w:pPr>
        <w:autoSpaceDE w:val="0"/>
        <w:autoSpaceDN w:val="0"/>
        <w:adjustRightInd w:val="0"/>
        <w:spacing w:line="480" w:lineRule="auto"/>
        <w:jc w:val="both"/>
        <w:rPr>
          <w:rFonts w:ascii="Times New Roman" w:hAnsi="Times New Roman"/>
        </w:rPr>
      </w:pPr>
      <w:r>
        <w:rPr>
          <w:rFonts w:ascii="Times New Roman" w:hAnsi="Times New Roman"/>
        </w:rPr>
        <w:t>Moving</w:t>
      </w:r>
      <w:r w:rsidR="006B2406">
        <w:rPr>
          <w:rFonts w:ascii="Times New Roman" w:hAnsi="Times New Roman"/>
        </w:rPr>
        <w:t xml:space="preserve"> down the </w:t>
      </w:r>
      <w:r w:rsidR="0086017F">
        <w:rPr>
          <w:rFonts w:ascii="Times New Roman" w:hAnsi="Times New Roman"/>
        </w:rPr>
        <w:t xml:space="preserve">injury scale, </w:t>
      </w:r>
      <w:r w:rsidR="002A6AD1">
        <w:rPr>
          <w:rFonts w:ascii="Times New Roman" w:hAnsi="Times New Roman"/>
        </w:rPr>
        <w:t xml:space="preserve">it </w:t>
      </w:r>
      <w:r w:rsidR="007B6CAE">
        <w:rPr>
          <w:rFonts w:ascii="Times New Roman" w:hAnsi="Times New Roman"/>
        </w:rPr>
        <w:t>becomes</w:t>
      </w:r>
      <w:r w:rsidR="002A6AD1">
        <w:rPr>
          <w:rFonts w:ascii="Times New Roman" w:hAnsi="Times New Roman"/>
        </w:rPr>
        <w:t xml:space="preserve"> evident that wounding and GBH overlap with the harm </w:t>
      </w:r>
      <w:r w:rsidR="00197EE4">
        <w:rPr>
          <w:rFonts w:ascii="Times New Roman" w:hAnsi="Times New Roman"/>
        </w:rPr>
        <w:t>prohibited</w:t>
      </w:r>
      <w:r w:rsidR="002A6AD1">
        <w:rPr>
          <w:rFonts w:ascii="Times New Roman" w:hAnsi="Times New Roman"/>
        </w:rPr>
        <w:t xml:space="preserve"> in the next offence: ABH</w:t>
      </w:r>
      <w:r w:rsidR="00FA38A8">
        <w:rPr>
          <w:rFonts w:ascii="Times New Roman" w:hAnsi="Times New Roman"/>
        </w:rPr>
        <w:t xml:space="preserve"> u</w:t>
      </w:r>
      <w:r w:rsidR="002078EF">
        <w:rPr>
          <w:rFonts w:ascii="Times New Roman" w:hAnsi="Times New Roman"/>
        </w:rPr>
        <w:t>nder s.</w:t>
      </w:r>
      <w:r w:rsidR="002A6AD1">
        <w:rPr>
          <w:rFonts w:ascii="Times New Roman" w:hAnsi="Times New Roman"/>
        </w:rPr>
        <w:t>47</w:t>
      </w:r>
      <w:r w:rsidR="00FA38A8">
        <w:rPr>
          <w:rFonts w:ascii="Times New Roman" w:hAnsi="Times New Roman"/>
        </w:rPr>
        <w:t xml:space="preserve">. </w:t>
      </w:r>
      <w:r w:rsidR="002A6AD1">
        <w:rPr>
          <w:rFonts w:ascii="Times New Roman" w:hAnsi="Times New Roman"/>
        </w:rPr>
        <w:t xml:space="preserve">ABH </w:t>
      </w:r>
      <w:r w:rsidR="00926115">
        <w:rPr>
          <w:rFonts w:ascii="Times New Roman" w:hAnsi="Times New Roman"/>
        </w:rPr>
        <w:t>is interpreted</w:t>
      </w:r>
      <w:r w:rsidR="007B6CAE">
        <w:rPr>
          <w:rFonts w:ascii="Times New Roman" w:hAnsi="Times New Roman"/>
        </w:rPr>
        <w:t xml:space="preserve"> as</w:t>
      </w:r>
      <w:r w:rsidR="0042619F">
        <w:rPr>
          <w:rFonts w:ascii="Times New Roman" w:hAnsi="Times New Roman"/>
        </w:rPr>
        <w:t xml:space="preserve"> any injury perpetrated by the defendant (D)</w:t>
      </w:r>
      <w:r w:rsidR="007B6CAE">
        <w:rPr>
          <w:rFonts w:ascii="Times New Roman" w:hAnsi="Times New Roman"/>
        </w:rPr>
        <w:t>,</w:t>
      </w:r>
      <w:r w:rsidR="0042619F">
        <w:rPr>
          <w:rFonts w:ascii="Times New Roman" w:hAnsi="Times New Roman"/>
        </w:rPr>
        <w:t xml:space="preserve"> calculated to interfere with the health or comfort of the victim (V)</w:t>
      </w:r>
      <w:r w:rsidR="005F2CFF">
        <w:rPr>
          <w:rFonts w:ascii="Times New Roman" w:hAnsi="Times New Roman"/>
        </w:rPr>
        <w:t>.</w:t>
      </w:r>
      <w:r w:rsidR="00EC56E7">
        <w:rPr>
          <w:rStyle w:val="FootnoteReference"/>
          <w:rFonts w:ascii="Times New Roman" w:hAnsi="Times New Roman"/>
        </w:rPr>
        <w:footnoteReference w:id="35"/>
      </w:r>
      <w:r w:rsidR="0042619F">
        <w:rPr>
          <w:rFonts w:ascii="Times New Roman" w:hAnsi="Times New Roman"/>
        </w:rPr>
        <w:t xml:space="preserve"> </w:t>
      </w:r>
      <w:r w:rsidR="005F2CFF">
        <w:rPr>
          <w:rFonts w:ascii="Times New Roman" w:hAnsi="Times New Roman"/>
        </w:rPr>
        <w:t>Such harm must be</w:t>
      </w:r>
      <w:r w:rsidR="0042619F">
        <w:rPr>
          <w:rFonts w:ascii="Times New Roman" w:hAnsi="Times New Roman"/>
        </w:rPr>
        <w:t xml:space="preserve"> </w:t>
      </w:r>
      <w:r w:rsidR="0042619F" w:rsidRPr="00607963">
        <w:rPr>
          <w:rFonts w:ascii="Times New Roman" w:hAnsi="Times New Roman"/>
        </w:rPr>
        <w:t>more</w:t>
      </w:r>
      <w:r w:rsidR="0042619F">
        <w:rPr>
          <w:rFonts w:ascii="Times New Roman" w:hAnsi="Times New Roman"/>
        </w:rPr>
        <w:t xml:space="preserve"> than </w:t>
      </w:r>
      <w:r w:rsidR="0072727E">
        <w:rPr>
          <w:rFonts w:ascii="Times New Roman" w:hAnsi="Times New Roman"/>
        </w:rPr>
        <w:t>“</w:t>
      </w:r>
      <w:r w:rsidR="0042619F">
        <w:rPr>
          <w:rFonts w:ascii="Times New Roman" w:hAnsi="Times New Roman"/>
        </w:rPr>
        <w:t xml:space="preserve">transient or </w:t>
      </w:r>
      <w:r w:rsidR="00D53D62">
        <w:rPr>
          <w:rFonts w:ascii="Times New Roman" w:hAnsi="Times New Roman"/>
        </w:rPr>
        <w:t>trifling</w:t>
      </w:r>
      <w:r w:rsidR="0042619F">
        <w:rPr>
          <w:rFonts w:ascii="Times New Roman" w:hAnsi="Times New Roman"/>
        </w:rPr>
        <w:t>.</w:t>
      </w:r>
      <w:r w:rsidR="0072727E">
        <w:rPr>
          <w:rFonts w:ascii="Times New Roman" w:hAnsi="Times New Roman"/>
        </w:rPr>
        <w:t>”</w:t>
      </w:r>
      <w:r w:rsidR="00EC56E7">
        <w:rPr>
          <w:rStyle w:val="FootnoteReference"/>
          <w:rFonts w:ascii="Times New Roman" w:hAnsi="Times New Roman"/>
        </w:rPr>
        <w:footnoteReference w:id="36"/>
      </w:r>
      <w:r w:rsidR="0042619F">
        <w:rPr>
          <w:rFonts w:ascii="Times New Roman" w:hAnsi="Times New Roman"/>
        </w:rPr>
        <w:t xml:space="preserve"> </w:t>
      </w:r>
      <w:r w:rsidR="00126236">
        <w:rPr>
          <w:rFonts w:ascii="Times New Roman" w:hAnsi="Times New Roman"/>
        </w:rPr>
        <w:t xml:space="preserve">This can </w:t>
      </w:r>
      <w:r w:rsidR="004C6F1A">
        <w:rPr>
          <w:rFonts w:ascii="Times New Roman" w:hAnsi="Times New Roman"/>
        </w:rPr>
        <w:t xml:space="preserve">include </w:t>
      </w:r>
      <w:r w:rsidR="00126236">
        <w:rPr>
          <w:rFonts w:ascii="Times New Roman" w:hAnsi="Times New Roman"/>
        </w:rPr>
        <w:t>minor</w:t>
      </w:r>
      <w:r w:rsidR="004C6F1A">
        <w:rPr>
          <w:rFonts w:ascii="Times New Roman" w:hAnsi="Times New Roman"/>
        </w:rPr>
        <w:t xml:space="preserve"> physical harm like the cutting of hair</w:t>
      </w:r>
      <w:r w:rsidR="004C6F1A">
        <w:rPr>
          <w:rStyle w:val="FootnoteReference"/>
          <w:rFonts w:ascii="Times New Roman" w:hAnsi="Times New Roman"/>
        </w:rPr>
        <w:footnoteReference w:id="37"/>
      </w:r>
      <w:r w:rsidR="004C6F1A">
        <w:rPr>
          <w:rFonts w:ascii="Times New Roman" w:hAnsi="Times New Roman"/>
        </w:rPr>
        <w:t xml:space="preserve"> or temporary </w:t>
      </w:r>
      <w:r w:rsidR="00957133">
        <w:rPr>
          <w:rFonts w:ascii="Times New Roman" w:hAnsi="Times New Roman"/>
        </w:rPr>
        <w:t>un</w:t>
      </w:r>
      <w:r w:rsidR="004C6F1A">
        <w:rPr>
          <w:rFonts w:ascii="Times New Roman" w:hAnsi="Times New Roman"/>
        </w:rPr>
        <w:t>consciousness.</w:t>
      </w:r>
      <w:r w:rsidR="004C6F1A">
        <w:rPr>
          <w:rStyle w:val="FootnoteReference"/>
          <w:rFonts w:ascii="Times New Roman" w:hAnsi="Times New Roman"/>
        </w:rPr>
        <w:footnoteReference w:id="38"/>
      </w:r>
      <w:r w:rsidR="004C6F1A">
        <w:rPr>
          <w:rFonts w:ascii="Times New Roman" w:hAnsi="Times New Roman"/>
        </w:rPr>
        <w:t xml:space="preserve"> </w:t>
      </w:r>
      <w:r w:rsidR="0087778B">
        <w:rPr>
          <w:rFonts w:ascii="Times New Roman" w:hAnsi="Times New Roman"/>
        </w:rPr>
        <w:t>Significantly, a</w:t>
      </w:r>
      <w:r w:rsidR="009A7C9A">
        <w:rPr>
          <w:rFonts w:ascii="Times New Roman" w:hAnsi="Times New Roman"/>
        </w:rPr>
        <w:t xml:space="preserve"> </w:t>
      </w:r>
      <w:r w:rsidR="009A7C9A">
        <w:rPr>
          <w:rFonts w:ascii="Times New Roman" w:hAnsi="Times New Roman"/>
        </w:rPr>
        <w:lastRenderedPageBreak/>
        <w:t xml:space="preserve">wound </w:t>
      </w:r>
      <w:r w:rsidR="006356FF">
        <w:rPr>
          <w:rFonts w:ascii="Times New Roman" w:hAnsi="Times New Roman"/>
        </w:rPr>
        <w:t>“</w:t>
      </w:r>
      <w:r w:rsidR="0087778B">
        <w:rPr>
          <w:rFonts w:ascii="Times New Roman" w:hAnsi="Times New Roman"/>
        </w:rPr>
        <w:t>that does not amount to really serious injury</w:t>
      </w:r>
      <w:r w:rsidR="006356FF">
        <w:rPr>
          <w:rFonts w:ascii="Times New Roman" w:hAnsi="Times New Roman"/>
        </w:rPr>
        <w:t>”</w:t>
      </w:r>
      <w:r w:rsidR="0087778B">
        <w:rPr>
          <w:rFonts w:ascii="Times New Roman" w:hAnsi="Times New Roman"/>
        </w:rPr>
        <w:t xml:space="preserve"> may </w:t>
      </w:r>
      <w:r w:rsidR="00D903AC">
        <w:rPr>
          <w:rFonts w:ascii="Times New Roman" w:hAnsi="Times New Roman"/>
        </w:rPr>
        <w:t>be charged as ABH,</w:t>
      </w:r>
      <w:r w:rsidR="0087778B">
        <w:rPr>
          <w:rStyle w:val="FootnoteReference"/>
          <w:rFonts w:ascii="Times New Roman" w:hAnsi="Times New Roman"/>
        </w:rPr>
        <w:footnoteReference w:id="39"/>
      </w:r>
      <w:r w:rsidR="00D903AC">
        <w:rPr>
          <w:rFonts w:ascii="Times New Roman" w:hAnsi="Times New Roman"/>
        </w:rPr>
        <w:t xml:space="preserve"> even though it still </w:t>
      </w:r>
      <w:r w:rsidR="0087778B">
        <w:rPr>
          <w:rFonts w:ascii="Times New Roman" w:hAnsi="Times New Roman"/>
        </w:rPr>
        <w:t xml:space="preserve">satisfies the definition of </w:t>
      </w:r>
      <w:r w:rsidR="00D903AC">
        <w:rPr>
          <w:rFonts w:ascii="Times New Roman" w:hAnsi="Times New Roman"/>
        </w:rPr>
        <w:t xml:space="preserve">a wound. </w:t>
      </w:r>
      <w:r w:rsidR="00750BFB">
        <w:rPr>
          <w:rFonts w:ascii="Times New Roman" w:hAnsi="Times New Roman"/>
        </w:rPr>
        <w:t>Similarly,</w:t>
      </w:r>
      <w:r w:rsidR="00EE60CA">
        <w:rPr>
          <w:rFonts w:ascii="Times New Roman" w:hAnsi="Times New Roman"/>
        </w:rPr>
        <w:t xml:space="preserve"> </w:t>
      </w:r>
      <w:r w:rsidR="005306EE">
        <w:rPr>
          <w:rFonts w:ascii="Times New Roman" w:hAnsi="Times New Roman"/>
        </w:rPr>
        <w:t>“</w:t>
      </w:r>
      <w:r w:rsidR="00522FA1">
        <w:rPr>
          <w:rFonts w:ascii="Times New Roman" w:hAnsi="Times New Roman"/>
        </w:rPr>
        <w:t>serious</w:t>
      </w:r>
      <w:r w:rsidR="005306EE">
        <w:rPr>
          <w:rFonts w:ascii="Times New Roman" w:hAnsi="Times New Roman"/>
        </w:rPr>
        <w:t>”</w:t>
      </w:r>
      <w:r w:rsidR="00522FA1">
        <w:rPr>
          <w:rFonts w:ascii="Times New Roman" w:hAnsi="Times New Roman"/>
        </w:rPr>
        <w:t xml:space="preserve"> injuries </w:t>
      </w:r>
      <w:r w:rsidR="00C065F3">
        <w:rPr>
          <w:rFonts w:ascii="Times New Roman" w:hAnsi="Times New Roman"/>
        </w:rPr>
        <w:t>will</w:t>
      </w:r>
      <w:r w:rsidR="00522FA1">
        <w:rPr>
          <w:rFonts w:ascii="Times New Roman" w:hAnsi="Times New Roman"/>
        </w:rPr>
        <w:t xml:space="preserve"> be charged as </w:t>
      </w:r>
      <w:r w:rsidR="00EE60CA">
        <w:rPr>
          <w:rFonts w:ascii="Times New Roman" w:hAnsi="Times New Roman"/>
        </w:rPr>
        <w:t>ABH</w:t>
      </w:r>
      <w:r w:rsidR="00B9124C">
        <w:rPr>
          <w:rFonts w:ascii="Times New Roman" w:hAnsi="Times New Roman"/>
        </w:rPr>
        <w:t xml:space="preserve"> where they do not attain the </w:t>
      </w:r>
      <w:r w:rsidR="005306EE">
        <w:rPr>
          <w:rFonts w:ascii="Times New Roman" w:hAnsi="Times New Roman"/>
        </w:rPr>
        <w:t>“</w:t>
      </w:r>
      <w:r w:rsidR="00C065F3" w:rsidRPr="00C065F3">
        <w:rPr>
          <w:rFonts w:ascii="Times New Roman" w:hAnsi="Times New Roman"/>
        </w:rPr>
        <w:t xml:space="preserve">exceptional </w:t>
      </w:r>
      <w:r w:rsidR="00B9124C" w:rsidRPr="00C065F3">
        <w:rPr>
          <w:rFonts w:ascii="Times New Roman" w:hAnsi="Times New Roman"/>
        </w:rPr>
        <w:t>gravity</w:t>
      </w:r>
      <w:r w:rsidR="005306EE">
        <w:rPr>
          <w:rFonts w:ascii="Times New Roman" w:hAnsi="Times New Roman"/>
        </w:rPr>
        <w:t>”</w:t>
      </w:r>
      <w:r w:rsidR="005C5385">
        <w:rPr>
          <w:rFonts w:ascii="Times New Roman" w:hAnsi="Times New Roman"/>
        </w:rPr>
        <w:t xml:space="preserve"> </w:t>
      </w:r>
      <w:r w:rsidR="00B9124C">
        <w:rPr>
          <w:rFonts w:ascii="Times New Roman" w:hAnsi="Times New Roman"/>
        </w:rPr>
        <w:t xml:space="preserve">of </w:t>
      </w:r>
      <w:r w:rsidR="005C5385">
        <w:rPr>
          <w:rFonts w:ascii="Times New Roman" w:hAnsi="Times New Roman"/>
        </w:rPr>
        <w:t>GBH.</w:t>
      </w:r>
      <w:r w:rsidR="00B9124C" w:rsidRPr="00B9124C">
        <w:rPr>
          <w:rStyle w:val="FootnoteReference"/>
          <w:rFonts w:ascii="Times New Roman" w:hAnsi="Times New Roman"/>
        </w:rPr>
        <w:t xml:space="preserve"> </w:t>
      </w:r>
      <w:r w:rsidR="00B9124C">
        <w:rPr>
          <w:rStyle w:val="FootnoteReference"/>
          <w:rFonts w:ascii="Times New Roman" w:hAnsi="Times New Roman"/>
        </w:rPr>
        <w:footnoteReference w:id="40"/>
      </w:r>
      <w:r w:rsidR="005C5385">
        <w:rPr>
          <w:rFonts w:ascii="Times New Roman" w:hAnsi="Times New Roman"/>
        </w:rPr>
        <w:t xml:space="preserve"> </w:t>
      </w:r>
      <w:r w:rsidR="00C065F3">
        <w:rPr>
          <w:rFonts w:ascii="Times New Roman" w:hAnsi="Times New Roman"/>
        </w:rPr>
        <w:t>The</w:t>
      </w:r>
      <w:r w:rsidR="00BB1BCF">
        <w:rPr>
          <w:rFonts w:ascii="Times New Roman" w:hAnsi="Times New Roman"/>
        </w:rPr>
        <w:t xml:space="preserve"> </w:t>
      </w:r>
      <w:r w:rsidR="005306EE">
        <w:rPr>
          <w:rFonts w:ascii="Times New Roman" w:hAnsi="Times New Roman"/>
        </w:rPr>
        <w:t>practic</w:t>
      </w:r>
      <w:r w:rsidR="00C065F3">
        <w:rPr>
          <w:rFonts w:ascii="Times New Roman" w:hAnsi="Times New Roman"/>
        </w:rPr>
        <w:t>e of charging</w:t>
      </w:r>
      <w:r w:rsidR="00BB1BCF">
        <w:rPr>
          <w:rFonts w:ascii="Times New Roman" w:hAnsi="Times New Roman"/>
        </w:rPr>
        <w:t xml:space="preserve"> </w:t>
      </w:r>
      <w:r w:rsidR="00C32447">
        <w:rPr>
          <w:rFonts w:ascii="Times New Roman" w:hAnsi="Times New Roman"/>
        </w:rPr>
        <w:t xml:space="preserve">some </w:t>
      </w:r>
      <w:r w:rsidR="00330880">
        <w:rPr>
          <w:rFonts w:ascii="Times New Roman" w:hAnsi="Times New Roman"/>
        </w:rPr>
        <w:t xml:space="preserve">wounds and serious </w:t>
      </w:r>
      <w:r w:rsidR="00197EE4">
        <w:rPr>
          <w:rFonts w:ascii="Times New Roman" w:hAnsi="Times New Roman"/>
        </w:rPr>
        <w:t>harm</w:t>
      </w:r>
      <w:r w:rsidR="00161D1E">
        <w:rPr>
          <w:rFonts w:ascii="Times New Roman" w:hAnsi="Times New Roman"/>
        </w:rPr>
        <w:t>s</w:t>
      </w:r>
      <w:r w:rsidR="00330880">
        <w:rPr>
          <w:rFonts w:ascii="Times New Roman" w:hAnsi="Times New Roman"/>
        </w:rPr>
        <w:t xml:space="preserve"> </w:t>
      </w:r>
      <w:r w:rsidR="00C065F3">
        <w:rPr>
          <w:rFonts w:ascii="Times New Roman" w:hAnsi="Times New Roman"/>
        </w:rPr>
        <w:t>under</w:t>
      </w:r>
      <w:r w:rsidR="00330880">
        <w:rPr>
          <w:rFonts w:ascii="Times New Roman" w:hAnsi="Times New Roman"/>
        </w:rPr>
        <w:t xml:space="preserve"> </w:t>
      </w:r>
      <w:r w:rsidR="0087778B">
        <w:rPr>
          <w:rFonts w:ascii="Times New Roman" w:hAnsi="Times New Roman"/>
        </w:rPr>
        <w:t>s.47</w:t>
      </w:r>
      <w:r w:rsidR="00330880">
        <w:rPr>
          <w:rFonts w:ascii="Times New Roman" w:hAnsi="Times New Roman"/>
        </w:rPr>
        <w:t xml:space="preserve"> </w:t>
      </w:r>
      <w:r w:rsidR="00E554A6">
        <w:rPr>
          <w:rFonts w:ascii="Times New Roman" w:hAnsi="Times New Roman"/>
        </w:rPr>
        <w:t xml:space="preserve">(instead of under the </w:t>
      </w:r>
      <w:r w:rsidR="00E554A6" w:rsidRPr="0088297D">
        <w:rPr>
          <w:rFonts w:ascii="Times New Roman" w:hAnsi="Times New Roman"/>
        </w:rPr>
        <w:t>actus rei</w:t>
      </w:r>
      <w:r w:rsidR="00183A29">
        <w:rPr>
          <w:rFonts w:ascii="Times New Roman" w:hAnsi="Times New Roman"/>
        </w:rPr>
        <w:t xml:space="preserve"> of ss.</w:t>
      </w:r>
      <w:r w:rsidR="00E554A6">
        <w:rPr>
          <w:rFonts w:ascii="Times New Roman" w:hAnsi="Times New Roman"/>
        </w:rPr>
        <w:t xml:space="preserve">18 and 20) </w:t>
      </w:r>
      <w:r w:rsidR="00490E38">
        <w:rPr>
          <w:rFonts w:ascii="Times New Roman" w:hAnsi="Times New Roman"/>
        </w:rPr>
        <w:t>reflects</w:t>
      </w:r>
      <w:r w:rsidR="00D50D6F">
        <w:rPr>
          <w:rFonts w:ascii="Times New Roman" w:hAnsi="Times New Roman"/>
        </w:rPr>
        <w:t xml:space="preserve"> a pragmatic</w:t>
      </w:r>
      <w:r w:rsidR="0036484B">
        <w:rPr>
          <w:rFonts w:ascii="Times New Roman" w:hAnsi="Times New Roman"/>
        </w:rPr>
        <w:t xml:space="preserve"> need to capture </w:t>
      </w:r>
      <w:r w:rsidR="004D462A">
        <w:rPr>
          <w:rFonts w:ascii="Times New Roman" w:hAnsi="Times New Roman"/>
        </w:rPr>
        <w:t xml:space="preserve">the </w:t>
      </w:r>
      <w:r w:rsidR="00D01E23">
        <w:rPr>
          <w:rFonts w:ascii="Times New Roman" w:hAnsi="Times New Roman"/>
        </w:rPr>
        <w:t>relevant injury</w:t>
      </w:r>
      <w:r w:rsidR="004D462A">
        <w:rPr>
          <w:rFonts w:ascii="Times New Roman" w:hAnsi="Times New Roman"/>
        </w:rPr>
        <w:t xml:space="preserve"> </w:t>
      </w:r>
      <w:r w:rsidR="008D6743">
        <w:rPr>
          <w:rFonts w:ascii="Times New Roman" w:hAnsi="Times New Roman"/>
        </w:rPr>
        <w:t>under the</w:t>
      </w:r>
      <w:r w:rsidR="004D462A">
        <w:rPr>
          <w:rFonts w:ascii="Times New Roman" w:hAnsi="Times New Roman"/>
        </w:rPr>
        <w:t xml:space="preserve"> most</w:t>
      </w:r>
      <w:r w:rsidR="008D6743">
        <w:rPr>
          <w:rFonts w:ascii="Times New Roman" w:hAnsi="Times New Roman"/>
        </w:rPr>
        <w:t xml:space="preserve"> appropriate</w:t>
      </w:r>
      <w:r w:rsidR="00913225">
        <w:rPr>
          <w:rFonts w:ascii="Times New Roman" w:hAnsi="Times New Roman"/>
        </w:rPr>
        <w:t xml:space="preserve"> </w:t>
      </w:r>
      <w:r w:rsidR="008D6743">
        <w:rPr>
          <w:rFonts w:ascii="Times New Roman" w:hAnsi="Times New Roman"/>
        </w:rPr>
        <w:t>offence.</w:t>
      </w:r>
      <w:r w:rsidR="0007298B">
        <w:rPr>
          <w:rStyle w:val="FootnoteReference"/>
          <w:rFonts w:ascii="Times New Roman" w:hAnsi="Times New Roman"/>
        </w:rPr>
        <w:footnoteReference w:id="41"/>
      </w:r>
      <w:r w:rsidR="0001252C">
        <w:rPr>
          <w:rFonts w:ascii="Times New Roman" w:hAnsi="Times New Roman"/>
        </w:rPr>
        <w:t xml:space="preserve"> </w:t>
      </w:r>
      <w:r w:rsidR="00D01E23">
        <w:rPr>
          <w:rFonts w:ascii="Times New Roman" w:hAnsi="Times New Roman"/>
        </w:rPr>
        <w:t>This</w:t>
      </w:r>
      <w:r w:rsidR="00C977B1">
        <w:rPr>
          <w:rFonts w:ascii="Times New Roman" w:hAnsi="Times New Roman"/>
        </w:rPr>
        <w:t xml:space="preserve"> is a matter of </w:t>
      </w:r>
      <w:r w:rsidR="0028359F">
        <w:rPr>
          <w:rFonts w:ascii="Times New Roman" w:hAnsi="Times New Roman"/>
        </w:rPr>
        <w:t>fair labelling</w:t>
      </w:r>
      <w:r w:rsidR="007B6CAE">
        <w:rPr>
          <w:rFonts w:ascii="Times New Roman" w:hAnsi="Times New Roman"/>
        </w:rPr>
        <w:t xml:space="preserve"> –</w:t>
      </w:r>
      <w:r w:rsidR="006F6C62">
        <w:rPr>
          <w:rFonts w:ascii="Times New Roman" w:hAnsi="Times New Roman"/>
        </w:rPr>
        <w:t xml:space="preserve"> </w:t>
      </w:r>
      <w:r w:rsidR="0028359F">
        <w:rPr>
          <w:rFonts w:ascii="Times New Roman" w:hAnsi="Times New Roman"/>
        </w:rPr>
        <w:t>conviction</w:t>
      </w:r>
      <w:r w:rsidR="006F6C62">
        <w:rPr>
          <w:rFonts w:ascii="Times New Roman" w:hAnsi="Times New Roman"/>
        </w:rPr>
        <w:t>s</w:t>
      </w:r>
      <w:r w:rsidR="007B6CAE">
        <w:rPr>
          <w:rFonts w:ascii="Times New Roman" w:hAnsi="Times New Roman"/>
        </w:rPr>
        <w:t xml:space="preserve"> </w:t>
      </w:r>
      <w:r w:rsidR="00010366">
        <w:rPr>
          <w:rFonts w:ascii="Times New Roman" w:hAnsi="Times New Roman"/>
        </w:rPr>
        <w:t xml:space="preserve">must </w:t>
      </w:r>
      <w:r w:rsidR="006F6C62">
        <w:rPr>
          <w:rFonts w:ascii="Times New Roman" w:hAnsi="Times New Roman"/>
        </w:rPr>
        <w:t xml:space="preserve">only </w:t>
      </w:r>
      <w:r w:rsidR="007B6CAE">
        <w:rPr>
          <w:rFonts w:ascii="Times New Roman" w:hAnsi="Times New Roman"/>
        </w:rPr>
        <w:t xml:space="preserve">stigmatise and condemn </w:t>
      </w:r>
      <w:r w:rsidR="00A3324E">
        <w:rPr>
          <w:rFonts w:ascii="Times New Roman" w:hAnsi="Times New Roman"/>
        </w:rPr>
        <w:t xml:space="preserve">in proportion to </w:t>
      </w:r>
      <w:r w:rsidR="00547790">
        <w:rPr>
          <w:rFonts w:ascii="Times New Roman" w:hAnsi="Times New Roman"/>
        </w:rPr>
        <w:t>wrongdoing.</w:t>
      </w:r>
      <w:r w:rsidR="00A3324E">
        <w:rPr>
          <w:rFonts w:ascii="Times New Roman" w:hAnsi="Times New Roman"/>
        </w:rPr>
        <w:t xml:space="preserve"> </w:t>
      </w:r>
      <w:r w:rsidR="0062287E">
        <w:rPr>
          <w:rFonts w:ascii="Times New Roman" w:hAnsi="Times New Roman"/>
        </w:rPr>
        <w:t>W</w:t>
      </w:r>
      <w:r w:rsidR="00183A29">
        <w:rPr>
          <w:rFonts w:ascii="Times New Roman" w:hAnsi="Times New Roman"/>
        </w:rPr>
        <w:t>here s.18 or s.</w:t>
      </w:r>
      <w:r w:rsidR="00D50D6F">
        <w:rPr>
          <w:rFonts w:ascii="Times New Roman" w:hAnsi="Times New Roman"/>
        </w:rPr>
        <w:t xml:space="preserve">20 </w:t>
      </w:r>
      <w:r w:rsidR="00BC5194" w:rsidRPr="00DF752C">
        <w:rPr>
          <w:rFonts w:ascii="Times New Roman" w:hAnsi="Times New Roman"/>
        </w:rPr>
        <w:t>is</w:t>
      </w:r>
      <w:r w:rsidR="00D50D6F">
        <w:rPr>
          <w:rFonts w:ascii="Times New Roman" w:hAnsi="Times New Roman"/>
        </w:rPr>
        <w:t xml:space="preserve"> charged</w:t>
      </w:r>
      <w:r w:rsidR="0062287E">
        <w:rPr>
          <w:rFonts w:ascii="Times New Roman" w:hAnsi="Times New Roman"/>
        </w:rPr>
        <w:t>,</w:t>
      </w:r>
      <w:r w:rsidR="00D50D6F">
        <w:rPr>
          <w:rFonts w:ascii="Times New Roman" w:hAnsi="Times New Roman"/>
        </w:rPr>
        <w:t xml:space="preserve"> it remains open to a jury to convict </w:t>
      </w:r>
      <w:r w:rsidR="00934556">
        <w:rPr>
          <w:rFonts w:ascii="Times New Roman" w:hAnsi="Times New Roman"/>
        </w:rPr>
        <w:t>under</w:t>
      </w:r>
      <w:r w:rsidR="00D50D6F">
        <w:rPr>
          <w:rFonts w:ascii="Times New Roman" w:hAnsi="Times New Roman"/>
        </w:rPr>
        <w:t xml:space="preserve"> s.47,</w:t>
      </w:r>
      <w:r w:rsidR="00D50D6F">
        <w:rPr>
          <w:rStyle w:val="FootnoteReference"/>
          <w:rFonts w:ascii="Times New Roman" w:hAnsi="Times New Roman"/>
        </w:rPr>
        <w:footnoteReference w:id="42"/>
      </w:r>
      <w:r w:rsidR="00D50D6F">
        <w:rPr>
          <w:rFonts w:ascii="Times New Roman" w:hAnsi="Times New Roman"/>
        </w:rPr>
        <w:t xml:space="preserve"> even </w:t>
      </w:r>
      <w:r w:rsidR="00197EE4">
        <w:rPr>
          <w:rFonts w:ascii="Times New Roman" w:hAnsi="Times New Roman"/>
        </w:rPr>
        <w:t>if this offence</w:t>
      </w:r>
      <w:r w:rsidR="00D50D6F">
        <w:rPr>
          <w:rFonts w:ascii="Times New Roman" w:hAnsi="Times New Roman"/>
        </w:rPr>
        <w:t xml:space="preserve"> is not included on the indictment.</w:t>
      </w:r>
      <w:r w:rsidR="0086231E">
        <w:rPr>
          <w:rStyle w:val="FootnoteReference"/>
          <w:rFonts w:ascii="Times New Roman" w:hAnsi="Times New Roman"/>
        </w:rPr>
        <w:footnoteReference w:id="43"/>
      </w:r>
      <w:r w:rsidR="00D50D6F">
        <w:rPr>
          <w:rFonts w:ascii="Times New Roman" w:hAnsi="Times New Roman"/>
        </w:rPr>
        <w:t xml:space="preserve"> </w:t>
      </w:r>
      <w:r w:rsidR="00E554A6">
        <w:rPr>
          <w:rFonts w:ascii="Times New Roman" w:hAnsi="Times New Roman"/>
        </w:rPr>
        <w:t xml:space="preserve">Inevitably, whether by selective </w:t>
      </w:r>
      <w:r w:rsidR="00330880">
        <w:rPr>
          <w:rFonts w:ascii="Times New Roman" w:hAnsi="Times New Roman"/>
        </w:rPr>
        <w:t>charging or alternat</w:t>
      </w:r>
      <w:r w:rsidR="00197EE4">
        <w:rPr>
          <w:rFonts w:ascii="Times New Roman" w:hAnsi="Times New Roman"/>
        </w:rPr>
        <w:t>ive jury verdicts, the practice</w:t>
      </w:r>
      <w:r w:rsidR="00330880">
        <w:rPr>
          <w:rFonts w:ascii="Times New Roman" w:hAnsi="Times New Roman"/>
        </w:rPr>
        <w:t xml:space="preserve"> of </w:t>
      </w:r>
      <w:r w:rsidR="00913225">
        <w:rPr>
          <w:rFonts w:ascii="Times New Roman" w:hAnsi="Times New Roman"/>
        </w:rPr>
        <w:t>categorising</w:t>
      </w:r>
      <w:r w:rsidR="00330880">
        <w:rPr>
          <w:rFonts w:ascii="Times New Roman" w:hAnsi="Times New Roman"/>
        </w:rPr>
        <w:t xml:space="preserve"> wounds and serious injuries </w:t>
      </w:r>
      <w:r w:rsidR="00913225">
        <w:rPr>
          <w:rFonts w:ascii="Times New Roman" w:hAnsi="Times New Roman"/>
        </w:rPr>
        <w:t>as</w:t>
      </w:r>
      <w:r w:rsidR="00330880">
        <w:rPr>
          <w:rFonts w:ascii="Times New Roman" w:hAnsi="Times New Roman"/>
        </w:rPr>
        <w:t xml:space="preserve"> ABH </w:t>
      </w:r>
      <w:r w:rsidR="00197EE4">
        <w:rPr>
          <w:rFonts w:ascii="Times New Roman" w:hAnsi="Times New Roman"/>
        </w:rPr>
        <w:t>demonstrates</w:t>
      </w:r>
      <w:r w:rsidR="00330880">
        <w:rPr>
          <w:rFonts w:ascii="Times New Roman" w:hAnsi="Times New Roman"/>
        </w:rPr>
        <w:t xml:space="preserve"> a </w:t>
      </w:r>
      <w:r w:rsidR="00183A29">
        <w:rPr>
          <w:rFonts w:ascii="Times New Roman" w:hAnsi="Times New Roman"/>
        </w:rPr>
        <w:t>defect</w:t>
      </w:r>
      <w:r w:rsidR="00330880">
        <w:rPr>
          <w:rFonts w:ascii="Times New Roman" w:hAnsi="Times New Roman"/>
        </w:rPr>
        <w:t xml:space="preserve"> in the OAPA’s </w:t>
      </w:r>
      <w:r w:rsidR="00E554A6">
        <w:rPr>
          <w:rFonts w:ascii="Times New Roman" w:hAnsi="Times New Roman"/>
        </w:rPr>
        <w:t>ladder</w:t>
      </w:r>
      <w:r w:rsidR="0087778B">
        <w:rPr>
          <w:rFonts w:ascii="Times New Roman" w:hAnsi="Times New Roman"/>
        </w:rPr>
        <w:t xml:space="preserve"> of offences: i</w:t>
      </w:r>
      <w:r w:rsidR="00CD4E68">
        <w:rPr>
          <w:rFonts w:ascii="Times New Roman" w:hAnsi="Times New Roman"/>
        </w:rPr>
        <w:t>t reveals a blurring of t</w:t>
      </w:r>
      <w:r w:rsidR="00183A29">
        <w:rPr>
          <w:rFonts w:ascii="Times New Roman" w:hAnsi="Times New Roman"/>
        </w:rPr>
        <w:t>he harms proscribed in ss.</w:t>
      </w:r>
      <w:r w:rsidR="00D12E69">
        <w:rPr>
          <w:rFonts w:ascii="Times New Roman" w:hAnsi="Times New Roman"/>
        </w:rPr>
        <w:t>18, 20 and</w:t>
      </w:r>
      <w:r w:rsidR="00CD4E68">
        <w:rPr>
          <w:rFonts w:ascii="Times New Roman" w:hAnsi="Times New Roman"/>
        </w:rPr>
        <w:t xml:space="preserve"> 47</w:t>
      </w:r>
      <w:r w:rsidR="00D12E69">
        <w:rPr>
          <w:rFonts w:ascii="Times New Roman" w:hAnsi="Times New Roman"/>
        </w:rPr>
        <w:t>.</w:t>
      </w:r>
      <w:r w:rsidR="00330880">
        <w:rPr>
          <w:rFonts w:ascii="Times New Roman" w:hAnsi="Times New Roman"/>
        </w:rPr>
        <w:t xml:space="preserve"> </w:t>
      </w:r>
      <w:r w:rsidR="0072727E">
        <w:rPr>
          <w:rFonts w:ascii="Times New Roman" w:hAnsi="Times New Roman"/>
        </w:rPr>
        <w:t xml:space="preserve">This suggests a </w:t>
      </w:r>
      <w:r w:rsidR="00173D9C">
        <w:rPr>
          <w:rFonts w:ascii="Times New Roman" w:hAnsi="Times New Roman"/>
        </w:rPr>
        <w:t xml:space="preserve">fair </w:t>
      </w:r>
      <w:r w:rsidR="007B6CAE">
        <w:rPr>
          <w:rFonts w:ascii="Times New Roman" w:hAnsi="Times New Roman"/>
        </w:rPr>
        <w:t>warning problem: a</w:t>
      </w:r>
      <w:r w:rsidR="000E298F">
        <w:rPr>
          <w:rFonts w:ascii="Times New Roman" w:hAnsi="Times New Roman"/>
        </w:rPr>
        <w:t>rguably,</w:t>
      </w:r>
      <w:r w:rsidR="008D6744">
        <w:rPr>
          <w:rFonts w:ascii="Times New Roman" w:hAnsi="Times New Roman"/>
        </w:rPr>
        <w:t xml:space="preserve"> ss.18, 20 and 47</w:t>
      </w:r>
      <w:r w:rsidR="000E298F">
        <w:rPr>
          <w:rFonts w:ascii="Times New Roman" w:hAnsi="Times New Roman"/>
        </w:rPr>
        <w:t xml:space="preserve"> do not</w:t>
      </w:r>
      <w:r w:rsidR="008D6744">
        <w:rPr>
          <w:rFonts w:ascii="Times New Roman" w:hAnsi="Times New Roman"/>
        </w:rPr>
        <w:t xml:space="preserve"> clearly convey </w:t>
      </w:r>
      <w:r w:rsidR="00607963">
        <w:rPr>
          <w:rFonts w:ascii="Times New Roman" w:hAnsi="Times New Roman"/>
        </w:rPr>
        <w:t xml:space="preserve">in advance </w:t>
      </w:r>
      <w:r w:rsidR="008D6744">
        <w:rPr>
          <w:rFonts w:ascii="Times New Roman" w:hAnsi="Times New Roman"/>
        </w:rPr>
        <w:t>to citizens</w:t>
      </w:r>
      <w:r w:rsidR="00610A73">
        <w:rPr>
          <w:rFonts w:ascii="Times New Roman" w:hAnsi="Times New Roman"/>
        </w:rPr>
        <w:t xml:space="preserve"> </w:t>
      </w:r>
      <w:r w:rsidR="008D6744" w:rsidRPr="008D6744">
        <w:rPr>
          <w:rFonts w:ascii="Times New Roman" w:hAnsi="Times New Roman"/>
          <w:i/>
        </w:rPr>
        <w:t>how</w:t>
      </w:r>
      <w:r w:rsidR="008D6744">
        <w:rPr>
          <w:rFonts w:ascii="Times New Roman" w:hAnsi="Times New Roman"/>
        </w:rPr>
        <w:t xml:space="preserve"> their conduct will be censured </w:t>
      </w:r>
      <w:r w:rsidR="000E298F" w:rsidRPr="000E298F">
        <w:rPr>
          <w:rFonts w:ascii="Times New Roman" w:hAnsi="Times New Roman"/>
        </w:rPr>
        <w:t>if</w:t>
      </w:r>
      <w:r w:rsidR="000E298F">
        <w:rPr>
          <w:rFonts w:ascii="Times New Roman" w:hAnsi="Times New Roman"/>
        </w:rPr>
        <w:t xml:space="preserve"> they break</w:t>
      </w:r>
      <w:r w:rsidR="008D6744">
        <w:rPr>
          <w:rFonts w:ascii="Times New Roman" w:hAnsi="Times New Roman"/>
        </w:rPr>
        <w:t xml:space="preserve"> the law</w:t>
      </w:r>
      <w:r w:rsidR="000C230A">
        <w:rPr>
          <w:rFonts w:ascii="Times New Roman" w:hAnsi="Times New Roman"/>
        </w:rPr>
        <w:t>.</w:t>
      </w:r>
      <w:r w:rsidR="00B7661E">
        <w:rPr>
          <w:rFonts w:ascii="Times New Roman" w:hAnsi="Times New Roman"/>
        </w:rPr>
        <w:t xml:space="preserve"> </w:t>
      </w:r>
    </w:p>
    <w:p w:rsidR="00F07ACE" w:rsidRDefault="00F07ACE" w:rsidP="00C0697C">
      <w:pPr>
        <w:autoSpaceDE w:val="0"/>
        <w:autoSpaceDN w:val="0"/>
        <w:adjustRightInd w:val="0"/>
        <w:spacing w:line="480" w:lineRule="auto"/>
        <w:jc w:val="both"/>
        <w:rPr>
          <w:rFonts w:ascii="Times New Roman" w:hAnsi="Times New Roman"/>
        </w:rPr>
      </w:pPr>
    </w:p>
    <w:p w:rsidR="00CE0013" w:rsidRDefault="0066167E" w:rsidP="00C0697C">
      <w:pPr>
        <w:autoSpaceDE w:val="0"/>
        <w:autoSpaceDN w:val="0"/>
        <w:adjustRightInd w:val="0"/>
        <w:spacing w:line="480" w:lineRule="auto"/>
        <w:jc w:val="both"/>
        <w:rPr>
          <w:rFonts w:ascii="Times New Roman" w:hAnsi="Times New Roman"/>
        </w:rPr>
      </w:pPr>
      <w:r>
        <w:rPr>
          <w:rFonts w:ascii="Times New Roman" w:hAnsi="Times New Roman"/>
        </w:rPr>
        <w:t>Aside from</w:t>
      </w:r>
      <w:r w:rsidR="00723759">
        <w:rPr>
          <w:rFonts w:ascii="Times New Roman" w:hAnsi="Times New Roman"/>
        </w:rPr>
        <w:t xml:space="preserve"> </w:t>
      </w:r>
      <w:r>
        <w:rPr>
          <w:rFonts w:ascii="Times New Roman" w:hAnsi="Times New Roman"/>
        </w:rPr>
        <w:t xml:space="preserve">overlap, </w:t>
      </w:r>
      <w:r w:rsidR="00183A29">
        <w:rPr>
          <w:rFonts w:ascii="Times New Roman" w:hAnsi="Times New Roman"/>
        </w:rPr>
        <w:t>a further</w:t>
      </w:r>
      <w:r w:rsidR="00365B31">
        <w:rPr>
          <w:rFonts w:ascii="Times New Roman" w:hAnsi="Times New Roman"/>
        </w:rPr>
        <w:t xml:space="preserve"> </w:t>
      </w:r>
      <w:r w:rsidR="006D44B5">
        <w:rPr>
          <w:rFonts w:ascii="Times New Roman" w:hAnsi="Times New Roman"/>
        </w:rPr>
        <w:t>difficulty</w:t>
      </w:r>
      <w:r w:rsidR="00B527B1">
        <w:rPr>
          <w:rFonts w:ascii="Times New Roman" w:hAnsi="Times New Roman"/>
        </w:rPr>
        <w:t xml:space="preserve"> </w:t>
      </w:r>
      <w:r w:rsidR="00723759">
        <w:rPr>
          <w:rFonts w:ascii="Times New Roman" w:hAnsi="Times New Roman"/>
        </w:rPr>
        <w:t>emerges</w:t>
      </w:r>
      <w:r w:rsidR="00723759" w:rsidRPr="00723759">
        <w:rPr>
          <w:rFonts w:ascii="Times New Roman" w:hAnsi="Times New Roman"/>
          <w:i/>
        </w:rPr>
        <w:t xml:space="preserve"> </w:t>
      </w:r>
      <w:r w:rsidR="00723759" w:rsidRPr="00365B31">
        <w:rPr>
          <w:rFonts w:ascii="Times New Roman" w:hAnsi="Times New Roman"/>
        </w:rPr>
        <w:t>across</w:t>
      </w:r>
      <w:r w:rsidR="00723759">
        <w:rPr>
          <w:rFonts w:ascii="Times New Roman" w:hAnsi="Times New Roman"/>
        </w:rPr>
        <w:t xml:space="preserve"> </w:t>
      </w:r>
      <w:r w:rsidR="00173D9C">
        <w:rPr>
          <w:rFonts w:ascii="Times New Roman" w:hAnsi="Times New Roman"/>
        </w:rPr>
        <w:t xml:space="preserve">these three </w:t>
      </w:r>
      <w:r w:rsidR="00FE2CED">
        <w:rPr>
          <w:rFonts w:ascii="Times New Roman" w:hAnsi="Times New Roman"/>
        </w:rPr>
        <w:t>offences</w:t>
      </w:r>
      <w:r w:rsidR="00B527B1">
        <w:rPr>
          <w:rFonts w:ascii="Times New Roman" w:hAnsi="Times New Roman"/>
        </w:rPr>
        <w:t xml:space="preserve">. </w:t>
      </w:r>
      <w:r w:rsidR="00DC3101">
        <w:rPr>
          <w:rFonts w:ascii="Times New Roman" w:hAnsi="Times New Roman"/>
        </w:rPr>
        <w:t xml:space="preserve">This concerns </w:t>
      </w:r>
      <w:r w:rsidR="0006437C">
        <w:rPr>
          <w:rFonts w:ascii="Times New Roman" w:hAnsi="Times New Roman"/>
        </w:rPr>
        <w:t xml:space="preserve">the </w:t>
      </w:r>
      <w:r w:rsidR="00F43537">
        <w:rPr>
          <w:rFonts w:ascii="Times New Roman" w:hAnsi="Times New Roman"/>
        </w:rPr>
        <w:t>stipulation</w:t>
      </w:r>
      <w:r w:rsidR="0006437C">
        <w:rPr>
          <w:rFonts w:ascii="Times New Roman" w:hAnsi="Times New Roman"/>
        </w:rPr>
        <w:t xml:space="preserve"> in </w:t>
      </w:r>
      <w:r w:rsidR="00E02814">
        <w:rPr>
          <w:rFonts w:ascii="Times New Roman" w:hAnsi="Times New Roman"/>
        </w:rPr>
        <w:t xml:space="preserve">both </w:t>
      </w:r>
      <w:r w:rsidR="0006437C">
        <w:rPr>
          <w:rFonts w:ascii="Times New Roman" w:hAnsi="Times New Roman"/>
        </w:rPr>
        <w:t xml:space="preserve">GBH and ABH </w:t>
      </w:r>
      <w:r w:rsidR="00D53D62">
        <w:rPr>
          <w:rFonts w:ascii="Times New Roman" w:hAnsi="Times New Roman"/>
        </w:rPr>
        <w:t>for</w:t>
      </w:r>
      <w:r w:rsidR="005306EE">
        <w:rPr>
          <w:rFonts w:ascii="Times New Roman" w:hAnsi="Times New Roman"/>
        </w:rPr>
        <w:t xml:space="preserve"> “</w:t>
      </w:r>
      <w:r w:rsidR="0006437C">
        <w:rPr>
          <w:rFonts w:ascii="Times New Roman" w:hAnsi="Times New Roman"/>
        </w:rPr>
        <w:t>bodily</w:t>
      </w:r>
      <w:r w:rsidR="005306EE">
        <w:rPr>
          <w:rFonts w:ascii="Times New Roman" w:hAnsi="Times New Roman"/>
        </w:rPr>
        <w:t>”</w:t>
      </w:r>
      <w:r w:rsidR="00D53D62">
        <w:rPr>
          <w:rFonts w:ascii="Times New Roman" w:hAnsi="Times New Roman"/>
        </w:rPr>
        <w:t xml:space="preserve"> harm</w:t>
      </w:r>
      <w:r w:rsidR="00DC3101">
        <w:rPr>
          <w:rFonts w:ascii="Times New Roman" w:hAnsi="Times New Roman"/>
        </w:rPr>
        <w:t xml:space="preserve">. </w:t>
      </w:r>
      <w:r w:rsidR="00FE2CED">
        <w:rPr>
          <w:rFonts w:ascii="Times New Roman" w:hAnsi="Times New Roman"/>
        </w:rPr>
        <w:t>That term</w:t>
      </w:r>
      <w:r w:rsidR="00DC3101">
        <w:rPr>
          <w:rFonts w:ascii="Times New Roman" w:hAnsi="Times New Roman"/>
        </w:rPr>
        <w:t xml:space="preserve"> </w:t>
      </w:r>
      <w:r w:rsidR="00E02814">
        <w:rPr>
          <w:rFonts w:ascii="Times New Roman" w:hAnsi="Times New Roman"/>
        </w:rPr>
        <w:t>is now</w:t>
      </w:r>
      <w:r w:rsidR="00526178">
        <w:rPr>
          <w:rFonts w:ascii="Times New Roman" w:hAnsi="Times New Roman"/>
        </w:rPr>
        <w:t xml:space="preserve"> </w:t>
      </w:r>
      <w:r w:rsidR="0053541F">
        <w:rPr>
          <w:rFonts w:ascii="Times New Roman" w:hAnsi="Times New Roman"/>
        </w:rPr>
        <w:t>meaningless</w:t>
      </w:r>
      <w:r w:rsidR="00D53D62">
        <w:rPr>
          <w:rFonts w:ascii="Times New Roman" w:hAnsi="Times New Roman"/>
        </w:rPr>
        <w:t>:</w:t>
      </w:r>
      <w:r w:rsidR="00526178">
        <w:rPr>
          <w:rFonts w:ascii="Times New Roman" w:hAnsi="Times New Roman"/>
        </w:rPr>
        <w:t xml:space="preserve"> </w:t>
      </w:r>
      <w:r w:rsidR="00BA4965">
        <w:rPr>
          <w:rFonts w:ascii="Times New Roman" w:hAnsi="Times New Roman"/>
          <w:i/>
        </w:rPr>
        <w:t xml:space="preserve">Ireland and </w:t>
      </w:r>
      <w:proofErr w:type="spellStart"/>
      <w:r w:rsidR="00BA4965">
        <w:rPr>
          <w:rFonts w:ascii="Times New Roman" w:hAnsi="Times New Roman"/>
          <w:i/>
        </w:rPr>
        <w:t>Burstow</w:t>
      </w:r>
      <w:proofErr w:type="spellEnd"/>
      <w:r w:rsidR="00BA4965">
        <w:rPr>
          <w:rFonts w:ascii="Times New Roman" w:hAnsi="Times New Roman"/>
          <w:i/>
        </w:rPr>
        <w:t xml:space="preserve"> </w:t>
      </w:r>
      <w:r w:rsidR="001C19B1">
        <w:rPr>
          <w:rFonts w:ascii="Times New Roman" w:hAnsi="Times New Roman"/>
        </w:rPr>
        <w:t>confirms</w:t>
      </w:r>
      <w:r w:rsidR="0067467D">
        <w:rPr>
          <w:rFonts w:ascii="Times New Roman" w:hAnsi="Times New Roman"/>
        </w:rPr>
        <w:t xml:space="preserve"> that </w:t>
      </w:r>
      <w:r w:rsidR="0006437C">
        <w:rPr>
          <w:rFonts w:ascii="Times New Roman" w:hAnsi="Times New Roman"/>
        </w:rPr>
        <w:t>injury</w:t>
      </w:r>
      <w:r w:rsidR="0067467D">
        <w:rPr>
          <w:rFonts w:ascii="Times New Roman" w:hAnsi="Times New Roman"/>
        </w:rPr>
        <w:t xml:space="preserve"> to the </w:t>
      </w:r>
      <w:r w:rsidR="0067467D" w:rsidRPr="00E02814">
        <w:rPr>
          <w:rFonts w:ascii="Times New Roman" w:hAnsi="Times New Roman"/>
          <w:i/>
        </w:rPr>
        <w:t>mind</w:t>
      </w:r>
      <w:r w:rsidR="0067467D">
        <w:rPr>
          <w:rFonts w:ascii="Times New Roman" w:hAnsi="Times New Roman"/>
        </w:rPr>
        <w:t xml:space="preserve"> </w:t>
      </w:r>
      <w:r w:rsidR="00547790">
        <w:rPr>
          <w:rFonts w:ascii="Times New Roman" w:hAnsi="Times New Roman"/>
        </w:rPr>
        <w:t xml:space="preserve">also </w:t>
      </w:r>
      <w:r w:rsidR="00E02814">
        <w:rPr>
          <w:rFonts w:ascii="Times New Roman" w:hAnsi="Times New Roman"/>
        </w:rPr>
        <w:t>fall</w:t>
      </w:r>
      <w:r w:rsidR="00DC3101">
        <w:rPr>
          <w:rFonts w:ascii="Times New Roman" w:hAnsi="Times New Roman"/>
        </w:rPr>
        <w:t>s</w:t>
      </w:r>
      <w:r w:rsidR="00E02814">
        <w:rPr>
          <w:rFonts w:ascii="Times New Roman" w:hAnsi="Times New Roman"/>
        </w:rPr>
        <w:t xml:space="preserve"> </w:t>
      </w:r>
      <w:r w:rsidR="0006437C">
        <w:rPr>
          <w:rFonts w:ascii="Times New Roman" w:hAnsi="Times New Roman"/>
        </w:rPr>
        <w:t xml:space="preserve">within GBH and ABH </w:t>
      </w:r>
      <w:r w:rsidR="00D040CA">
        <w:rPr>
          <w:rFonts w:ascii="Times New Roman" w:hAnsi="Times New Roman"/>
        </w:rPr>
        <w:t>(depending on severity)</w:t>
      </w:r>
      <w:r w:rsidR="005F2892">
        <w:rPr>
          <w:rFonts w:ascii="Times New Roman" w:hAnsi="Times New Roman"/>
        </w:rPr>
        <w:t xml:space="preserve">, assuming </w:t>
      </w:r>
      <w:r w:rsidR="00547790">
        <w:rPr>
          <w:rFonts w:ascii="Times New Roman" w:hAnsi="Times New Roman"/>
        </w:rPr>
        <w:t>this</w:t>
      </w:r>
      <w:r w:rsidR="005F2892">
        <w:rPr>
          <w:rFonts w:ascii="Times New Roman" w:hAnsi="Times New Roman"/>
        </w:rPr>
        <w:t xml:space="preserve"> </w:t>
      </w:r>
      <w:r w:rsidR="0006437C">
        <w:rPr>
          <w:rFonts w:ascii="Times New Roman" w:hAnsi="Times New Roman"/>
        </w:rPr>
        <w:t>amounts to a recognised psychiatric condition.</w:t>
      </w:r>
      <w:r w:rsidR="0006437C">
        <w:rPr>
          <w:rStyle w:val="FootnoteReference"/>
          <w:rFonts w:ascii="Times New Roman" w:hAnsi="Times New Roman"/>
        </w:rPr>
        <w:footnoteReference w:id="44"/>
      </w:r>
      <w:r w:rsidR="003E433D">
        <w:rPr>
          <w:rFonts w:ascii="Times New Roman" w:hAnsi="Times New Roman"/>
        </w:rPr>
        <w:t xml:space="preserve"> </w:t>
      </w:r>
      <w:r w:rsidR="002877F3">
        <w:rPr>
          <w:rFonts w:ascii="Times New Roman" w:hAnsi="Times New Roman"/>
        </w:rPr>
        <w:t>An additional terminological oddity in s</w:t>
      </w:r>
      <w:r w:rsidR="00FE2CED">
        <w:rPr>
          <w:rFonts w:ascii="Times New Roman" w:hAnsi="Times New Roman"/>
        </w:rPr>
        <w:t xml:space="preserve">.47 </w:t>
      </w:r>
      <w:r w:rsidR="002877F3">
        <w:rPr>
          <w:rFonts w:ascii="Times New Roman" w:hAnsi="Times New Roman"/>
        </w:rPr>
        <w:t>is t</w:t>
      </w:r>
      <w:r w:rsidR="00161D1E">
        <w:rPr>
          <w:rFonts w:ascii="Times New Roman" w:hAnsi="Times New Roman"/>
        </w:rPr>
        <w:t xml:space="preserve">he need for an assault </w:t>
      </w:r>
      <w:r w:rsidR="001C19B1">
        <w:rPr>
          <w:rFonts w:ascii="Times New Roman" w:hAnsi="Times New Roman"/>
        </w:rPr>
        <w:t>to</w:t>
      </w:r>
      <w:r w:rsidR="005306EE">
        <w:rPr>
          <w:rFonts w:ascii="Times New Roman" w:hAnsi="Times New Roman"/>
        </w:rPr>
        <w:t xml:space="preserve"> “</w:t>
      </w:r>
      <w:r w:rsidR="001C19B1">
        <w:rPr>
          <w:rFonts w:ascii="Times New Roman" w:hAnsi="Times New Roman"/>
        </w:rPr>
        <w:t>occasion</w:t>
      </w:r>
      <w:r w:rsidR="005306EE">
        <w:rPr>
          <w:rFonts w:ascii="Times New Roman" w:hAnsi="Times New Roman"/>
        </w:rPr>
        <w:t>”</w:t>
      </w:r>
      <w:r w:rsidR="00161D1E">
        <w:rPr>
          <w:rFonts w:ascii="Times New Roman" w:hAnsi="Times New Roman"/>
        </w:rPr>
        <w:t xml:space="preserve"> ABH</w:t>
      </w:r>
      <w:r w:rsidR="002877F3">
        <w:rPr>
          <w:rFonts w:ascii="Times New Roman" w:hAnsi="Times New Roman"/>
        </w:rPr>
        <w:t xml:space="preserve">. The </w:t>
      </w:r>
      <w:r w:rsidR="002877F3">
        <w:rPr>
          <w:rFonts w:ascii="Times New Roman" w:hAnsi="Times New Roman"/>
        </w:rPr>
        <w:lastRenderedPageBreak/>
        <w:t>word ‘”occasion”</w:t>
      </w:r>
      <w:r w:rsidR="00161D1E">
        <w:rPr>
          <w:rFonts w:ascii="Times New Roman" w:hAnsi="Times New Roman"/>
        </w:rPr>
        <w:t xml:space="preserve"> </w:t>
      </w:r>
      <w:r w:rsidR="00A81A78">
        <w:rPr>
          <w:rFonts w:ascii="Times New Roman" w:hAnsi="Times New Roman"/>
        </w:rPr>
        <w:t>is not legally intelligible. Instead, it has been held</w:t>
      </w:r>
      <w:r w:rsidR="001C19B1">
        <w:rPr>
          <w:rFonts w:ascii="Times New Roman" w:hAnsi="Times New Roman"/>
        </w:rPr>
        <w:t xml:space="preserve"> that the assault must</w:t>
      </w:r>
      <w:r w:rsidR="00161D1E">
        <w:rPr>
          <w:rFonts w:ascii="Times New Roman" w:hAnsi="Times New Roman"/>
        </w:rPr>
        <w:t xml:space="preserve"> </w:t>
      </w:r>
      <w:r w:rsidR="005306EE">
        <w:rPr>
          <w:rFonts w:ascii="Times New Roman" w:hAnsi="Times New Roman"/>
        </w:rPr>
        <w:t>“</w:t>
      </w:r>
      <w:r w:rsidR="001C19B1">
        <w:rPr>
          <w:rFonts w:ascii="Times New Roman" w:hAnsi="Times New Roman"/>
        </w:rPr>
        <w:t>cause</w:t>
      </w:r>
      <w:r w:rsidR="005306EE">
        <w:rPr>
          <w:rFonts w:ascii="Times New Roman" w:hAnsi="Times New Roman"/>
        </w:rPr>
        <w:t>”</w:t>
      </w:r>
      <w:r w:rsidR="001742CC">
        <w:rPr>
          <w:rFonts w:ascii="Times New Roman" w:hAnsi="Times New Roman"/>
        </w:rPr>
        <w:t xml:space="preserve"> ABH,</w:t>
      </w:r>
      <w:r w:rsidR="00CB0D6A">
        <w:rPr>
          <w:rStyle w:val="FootnoteReference"/>
          <w:rFonts w:ascii="Times New Roman" w:hAnsi="Times New Roman"/>
        </w:rPr>
        <w:footnoteReference w:id="45"/>
      </w:r>
      <w:r w:rsidR="003D5209">
        <w:rPr>
          <w:rFonts w:ascii="Times New Roman" w:hAnsi="Times New Roman"/>
        </w:rPr>
        <w:t xml:space="preserve"> </w:t>
      </w:r>
      <w:r w:rsidR="001742CC">
        <w:rPr>
          <w:rFonts w:ascii="Times New Roman" w:hAnsi="Times New Roman"/>
        </w:rPr>
        <w:t xml:space="preserve">again confirming that </w:t>
      </w:r>
      <w:r w:rsidR="008D7FD9">
        <w:rPr>
          <w:rFonts w:ascii="Times New Roman" w:hAnsi="Times New Roman"/>
        </w:rPr>
        <w:t xml:space="preserve">regular causation rules </w:t>
      </w:r>
      <w:r w:rsidR="001742CC">
        <w:rPr>
          <w:rFonts w:ascii="Times New Roman" w:hAnsi="Times New Roman"/>
        </w:rPr>
        <w:t xml:space="preserve">apply. </w:t>
      </w:r>
      <w:r w:rsidR="003D5209">
        <w:rPr>
          <w:rFonts w:ascii="Times New Roman" w:hAnsi="Times New Roman"/>
        </w:rPr>
        <w:t>Moreover, it is not obvious why ABH is contingent upon an</w:t>
      </w:r>
      <w:r w:rsidR="002F5AC8">
        <w:rPr>
          <w:rFonts w:ascii="Times New Roman" w:hAnsi="Times New Roman"/>
        </w:rPr>
        <w:t xml:space="preserve"> initial</w:t>
      </w:r>
      <w:r w:rsidR="003D5209">
        <w:rPr>
          <w:rFonts w:ascii="Times New Roman" w:hAnsi="Times New Roman"/>
        </w:rPr>
        <w:t xml:space="preserve"> assault </w:t>
      </w:r>
      <w:r w:rsidR="00484D19">
        <w:rPr>
          <w:rFonts w:ascii="Times New Roman" w:hAnsi="Times New Roman"/>
        </w:rPr>
        <w:t>(or battery):</w:t>
      </w:r>
      <w:r w:rsidR="00484D19">
        <w:rPr>
          <w:rStyle w:val="FootnoteReference"/>
          <w:rFonts w:ascii="Times New Roman" w:hAnsi="Times New Roman"/>
        </w:rPr>
        <w:footnoteReference w:id="46"/>
      </w:r>
      <w:r w:rsidR="003D5209">
        <w:rPr>
          <w:rFonts w:ascii="Times New Roman" w:hAnsi="Times New Roman"/>
        </w:rPr>
        <w:t xml:space="preserve"> why should </w:t>
      </w:r>
      <w:r w:rsidR="00EF5874">
        <w:rPr>
          <w:rFonts w:ascii="Times New Roman" w:hAnsi="Times New Roman"/>
        </w:rPr>
        <w:t>the offence not be complete</w:t>
      </w:r>
      <w:r w:rsidR="00AE6846">
        <w:rPr>
          <w:rFonts w:ascii="Times New Roman" w:hAnsi="Times New Roman"/>
        </w:rPr>
        <w:t>d</w:t>
      </w:r>
      <w:r w:rsidR="00EF5874">
        <w:rPr>
          <w:rFonts w:ascii="Times New Roman" w:hAnsi="Times New Roman"/>
        </w:rPr>
        <w:t xml:space="preserve"> simply on proof </w:t>
      </w:r>
      <w:r w:rsidR="003D5209">
        <w:rPr>
          <w:rFonts w:ascii="Times New Roman" w:hAnsi="Times New Roman"/>
        </w:rPr>
        <w:t xml:space="preserve">that D caused </w:t>
      </w:r>
      <w:r w:rsidR="00A81A78">
        <w:rPr>
          <w:rFonts w:ascii="Times New Roman" w:hAnsi="Times New Roman"/>
        </w:rPr>
        <w:t xml:space="preserve">ABH to </w:t>
      </w:r>
      <w:r w:rsidR="003D5209">
        <w:rPr>
          <w:rFonts w:ascii="Times New Roman" w:hAnsi="Times New Roman"/>
        </w:rPr>
        <w:t>V</w:t>
      </w:r>
      <w:r w:rsidR="00EF5874">
        <w:rPr>
          <w:rFonts w:ascii="Times New Roman" w:hAnsi="Times New Roman"/>
        </w:rPr>
        <w:t>?</w:t>
      </w:r>
      <w:r w:rsidR="00F1287F">
        <w:rPr>
          <w:rFonts w:ascii="Times New Roman" w:hAnsi="Times New Roman"/>
        </w:rPr>
        <w:t xml:space="preserve"> The need for either of these two base offences is thought to preclude liability for </w:t>
      </w:r>
      <w:r w:rsidR="00F1287F" w:rsidRPr="00253755">
        <w:rPr>
          <w:rFonts w:ascii="Times New Roman" w:hAnsi="Times New Roman"/>
          <w:i/>
        </w:rPr>
        <w:t>less</w:t>
      </w:r>
      <w:r w:rsidR="00F1287F">
        <w:rPr>
          <w:rFonts w:ascii="Times New Roman" w:hAnsi="Times New Roman"/>
        </w:rPr>
        <w:t xml:space="preserve"> serious sexual disease transmission under s.47.</w:t>
      </w:r>
      <w:r w:rsidR="00F1287F">
        <w:rPr>
          <w:rStyle w:val="FootnoteReference"/>
          <w:rFonts w:ascii="Times New Roman" w:hAnsi="Times New Roman"/>
        </w:rPr>
        <w:footnoteReference w:id="47"/>
      </w:r>
      <w:r w:rsidR="00F1287F">
        <w:rPr>
          <w:rFonts w:ascii="Times New Roman" w:hAnsi="Times New Roman"/>
        </w:rPr>
        <w:t xml:space="preserve"> This is because </w:t>
      </w:r>
      <w:r w:rsidR="004B5C86">
        <w:rPr>
          <w:rFonts w:ascii="Times New Roman" w:hAnsi="Times New Roman"/>
        </w:rPr>
        <w:t xml:space="preserve">sexual </w:t>
      </w:r>
      <w:r w:rsidR="00F1287F">
        <w:rPr>
          <w:rFonts w:ascii="Times New Roman" w:hAnsi="Times New Roman"/>
        </w:rPr>
        <w:t>infection is normally passed on</w:t>
      </w:r>
      <w:r w:rsidR="004B5C86">
        <w:rPr>
          <w:rFonts w:ascii="Times New Roman" w:hAnsi="Times New Roman"/>
        </w:rPr>
        <w:t xml:space="preserve"> via consensual sex – which is neither an assault nor a</w:t>
      </w:r>
      <w:r w:rsidR="000D6E6F">
        <w:rPr>
          <w:rFonts w:ascii="Times New Roman" w:hAnsi="Times New Roman"/>
        </w:rPr>
        <w:t xml:space="preserve"> battery</w:t>
      </w:r>
      <w:r w:rsidR="00F1287F">
        <w:rPr>
          <w:rFonts w:ascii="Times New Roman" w:hAnsi="Times New Roman"/>
        </w:rPr>
        <w:t>.</w:t>
      </w:r>
      <w:r w:rsidR="00B21A4C">
        <w:rPr>
          <w:rFonts w:ascii="Times New Roman" w:hAnsi="Times New Roman"/>
        </w:rPr>
        <w:t xml:space="preserve"> </w:t>
      </w:r>
      <w:r w:rsidR="00BB2A38">
        <w:rPr>
          <w:rFonts w:ascii="Times New Roman" w:hAnsi="Times New Roman"/>
        </w:rPr>
        <w:t xml:space="preserve">Both </w:t>
      </w:r>
      <w:r w:rsidR="00420741">
        <w:rPr>
          <w:rFonts w:ascii="Times New Roman" w:hAnsi="Times New Roman"/>
        </w:rPr>
        <w:t xml:space="preserve">of </w:t>
      </w:r>
      <w:r w:rsidR="00BB2A38">
        <w:rPr>
          <w:rFonts w:ascii="Times New Roman" w:hAnsi="Times New Roman"/>
        </w:rPr>
        <w:t>these</w:t>
      </w:r>
      <w:r w:rsidR="000D6E6F">
        <w:rPr>
          <w:rFonts w:ascii="Times New Roman" w:hAnsi="Times New Roman"/>
        </w:rPr>
        <w:t xml:space="preserve"> crimes are considered next.  </w:t>
      </w:r>
      <w:r w:rsidR="00B21A4C">
        <w:rPr>
          <w:rFonts w:ascii="Times New Roman" w:hAnsi="Times New Roman"/>
        </w:rPr>
        <w:t xml:space="preserve"> </w:t>
      </w:r>
    </w:p>
    <w:p w:rsidR="001742CC" w:rsidRDefault="001742CC" w:rsidP="00C0697C">
      <w:pPr>
        <w:autoSpaceDE w:val="0"/>
        <w:autoSpaceDN w:val="0"/>
        <w:adjustRightInd w:val="0"/>
        <w:spacing w:line="480" w:lineRule="auto"/>
        <w:jc w:val="both"/>
        <w:rPr>
          <w:rFonts w:ascii="Times New Roman" w:hAnsi="Times New Roman"/>
        </w:rPr>
      </w:pPr>
    </w:p>
    <w:p w:rsidR="00B81630" w:rsidRDefault="00554F3E" w:rsidP="00C0697C">
      <w:pPr>
        <w:autoSpaceDE w:val="0"/>
        <w:autoSpaceDN w:val="0"/>
        <w:adjustRightInd w:val="0"/>
        <w:spacing w:line="480" w:lineRule="auto"/>
        <w:jc w:val="both"/>
        <w:rPr>
          <w:rFonts w:ascii="Times New Roman" w:hAnsi="Times New Roman"/>
        </w:rPr>
      </w:pPr>
      <w:r>
        <w:rPr>
          <w:rFonts w:ascii="Times New Roman" w:hAnsi="Times New Roman"/>
        </w:rPr>
        <w:t>(c</w:t>
      </w:r>
      <w:r w:rsidR="00B81630">
        <w:rPr>
          <w:rFonts w:ascii="Times New Roman" w:hAnsi="Times New Roman"/>
        </w:rPr>
        <w:t>) Assault and battery</w:t>
      </w:r>
    </w:p>
    <w:p w:rsidR="00DF752C" w:rsidRDefault="00BB2A38" w:rsidP="002E4125">
      <w:pPr>
        <w:autoSpaceDE w:val="0"/>
        <w:autoSpaceDN w:val="0"/>
        <w:adjustRightInd w:val="0"/>
        <w:spacing w:line="480" w:lineRule="auto"/>
        <w:jc w:val="both"/>
        <w:rPr>
          <w:rFonts w:ascii="Times New Roman" w:hAnsi="Times New Roman"/>
        </w:rPr>
      </w:pPr>
      <w:r>
        <w:rPr>
          <w:rFonts w:ascii="Times New Roman" w:hAnsi="Times New Roman"/>
        </w:rPr>
        <w:t>T</w:t>
      </w:r>
      <w:r w:rsidR="00F64DED">
        <w:rPr>
          <w:rFonts w:ascii="Times New Roman" w:hAnsi="Times New Roman"/>
        </w:rPr>
        <w:t xml:space="preserve">he </w:t>
      </w:r>
      <w:r w:rsidR="008D4898">
        <w:rPr>
          <w:rFonts w:ascii="Times New Roman" w:hAnsi="Times New Roman"/>
        </w:rPr>
        <w:t>provisions in</w:t>
      </w:r>
      <w:r>
        <w:rPr>
          <w:rFonts w:ascii="Times New Roman" w:hAnsi="Times New Roman"/>
        </w:rPr>
        <w:t xml:space="preserve"> ss.18, 20 and 47 relegate assault and battery to the bottom of the injury framework. </w:t>
      </w:r>
      <w:r w:rsidR="00DE5306">
        <w:rPr>
          <w:rFonts w:ascii="Times New Roman" w:hAnsi="Times New Roman"/>
        </w:rPr>
        <w:t>These two offences</w:t>
      </w:r>
      <w:r w:rsidR="008B5D11">
        <w:rPr>
          <w:rFonts w:ascii="Times New Roman" w:hAnsi="Times New Roman"/>
        </w:rPr>
        <w:t xml:space="preserve"> require</w:t>
      </w:r>
      <w:r w:rsidR="00F64DED">
        <w:rPr>
          <w:rFonts w:ascii="Times New Roman" w:hAnsi="Times New Roman"/>
        </w:rPr>
        <w:t xml:space="preserve"> no harm: merely an invasion of </w:t>
      </w:r>
      <w:r w:rsidR="008F263C">
        <w:rPr>
          <w:rFonts w:ascii="Times New Roman" w:hAnsi="Times New Roman"/>
        </w:rPr>
        <w:t>bod</w:t>
      </w:r>
      <w:r w:rsidR="00F64DED">
        <w:rPr>
          <w:rFonts w:ascii="Times New Roman" w:hAnsi="Times New Roman"/>
        </w:rPr>
        <w:t>y space.</w:t>
      </w:r>
      <w:r w:rsidR="001029D0">
        <w:rPr>
          <w:rFonts w:ascii="Times New Roman" w:hAnsi="Times New Roman"/>
        </w:rPr>
        <w:t xml:space="preserve"> </w:t>
      </w:r>
      <w:r w:rsidR="00040677">
        <w:rPr>
          <w:rFonts w:ascii="Times New Roman" w:hAnsi="Times New Roman"/>
        </w:rPr>
        <w:t>B</w:t>
      </w:r>
      <w:r w:rsidR="00F414D2">
        <w:rPr>
          <w:rFonts w:ascii="Times New Roman" w:hAnsi="Times New Roman"/>
        </w:rPr>
        <w:t xml:space="preserve">attery </w:t>
      </w:r>
      <w:r w:rsidR="00B31BB4">
        <w:rPr>
          <w:rFonts w:ascii="Times New Roman" w:hAnsi="Times New Roman"/>
        </w:rPr>
        <w:t xml:space="preserve">occurs </w:t>
      </w:r>
      <w:r w:rsidR="00A27618">
        <w:rPr>
          <w:rFonts w:ascii="Times New Roman" w:hAnsi="Times New Roman"/>
        </w:rPr>
        <w:t xml:space="preserve">where D </w:t>
      </w:r>
      <w:r w:rsidR="008F263C">
        <w:rPr>
          <w:rFonts w:ascii="Times New Roman" w:hAnsi="Times New Roman"/>
        </w:rPr>
        <w:t>makes physical contact with</w:t>
      </w:r>
      <w:r w:rsidR="00A27618">
        <w:rPr>
          <w:rFonts w:ascii="Times New Roman" w:hAnsi="Times New Roman"/>
        </w:rPr>
        <w:t xml:space="preserve"> </w:t>
      </w:r>
      <w:r w:rsidR="00B31BB4">
        <w:rPr>
          <w:rFonts w:ascii="Times New Roman" w:hAnsi="Times New Roman"/>
        </w:rPr>
        <w:t xml:space="preserve">V </w:t>
      </w:r>
      <w:r w:rsidR="00E22E35">
        <w:rPr>
          <w:rFonts w:ascii="Times New Roman" w:hAnsi="Times New Roman"/>
        </w:rPr>
        <w:t>(</w:t>
      </w:r>
      <w:r w:rsidR="00846B34">
        <w:rPr>
          <w:rFonts w:ascii="Times New Roman" w:hAnsi="Times New Roman"/>
        </w:rPr>
        <w:t>however slight</w:t>
      </w:r>
      <w:r w:rsidR="00E22E35">
        <w:rPr>
          <w:rFonts w:ascii="Times New Roman" w:hAnsi="Times New Roman"/>
        </w:rPr>
        <w:t xml:space="preserve">) </w:t>
      </w:r>
      <w:r w:rsidR="008F263C">
        <w:rPr>
          <w:rFonts w:ascii="Times New Roman" w:hAnsi="Times New Roman"/>
        </w:rPr>
        <w:t xml:space="preserve">which is not impliedly consented to as part of the interactions of </w:t>
      </w:r>
      <w:r w:rsidR="00A27618">
        <w:rPr>
          <w:rFonts w:ascii="Times New Roman" w:hAnsi="Times New Roman"/>
        </w:rPr>
        <w:t>eve</w:t>
      </w:r>
      <w:r w:rsidR="008F263C">
        <w:rPr>
          <w:rFonts w:ascii="Times New Roman" w:hAnsi="Times New Roman"/>
        </w:rPr>
        <w:t>ryday life</w:t>
      </w:r>
      <w:r w:rsidR="00A27618">
        <w:rPr>
          <w:rFonts w:ascii="Times New Roman" w:hAnsi="Times New Roman"/>
        </w:rPr>
        <w:t>.</w:t>
      </w:r>
      <w:r w:rsidR="00A27618">
        <w:rPr>
          <w:rStyle w:val="FootnoteReference"/>
          <w:rFonts w:ascii="Times New Roman" w:hAnsi="Times New Roman"/>
        </w:rPr>
        <w:footnoteReference w:id="48"/>
      </w:r>
      <w:r w:rsidR="00A27618">
        <w:rPr>
          <w:rFonts w:ascii="Times New Roman" w:hAnsi="Times New Roman"/>
        </w:rPr>
        <w:t xml:space="preserve"> </w:t>
      </w:r>
      <w:r w:rsidR="00C8047D">
        <w:rPr>
          <w:rFonts w:ascii="Times New Roman" w:hAnsi="Times New Roman"/>
        </w:rPr>
        <w:t>Unwanted t</w:t>
      </w:r>
      <w:r w:rsidR="002F41C0">
        <w:rPr>
          <w:rFonts w:ascii="Times New Roman" w:hAnsi="Times New Roman"/>
        </w:rPr>
        <w:t>ouching</w:t>
      </w:r>
      <w:r w:rsidR="0040446E">
        <w:rPr>
          <w:rFonts w:ascii="Times New Roman" w:hAnsi="Times New Roman"/>
        </w:rPr>
        <w:t xml:space="preserve"> of any form</w:t>
      </w:r>
      <w:r w:rsidR="00174F49">
        <w:rPr>
          <w:rFonts w:ascii="Times New Roman" w:hAnsi="Times New Roman"/>
        </w:rPr>
        <w:t>, whether direct or indirect,</w:t>
      </w:r>
      <w:r w:rsidR="0040446E">
        <w:rPr>
          <w:rFonts w:ascii="Times New Roman" w:hAnsi="Times New Roman"/>
        </w:rPr>
        <w:t xml:space="preserve"> will suffice. </w:t>
      </w:r>
      <w:r w:rsidR="00926115">
        <w:rPr>
          <w:rFonts w:ascii="Times New Roman" w:hAnsi="Times New Roman"/>
        </w:rPr>
        <w:t>The</w:t>
      </w:r>
      <w:r w:rsidR="002B331B">
        <w:rPr>
          <w:rFonts w:ascii="Times New Roman" w:hAnsi="Times New Roman"/>
        </w:rPr>
        <w:t xml:space="preserve"> </w:t>
      </w:r>
      <w:r w:rsidR="002B331B" w:rsidRPr="00351333">
        <w:rPr>
          <w:rFonts w:ascii="Times New Roman" w:hAnsi="Times New Roman"/>
          <w:i/>
        </w:rPr>
        <w:t>mild</w:t>
      </w:r>
      <w:r w:rsidR="002B331B">
        <w:rPr>
          <w:rFonts w:ascii="Times New Roman" w:hAnsi="Times New Roman"/>
        </w:rPr>
        <w:t xml:space="preserve"> </w:t>
      </w:r>
      <w:r w:rsidR="00926115">
        <w:rPr>
          <w:rFonts w:ascii="Times New Roman" w:hAnsi="Times New Roman"/>
        </w:rPr>
        <w:t>threshold for a</w:t>
      </w:r>
      <w:r w:rsidR="002B331B">
        <w:rPr>
          <w:rFonts w:ascii="Times New Roman" w:hAnsi="Times New Roman"/>
        </w:rPr>
        <w:t xml:space="preserve"> battery</w:t>
      </w:r>
      <w:r w:rsidR="00926115">
        <w:rPr>
          <w:rFonts w:ascii="Times New Roman" w:hAnsi="Times New Roman"/>
        </w:rPr>
        <w:t xml:space="preserve"> means that, effectively, </w:t>
      </w:r>
      <w:r w:rsidR="008B5D11" w:rsidRPr="008B5D11">
        <w:rPr>
          <w:rFonts w:ascii="Times New Roman" w:hAnsi="Times New Roman"/>
        </w:rPr>
        <w:t>most</w:t>
      </w:r>
      <w:r w:rsidR="00926115">
        <w:rPr>
          <w:rFonts w:ascii="Times New Roman" w:hAnsi="Times New Roman"/>
        </w:rPr>
        <w:t xml:space="preserve"> minor injuries are </w:t>
      </w:r>
      <w:r w:rsidR="00926115" w:rsidRPr="00F61458">
        <w:rPr>
          <w:rFonts w:ascii="Times New Roman" w:hAnsi="Times New Roman"/>
          <w:i/>
        </w:rPr>
        <w:t>capable</w:t>
      </w:r>
      <w:r w:rsidR="00926115">
        <w:rPr>
          <w:rFonts w:ascii="Times New Roman" w:hAnsi="Times New Roman"/>
        </w:rPr>
        <w:t xml:space="preserve"> of falling within</w:t>
      </w:r>
      <w:r w:rsidR="00D24B2E">
        <w:rPr>
          <w:rFonts w:ascii="Times New Roman" w:hAnsi="Times New Roman"/>
        </w:rPr>
        <w:t xml:space="preserve"> </w:t>
      </w:r>
      <w:r w:rsidR="008B5D11">
        <w:rPr>
          <w:rFonts w:ascii="Times New Roman" w:hAnsi="Times New Roman"/>
        </w:rPr>
        <w:t>ABH under s.47</w:t>
      </w:r>
      <w:r w:rsidR="00926115">
        <w:rPr>
          <w:rFonts w:ascii="Times New Roman" w:hAnsi="Times New Roman"/>
        </w:rPr>
        <w:t xml:space="preserve">. This </w:t>
      </w:r>
      <w:r w:rsidR="00C245B4">
        <w:rPr>
          <w:rFonts w:ascii="Times New Roman" w:hAnsi="Times New Roman"/>
        </w:rPr>
        <w:t>creates</w:t>
      </w:r>
      <w:r w:rsidR="00926115">
        <w:rPr>
          <w:rFonts w:ascii="Times New Roman" w:hAnsi="Times New Roman"/>
        </w:rPr>
        <w:t xml:space="preserve"> an overlap </w:t>
      </w:r>
      <w:r w:rsidR="002B331B">
        <w:rPr>
          <w:rFonts w:ascii="Times New Roman" w:hAnsi="Times New Roman"/>
        </w:rPr>
        <w:t>with</w:t>
      </w:r>
      <w:r w:rsidR="00926115">
        <w:rPr>
          <w:rFonts w:ascii="Times New Roman" w:hAnsi="Times New Roman"/>
        </w:rPr>
        <w:t xml:space="preserve"> </w:t>
      </w:r>
      <w:r w:rsidR="00C8047D">
        <w:rPr>
          <w:rFonts w:ascii="Times New Roman" w:hAnsi="Times New Roman"/>
        </w:rPr>
        <w:t>s.47</w:t>
      </w:r>
      <w:r w:rsidR="00926115">
        <w:rPr>
          <w:rFonts w:ascii="Times New Roman" w:hAnsi="Times New Roman"/>
        </w:rPr>
        <w:t xml:space="preserve">, mirroring </w:t>
      </w:r>
      <w:r w:rsidR="00365B31">
        <w:rPr>
          <w:rFonts w:ascii="Times New Roman" w:hAnsi="Times New Roman"/>
        </w:rPr>
        <w:t xml:space="preserve">the </w:t>
      </w:r>
      <w:r w:rsidR="00BE0342">
        <w:rPr>
          <w:rFonts w:ascii="Times New Roman" w:hAnsi="Times New Roman"/>
        </w:rPr>
        <w:t>interaction</w:t>
      </w:r>
      <w:r w:rsidR="00351333">
        <w:rPr>
          <w:rFonts w:ascii="Times New Roman" w:hAnsi="Times New Roman"/>
        </w:rPr>
        <w:t xml:space="preserve"> between ss. 18/</w:t>
      </w:r>
      <w:r w:rsidR="00365B31">
        <w:rPr>
          <w:rFonts w:ascii="Times New Roman" w:hAnsi="Times New Roman"/>
        </w:rPr>
        <w:t xml:space="preserve">20 and 47. </w:t>
      </w:r>
      <w:r w:rsidR="005F2892">
        <w:rPr>
          <w:rFonts w:ascii="Times New Roman" w:hAnsi="Times New Roman"/>
        </w:rPr>
        <w:t>However, t</w:t>
      </w:r>
      <w:r w:rsidR="00C21C6C">
        <w:rPr>
          <w:rFonts w:ascii="Times New Roman" w:hAnsi="Times New Roman"/>
        </w:rPr>
        <w:t>he C</w:t>
      </w:r>
      <w:r w:rsidR="00F42405">
        <w:rPr>
          <w:rFonts w:ascii="Times New Roman" w:hAnsi="Times New Roman"/>
        </w:rPr>
        <w:t xml:space="preserve">rown </w:t>
      </w:r>
      <w:r w:rsidR="00C21C6C">
        <w:rPr>
          <w:rFonts w:ascii="Times New Roman" w:hAnsi="Times New Roman"/>
        </w:rPr>
        <w:t>P</w:t>
      </w:r>
      <w:r w:rsidR="00F42405">
        <w:rPr>
          <w:rFonts w:ascii="Times New Roman" w:hAnsi="Times New Roman"/>
        </w:rPr>
        <w:t xml:space="preserve">rosecution </w:t>
      </w:r>
      <w:r w:rsidR="00C21C6C">
        <w:rPr>
          <w:rFonts w:ascii="Times New Roman" w:hAnsi="Times New Roman"/>
        </w:rPr>
        <w:t>S</w:t>
      </w:r>
      <w:r w:rsidR="00F42405">
        <w:rPr>
          <w:rFonts w:ascii="Times New Roman" w:hAnsi="Times New Roman"/>
        </w:rPr>
        <w:t>ervice (CPS)</w:t>
      </w:r>
      <w:r w:rsidR="00C21C6C">
        <w:rPr>
          <w:rFonts w:ascii="Times New Roman" w:hAnsi="Times New Roman"/>
        </w:rPr>
        <w:t xml:space="preserve"> explains that injuries should not be charged as</w:t>
      </w:r>
      <w:r w:rsidR="00003512">
        <w:rPr>
          <w:rFonts w:ascii="Times New Roman" w:hAnsi="Times New Roman"/>
        </w:rPr>
        <w:t xml:space="preserve"> ABH</w:t>
      </w:r>
      <w:r w:rsidR="00C21C6C">
        <w:rPr>
          <w:rFonts w:ascii="Times New Roman" w:hAnsi="Times New Roman"/>
        </w:rPr>
        <w:t xml:space="preserve"> </w:t>
      </w:r>
      <w:r w:rsidR="002B331B">
        <w:rPr>
          <w:rFonts w:ascii="Times New Roman" w:hAnsi="Times New Roman"/>
        </w:rPr>
        <w:t xml:space="preserve">where the harm </w:t>
      </w:r>
      <w:r w:rsidR="00C21C6C">
        <w:rPr>
          <w:rFonts w:ascii="Times New Roman" w:hAnsi="Times New Roman"/>
        </w:rPr>
        <w:t xml:space="preserve">done </w:t>
      </w:r>
      <w:r w:rsidR="002B331B">
        <w:rPr>
          <w:rFonts w:ascii="Times New Roman" w:hAnsi="Times New Roman"/>
        </w:rPr>
        <w:t xml:space="preserve">is not serious – that is, </w:t>
      </w:r>
      <w:r w:rsidR="00C21C6C">
        <w:rPr>
          <w:rFonts w:ascii="Times New Roman" w:hAnsi="Times New Roman"/>
        </w:rPr>
        <w:t xml:space="preserve">where the harm is not </w:t>
      </w:r>
      <w:r w:rsidR="002B331B">
        <w:rPr>
          <w:rFonts w:ascii="Times New Roman" w:hAnsi="Times New Roman"/>
        </w:rPr>
        <w:t>significant.</w:t>
      </w:r>
      <w:r w:rsidR="00C21C6C">
        <w:rPr>
          <w:rStyle w:val="FootnoteReference"/>
          <w:rFonts w:ascii="Times New Roman" w:hAnsi="Times New Roman"/>
        </w:rPr>
        <w:footnoteReference w:id="49"/>
      </w:r>
      <w:r w:rsidR="0027083B">
        <w:rPr>
          <w:rFonts w:ascii="Times New Roman" w:hAnsi="Times New Roman"/>
        </w:rPr>
        <w:t xml:space="preserve"> </w:t>
      </w:r>
      <w:r w:rsidR="00C21C6C">
        <w:rPr>
          <w:rFonts w:ascii="Times New Roman" w:hAnsi="Times New Roman"/>
        </w:rPr>
        <w:t xml:space="preserve">Battery is more appropriate. Even </w:t>
      </w:r>
      <w:r w:rsidR="00D71EEE">
        <w:rPr>
          <w:rFonts w:ascii="Times New Roman" w:hAnsi="Times New Roman"/>
        </w:rPr>
        <w:t>where ABH</w:t>
      </w:r>
      <w:r w:rsidR="00C21C6C">
        <w:rPr>
          <w:rFonts w:ascii="Times New Roman" w:hAnsi="Times New Roman"/>
        </w:rPr>
        <w:t xml:space="preserve"> </w:t>
      </w:r>
      <w:r w:rsidR="00C21C6C" w:rsidRPr="00DF752C">
        <w:rPr>
          <w:rFonts w:ascii="Times New Roman" w:hAnsi="Times New Roman"/>
        </w:rPr>
        <w:t>is</w:t>
      </w:r>
      <w:r w:rsidR="00C21C6C">
        <w:rPr>
          <w:rFonts w:ascii="Times New Roman" w:hAnsi="Times New Roman"/>
        </w:rPr>
        <w:t xml:space="preserve"> charged, battery </w:t>
      </w:r>
      <w:r w:rsidR="00AE1F0F">
        <w:rPr>
          <w:rFonts w:ascii="Times New Roman" w:hAnsi="Times New Roman"/>
        </w:rPr>
        <w:t>constitutes</w:t>
      </w:r>
      <w:r w:rsidR="00C21C6C">
        <w:rPr>
          <w:rFonts w:ascii="Times New Roman" w:hAnsi="Times New Roman"/>
        </w:rPr>
        <w:t xml:space="preserve"> a valid alternative verdict.</w:t>
      </w:r>
      <w:r w:rsidR="00C21C6C">
        <w:rPr>
          <w:rStyle w:val="FootnoteReference"/>
          <w:rFonts w:ascii="Times New Roman" w:hAnsi="Times New Roman"/>
        </w:rPr>
        <w:footnoteReference w:id="50"/>
      </w:r>
      <w:r w:rsidR="00C21C6C">
        <w:rPr>
          <w:rFonts w:ascii="Times New Roman" w:hAnsi="Times New Roman"/>
        </w:rPr>
        <w:t xml:space="preserve"> Once again, </w:t>
      </w:r>
      <w:r w:rsidR="00580F04">
        <w:rPr>
          <w:rFonts w:ascii="Times New Roman" w:hAnsi="Times New Roman"/>
        </w:rPr>
        <w:t>these</w:t>
      </w:r>
      <w:r w:rsidR="00C21C6C">
        <w:rPr>
          <w:rFonts w:ascii="Times New Roman" w:hAnsi="Times New Roman"/>
        </w:rPr>
        <w:t xml:space="preserve"> </w:t>
      </w:r>
      <w:r w:rsidR="00DF752C">
        <w:rPr>
          <w:rFonts w:ascii="Times New Roman" w:hAnsi="Times New Roman"/>
        </w:rPr>
        <w:t>practices are</w:t>
      </w:r>
      <w:r w:rsidR="00D71EEE">
        <w:rPr>
          <w:rFonts w:ascii="Times New Roman" w:hAnsi="Times New Roman"/>
        </w:rPr>
        <w:t xml:space="preserve"> pragmatic endeavour</w:t>
      </w:r>
      <w:r w:rsidR="00580F04">
        <w:rPr>
          <w:rFonts w:ascii="Times New Roman" w:hAnsi="Times New Roman"/>
        </w:rPr>
        <w:t>s</w:t>
      </w:r>
      <w:r w:rsidR="00D71EEE">
        <w:rPr>
          <w:rFonts w:ascii="Times New Roman" w:hAnsi="Times New Roman"/>
        </w:rPr>
        <w:t xml:space="preserve">: </w:t>
      </w:r>
      <w:r w:rsidR="00580F04">
        <w:rPr>
          <w:rFonts w:ascii="Times New Roman" w:hAnsi="Times New Roman"/>
        </w:rPr>
        <w:t>they</w:t>
      </w:r>
      <w:r w:rsidR="00D71EEE">
        <w:rPr>
          <w:rFonts w:ascii="Times New Roman" w:hAnsi="Times New Roman"/>
        </w:rPr>
        <w:t xml:space="preserve"> </w:t>
      </w:r>
      <w:r w:rsidR="00580F04">
        <w:rPr>
          <w:rFonts w:ascii="Times New Roman" w:hAnsi="Times New Roman"/>
        </w:rPr>
        <w:t>ensure</w:t>
      </w:r>
      <w:r w:rsidR="00913225">
        <w:rPr>
          <w:rFonts w:ascii="Times New Roman" w:hAnsi="Times New Roman"/>
        </w:rPr>
        <w:t xml:space="preserve"> that D’s </w:t>
      </w:r>
      <w:r w:rsidR="00C977B1">
        <w:rPr>
          <w:rFonts w:ascii="Times New Roman" w:hAnsi="Times New Roman"/>
        </w:rPr>
        <w:t>conviction</w:t>
      </w:r>
      <w:r w:rsidR="00913225">
        <w:rPr>
          <w:rFonts w:ascii="Times New Roman" w:hAnsi="Times New Roman"/>
        </w:rPr>
        <w:t xml:space="preserve"> </w:t>
      </w:r>
      <w:r w:rsidR="00C977B1">
        <w:rPr>
          <w:rFonts w:ascii="Times New Roman" w:hAnsi="Times New Roman"/>
        </w:rPr>
        <w:t xml:space="preserve">fairly </w:t>
      </w:r>
      <w:r w:rsidR="00C977B1">
        <w:rPr>
          <w:rFonts w:ascii="Times New Roman" w:hAnsi="Times New Roman"/>
        </w:rPr>
        <w:lastRenderedPageBreak/>
        <w:t xml:space="preserve">labels </w:t>
      </w:r>
      <w:r w:rsidR="00913225">
        <w:rPr>
          <w:rFonts w:ascii="Times New Roman" w:hAnsi="Times New Roman"/>
        </w:rPr>
        <w:t xml:space="preserve">the harm D has caused. </w:t>
      </w:r>
      <w:r w:rsidR="00580F04">
        <w:rPr>
          <w:rFonts w:ascii="Times New Roman" w:hAnsi="Times New Roman"/>
        </w:rPr>
        <w:t>They</w:t>
      </w:r>
      <w:r w:rsidR="00913225">
        <w:rPr>
          <w:rFonts w:ascii="Times New Roman" w:hAnsi="Times New Roman"/>
        </w:rPr>
        <w:t xml:space="preserve"> also acknowledge the sentencing </w:t>
      </w:r>
      <w:r w:rsidR="00B425DA">
        <w:rPr>
          <w:rFonts w:ascii="Times New Roman" w:hAnsi="Times New Roman"/>
        </w:rPr>
        <w:t>and mode of trial disparities</w:t>
      </w:r>
      <w:r w:rsidR="00913225">
        <w:rPr>
          <w:rFonts w:ascii="Times New Roman" w:hAnsi="Times New Roman"/>
        </w:rPr>
        <w:t xml:space="preserve"> between </w:t>
      </w:r>
      <w:r w:rsidR="00B425DA">
        <w:rPr>
          <w:rFonts w:ascii="Times New Roman" w:hAnsi="Times New Roman"/>
        </w:rPr>
        <w:t>battery and ABH.</w:t>
      </w:r>
      <w:r w:rsidR="00D71EEE">
        <w:rPr>
          <w:rStyle w:val="FootnoteReference"/>
          <w:rFonts w:ascii="Times New Roman" w:hAnsi="Times New Roman"/>
        </w:rPr>
        <w:footnoteReference w:id="51"/>
      </w:r>
      <w:r w:rsidR="00580F04">
        <w:rPr>
          <w:rFonts w:ascii="Times New Roman" w:hAnsi="Times New Roman"/>
        </w:rPr>
        <w:t xml:space="preserve"> </w:t>
      </w:r>
      <w:r w:rsidR="005F2892">
        <w:rPr>
          <w:rFonts w:ascii="Times New Roman" w:hAnsi="Times New Roman"/>
        </w:rPr>
        <w:t>Nonetheless</w:t>
      </w:r>
      <w:r w:rsidR="002E4125">
        <w:rPr>
          <w:rFonts w:ascii="Times New Roman" w:hAnsi="Times New Roman"/>
        </w:rPr>
        <w:t>, such endeavours</w:t>
      </w:r>
      <w:r w:rsidR="00EF1BCE">
        <w:rPr>
          <w:rFonts w:ascii="Times New Roman" w:hAnsi="Times New Roman"/>
        </w:rPr>
        <w:t xml:space="preserve"> </w:t>
      </w:r>
      <w:r w:rsidR="002E4125">
        <w:rPr>
          <w:rFonts w:ascii="Times New Roman" w:hAnsi="Times New Roman"/>
        </w:rPr>
        <w:t>contribute to a</w:t>
      </w:r>
      <w:r w:rsidR="00EF1BCE">
        <w:rPr>
          <w:rFonts w:ascii="Times New Roman" w:hAnsi="Times New Roman"/>
        </w:rPr>
        <w:t xml:space="preserve"> </w:t>
      </w:r>
      <w:r w:rsidR="002E4125">
        <w:rPr>
          <w:rFonts w:ascii="Times New Roman" w:hAnsi="Times New Roman"/>
        </w:rPr>
        <w:t>further muddying of</w:t>
      </w:r>
      <w:r w:rsidR="00EF1BCE">
        <w:rPr>
          <w:rFonts w:ascii="Times New Roman" w:hAnsi="Times New Roman"/>
        </w:rPr>
        <w:t xml:space="preserve"> t</w:t>
      </w:r>
      <w:r w:rsidR="00913225">
        <w:rPr>
          <w:rFonts w:ascii="Times New Roman" w:hAnsi="Times New Roman"/>
        </w:rPr>
        <w:t>he harm distinctions in offences against the person</w:t>
      </w:r>
      <w:r w:rsidR="00173D9C">
        <w:rPr>
          <w:rFonts w:ascii="Times New Roman" w:hAnsi="Times New Roman"/>
        </w:rPr>
        <w:t xml:space="preserve"> which </w:t>
      </w:r>
      <w:r w:rsidR="00A45A55">
        <w:rPr>
          <w:rFonts w:ascii="Times New Roman" w:hAnsi="Times New Roman"/>
        </w:rPr>
        <w:t xml:space="preserve">may frustrate fair warning yet </w:t>
      </w:r>
      <w:r w:rsidR="00FA190C">
        <w:rPr>
          <w:rFonts w:ascii="Times New Roman" w:hAnsi="Times New Roman"/>
        </w:rPr>
        <w:t>more</w:t>
      </w:r>
      <w:r w:rsidR="00A45A55">
        <w:rPr>
          <w:rFonts w:ascii="Times New Roman" w:hAnsi="Times New Roman"/>
        </w:rPr>
        <w:t>.</w:t>
      </w:r>
    </w:p>
    <w:p w:rsidR="00BE0342" w:rsidRDefault="00BE0342" w:rsidP="002E4125">
      <w:pPr>
        <w:autoSpaceDE w:val="0"/>
        <w:autoSpaceDN w:val="0"/>
        <w:adjustRightInd w:val="0"/>
        <w:spacing w:line="480" w:lineRule="auto"/>
        <w:jc w:val="both"/>
        <w:rPr>
          <w:rFonts w:ascii="Times New Roman" w:hAnsi="Times New Roman"/>
        </w:rPr>
      </w:pPr>
    </w:p>
    <w:p w:rsidR="002E4125" w:rsidRDefault="00D231CB" w:rsidP="002E4125">
      <w:pPr>
        <w:autoSpaceDE w:val="0"/>
        <w:autoSpaceDN w:val="0"/>
        <w:adjustRightInd w:val="0"/>
        <w:spacing w:line="480" w:lineRule="auto"/>
        <w:jc w:val="both"/>
        <w:rPr>
          <w:rFonts w:ascii="Times New Roman" w:hAnsi="Times New Roman"/>
        </w:rPr>
      </w:pPr>
      <w:r>
        <w:rPr>
          <w:rFonts w:ascii="Times New Roman" w:hAnsi="Times New Roman"/>
        </w:rPr>
        <w:t>In contrast to</w:t>
      </w:r>
      <w:r w:rsidR="002E4125">
        <w:rPr>
          <w:rFonts w:ascii="Times New Roman" w:hAnsi="Times New Roman"/>
        </w:rPr>
        <w:t xml:space="preserve"> battery, assault occurs where D </w:t>
      </w:r>
      <w:r>
        <w:rPr>
          <w:rFonts w:ascii="Times New Roman" w:hAnsi="Times New Roman"/>
        </w:rPr>
        <w:t>does not make physical co</w:t>
      </w:r>
      <w:r w:rsidR="000B616F">
        <w:rPr>
          <w:rFonts w:ascii="Times New Roman" w:hAnsi="Times New Roman"/>
        </w:rPr>
        <w:t>ntact with V – instead, D</w:t>
      </w:r>
      <w:r>
        <w:rPr>
          <w:rFonts w:ascii="Times New Roman" w:hAnsi="Times New Roman"/>
        </w:rPr>
        <w:t xml:space="preserve"> </w:t>
      </w:r>
      <w:r w:rsidR="000B616F">
        <w:rPr>
          <w:rFonts w:ascii="Times New Roman" w:hAnsi="Times New Roman"/>
        </w:rPr>
        <w:t>causes V (</w:t>
      </w:r>
      <w:r w:rsidR="002E4125">
        <w:rPr>
          <w:rFonts w:ascii="Times New Roman" w:hAnsi="Times New Roman"/>
        </w:rPr>
        <w:t>by</w:t>
      </w:r>
      <w:r w:rsidR="000B616F">
        <w:rPr>
          <w:rFonts w:ascii="Times New Roman" w:hAnsi="Times New Roman"/>
        </w:rPr>
        <w:t xml:space="preserve"> physical actions or mere words)</w:t>
      </w:r>
      <w:r w:rsidR="002E4125">
        <w:rPr>
          <w:rFonts w:ascii="Times New Roman" w:hAnsi="Times New Roman"/>
        </w:rPr>
        <w:t xml:space="preserve"> to </w:t>
      </w:r>
      <w:r w:rsidR="00A0446C" w:rsidRPr="00A0446C">
        <w:rPr>
          <w:rFonts w:ascii="Times New Roman" w:hAnsi="Times New Roman"/>
          <w:i/>
        </w:rPr>
        <w:t>apprehend</w:t>
      </w:r>
      <w:r w:rsidR="002E4125">
        <w:rPr>
          <w:rFonts w:ascii="Times New Roman" w:hAnsi="Times New Roman"/>
        </w:rPr>
        <w:t xml:space="preserve"> contact</w:t>
      </w:r>
      <w:r w:rsidR="00A0446C">
        <w:rPr>
          <w:rFonts w:ascii="Times New Roman" w:hAnsi="Times New Roman"/>
        </w:rPr>
        <w:t>.</w:t>
      </w:r>
      <w:r w:rsidR="00A0446C">
        <w:rPr>
          <w:rStyle w:val="FootnoteReference"/>
          <w:rFonts w:ascii="Times New Roman" w:hAnsi="Times New Roman"/>
        </w:rPr>
        <w:footnoteReference w:id="52"/>
      </w:r>
      <w:r w:rsidR="002E4125">
        <w:rPr>
          <w:rFonts w:ascii="Times New Roman" w:hAnsi="Times New Roman"/>
        </w:rPr>
        <w:t xml:space="preserve"> It is not necessary for V to </w:t>
      </w:r>
      <w:r w:rsidR="00A0446C">
        <w:rPr>
          <w:rFonts w:ascii="Times New Roman" w:hAnsi="Times New Roman"/>
        </w:rPr>
        <w:t>anticipate</w:t>
      </w:r>
      <w:r w:rsidR="002E4125">
        <w:rPr>
          <w:rFonts w:ascii="Times New Roman" w:hAnsi="Times New Roman"/>
        </w:rPr>
        <w:t xml:space="preserve"> that contact will be made by D instantaneously, but the contact should be expected imminently.</w:t>
      </w:r>
      <w:r w:rsidR="00A0446C">
        <w:rPr>
          <w:rStyle w:val="FootnoteReference"/>
          <w:rFonts w:ascii="Times New Roman" w:hAnsi="Times New Roman"/>
        </w:rPr>
        <w:footnoteReference w:id="53"/>
      </w:r>
      <w:r w:rsidR="002E4125">
        <w:rPr>
          <w:rFonts w:ascii="Times New Roman" w:hAnsi="Times New Roman"/>
        </w:rPr>
        <w:t xml:space="preserve"> </w:t>
      </w:r>
      <w:r w:rsidR="00A0446C">
        <w:rPr>
          <w:rFonts w:ascii="Times New Roman" w:hAnsi="Times New Roman"/>
        </w:rPr>
        <w:t xml:space="preserve">Examples of assault may include </w:t>
      </w:r>
      <w:r w:rsidR="00E71EDF">
        <w:rPr>
          <w:rFonts w:ascii="Times New Roman" w:hAnsi="Times New Roman"/>
        </w:rPr>
        <w:t>staring at someone through a window</w:t>
      </w:r>
      <w:r w:rsidR="00E71EDF">
        <w:rPr>
          <w:rStyle w:val="FootnoteReference"/>
          <w:rFonts w:ascii="Times New Roman" w:hAnsi="Times New Roman"/>
        </w:rPr>
        <w:footnoteReference w:id="54"/>
      </w:r>
      <w:r w:rsidR="00E71EDF">
        <w:rPr>
          <w:rFonts w:ascii="Times New Roman" w:hAnsi="Times New Roman"/>
        </w:rPr>
        <w:t xml:space="preserve"> or writing threatening letters.</w:t>
      </w:r>
      <w:r w:rsidR="00E71EDF">
        <w:rPr>
          <w:rStyle w:val="FootnoteReference"/>
          <w:rFonts w:ascii="Times New Roman" w:hAnsi="Times New Roman"/>
        </w:rPr>
        <w:footnoteReference w:id="55"/>
      </w:r>
      <w:r w:rsidR="00E71EDF">
        <w:rPr>
          <w:rFonts w:ascii="Times New Roman" w:hAnsi="Times New Roman"/>
        </w:rPr>
        <w:t xml:space="preserve"> </w:t>
      </w:r>
      <w:r w:rsidR="00263DE9">
        <w:rPr>
          <w:rFonts w:ascii="Times New Roman" w:hAnsi="Times New Roman"/>
        </w:rPr>
        <w:t>Whilst assault and battery</w:t>
      </w:r>
      <w:r w:rsidR="00DB6D86">
        <w:rPr>
          <w:rFonts w:ascii="Times New Roman" w:hAnsi="Times New Roman"/>
        </w:rPr>
        <w:t xml:space="preserve"> </w:t>
      </w:r>
      <w:r w:rsidR="00AD4C80">
        <w:rPr>
          <w:rFonts w:ascii="Times New Roman" w:hAnsi="Times New Roman"/>
        </w:rPr>
        <w:t>target</w:t>
      </w:r>
      <w:r w:rsidR="00263DE9">
        <w:rPr>
          <w:rFonts w:ascii="Times New Roman" w:hAnsi="Times New Roman"/>
        </w:rPr>
        <w:t xml:space="preserve"> distinct </w:t>
      </w:r>
      <w:r w:rsidR="0066654A">
        <w:rPr>
          <w:rFonts w:ascii="Times New Roman" w:hAnsi="Times New Roman"/>
        </w:rPr>
        <w:t>conduct</w:t>
      </w:r>
      <w:r w:rsidR="00263DE9">
        <w:rPr>
          <w:rFonts w:ascii="Times New Roman" w:hAnsi="Times New Roman"/>
        </w:rPr>
        <w:t xml:space="preserve">, </w:t>
      </w:r>
      <w:r w:rsidR="00982758">
        <w:rPr>
          <w:rFonts w:ascii="Times New Roman" w:hAnsi="Times New Roman"/>
        </w:rPr>
        <w:t xml:space="preserve">there remain uncertainties over how the two </w:t>
      </w:r>
      <w:r w:rsidR="000B616F">
        <w:rPr>
          <w:rFonts w:ascii="Times New Roman" w:hAnsi="Times New Roman"/>
        </w:rPr>
        <w:t>crimes</w:t>
      </w:r>
      <w:r w:rsidR="00982758">
        <w:rPr>
          <w:rFonts w:ascii="Times New Roman" w:hAnsi="Times New Roman"/>
        </w:rPr>
        <w:t xml:space="preserve"> </w:t>
      </w:r>
      <w:r w:rsidR="000B616F">
        <w:rPr>
          <w:rFonts w:ascii="Times New Roman" w:hAnsi="Times New Roman"/>
        </w:rPr>
        <w:t>co-exist</w:t>
      </w:r>
      <w:r w:rsidR="00982758">
        <w:rPr>
          <w:rFonts w:ascii="Times New Roman" w:hAnsi="Times New Roman"/>
        </w:rPr>
        <w:t>. Even though</w:t>
      </w:r>
      <w:r w:rsidR="002E4125">
        <w:rPr>
          <w:rFonts w:ascii="Times New Roman" w:hAnsi="Times New Roman"/>
        </w:rPr>
        <w:t xml:space="preserve"> they </w:t>
      </w:r>
      <w:r w:rsidR="002A2E77">
        <w:rPr>
          <w:rFonts w:ascii="Times New Roman" w:hAnsi="Times New Roman"/>
        </w:rPr>
        <w:t>are</w:t>
      </w:r>
      <w:r w:rsidR="002E4125">
        <w:rPr>
          <w:rFonts w:ascii="Times New Roman" w:hAnsi="Times New Roman"/>
        </w:rPr>
        <w:t xml:space="preserve"> </w:t>
      </w:r>
      <w:r w:rsidR="008B5D11">
        <w:rPr>
          <w:rFonts w:ascii="Times New Roman" w:hAnsi="Times New Roman"/>
        </w:rPr>
        <w:t>independent</w:t>
      </w:r>
      <w:r w:rsidR="002E4125">
        <w:rPr>
          <w:rFonts w:ascii="Times New Roman" w:hAnsi="Times New Roman"/>
        </w:rPr>
        <w:t xml:space="preserve"> </w:t>
      </w:r>
      <w:r w:rsidR="000B616F">
        <w:rPr>
          <w:rFonts w:ascii="Times New Roman" w:hAnsi="Times New Roman"/>
        </w:rPr>
        <w:t>offences</w:t>
      </w:r>
      <w:r w:rsidR="002E4125">
        <w:rPr>
          <w:rFonts w:ascii="Times New Roman" w:hAnsi="Times New Roman"/>
        </w:rPr>
        <w:t xml:space="preserve">, the term </w:t>
      </w:r>
      <w:r w:rsidR="00954A7E">
        <w:rPr>
          <w:rFonts w:ascii="Times New Roman" w:hAnsi="Times New Roman"/>
        </w:rPr>
        <w:t>“</w:t>
      </w:r>
      <w:r w:rsidR="002E4125">
        <w:rPr>
          <w:rFonts w:ascii="Times New Roman" w:hAnsi="Times New Roman"/>
        </w:rPr>
        <w:t>assault</w:t>
      </w:r>
      <w:r w:rsidR="00954A7E">
        <w:rPr>
          <w:rFonts w:ascii="Times New Roman" w:hAnsi="Times New Roman"/>
        </w:rPr>
        <w:t>”</w:t>
      </w:r>
      <w:r w:rsidR="002E4125">
        <w:rPr>
          <w:rFonts w:ascii="Times New Roman" w:hAnsi="Times New Roman"/>
        </w:rPr>
        <w:t xml:space="preserve"> (or </w:t>
      </w:r>
      <w:r w:rsidR="00954A7E">
        <w:rPr>
          <w:rFonts w:ascii="Times New Roman" w:hAnsi="Times New Roman"/>
        </w:rPr>
        <w:t>“common assault”</w:t>
      </w:r>
      <w:r w:rsidR="002E4125">
        <w:rPr>
          <w:rFonts w:ascii="Times New Roman" w:hAnsi="Times New Roman"/>
        </w:rPr>
        <w:t xml:space="preserve">) is frequently used as a generic label for assault </w:t>
      </w:r>
      <w:r w:rsidR="002E4125" w:rsidRPr="00033962">
        <w:rPr>
          <w:rFonts w:ascii="Times New Roman" w:hAnsi="Times New Roman"/>
          <w:i/>
        </w:rPr>
        <w:t>or</w:t>
      </w:r>
      <w:r w:rsidR="002E4125">
        <w:rPr>
          <w:rFonts w:ascii="Times New Roman" w:hAnsi="Times New Roman"/>
        </w:rPr>
        <w:t xml:space="preserve"> battery.</w:t>
      </w:r>
      <w:r w:rsidR="00982758">
        <w:rPr>
          <w:rFonts w:ascii="Times New Roman" w:hAnsi="Times New Roman"/>
        </w:rPr>
        <w:t xml:space="preserve"> This </w:t>
      </w:r>
      <w:r w:rsidR="00A45A55">
        <w:rPr>
          <w:rFonts w:ascii="Times New Roman" w:hAnsi="Times New Roman"/>
        </w:rPr>
        <w:t>practic</w:t>
      </w:r>
      <w:r w:rsidR="00AD4C80">
        <w:rPr>
          <w:rFonts w:ascii="Times New Roman" w:hAnsi="Times New Roman"/>
        </w:rPr>
        <w:t>e further impedes fair warning</w:t>
      </w:r>
      <w:r w:rsidR="00982758">
        <w:rPr>
          <w:rFonts w:ascii="Times New Roman" w:hAnsi="Times New Roman"/>
        </w:rPr>
        <w:t>.</w:t>
      </w:r>
      <w:r w:rsidR="003173B1">
        <w:rPr>
          <w:rStyle w:val="FootnoteReference"/>
          <w:rFonts w:ascii="Times New Roman" w:hAnsi="Times New Roman"/>
        </w:rPr>
        <w:footnoteReference w:id="56"/>
      </w:r>
      <w:r w:rsidR="00982758">
        <w:rPr>
          <w:rFonts w:ascii="Times New Roman" w:hAnsi="Times New Roman"/>
        </w:rPr>
        <w:t xml:space="preserve"> The courts have attempted to correct </w:t>
      </w:r>
      <w:r w:rsidR="00AD4C80">
        <w:rPr>
          <w:rFonts w:ascii="Times New Roman" w:hAnsi="Times New Roman"/>
        </w:rPr>
        <w:t>that</w:t>
      </w:r>
      <w:r w:rsidR="00982758">
        <w:rPr>
          <w:rFonts w:ascii="Times New Roman" w:hAnsi="Times New Roman"/>
        </w:rPr>
        <w:t xml:space="preserve"> confusion by </w:t>
      </w:r>
      <w:r w:rsidR="005505CB">
        <w:rPr>
          <w:rFonts w:ascii="Times New Roman" w:hAnsi="Times New Roman"/>
        </w:rPr>
        <w:t>separating the offences as</w:t>
      </w:r>
      <w:r w:rsidR="00954A7E">
        <w:rPr>
          <w:rFonts w:ascii="Times New Roman" w:hAnsi="Times New Roman"/>
        </w:rPr>
        <w:t xml:space="preserve"> “common assault”</w:t>
      </w:r>
      <w:r w:rsidR="00982758">
        <w:rPr>
          <w:rFonts w:ascii="Times New Roman" w:hAnsi="Times New Roman"/>
        </w:rPr>
        <w:t xml:space="preserve"> and</w:t>
      </w:r>
      <w:r w:rsidR="00954A7E">
        <w:rPr>
          <w:rFonts w:ascii="Times New Roman" w:hAnsi="Times New Roman"/>
        </w:rPr>
        <w:t xml:space="preserve"> “assault by beating”</w:t>
      </w:r>
      <w:r w:rsidR="003173B1">
        <w:rPr>
          <w:rFonts w:ascii="Times New Roman" w:hAnsi="Times New Roman"/>
        </w:rPr>
        <w:t>.</w:t>
      </w:r>
      <w:r w:rsidR="005505CB">
        <w:rPr>
          <w:rStyle w:val="FootnoteReference"/>
          <w:rFonts w:ascii="Times New Roman" w:hAnsi="Times New Roman"/>
        </w:rPr>
        <w:footnoteReference w:id="57"/>
      </w:r>
      <w:r w:rsidR="005505CB">
        <w:rPr>
          <w:rFonts w:ascii="Times New Roman" w:hAnsi="Times New Roman"/>
        </w:rPr>
        <w:t xml:space="preserve"> </w:t>
      </w:r>
      <w:r w:rsidR="008B5D11">
        <w:rPr>
          <w:rFonts w:ascii="Times New Roman" w:hAnsi="Times New Roman"/>
        </w:rPr>
        <w:t>This</w:t>
      </w:r>
      <w:r w:rsidR="003173B1">
        <w:rPr>
          <w:rFonts w:ascii="Times New Roman" w:hAnsi="Times New Roman"/>
        </w:rPr>
        <w:t xml:space="preserve"> continues to have implications for prosecutors who must</w:t>
      </w:r>
      <w:r w:rsidR="0066654A">
        <w:rPr>
          <w:rFonts w:ascii="Times New Roman" w:hAnsi="Times New Roman"/>
        </w:rPr>
        <w:t xml:space="preserve"> </w:t>
      </w:r>
      <w:r w:rsidR="003F53B9">
        <w:rPr>
          <w:rFonts w:ascii="Times New Roman" w:hAnsi="Times New Roman"/>
        </w:rPr>
        <w:t>draft</w:t>
      </w:r>
      <w:r w:rsidR="003173B1">
        <w:rPr>
          <w:rFonts w:ascii="Times New Roman" w:hAnsi="Times New Roman"/>
        </w:rPr>
        <w:t xml:space="preserve"> the appropriate charge.</w:t>
      </w:r>
      <w:r w:rsidR="007B1027">
        <w:rPr>
          <w:rStyle w:val="FootnoteReference"/>
          <w:rFonts w:ascii="Times New Roman" w:hAnsi="Times New Roman"/>
        </w:rPr>
        <w:footnoteReference w:id="58"/>
      </w:r>
      <w:r w:rsidR="003173B1">
        <w:rPr>
          <w:rFonts w:ascii="Times New Roman" w:hAnsi="Times New Roman"/>
        </w:rPr>
        <w:t xml:space="preserve"> </w:t>
      </w:r>
      <w:r w:rsidR="00507DBB">
        <w:rPr>
          <w:rFonts w:ascii="Times New Roman" w:hAnsi="Times New Roman"/>
        </w:rPr>
        <w:t xml:space="preserve">Notwithstanding this problem, one common feature of assault and battery </w:t>
      </w:r>
      <w:r w:rsidR="00507DBB" w:rsidRPr="00BE0342">
        <w:rPr>
          <w:rFonts w:ascii="Times New Roman" w:hAnsi="Times New Roman"/>
          <w:i/>
        </w:rPr>
        <w:t>is</w:t>
      </w:r>
      <w:r w:rsidR="00507DBB">
        <w:rPr>
          <w:rFonts w:ascii="Times New Roman" w:hAnsi="Times New Roman"/>
        </w:rPr>
        <w:t xml:space="preserve"> clear: </w:t>
      </w:r>
      <w:r w:rsidR="00333582">
        <w:rPr>
          <w:rFonts w:ascii="Times New Roman" w:hAnsi="Times New Roman"/>
        </w:rPr>
        <w:t xml:space="preserve">D may use </w:t>
      </w:r>
      <w:r w:rsidR="00263DE9">
        <w:rPr>
          <w:rFonts w:ascii="Times New Roman" w:hAnsi="Times New Roman"/>
        </w:rPr>
        <w:t xml:space="preserve">V’s consent </w:t>
      </w:r>
      <w:r w:rsidR="005F2892">
        <w:rPr>
          <w:rFonts w:ascii="Times New Roman" w:hAnsi="Times New Roman"/>
        </w:rPr>
        <w:t xml:space="preserve">to harm </w:t>
      </w:r>
      <w:r w:rsidR="00333582">
        <w:rPr>
          <w:rFonts w:ascii="Times New Roman" w:hAnsi="Times New Roman"/>
        </w:rPr>
        <w:t>as</w:t>
      </w:r>
      <w:r w:rsidR="005F2892">
        <w:rPr>
          <w:rFonts w:ascii="Times New Roman" w:hAnsi="Times New Roman"/>
        </w:rPr>
        <w:t xml:space="preserve"> an answer to a charge under either offence. </w:t>
      </w:r>
      <w:r w:rsidR="00AD727E">
        <w:rPr>
          <w:rFonts w:ascii="Times New Roman" w:hAnsi="Times New Roman"/>
        </w:rPr>
        <w:t xml:space="preserve">No liability will ensue. </w:t>
      </w:r>
      <w:r w:rsidR="005F2892">
        <w:rPr>
          <w:rFonts w:ascii="Times New Roman" w:hAnsi="Times New Roman"/>
        </w:rPr>
        <w:t xml:space="preserve">Importantly, such consent will </w:t>
      </w:r>
      <w:r w:rsidR="005F2892" w:rsidRPr="007B6CAE">
        <w:rPr>
          <w:rFonts w:ascii="Times New Roman" w:hAnsi="Times New Roman"/>
          <w:i/>
        </w:rPr>
        <w:t>not</w:t>
      </w:r>
      <w:r w:rsidR="005F2892">
        <w:rPr>
          <w:rFonts w:ascii="Times New Roman" w:hAnsi="Times New Roman"/>
        </w:rPr>
        <w:t xml:space="preserve"> neg</w:t>
      </w:r>
      <w:r w:rsidR="00263DE9">
        <w:rPr>
          <w:rFonts w:ascii="Times New Roman" w:hAnsi="Times New Roman"/>
        </w:rPr>
        <w:t>ate D’s</w:t>
      </w:r>
      <w:r w:rsidR="005F2892">
        <w:rPr>
          <w:rFonts w:ascii="Times New Roman" w:hAnsi="Times New Roman"/>
        </w:rPr>
        <w:t xml:space="preserve"> </w:t>
      </w:r>
      <w:r w:rsidR="00263DE9">
        <w:rPr>
          <w:rFonts w:ascii="Times New Roman" w:hAnsi="Times New Roman"/>
        </w:rPr>
        <w:t xml:space="preserve">liability </w:t>
      </w:r>
      <w:r w:rsidR="005F2892">
        <w:rPr>
          <w:rFonts w:ascii="Times New Roman" w:hAnsi="Times New Roman"/>
        </w:rPr>
        <w:t xml:space="preserve">for any </w:t>
      </w:r>
      <w:r w:rsidR="00BE0342">
        <w:rPr>
          <w:rFonts w:ascii="Times New Roman" w:hAnsi="Times New Roman"/>
        </w:rPr>
        <w:t>harm</w:t>
      </w:r>
      <w:r w:rsidR="002217A6">
        <w:rPr>
          <w:rFonts w:ascii="Times New Roman" w:hAnsi="Times New Roman"/>
        </w:rPr>
        <w:t xml:space="preserve"> </w:t>
      </w:r>
      <w:r w:rsidR="00333582">
        <w:rPr>
          <w:rFonts w:ascii="Times New Roman" w:hAnsi="Times New Roman"/>
        </w:rPr>
        <w:lastRenderedPageBreak/>
        <w:t xml:space="preserve">caused </w:t>
      </w:r>
      <w:r w:rsidR="007F0089">
        <w:rPr>
          <w:rFonts w:ascii="Times New Roman" w:hAnsi="Times New Roman"/>
        </w:rPr>
        <w:t>above</w:t>
      </w:r>
      <w:r w:rsidR="002217A6">
        <w:rPr>
          <w:rFonts w:ascii="Times New Roman" w:hAnsi="Times New Roman"/>
        </w:rPr>
        <w:t xml:space="preserve"> a battery</w:t>
      </w:r>
      <w:r w:rsidR="001E1A41">
        <w:rPr>
          <w:rFonts w:ascii="Times New Roman" w:hAnsi="Times New Roman"/>
        </w:rPr>
        <w:t xml:space="preserve">, unless </w:t>
      </w:r>
      <w:r w:rsidR="00D92132">
        <w:rPr>
          <w:rFonts w:ascii="Times New Roman" w:hAnsi="Times New Roman"/>
        </w:rPr>
        <w:t>D</w:t>
      </w:r>
      <w:r w:rsidR="00242121">
        <w:rPr>
          <w:rFonts w:ascii="Times New Roman" w:hAnsi="Times New Roman"/>
        </w:rPr>
        <w:t xml:space="preserve"> does not intend or foresee that harm</w:t>
      </w:r>
      <w:r w:rsidR="001E1A41">
        <w:rPr>
          <w:rFonts w:ascii="Times New Roman" w:hAnsi="Times New Roman"/>
        </w:rPr>
        <w:t>.</w:t>
      </w:r>
      <w:r w:rsidR="00263DE9">
        <w:rPr>
          <w:rStyle w:val="FootnoteReference"/>
          <w:rFonts w:ascii="Times New Roman" w:hAnsi="Times New Roman"/>
        </w:rPr>
        <w:footnoteReference w:id="59"/>
      </w:r>
      <w:r w:rsidR="00B153D8">
        <w:rPr>
          <w:rFonts w:ascii="Times New Roman" w:hAnsi="Times New Roman"/>
        </w:rPr>
        <w:t xml:space="preserve"> Where such harm falls within a specified exception, D will also not be liable.</w:t>
      </w:r>
      <w:r w:rsidR="00B153D8">
        <w:rPr>
          <w:rStyle w:val="FootnoteReference"/>
          <w:rFonts w:ascii="Times New Roman" w:hAnsi="Times New Roman"/>
        </w:rPr>
        <w:footnoteReference w:id="60"/>
      </w:r>
    </w:p>
    <w:p w:rsidR="00B31BB4" w:rsidRDefault="00B31BB4" w:rsidP="009D1359">
      <w:pPr>
        <w:autoSpaceDE w:val="0"/>
        <w:autoSpaceDN w:val="0"/>
        <w:adjustRightInd w:val="0"/>
        <w:spacing w:line="480" w:lineRule="auto"/>
        <w:jc w:val="both"/>
        <w:rPr>
          <w:rFonts w:ascii="Times New Roman" w:hAnsi="Times New Roman"/>
          <w:i/>
        </w:rPr>
      </w:pPr>
    </w:p>
    <w:p w:rsidR="002217A6" w:rsidRPr="00B81630" w:rsidRDefault="002217A6" w:rsidP="009D1359">
      <w:pPr>
        <w:autoSpaceDE w:val="0"/>
        <w:autoSpaceDN w:val="0"/>
        <w:adjustRightInd w:val="0"/>
        <w:spacing w:line="480" w:lineRule="auto"/>
        <w:jc w:val="both"/>
        <w:rPr>
          <w:rFonts w:ascii="Times New Roman" w:hAnsi="Times New Roman"/>
          <w:i/>
        </w:rPr>
      </w:pPr>
      <w:r w:rsidRPr="00B81630">
        <w:rPr>
          <w:rFonts w:ascii="Times New Roman" w:hAnsi="Times New Roman"/>
          <w:i/>
        </w:rPr>
        <w:t>Framing fault</w:t>
      </w:r>
    </w:p>
    <w:p w:rsidR="00B81630" w:rsidRDefault="005A1CAB" w:rsidP="009D1359">
      <w:pPr>
        <w:autoSpaceDE w:val="0"/>
        <w:autoSpaceDN w:val="0"/>
        <w:adjustRightInd w:val="0"/>
        <w:spacing w:line="480" w:lineRule="auto"/>
        <w:jc w:val="both"/>
        <w:rPr>
          <w:rFonts w:ascii="Times New Roman" w:hAnsi="Times New Roman"/>
        </w:rPr>
      </w:pPr>
      <w:r w:rsidRPr="009D1359">
        <w:rPr>
          <w:rFonts w:ascii="Times New Roman" w:hAnsi="Times New Roman"/>
        </w:rPr>
        <w:t xml:space="preserve">As with </w:t>
      </w:r>
      <w:r>
        <w:rPr>
          <w:rFonts w:ascii="Times New Roman" w:hAnsi="Times New Roman"/>
        </w:rPr>
        <w:t>conduct</w:t>
      </w:r>
      <w:r w:rsidRPr="009D1359">
        <w:rPr>
          <w:rFonts w:ascii="Times New Roman" w:hAnsi="Times New Roman"/>
        </w:rPr>
        <w:t xml:space="preserve">, </w:t>
      </w:r>
      <w:r>
        <w:rPr>
          <w:rFonts w:ascii="Times New Roman" w:hAnsi="Times New Roman"/>
        </w:rPr>
        <w:t>incoherence</w:t>
      </w:r>
      <w:r w:rsidRPr="009D1359">
        <w:rPr>
          <w:rFonts w:ascii="Times New Roman" w:hAnsi="Times New Roman"/>
        </w:rPr>
        <w:t xml:space="preserve"> </w:t>
      </w:r>
      <w:r w:rsidR="00302A10">
        <w:rPr>
          <w:rFonts w:ascii="Times New Roman" w:hAnsi="Times New Roman"/>
        </w:rPr>
        <w:t>similarly</w:t>
      </w:r>
      <w:r w:rsidR="00335E23">
        <w:rPr>
          <w:rFonts w:ascii="Times New Roman" w:hAnsi="Times New Roman"/>
        </w:rPr>
        <w:t xml:space="preserve"> </w:t>
      </w:r>
      <w:r w:rsidRPr="009D1359">
        <w:rPr>
          <w:rFonts w:ascii="Times New Roman" w:hAnsi="Times New Roman"/>
        </w:rPr>
        <w:t xml:space="preserve">features </w:t>
      </w:r>
      <w:r w:rsidR="00991BB8">
        <w:rPr>
          <w:rFonts w:ascii="Times New Roman" w:hAnsi="Times New Roman"/>
        </w:rPr>
        <w:t>at the level of</w:t>
      </w:r>
      <w:r>
        <w:rPr>
          <w:rFonts w:ascii="Times New Roman" w:hAnsi="Times New Roman"/>
        </w:rPr>
        <w:t xml:space="preserve"> </w:t>
      </w:r>
      <w:r w:rsidRPr="009D1359">
        <w:rPr>
          <w:rFonts w:ascii="Times New Roman" w:hAnsi="Times New Roman"/>
        </w:rPr>
        <w:t>fault</w:t>
      </w:r>
      <w:r>
        <w:rPr>
          <w:rFonts w:ascii="Times New Roman" w:hAnsi="Times New Roman"/>
        </w:rPr>
        <w:t>.</w:t>
      </w:r>
      <w:r w:rsidR="00A82EB1">
        <w:rPr>
          <w:rFonts w:ascii="Times New Roman" w:hAnsi="Times New Roman"/>
        </w:rPr>
        <w:t xml:space="preserve"> Much of this concerns the </w:t>
      </w:r>
      <w:r w:rsidR="008764E4">
        <w:rPr>
          <w:rFonts w:ascii="Times New Roman" w:hAnsi="Times New Roman"/>
        </w:rPr>
        <w:t>imposition</w:t>
      </w:r>
      <w:r w:rsidR="00A82EB1">
        <w:rPr>
          <w:rFonts w:ascii="Times New Roman" w:hAnsi="Times New Roman"/>
        </w:rPr>
        <w:t xml:space="preserve"> of constructive liability, </w:t>
      </w:r>
      <w:r w:rsidR="002102AD">
        <w:rPr>
          <w:rFonts w:ascii="Times New Roman" w:hAnsi="Times New Roman"/>
        </w:rPr>
        <w:t>although</w:t>
      </w:r>
      <w:r w:rsidR="00991BB8">
        <w:rPr>
          <w:rFonts w:ascii="Times New Roman" w:hAnsi="Times New Roman"/>
        </w:rPr>
        <w:t xml:space="preserve"> it</w:t>
      </w:r>
      <w:r w:rsidR="008764E4">
        <w:rPr>
          <w:rFonts w:ascii="Times New Roman" w:hAnsi="Times New Roman"/>
        </w:rPr>
        <w:t xml:space="preserve"> also</w:t>
      </w:r>
      <w:r w:rsidR="00991BB8">
        <w:rPr>
          <w:rFonts w:ascii="Times New Roman" w:hAnsi="Times New Roman"/>
        </w:rPr>
        <w:t xml:space="preserve"> </w:t>
      </w:r>
      <w:r w:rsidR="002102AD">
        <w:rPr>
          <w:rFonts w:ascii="Times New Roman" w:hAnsi="Times New Roman"/>
        </w:rPr>
        <w:t xml:space="preserve">extends to </w:t>
      </w:r>
      <w:r w:rsidR="008764E4">
        <w:rPr>
          <w:rFonts w:ascii="Times New Roman" w:hAnsi="Times New Roman"/>
        </w:rPr>
        <w:t>assessment</w:t>
      </w:r>
      <w:r w:rsidR="00F41F19">
        <w:rPr>
          <w:rFonts w:ascii="Times New Roman" w:hAnsi="Times New Roman"/>
        </w:rPr>
        <w:t xml:space="preserve"> of</w:t>
      </w:r>
      <w:r w:rsidR="00991BB8">
        <w:rPr>
          <w:rFonts w:ascii="Times New Roman" w:hAnsi="Times New Roman"/>
        </w:rPr>
        <w:t xml:space="preserve"> culpability in disease transmission cases. </w:t>
      </w:r>
      <w:r w:rsidR="00F41F19">
        <w:rPr>
          <w:rFonts w:ascii="Times New Roman" w:hAnsi="Times New Roman"/>
        </w:rPr>
        <w:t>Again, t</w:t>
      </w:r>
      <w:r w:rsidR="00991BB8">
        <w:rPr>
          <w:rFonts w:ascii="Times New Roman" w:hAnsi="Times New Roman"/>
        </w:rPr>
        <w:t>hese tricky matters are</w:t>
      </w:r>
      <w:r w:rsidR="00A82EB1">
        <w:rPr>
          <w:rFonts w:ascii="Times New Roman" w:hAnsi="Times New Roman"/>
        </w:rPr>
        <w:t xml:space="preserve"> highlighted by the SCP.</w:t>
      </w:r>
      <w:r w:rsidR="00A82EB1">
        <w:rPr>
          <w:rStyle w:val="FootnoteReference"/>
          <w:rFonts w:ascii="Times New Roman" w:hAnsi="Times New Roman"/>
        </w:rPr>
        <w:footnoteReference w:id="61"/>
      </w:r>
    </w:p>
    <w:p w:rsidR="005A1CAB" w:rsidRDefault="005A1CAB" w:rsidP="009D1359">
      <w:pPr>
        <w:autoSpaceDE w:val="0"/>
        <w:autoSpaceDN w:val="0"/>
        <w:adjustRightInd w:val="0"/>
        <w:spacing w:line="480" w:lineRule="auto"/>
        <w:jc w:val="both"/>
        <w:rPr>
          <w:rFonts w:ascii="Times New Roman" w:hAnsi="Times New Roman"/>
        </w:rPr>
      </w:pPr>
    </w:p>
    <w:p w:rsidR="00B81630" w:rsidRPr="00B81630" w:rsidRDefault="00554F3E" w:rsidP="00B81630">
      <w:pPr>
        <w:autoSpaceDE w:val="0"/>
        <w:autoSpaceDN w:val="0"/>
        <w:adjustRightInd w:val="0"/>
        <w:spacing w:line="480" w:lineRule="auto"/>
        <w:jc w:val="both"/>
        <w:rPr>
          <w:rFonts w:ascii="Times New Roman" w:hAnsi="Times New Roman"/>
        </w:rPr>
      </w:pPr>
      <w:r>
        <w:rPr>
          <w:rFonts w:ascii="Times New Roman" w:hAnsi="Times New Roman"/>
        </w:rPr>
        <w:t>(a</w:t>
      </w:r>
      <w:r w:rsidR="00B81630">
        <w:rPr>
          <w:rFonts w:ascii="Times New Roman" w:hAnsi="Times New Roman"/>
        </w:rPr>
        <w:t xml:space="preserve">) </w:t>
      </w:r>
      <w:r w:rsidR="00B81630" w:rsidRPr="00B81630">
        <w:rPr>
          <w:rFonts w:ascii="Times New Roman" w:hAnsi="Times New Roman"/>
        </w:rPr>
        <w:t>Sect</w:t>
      </w:r>
      <w:r w:rsidR="00B81630">
        <w:rPr>
          <w:rFonts w:ascii="Times New Roman" w:hAnsi="Times New Roman"/>
        </w:rPr>
        <w:t>ion 18</w:t>
      </w:r>
    </w:p>
    <w:p w:rsidR="0026197D" w:rsidRDefault="008764E4" w:rsidP="009D1359">
      <w:pPr>
        <w:autoSpaceDE w:val="0"/>
        <w:autoSpaceDN w:val="0"/>
        <w:adjustRightInd w:val="0"/>
        <w:spacing w:line="480" w:lineRule="auto"/>
        <w:jc w:val="both"/>
        <w:rPr>
          <w:rFonts w:ascii="Times New Roman" w:hAnsi="Times New Roman"/>
        </w:rPr>
      </w:pPr>
      <w:r>
        <w:rPr>
          <w:rFonts w:ascii="Times New Roman" w:hAnsi="Times New Roman"/>
        </w:rPr>
        <w:t>A</w:t>
      </w:r>
      <w:r w:rsidR="00823C4C" w:rsidRPr="009D1359">
        <w:rPr>
          <w:rFonts w:ascii="Times New Roman" w:hAnsi="Times New Roman"/>
        </w:rPr>
        <w:t>t</w:t>
      </w:r>
      <w:r w:rsidR="005B36CB" w:rsidRPr="009D1359">
        <w:rPr>
          <w:rFonts w:ascii="Times New Roman" w:hAnsi="Times New Roman"/>
        </w:rPr>
        <w:t xml:space="preserve"> the </w:t>
      </w:r>
      <w:r w:rsidR="00B371E7">
        <w:rPr>
          <w:rFonts w:ascii="Times New Roman" w:hAnsi="Times New Roman"/>
        </w:rPr>
        <w:t>head</w:t>
      </w:r>
      <w:r w:rsidR="005B36CB" w:rsidRPr="009D1359">
        <w:rPr>
          <w:rFonts w:ascii="Times New Roman" w:hAnsi="Times New Roman"/>
        </w:rPr>
        <w:t xml:space="preserve"> of the</w:t>
      </w:r>
      <w:r w:rsidR="00823C4C" w:rsidRPr="009D1359">
        <w:rPr>
          <w:rFonts w:ascii="Times New Roman" w:hAnsi="Times New Roman"/>
        </w:rPr>
        <w:t xml:space="preserve"> injury hierarchy, t</w:t>
      </w:r>
      <w:r w:rsidR="004E1A9F" w:rsidRPr="009D1359">
        <w:rPr>
          <w:rFonts w:ascii="Times New Roman" w:hAnsi="Times New Roman"/>
        </w:rPr>
        <w:t>he</w:t>
      </w:r>
      <w:r w:rsidR="00F0158C" w:rsidRPr="009D1359">
        <w:rPr>
          <w:rFonts w:ascii="Times New Roman" w:hAnsi="Times New Roman"/>
        </w:rPr>
        <w:t xml:space="preserve"> </w:t>
      </w:r>
      <w:r w:rsidR="00335E23">
        <w:rPr>
          <w:rFonts w:ascii="Times New Roman" w:hAnsi="Times New Roman"/>
        </w:rPr>
        <w:t>text</w:t>
      </w:r>
      <w:r w:rsidR="00F0158C" w:rsidRPr="009D1359">
        <w:rPr>
          <w:rFonts w:ascii="Times New Roman" w:hAnsi="Times New Roman"/>
        </w:rPr>
        <w:t xml:space="preserve"> </w:t>
      </w:r>
      <w:r w:rsidR="00C74A7E">
        <w:rPr>
          <w:rFonts w:ascii="Times New Roman" w:hAnsi="Times New Roman"/>
        </w:rPr>
        <w:t>of</w:t>
      </w:r>
      <w:r w:rsidR="00F0158C" w:rsidRPr="009D1359">
        <w:rPr>
          <w:rFonts w:ascii="Times New Roman" w:hAnsi="Times New Roman"/>
        </w:rPr>
        <w:t xml:space="preserve"> s.18 </w:t>
      </w:r>
      <w:r w:rsidR="00335E23">
        <w:rPr>
          <w:rFonts w:ascii="Times New Roman" w:hAnsi="Times New Roman"/>
        </w:rPr>
        <w:t>stipulates</w:t>
      </w:r>
      <w:r w:rsidR="002A3483">
        <w:rPr>
          <w:rFonts w:ascii="Times New Roman" w:hAnsi="Times New Roman"/>
        </w:rPr>
        <w:t xml:space="preserve"> </w:t>
      </w:r>
      <w:r w:rsidR="000C5F32">
        <w:rPr>
          <w:rFonts w:ascii="Times New Roman" w:hAnsi="Times New Roman"/>
        </w:rPr>
        <w:t>“</w:t>
      </w:r>
      <w:r w:rsidR="002A3483">
        <w:rPr>
          <w:rFonts w:ascii="Times New Roman" w:hAnsi="Times New Roman"/>
        </w:rPr>
        <w:t>malice</w:t>
      </w:r>
      <w:r w:rsidR="000C5F32">
        <w:rPr>
          <w:rFonts w:ascii="Times New Roman" w:hAnsi="Times New Roman"/>
        </w:rPr>
        <w:t>”</w:t>
      </w:r>
      <w:r w:rsidR="00335E23">
        <w:rPr>
          <w:rFonts w:ascii="Times New Roman" w:hAnsi="Times New Roman"/>
        </w:rPr>
        <w:t xml:space="preserve"> as the </w:t>
      </w:r>
      <w:r w:rsidR="00302A10">
        <w:rPr>
          <w:rFonts w:ascii="Times New Roman" w:hAnsi="Times New Roman"/>
        </w:rPr>
        <w:t>required</w:t>
      </w:r>
      <w:r w:rsidR="00335E23">
        <w:rPr>
          <w:rFonts w:ascii="Times New Roman" w:hAnsi="Times New Roman"/>
        </w:rPr>
        <w:t xml:space="preserve"> </w:t>
      </w:r>
      <w:proofErr w:type="spellStart"/>
      <w:r w:rsidR="00335E23">
        <w:rPr>
          <w:rFonts w:ascii="Times New Roman" w:hAnsi="Times New Roman"/>
        </w:rPr>
        <w:t>mens</w:t>
      </w:r>
      <w:proofErr w:type="spellEnd"/>
      <w:r w:rsidR="00335E23">
        <w:rPr>
          <w:rFonts w:ascii="Times New Roman" w:hAnsi="Times New Roman"/>
        </w:rPr>
        <w:t xml:space="preserve"> rea standard</w:t>
      </w:r>
      <w:r w:rsidR="002A3483">
        <w:rPr>
          <w:rFonts w:ascii="Times New Roman" w:hAnsi="Times New Roman"/>
        </w:rPr>
        <w:t xml:space="preserve">. </w:t>
      </w:r>
      <w:r w:rsidR="004F7CA1">
        <w:rPr>
          <w:rFonts w:ascii="Times New Roman" w:hAnsi="Times New Roman"/>
        </w:rPr>
        <w:t xml:space="preserve">Nowadays, this term </w:t>
      </w:r>
      <w:r w:rsidR="00335E23">
        <w:rPr>
          <w:rFonts w:ascii="Times New Roman" w:hAnsi="Times New Roman"/>
        </w:rPr>
        <w:t xml:space="preserve">is understood as </w:t>
      </w:r>
      <w:r w:rsidR="00302A10">
        <w:rPr>
          <w:rFonts w:ascii="Times New Roman" w:hAnsi="Times New Roman"/>
        </w:rPr>
        <w:t>meaning</w:t>
      </w:r>
      <w:r w:rsidR="00AD6402">
        <w:rPr>
          <w:rFonts w:ascii="Times New Roman" w:hAnsi="Times New Roman"/>
        </w:rPr>
        <w:t xml:space="preserve"> intention or recklessness. </w:t>
      </w:r>
      <w:r w:rsidR="00A542F2">
        <w:rPr>
          <w:rFonts w:ascii="Times New Roman" w:hAnsi="Times New Roman"/>
        </w:rPr>
        <w:t xml:space="preserve">However, despite this, s.18 </w:t>
      </w:r>
      <w:r w:rsidR="00A542F2" w:rsidRPr="009D1359">
        <w:rPr>
          <w:rFonts w:ascii="Times New Roman" w:hAnsi="Times New Roman"/>
        </w:rPr>
        <w:t xml:space="preserve">can </w:t>
      </w:r>
      <w:r w:rsidR="00A542F2" w:rsidRPr="00302A10">
        <w:rPr>
          <w:rFonts w:ascii="Times New Roman" w:hAnsi="Times New Roman"/>
          <w:i/>
        </w:rPr>
        <w:t>only</w:t>
      </w:r>
      <w:r w:rsidR="00A542F2" w:rsidRPr="009D1359">
        <w:rPr>
          <w:rFonts w:ascii="Times New Roman" w:hAnsi="Times New Roman"/>
        </w:rPr>
        <w:t xml:space="preserve"> be committed intentionally; recklessness is insufficient.</w:t>
      </w:r>
      <w:r w:rsidR="00A542F2" w:rsidRPr="009D1359">
        <w:rPr>
          <w:rStyle w:val="FootnoteReference"/>
          <w:rFonts w:ascii="Times New Roman" w:hAnsi="Times New Roman"/>
        </w:rPr>
        <w:footnoteReference w:id="62"/>
      </w:r>
      <w:r w:rsidR="00A542F2" w:rsidRPr="009D1359">
        <w:rPr>
          <w:rFonts w:ascii="Times New Roman" w:hAnsi="Times New Roman"/>
        </w:rPr>
        <w:t xml:space="preserve"> </w:t>
      </w:r>
      <w:r w:rsidR="004A5A7D" w:rsidRPr="009D1359">
        <w:rPr>
          <w:rFonts w:ascii="Times New Roman" w:hAnsi="Times New Roman"/>
        </w:rPr>
        <w:t>Significantly</w:t>
      </w:r>
      <w:r w:rsidR="00CE6292" w:rsidRPr="009D1359">
        <w:rPr>
          <w:rFonts w:ascii="Times New Roman" w:hAnsi="Times New Roman"/>
        </w:rPr>
        <w:t xml:space="preserve">, </w:t>
      </w:r>
      <w:r w:rsidR="002D0E86">
        <w:rPr>
          <w:rFonts w:ascii="Times New Roman" w:hAnsi="Times New Roman"/>
        </w:rPr>
        <w:t xml:space="preserve">the </w:t>
      </w:r>
      <w:r w:rsidR="00450778">
        <w:rPr>
          <w:rFonts w:ascii="Times New Roman" w:hAnsi="Times New Roman"/>
        </w:rPr>
        <w:t xml:space="preserve">actus </w:t>
      </w:r>
      <w:proofErr w:type="spellStart"/>
      <w:proofErr w:type="gramStart"/>
      <w:r w:rsidR="00450778">
        <w:rPr>
          <w:rFonts w:ascii="Times New Roman" w:hAnsi="Times New Roman"/>
        </w:rPr>
        <w:t>reus</w:t>
      </w:r>
      <w:proofErr w:type="spellEnd"/>
      <w:proofErr w:type="gramEnd"/>
      <w:r w:rsidR="002D0E86">
        <w:rPr>
          <w:rFonts w:ascii="Times New Roman" w:hAnsi="Times New Roman"/>
        </w:rPr>
        <w:t xml:space="preserve"> of </w:t>
      </w:r>
      <w:r w:rsidR="004E1A9F" w:rsidRPr="009D1359">
        <w:rPr>
          <w:rFonts w:ascii="Times New Roman" w:hAnsi="Times New Roman"/>
        </w:rPr>
        <w:t>s.18</w:t>
      </w:r>
      <w:r w:rsidR="002D0E86">
        <w:rPr>
          <w:rFonts w:ascii="Times New Roman" w:hAnsi="Times New Roman"/>
        </w:rPr>
        <w:t xml:space="preserve"> – wounding or causing GBH – attach</w:t>
      </w:r>
      <w:r w:rsidR="00450778">
        <w:rPr>
          <w:rFonts w:ascii="Times New Roman" w:hAnsi="Times New Roman"/>
        </w:rPr>
        <w:t>es</w:t>
      </w:r>
      <w:r w:rsidR="002D0E86">
        <w:rPr>
          <w:rFonts w:ascii="Times New Roman" w:hAnsi="Times New Roman"/>
        </w:rPr>
        <w:t xml:space="preserve"> to two</w:t>
      </w:r>
      <w:r w:rsidR="00B16972">
        <w:rPr>
          <w:rFonts w:ascii="Times New Roman" w:hAnsi="Times New Roman"/>
        </w:rPr>
        <w:t xml:space="preserve"> </w:t>
      </w:r>
      <w:proofErr w:type="spellStart"/>
      <w:r w:rsidR="00B16972" w:rsidRPr="00E51A72">
        <w:rPr>
          <w:rFonts w:ascii="Times New Roman" w:hAnsi="Times New Roman"/>
        </w:rPr>
        <w:t>men</w:t>
      </w:r>
      <w:r w:rsidR="00450778">
        <w:rPr>
          <w:rFonts w:ascii="Times New Roman" w:hAnsi="Times New Roman"/>
        </w:rPr>
        <w:t>s</w:t>
      </w:r>
      <w:proofErr w:type="spellEnd"/>
      <w:r w:rsidR="00450778">
        <w:rPr>
          <w:rFonts w:ascii="Times New Roman" w:hAnsi="Times New Roman"/>
        </w:rPr>
        <w:t xml:space="preserve"> rea </w:t>
      </w:r>
      <w:r w:rsidR="00D957E3">
        <w:rPr>
          <w:rFonts w:ascii="Times New Roman" w:hAnsi="Times New Roman"/>
        </w:rPr>
        <w:t>modes</w:t>
      </w:r>
      <w:r w:rsidR="005F2994" w:rsidRPr="009D1359">
        <w:rPr>
          <w:rFonts w:ascii="Times New Roman" w:hAnsi="Times New Roman"/>
        </w:rPr>
        <w:t>:</w:t>
      </w:r>
      <w:r w:rsidR="00CE6292" w:rsidRPr="009D1359">
        <w:rPr>
          <w:rFonts w:ascii="Times New Roman" w:hAnsi="Times New Roman"/>
        </w:rPr>
        <w:t xml:space="preserve"> intention as to </w:t>
      </w:r>
      <w:r w:rsidR="00357314">
        <w:rPr>
          <w:rFonts w:ascii="Times New Roman" w:hAnsi="Times New Roman"/>
        </w:rPr>
        <w:t xml:space="preserve">causing </w:t>
      </w:r>
      <w:r w:rsidR="00CE6292" w:rsidRPr="000B616F">
        <w:rPr>
          <w:rFonts w:ascii="Times New Roman" w:hAnsi="Times New Roman"/>
        </w:rPr>
        <w:t>GBH</w:t>
      </w:r>
      <w:r w:rsidR="005F2994" w:rsidRPr="009D1359">
        <w:rPr>
          <w:rFonts w:ascii="Times New Roman" w:hAnsi="Times New Roman"/>
        </w:rPr>
        <w:t xml:space="preserve"> </w:t>
      </w:r>
      <w:r w:rsidR="005F2994" w:rsidRPr="000B616F">
        <w:rPr>
          <w:rFonts w:ascii="Times New Roman" w:hAnsi="Times New Roman"/>
          <w:i/>
        </w:rPr>
        <w:t>or</w:t>
      </w:r>
      <w:r w:rsidR="005F2994" w:rsidRPr="009D1359">
        <w:rPr>
          <w:rFonts w:ascii="Times New Roman" w:hAnsi="Times New Roman"/>
        </w:rPr>
        <w:t xml:space="preserve"> </w:t>
      </w:r>
      <w:r w:rsidR="00D957E3">
        <w:rPr>
          <w:rFonts w:ascii="Times New Roman" w:hAnsi="Times New Roman"/>
        </w:rPr>
        <w:t xml:space="preserve">intention as to </w:t>
      </w:r>
      <w:r w:rsidR="005F2994" w:rsidRPr="000B616F">
        <w:rPr>
          <w:rFonts w:ascii="Times New Roman" w:hAnsi="Times New Roman"/>
        </w:rPr>
        <w:t>resisting/</w:t>
      </w:r>
      <w:r w:rsidR="00CE6292" w:rsidRPr="000B616F">
        <w:rPr>
          <w:rFonts w:ascii="Times New Roman" w:hAnsi="Times New Roman"/>
        </w:rPr>
        <w:t>prevent</w:t>
      </w:r>
      <w:r w:rsidR="005F2994" w:rsidRPr="000B616F">
        <w:rPr>
          <w:rFonts w:ascii="Times New Roman" w:hAnsi="Times New Roman"/>
        </w:rPr>
        <w:t>ing</w:t>
      </w:r>
      <w:r w:rsidR="00CE6292" w:rsidRPr="000B616F">
        <w:rPr>
          <w:rFonts w:ascii="Times New Roman" w:hAnsi="Times New Roman"/>
        </w:rPr>
        <w:t xml:space="preserve"> the lawful apprehension or detention of any person</w:t>
      </w:r>
      <w:r w:rsidR="0070673D">
        <w:rPr>
          <w:rFonts w:ascii="Times New Roman" w:hAnsi="Times New Roman"/>
        </w:rPr>
        <w:t xml:space="preserve">. </w:t>
      </w:r>
      <w:r w:rsidR="0026197D">
        <w:rPr>
          <w:rFonts w:ascii="Times New Roman" w:hAnsi="Times New Roman"/>
        </w:rPr>
        <w:t xml:space="preserve">This </w:t>
      </w:r>
      <w:r w:rsidR="00084283">
        <w:rPr>
          <w:rFonts w:ascii="Times New Roman" w:hAnsi="Times New Roman"/>
        </w:rPr>
        <w:t>produces</w:t>
      </w:r>
      <w:r w:rsidR="0026197D">
        <w:rPr>
          <w:rFonts w:ascii="Times New Roman" w:hAnsi="Times New Roman"/>
        </w:rPr>
        <w:t xml:space="preserve"> four variants of s.18:</w:t>
      </w:r>
    </w:p>
    <w:p w:rsidR="008D7FD9" w:rsidRDefault="008D7FD9" w:rsidP="009D1359">
      <w:pPr>
        <w:autoSpaceDE w:val="0"/>
        <w:autoSpaceDN w:val="0"/>
        <w:adjustRightInd w:val="0"/>
        <w:spacing w:line="480" w:lineRule="auto"/>
        <w:jc w:val="both"/>
        <w:rPr>
          <w:rFonts w:ascii="Times New Roman" w:hAnsi="Times New Roman"/>
        </w:rPr>
      </w:pPr>
    </w:p>
    <w:p w:rsidR="0026197D" w:rsidRPr="00B4467D" w:rsidRDefault="0026197D" w:rsidP="00B4467D">
      <w:pPr>
        <w:pStyle w:val="ListParagraph"/>
        <w:numPr>
          <w:ilvl w:val="0"/>
          <w:numId w:val="7"/>
        </w:numPr>
        <w:autoSpaceDE w:val="0"/>
        <w:autoSpaceDN w:val="0"/>
        <w:adjustRightInd w:val="0"/>
        <w:spacing w:line="480" w:lineRule="auto"/>
        <w:jc w:val="both"/>
        <w:rPr>
          <w:rFonts w:ascii="Times New Roman" w:hAnsi="Times New Roman"/>
        </w:rPr>
      </w:pPr>
      <w:r w:rsidRPr="00B4467D">
        <w:rPr>
          <w:rFonts w:ascii="Times New Roman" w:hAnsi="Times New Roman"/>
        </w:rPr>
        <w:t>wounding with intent to do GBH;</w:t>
      </w:r>
    </w:p>
    <w:p w:rsidR="0026197D" w:rsidRDefault="0026197D" w:rsidP="0026197D">
      <w:pPr>
        <w:pStyle w:val="ListParagraph"/>
        <w:numPr>
          <w:ilvl w:val="0"/>
          <w:numId w:val="7"/>
        </w:numPr>
        <w:autoSpaceDE w:val="0"/>
        <w:autoSpaceDN w:val="0"/>
        <w:adjustRightInd w:val="0"/>
        <w:spacing w:line="480" w:lineRule="auto"/>
        <w:jc w:val="both"/>
        <w:rPr>
          <w:rFonts w:ascii="Times New Roman" w:hAnsi="Times New Roman"/>
        </w:rPr>
      </w:pPr>
      <w:r>
        <w:rPr>
          <w:rFonts w:ascii="Times New Roman" w:hAnsi="Times New Roman"/>
        </w:rPr>
        <w:t>causing GBH with intent to do GBH;</w:t>
      </w:r>
    </w:p>
    <w:p w:rsidR="0026197D" w:rsidRDefault="0026197D" w:rsidP="0026197D">
      <w:pPr>
        <w:pStyle w:val="ListParagraph"/>
        <w:numPr>
          <w:ilvl w:val="0"/>
          <w:numId w:val="7"/>
        </w:numPr>
        <w:autoSpaceDE w:val="0"/>
        <w:autoSpaceDN w:val="0"/>
        <w:adjustRightInd w:val="0"/>
        <w:spacing w:line="480" w:lineRule="auto"/>
        <w:jc w:val="both"/>
        <w:rPr>
          <w:rFonts w:ascii="Times New Roman" w:hAnsi="Times New Roman"/>
        </w:rPr>
      </w:pPr>
      <w:r>
        <w:rPr>
          <w:rFonts w:ascii="Times New Roman" w:hAnsi="Times New Roman"/>
        </w:rPr>
        <w:t>wounding with intent to resist or prevent apprehension or detention; and</w:t>
      </w:r>
    </w:p>
    <w:p w:rsidR="0026197D" w:rsidRDefault="0026197D" w:rsidP="009D1359">
      <w:pPr>
        <w:pStyle w:val="ListParagraph"/>
        <w:numPr>
          <w:ilvl w:val="0"/>
          <w:numId w:val="7"/>
        </w:numPr>
        <w:autoSpaceDE w:val="0"/>
        <w:autoSpaceDN w:val="0"/>
        <w:adjustRightInd w:val="0"/>
        <w:spacing w:line="480" w:lineRule="auto"/>
        <w:jc w:val="both"/>
        <w:rPr>
          <w:rFonts w:ascii="Times New Roman" w:hAnsi="Times New Roman"/>
        </w:rPr>
      </w:pPr>
      <w:proofErr w:type="gramStart"/>
      <w:r w:rsidRPr="0026197D">
        <w:rPr>
          <w:rFonts w:ascii="Times New Roman" w:hAnsi="Times New Roman"/>
        </w:rPr>
        <w:t>causing</w:t>
      </w:r>
      <w:proofErr w:type="gramEnd"/>
      <w:r w:rsidRPr="0026197D">
        <w:rPr>
          <w:rFonts w:ascii="Times New Roman" w:hAnsi="Times New Roman"/>
        </w:rPr>
        <w:t xml:space="preserve"> GBH with intent to resist or prevent apprehension or detention. </w:t>
      </w:r>
    </w:p>
    <w:p w:rsidR="001050BA" w:rsidRPr="001050BA" w:rsidRDefault="001050BA" w:rsidP="001050BA">
      <w:pPr>
        <w:autoSpaceDE w:val="0"/>
        <w:autoSpaceDN w:val="0"/>
        <w:adjustRightInd w:val="0"/>
        <w:spacing w:line="480" w:lineRule="auto"/>
        <w:ind w:left="360"/>
        <w:jc w:val="both"/>
        <w:rPr>
          <w:rFonts w:ascii="Times New Roman" w:hAnsi="Times New Roman"/>
        </w:rPr>
      </w:pPr>
    </w:p>
    <w:p w:rsidR="00E67956" w:rsidRDefault="00D957E3" w:rsidP="009D1359">
      <w:pPr>
        <w:autoSpaceDE w:val="0"/>
        <w:autoSpaceDN w:val="0"/>
        <w:adjustRightInd w:val="0"/>
        <w:spacing w:line="480" w:lineRule="auto"/>
        <w:jc w:val="both"/>
        <w:rPr>
          <w:rFonts w:ascii="Times New Roman" w:hAnsi="Times New Roman"/>
        </w:rPr>
      </w:pPr>
      <w:r>
        <w:rPr>
          <w:rFonts w:ascii="Times New Roman" w:hAnsi="Times New Roman"/>
        </w:rPr>
        <w:t xml:space="preserve">The </w:t>
      </w:r>
      <w:proofErr w:type="spellStart"/>
      <w:r>
        <w:rPr>
          <w:rFonts w:ascii="Times New Roman" w:hAnsi="Times New Roman"/>
        </w:rPr>
        <w:t>mens</w:t>
      </w:r>
      <w:proofErr w:type="spellEnd"/>
      <w:r>
        <w:rPr>
          <w:rFonts w:ascii="Times New Roman" w:hAnsi="Times New Roman"/>
        </w:rPr>
        <w:t xml:space="preserve"> rea of s</w:t>
      </w:r>
      <w:r w:rsidR="00CE6292" w:rsidRPr="009D1359">
        <w:rPr>
          <w:rFonts w:ascii="Times New Roman" w:hAnsi="Times New Roman"/>
        </w:rPr>
        <w:t>.18 operates straightforwardly</w:t>
      </w:r>
      <w:r w:rsidR="00B4467D">
        <w:rPr>
          <w:rFonts w:ascii="Times New Roman" w:hAnsi="Times New Roman"/>
        </w:rPr>
        <w:t xml:space="preserve"> in variant </w:t>
      </w:r>
      <w:r w:rsidR="0026197D">
        <w:rPr>
          <w:rFonts w:ascii="Times New Roman" w:hAnsi="Times New Roman"/>
        </w:rPr>
        <w:t>2</w:t>
      </w:r>
      <w:r w:rsidR="00253755">
        <w:rPr>
          <w:rFonts w:ascii="Times New Roman" w:hAnsi="Times New Roman"/>
        </w:rPr>
        <w:t>.</w:t>
      </w:r>
      <w:r w:rsidR="00CE6292" w:rsidRPr="009D1359">
        <w:rPr>
          <w:rFonts w:ascii="Times New Roman" w:hAnsi="Times New Roman"/>
        </w:rPr>
        <w:t xml:space="preserve"> </w:t>
      </w:r>
      <w:r w:rsidR="004012AA" w:rsidRPr="009D1359">
        <w:rPr>
          <w:rFonts w:ascii="Times New Roman" w:hAnsi="Times New Roman"/>
        </w:rPr>
        <w:t>However</w:t>
      </w:r>
      <w:r w:rsidR="00CE6292" w:rsidRPr="009D1359">
        <w:rPr>
          <w:rFonts w:ascii="Times New Roman" w:hAnsi="Times New Roman"/>
        </w:rPr>
        <w:t xml:space="preserve">, </w:t>
      </w:r>
      <w:r w:rsidR="00296899">
        <w:rPr>
          <w:rFonts w:ascii="Times New Roman" w:hAnsi="Times New Roman"/>
        </w:rPr>
        <w:t>this</w:t>
      </w:r>
      <w:r w:rsidR="00577B1A">
        <w:rPr>
          <w:rFonts w:ascii="Times New Roman" w:hAnsi="Times New Roman"/>
        </w:rPr>
        <w:t xml:space="preserve"> is not the case</w:t>
      </w:r>
      <w:r w:rsidR="00D313A8">
        <w:rPr>
          <w:rFonts w:ascii="Times New Roman" w:hAnsi="Times New Roman"/>
        </w:rPr>
        <w:t xml:space="preserve"> in </w:t>
      </w:r>
      <w:r w:rsidR="007A12C2">
        <w:rPr>
          <w:rFonts w:ascii="Times New Roman" w:hAnsi="Times New Roman"/>
        </w:rPr>
        <w:t>variant</w:t>
      </w:r>
      <w:r w:rsidR="00B4467D">
        <w:rPr>
          <w:rFonts w:ascii="Times New Roman" w:hAnsi="Times New Roman"/>
        </w:rPr>
        <w:t xml:space="preserve"> 1</w:t>
      </w:r>
      <w:r w:rsidR="0026197D">
        <w:rPr>
          <w:rFonts w:ascii="Times New Roman" w:hAnsi="Times New Roman"/>
        </w:rPr>
        <w:t xml:space="preserve">. </w:t>
      </w:r>
      <w:r w:rsidR="00577B1A">
        <w:rPr>
          <w:rFonts w:ascii="Times New Roman" w:hAnsi="Times New Roman"/>
        </w:rPr>
        <w:t>Whilst</w:t>
      </w:r>
      <w:r w:rsidR="00CE6292" w:rsidRPr="009D1359">
        <w:rPr>
          <w:rFonts w:ascii="Times New Roman" w:hAnsi="Times New Roman"/>
        </w:rPr>
        <w:t xml:space="preserve"> s.18 </w:t>
      </w:r>
      <w:r w:rsidR="00577B1A">
        <w:rPr>
          <w:rFonts w:ascii="Times New Roman" w:hAnsi="Times New Roman"/>
        </w:rPr>
        <w:t>may be</w:t>
      </w:r>
      <w:r w:rsidR="00CE6292" w:rsidRPr="009D1359">
        <w:rPr>
          <w:rFonts w:ascii="Times New Roman" w:hAnsi="Times New Roman"/>
        </w:rPr>
        <w:t xml:space="preserve"> committed by </w:t>
      </w:r>
      <w:r w:rsidR="00CE6292" w:rsidRPr="008D7FD9">
        <w:rPr>
          <w:rFonts w:ascii="Times New Roman" w:hAnsi="Times New Roman"/>
        </w:rPr>
        <w:t>wounding</w:t>
      </w:r>
      <w:r w:rsidR="00CE6292" w:rsidRPr="009D1359">
        <w:rPr>
          <w:rFonts w:ascii="Times New Roman" w:hAnsi="Times New Roman"/>
        </w:rPr>
        <w:t xml:space="preserve">, </w:t>
      </w:r>
      <w:r w:rsidR="00192D09" w:rsidRPr="009D1359">
        <w:rPr>
          <w:rFonts w:ascii="Times New Roman" w:hAnsi="Times New Roman"/>
        </w:rPr>
        <w:t>an intention to wound</w:t>
      </w:r>
      <w:r w:rsidR="005F2994" w:rsidRPr="009D1359">
        <w:rPr>
          <w:rFonts w:ascii="Times New Roman" w:hAnsi="Times New Roman"/>
        </w:rPr>
        <w:t xml:space="preserve"> </w:t>
      </w:r>
      <w:r w:rsidR="004E1A9F" w:rsidRPr="009D1359">
        <w:rPr>
          <w:rFonts w:ascii="Times New Roman" w:hAnsi="Times New Roman"/>
        </w:rPr>
        <w:t xml:space="preserve">will </w:t>
      </w:r>
      <w:r w:rsidR="004E1A9F" w:rsidRPr="008D7FD9">
        <w:rPr>
          <w:rFonts w:ascii="Times New Roman" w:hAnsi="Times New Roman"/>
          <w:i/>
        </w:rPr>
        <w:t>not</w:t>
      </w:r>
      <w:r w:rsidR="004E1A9F" w:rsidRPr="009D1359">
        <w:rPr>
          <w:rFonts w:ascii="Times New Roman" w:hAnsi="Times New Roman"/>
        </w:rPr>
        <w:t xml:space="preserve"> </w:t>
      </w:r>
      <w:r w:rsidR="004E66D2" w:rsidRPr="009D1359">
        <w:rPr>
          <w:rFonts w:ascii="Times New Roman" w:hAnsi="Times New Roman"/>
        </w:rPr>
        <w:lastRenderedPageBreak/>
        <w:t xml:space="preserve">complete </w:t>
      </w:r>
      <w:r w:rsidR="00CF03C3" w:rsidRPr="009D1359">
        <w:rPr>
          <w:rFonts w:ascii="Times New Roman" w:hAnsi="Times New Roman"/>
        </w:rPr>
        <w:t>the</w:t>
      </w:r>
      <w:r w:rsidR="00566470" w:rsidRPr="009D1359">
        <w:rPr>
          <w:rFonts w:ascii="Times New Roman" w:hAnsi="Times New Roman"/>
        </w:rPr>
        <w:t xml:space="preserve"> </w:t>
      </w:r>
      <w:r w:rsidR="005B36CB" w:rsidRPr="009D1359">
        <w:rPr>
          <w:rFonts w:ascii="Times New Roman" w:hAnsi="Times New Roman"/>
        </w:rPr>
        <w:t>crime</w:t>
      </w:r>
      <w:r w:rsidR="005F2994" w:rsidRPr="009D1359">
        <w:rPr>
          <w:rFonts w:ascii="Times New Roman" w:hAnsi="Times New Roman"/>
        </w:rPr>
        <w:t xml:space="preserve"> – </w:t>
      </w:r>
      <w:r w:rsidR="00CF03C3" w:rsidRPr="009D1359">
        <w:rPr>
          <w:rFonts w:ascii="Times New Roman" w:hAnsi="Times New Roman"/>
        </w:rPr>
        <w:t xml:space="preserve">s.18 prescribes </w:t>
      </w:r>
      <w:r w:rsidR="00F777A1" w:rsidRPr="009D1359">
        <w:rPr>
          <w:rFonts w:ascii="Times New Roman" w:hAnsi="Times New Roman"/>
        </w:rPr>
        <w:t>no such</w:t>
      </w:r>
      <w:r w:rsidR="00CE6292" w:rsidRPr="009D1359">
        <w:rPr>
          <w:rFonts w:ascii="Times New Roman" w:hAnsi="Times New Roman"/>
        </w:rPr>
        <w:t xml:space="preserve"> </w:t>
      </w:r>
      <w:r w:rsidR="007D2558">
        <w:rPr>
          <w:rFonts w:ascii="Times New Roman" w:hAnsi="Times New Roman"/>
        </w:rPr>
        <w:t>type</w:t>
      </w:r>
      <w:r w:rsidR="005F2994" w:rsidRPr="009D1359">
        <w:rPr>
          <w:rFonts w:ascii="Times New Roman" w:hAnsi="Times New Roman"/>
        </w:rPr>
        <w:t xml:space="preserve"> of intention. Accordingly, the </w:t>
      </w:r>
      <w:r w:rsidR="00CE6292" w:rsidRPr="009D1359">
        <w:rPr>
          <w:rFonts w:ascii="Times New Roman" w:hAnsi="Times New Roman"/>
        </w:rPr>
        <w:t xml:space="preserve">offence is not complete unless D </w:t>
      </w:r>
      <w:r w:rsidR="005F2994" w:rsidRPr="009D1359">
        <w:rPr>
          <w:rFonts w:ascii="Times New Roman" w:hAnsi="Times New Roman"/>
        </w:rPr>
        <w:t xml:space="preserve">wounds </w:t>
      </w:r>
      <w:r w:rsidR="00CF03C3" w:rsidRPr="009D1359">
        <w:rPr>
          <w:rFonts w:ascii="Times New Roman" w:hAnsi="Times New Roman"/>
        </w:rPr>
        <w:t xml:space="preserve">V </w:t>
      </w:r>
      <w:r w:rsidR="005F2994" w:rsidRPr="009D1359">
        <w:rPr>
          <w:rFonts w:ascii="Times New Roman" w:hAnsi="Times New Roman"/>
        </w:rPr>
        <w:t>with</w:t>
      </w:r>
      <w:r w:rsidR="00CE6292" w:rsidRPr="009D1359">
        <w:rPr>
          <w:rFonts w:ascii="Times New Roman" w:hAnsi="Times New Roman"/>
        </w:rPr>
        <w:t xml:space="preserve"> the </w:t>
      </w:r>
      <w:r w:rsidR="00CE6292" w:rsidRPr="009D1359">
        <w:rPr>
          <w:rFonts w:ascii="Times New Roman" w:hAnsi="Times New Roman"/>
          <w:i/>
        </w:rPr>
        <w:t>ulterior</w:t>
      </w:r>
      <w:r w:rsidR="00CE6292" w:rsidRPr="009D1359">
        <w:rPr>
          <w:rFonts w:ascii="Times New Roman" w:hAnsi="Times New Roman"/>
        </w:rPr>
        <w:t xml:space="preserve"> intent to do GBH</w:t>
      </w:r>
      <w:r w:rsidR="00192D09" w:rsidRPr="009D1359">
        <w:rPr>
          <w:rFonts w:ascii="Times New Roman" w:hAnsi="Times New Roman"/>
        </w:rPr>
        <w:t xml:space="preserve">. </w:t>
      </w:r>
      <w:r w:rsidR="00EE6427" w:rsidRPr="009D1359">
        <w:rPr>
          <w:rFonts w:ascii="Times New Roman" w:hAnsi="Times New Roman"/>
        </w:rPr>
        <w:t xml:space="preserve">Of course, where the wound is serious, </w:t>
      </w:r>
      <w:r w:rsidR="00A37B57" w:rsidRPr="009D1359">
        <w:rPr>
          <w:rFonts w:ascii="Times New Roman" w:hAnsi="Times New Roman"/>
        </w:rPr>
        <w:t>an</w:t>
      </w:r>
      <w:r w:rsidR="00EE6427" w:rsidRPr="009D1359">
        <w:rPr>
          <w:rFonts w:ascii="Times New Roman" w:hAnsi="Times New Roman"/>
        </w:rPr>
        <w:t xml:space="preserve"> ulterior intent </w:t>
      </w:r>
      <w:r w:rsidR="00A37B57" w:rsidRPr="009D1359">
        <w:rPr>
          <w:rFonts w:ascii="Times New Roman" w:hAnsi="Times New Roman"/>
        </w:rPr>
        <w:t xml:space="preserve">to do GBH will often be </w:t>
      </w:r>
      <w:proofErr w:type="gramStart"/>
      <w:r w:rsidR="00A37B57" w:rsidRPr="009D1359">
        <w:rPr>
          <w:rFonts w:ascii="Times New Roman" w:hAnsi="Times New Roman"/>
        </w:rPr>
        <w:t>present,</w:t>
      </w:r>
      <w:proofErr w:type="gramEnd"/>
      <w:r w:rsidR="00A37B57" w:rsidRPr="009D1359">
        <w:rPr>
          <w:rFonts w:ascii="Times New Roman" w:hAnsi="Times New Roman"/>
        </w:rPr>
        <w:t xml:space="preserve"> althoug</w:t>
      </w:r>
      <w:r w:rsidR="0010785C" w:rsidRPr="009D1359">
        <w:rPr>
          <w:rFonts w:ascii="Times New Roman" w:hAnsi="Times New Roman"/>
        </w:rPr>
        <w:t xml:space="preserve">h s.20 </w:t>
      </w:r>
      <w:r w:rsidR="0046125F">
        <w:rPr>
          <w:rFonts w:ascii="Times New Roman" w:hAnsi="Times New Roman"/>
        </w:rPr>
        <w:t>is</w:t>
      </w:r>
      <w:r w:rsidR="0010785C" w:rsidRPr="009D1359">
        <w:rPr>
          <w:rFonts w:ascii="Times New Roman" w:hAnsi="Times New Roman"/>
        </w:rPr>
        <w:t xml:space="preserve"> relied upon where</w:t>
      </w:r>
      <w:r w:rsidR="00F777A1" w:rsidRPr="009D1359">
        <w:rPr>
          <w:rFonts w:ascii="Times New Roman" w:hAnsi="Times New Roman"/>
        </w:rPr>
        <w:t xml:space="preserve"> D wounds V </w:t>
      </w:r>
      <w:r w:rsidR="00CF03C3" w:rsidRPr="009D1359">
        <w:rPr>
          <w:rFonts w:ascii="Times New Roman" w:hAnsi="Times New Roman"/>
        </w:rPr>
        <w:t>and</w:t>
      </w:r>
      <w:r w:rsidR="0010785C" w:rsidRPr="009D1359">
        <w:rPr>
          <w:rFonts w:ascii="Times New Roman" w:hAnsi="Times New Roman"/>
        </w:rPr>
        <w:t xml:space="preserve"> </w:t>
      </w:r>
      <w:r w:rsidR="00003FFB" w:rsidRPr="009D1359">
        <w:rPr>
          <w:rFonts w:ascii="Times New Roman" w:hAnsi="Times New Roman"/>
        </w:rPr>
        <w:t>no ulterior intent</w:t>
      </w:r>
      <w:r w:rsidR="006E05FE">
        <w:rPr>
          <w:rFonts w:ascii="Times New Roman" w:hAnsi="Times New Roman"/>
        </w:rPr>
        <w:t xml:space="preserve"> to do GBH </w:t>
      </w:r>
      <w:r w:rsidR="0010785C" w:rsidRPr="009D1359">
        <w:rPr>
          <w:rFonts w:ascii="Times New Roman" w:hAnsi="Times New Roman"/>
        </w:rPr>
        <w:t>can be established</w:t>
      </w:r>
      <w:r w:rsidR="00A37B57" w:rsidRPr="009D1359">
        <w:rPr>
          <w:rFonts w:ascii="Times New Roman" w:hAnsi="Times New Roman"/>
        </w:rPr>
        <w:t>.</w:t>
      </w:r>
      <w:r w:rsidR="00F777A1" w:rsidRPr="009D1359">
        <w:rPr>
          <w:rFonts w:ascii="Times New Roman" w:hAnsi="Times New Roman"/>
        </w:rPr>
        <w:t xml:space="preserve"> </w:t>
      </w:r>
    </w:p>
    <w:p w:rsidR="00E67956" w:rsidRDefault="00E67956" w:rsidP="009D1359">
      <w:pPr>
        <w:autoSpaceDE w:val="0"/>
        <w:autoSpaceDN w:val="0"/>
        <w:adjustRightInd w:val="0"/>
        <w:spacing w:line="480" w:lineRule="auto"/>
        <w:jc w:val="both"/>
        <w:rPr>
          <w:rFonts w:ascii="Times New Roman" w:hAnsi="Times New Roman"/>
        </w:rPr>
      </w:pPr>
    </w:p>
    <w:p w:rsidR="002C0504" w:rsidRPr="006C6A54" w:rsidRDefault="001C5802" w:rsidP="006C6A54">
      <w:pPr>
        <w:autoSpaceDE w:val="0"/>
        <w:autoSpaceDN w:val="0"/>
        <w:adjustRightInd w:val="0"/>
        <w:spacing w:line="480" w:lineRule="auto"/>
        <w:jc w:val="both"/>
        <w:rPr>
          <w:rFonts w:ascii="Times New Roman" w:hAnsi="Times New Roman"/>
        </w:rPr>
      </w:pPr>
      <w:r>
        <w:rPr>
          <w:rFonts w:ascii="Times New Roman" w:hAnsi="Times New Roman"/>
        </w:rPr>
        <w:t>Meanwhile, v</w:t>
      </w:r>
      <w:r w:rsidR="00B4467D">
        <w:rPr>
          <w:rFonts w:ascii="Times New Roman" w:hAnsi="Times New Roman"/>
        </w:rPr>
        <w:t>ariants 3 and 4</w:t>
      </w:r>
      <w:r w:rsidR="00296899">
        <w:rPr>
          <w:rFonts w:ascii="Times New Roman" w:hAnsi="Times New Roman"/>
        </w:rPr>
        <w:t xml:space="preserve"> </w:t>
      </w:r>
      <w:r>
        <w:rPr>
          <w:rFonts w:ascii="Times New Roman" w:hAnsi="Times New Roman"/>
        </w:rPr>
        <w:t>are</w:t>
      </w:r>
      <w:r w:rsidR="00296899">
        <w:rPr>
          <w:rFonts w:ascii="Times New Roman" w:hAnsi="Times New Roman"/>
        </w:rPr>
        <w:t xml:space="preserve"> particularly controversial. </w:t>
      </w:r>
      <w:r w:rsidR="006D5755">
        <w:rPr>
          <w:rFonts w:ascii="Times New Roman" w:hAnsi="Times New Roman"/>
        </w:rPr>
        <w:t xml:space="preserve">Here, there is </w:t>
      </w:r>
      <w:r w:rsidR="001B64B0">
        <w:rPr>
          <w:rFonts w:ascii="Times New Roman" w:hAnsi="Times New Roman"/>
        </w:rPr>
        <w:t xml:space="preserve">a </w:t>
      </w:r>
      <w:r w:rsidR="006D5755" w:rsidRPr="009D1359">
        <w:rPr>
          <w:rFonts w:ascii="Times New Roman" w:hAnsi="Times New Roman"/>
        </w:rPr>
        <w:t>mismatch between the harm caused</w:t>
      </w:r>
      <w:r w:rsidR="00DB210D">
        <w:rPr>
          <w:rFonts w:ascii="Times New Roman" w:hAnsi="Times New Roman"/>
        </w:rPr>
        <w:t xml:space="preserve"> </w:t>
      </w:r>
      <w:r w:rsidR="006D5755" w:rsidRPr="009D1359">
        <w:rPr>
          <w:rFonts w:ascii="Times New Roman" w:hAnsi="Times New Roman"/>
        </w:rPr>
        <w:t xml:space="preserve">and </w:t>
      </w:r>
      <w:r w:rsidR="006D5755">
        <w:rPr>
          <w:rFonts w:ascii="Times New Roman" w:hAnsi="Times New Roman"/>
        </w:rPr>
        <w:t xml:space="preserve">the </w:t>
      </w:r>
      <w:r w:rsidR="006F72EA">
        <w:rPr>
          <w:rFonts w:ascii="Times New Roman" w:hAnsi="Times New Roman"/>
        </w:rPr>
        <w:t xml:space="preserve">wholly different </w:t>
      </w:r>
      <w:r w:rsidR="006D5755">
        <w:rPr>
          <w:rFonts w:ascii="Times New Roman" w:hAnsi="Times New Roman"/>
        </w:rPr>
        <w:t>conduct</w:t>
      </w:r>
      <w:r w:rsidR="006D5755" w:rsidRPr="009D1359">
        <w:rPr>
          <w:rFonts w:ascii="Times New Roman" w:hAnsi="Times New Roman"/>
        </w:rPr>
        <w:t xml:space="preserve"> intended.</w:t>
      </w:r>
      <w:r w:rsidR="006D5755">
        <w:rPr>
          <w:rFonts w:ascii="Times New Roman" w:hAnsi="Times New Roman"/>
        </w:rPr>
        <w:t xml:space="preserve"> </w:t>
      </w:r>
      <w:r w:rsidR="002076DF">
        <w:rPr>
          <w:rFonts w:ascii="Times New Roman" w:hAnsi="Times New Roman"/>
        </w:rPr>
        <w:t>As Jefferson contends, p</w:t>
      </w:r>
      <w:r w:rsidR="00DF0227">
        <w:rPr>
          <w:rFonts w:ascii="Times New Roman" w:hAnsi="Times New Roman"/>
        </w:rPr>
        <w:t>ushing</w:t>
      </w:r>
      <w:r w:rsidR="006D5755">
        <w:rPr>
          <w:rFonts w:ascii="Times New Roman" w:hAnsi="Times New Roman"/>
        </w:rPr>
        <w:t xml:space="preserve"> </w:t>
      </w:r>
      <w:r w:rsidR="006D5755" w:rsidRPr="009D1359">
        <w:rPr>
          <w:rFonts w:ascii="Times New Roman" w:hAnsi="Times New Roman"/>
        </w:rPr>
        <w:t>a drawing pin into a police officer’s a</w:t>
      </w:r>
      <w:r w:rsidR="006D5755">
        <w:rPr>
          <w:rFonts w:ascii="Times New Roman" w:hAnsi="Times New Roman"/>
        </w:rPr>
        <w:t xml:space="preserve">rm </w:t>
      </w:r>
      <w:r w:rsidR="00A542F2">
        <w:rPr>
          <w:rFonts w:ascii="Times New Roman" w:hAnsi="Times New Roman"/>
        </w:rPr>
        <w:t>whilst</w:t>
      </w:r>
      <w:r w:rsidR="006D5755">
        <w:rPr>
          <w:rFonts w:ascii="Times New Roman" w:hAnsi="Times New Roman"/>
        </w:rPr>
        <w:t xml:space="preserve"> intending to resist arrest is worlds apart from </w:t>
      </w:r>
      <w:r w:rsidR="00A542F2">
        <w:rPr>
          <w:rFonts w:ascii="Times New Roman" w:hAnsi="Times New Roman"/>
        </w:rPr>
        <w:t>the intentional lopping off of someone’s arm with a chainsaw.</w:t>
      </w:r>
      <w:r w:rsidR="006D5755">
        <w:rPr>
          <w:rFonts w:ascii="Times New Roman" w:hAnsi="Times New Roman"/>
        </w:rPr>
        <w:t xml:space="preserve"> T</w:t>
      </w:r>
      <w:r w:rsidR="006D5755" w:rsidRPr="009D1359">
        <w:rPr>
          <w:rFonts w:ascii="Times New Roman" w:hAnsi="Times New Roman"/>
        </w:rPr>
        <w:t>o call both</w:t>
      </w:r>
      <w:r w:rsidR="000C5F32">
        <w:rPr>
          <w:rFonts w:ascii="Times New Roman" w:hAnsi="Times New Roman"/>
        </w:rPr>
        <w:t xml:space="preserve"> scenarios</w:t>
      </w:r>
      <w:r w:rsidR="006D5755">
        <w:rPr>
          <w:rFonts w:ascii="Times New Roman" w:hAnsi="Times New Roman"/>
        </w:rPr>
        <w:t xml:space="preserve"> </w:t>
      </w:r>
      <w:r w:rsidR="006D5755" w:rsidRPr="009D1359">
        <w:rPr>
          <w:rFonts w:ascii="Times New Roman" w:hAnsi="Times New Roman"/>
        </w:rPr>
        <w:t>the same crime appears perverse.</w:t>
      </w:r>
      <w:r w:rsidR="006D5755" w:rsidRPr="009D1359">
        <w:rPr>
          <w:rStyle w:val="FootnoteReference"/>
          <w:rFonts w:ascii="Times New Roman" w:hAnsi="Times New Roman"/>
        </w:rPr>
        <w:t xml:space="preserve"> </w:t>
      </w:r>
      <w:r w:rsidR="006D5755" w:rsidRPr="009D1359">
        <w:rPr>
          <w:rStyle w:val="FootnoteReference"/>
          <w:rFonts w:ascii="Times New Roman" w:hAnsi="Times New Roman"/>
        </w:rPr>
        <w:footnoteReference w:id="63"/>
      </w:r>
      <w:r w:rsidR="006D5755">
        <w:rPr>
          <w:rFonts w:ascii="Times New Roman" w:hAnsi="Times New Roman"/>
        </w:rPr>
        <w:t xml:space="preserve"> </w:t>
      </w:r>
      <w:r w:rsidR="002834C7">
        <w:rPr>
          <w:rFonts w:ascii="Times New Roman" w:hAnsi="Times New Roman"/>
        </w:rPr>
        <w:t>Again, t</w:t>
      </w:r>
      <w:r w:rsidR="006D5755">
        <w:rPr>
          <w:rFonts w:ascii="Times New Roman" w:hAnsi="Times New Roman"/>
        </w:rPr>
        <w:t xml:space="preserve">his raises fair labelling concerns at the point of conviction. </w:t>
      </w:r>
      <w:r w:rsidR="00BE2AEC">
        <w:rPr>
          <w:rFonts w:ascii="Times New Roman" w:hAnsi="Times New Roman"/>
        </w:rPr>
        <w:t xml:space="preserve">Separately, </w:t>
      </w:r>
      <w:r w:rsidR="00B4467D">
        <w:rPr>
          <w:rFonts w:ascii="Times New Roman" w:hAnsi="Times New Roman"/>
        </w:rPr>
        <w:t xml:space="preserve">under variants </w:t>
      </w:r>
      <w:r w:rsidR="00471456">
        <w:rPr>
          <w:rFonts w:ascii="Times New Roman" w:hAnsi="Times New Roman"/>
        </w:rPr>
        <w:t>3</w:t>
      </w:r>
      <w:r w:rsidR="00B4467D">
        <w:rPr>
          <w:rFonts w:ascii="Times New Roman" w:hAnsi="Times New Roman"/>
        </w:rPr>
        <w:t xml:space="preserve"> and 4</w:t>
      </w:r>
      <w:r w:rsidR="00471456">
        <w:rPr>
          <w:rFonts w:ascii="Times New Roman" w:hAnsi="Times New Roman"/>
        </w:rPr>
        <w:t xml:space="preserve"> </w:t>
      </w:r>
      <w:r w:rsidR="002E097A">
        <w:rPr>
          <w:rFonts w:ascii="Times New Roman" w:hAnsi="Times New Roman"/>
        </w:rPr>
        <w:t xml:space="preserve">there is authority </w:t>
      </w:r>
      <w:r w:rsidR="002076DF">
        <w:rPr>
          <w:rFonts w:ascii="Times New Roman" w:hAnsi="Times New Roman"/>
        </w:rPr>
        <w:t>that</w:t>
      </w:r>
      <w:r w:rsidR="002E097A">
        <w:rPr>
          <w:rFonts w:ascii="Times New Roman" w:hAnsi="Times New Roman"/>
        </w:rPr>
        <w:t>, in addition to intending to resist</w:t>
      </w:r>
      <w:r w:rsidR="000C5F32">
        <w:rPr>
          <w:rFonts w:ascii="Times New Roman" w:hAnsi="Times New Roman"/>
        </w:rPr>
        <w:t xml:space="preserve"> or </w:t>
      </w:r>
      <w:r w:rsidR="002E097A" w:rsidRPr="000B616F">
        <w:rPr>
          <w:rFonts w:ascii="Times New Roman" w:hAnsi="Times New Roman"/>
        </w:rPr>
        <w:t>prevent</w:t>
      </w:r>
      <w:r w:rsidR="002E097A">
        <w:rPr>
          <w:rFonts w:ascii="Times New Roman" w:hAnsi="Times New Roman"/>
        </w:rPr>
        <w:t xml:space="preserve"> </w:t>
      </w:r>
      <w:r w:rsidR="002E097A" w:rsidRPr="000B616F">
        <w:rPr>
          <w:rFonts w:ascii="Times New Roman" w:hAnsi="Times New Roman"/>
        </w:rPr>
        <w:t>apprehension or detention</w:t>
      </w:r>
      <w:r w:rsidR="000C5F32">
        <w:rPr>
          <w:rFonts w:ascii="Times New Roman" w:hAnsi="Times New Roman"/>
        </w:rPr>
        <w:t>,</w:t>
      </w:r>
      <w:r w:rsidR="002076DF" w:rsidRPr="009D1359">
        <w:rPr>
          <w:rFonts w:ascii="Times New Roman" w:hAnsi="Times New Roman"/>
        </w:rPr>
        <w:t xml:space="preserve"> </w:t>
      </w:r>
      <w:r w:rsidR="00471456" w:rsidRPr="009D1359">
        <w:rPr>
          <w:rFonts w:ascii="Times New Roman" w:hAnsi="Times New Roman"/>
        </w:rPr>
        <w:t xml:space="preserve">D must at </w:t>
      </w:r>
      <w:r w:rsidR="00471456" w:rsidRPr="000C5F32">
        <w:rPr>
          <w:rFonts w:ascii="Times New Roman" w:hAnsi="Times New Roman"/>
        </w:rPr>
        <w:t>least</w:t>
      </w:r>
      <w:r w:rsidR="00471456" w:rsidRPr="009D1359">
        <w:rPr>
          <w:rFonts w:ascii="Times New Roman" w:hAnsi="Times New Roman"/>
        </w:rPr>
        <w:t xml:space="preserve"> be reckless as to the possibility of causing </w:t>
      </w:r>
      <w:r w:rsidR="00471456">
        <w:rPr>
          <w:rFonts w:ascii="Times New Roman" w:hAnsi="Times New Roman"/>
        </w:rPr>
        <w:t>injury</w:t>
      </w:r>
      <w:r w:rsidR="000C3380">
        <w:rPr>
          <w:rFonts w:ascii="Times New Roman" w:hAnsi="Times New Roman"/>
        </w:rPr>
        <w:t>.</w:t>
      </w:r>
      <w:r w:rsidR="00471456" w:rsidRPr="009D1359">
        <w:rPr>
          <w:rStyle w:val="FootnoteReference"/>
          <w:rFonts w:ascii="Times New Roman" w:hAnsi="Times New Roman"/>
        </w:rPr>
        <w:footnoteReference w:id="64"/>
      </w:r>
      <w:r w:rsidR="00471456" w:rsidRPr="009D1359">
        <w:rPr>
          <w:rFonts w:ascii="Times New Roman" w:hAnsi="Times New Roman"/>
        </w:rPr>
        <w:t xml:space="preserve"> </w:t>
      </w:r>
      <w:r w:rsidR="00601350">
        <w:rPr>
          <w:rFonts w:ascii="Times New Roman" w:hAnsi="Times New Roman"/>
        </w:rPr>
        <w:t>This</w:t>
      </w:r>
      <w:r>
        <w:rPr>
          <w:rFonts w:ascii="Times New Roman" w:hAnsi="Times New Roman"/>
        </w:rPr>
        <w:t xml:space="preserve"> </w:t>
      </w:r>
      <w:r w:rsidR="00296899">
        <w:rPr>
          <w:rFonts w:ascii="Times New Roman" w:hAnsi="Times New Roman"/>
        </w:rPr>
        <w:t>sanction</w:t>
      </w:r>
      <w:r w:rsidR="002E7360">
        <w:rPr>
          <w:rFonts w:ascii="Times New Roman" w:hAnsi="Times New Roman"/>
        </w:rPr>
        <w:t>s</w:t>
      </w:r>
      <w:r w:rsidR="00AF3D6D">
        <w:rPr>
          <w:rFonts w:ascii="Times New Roman" w:hAnsi="Times New Roman"/>
        </w:rPr>
        <w:t xml:space="preserve"> </w:t>
      </w:r>
      <w:r w:rsidR="00AF3D6D" w:rsidRPr="004B79F2">
        <w:rPr>
          <w:rFonts w:ascii="Times New Roman" w:hAnsi="Times New Roman"/>
          <w:i/>
        </w:rPr>
        <w:t>constructive</w:t>
      </w:r>
      <w:r w:rsidR="00BE2AEC">
        <w:rPr>
          <w:rFonts w:ascii="Times New Roman" w:hAnsi="Times New Roman"/>
        </w:rPr>
        <w:t xml:space="preserve"> liability: </w:t>
      </w:r>
      <w:r w:rsidR="00AF3D6D">
        <w:rPr>
          <w:rFonts w:ascii="Times New Roman" w:hAnsi="Times New Roman"/>
        </w:rPr>
        <w:t xml:space="preserve">D need only foresee injury – </w:t>
      </w:r>
      <w:r w:rsidR="00AF3D6D" w:rsidRPr="000C5F32">
        <w:rPr>
          <w:rFonts w:ascii="Times New Roman" w:hAnsi="Times New Roman"/>
          <w:i/>
        </w:rPr>
        <w:t>not</w:t>
      </w:r>
      <w:r w:rsidR="000C5F32">
        <w:rPr>
          <w:rFonts w:ascii="Times New Roman" w:hAnsi="Times New Roman"/>
        </w:rPr>
        <w:t xml:space="preserve"> wounding or GBH.</w:t>
      </w:r>
      <w:r w:rsidR="00AF3D6D">
        <w:rPr>
          <w:rStyle w:val="FootnoteReference"/>
          <w:rFonts w:ascii="Times New Roman" w:hAnsi="Times New Roman"/>
        </w:rPr>
        <w:footnoteReference w:id="65"/>
      </w:r>
      <w:r w:rsidR="00AF3D6D">
        <w:rPr>
          <w:rFonts w:ascii="Times New Roman" w:hAnsi="Times New Roman"/>
        </w:rPr>
        <w:t xml:space="preserve"> Constructive liability contravenes the correspondence principle</w:t>
      </w:r>
      <w:r w:rsidR="00BE2AEC">
        <w:rPr>
          <w:rFonts w:ascii="Times New Roman" w:hAnsi="Times New Roman"/>
        </w:rPr>
        <w:t xml:space="preserve"> which </w:t>
      </w:r>
      <w:r w:rsidR="009E34A5">
        <w:rPr>
          <w:rFonts w:ascii="Times New Roman" w:hAnsi="Times New Roman"/>
        </w:rPr>
        <w:t xml:space="preserve">holds that the </w:t>
      </w:r>
      <w:proofErr w:type="spellStart"/>
      <w:r w:rsidR="009E34A5" w:rsidRPr="00E51A72">
        <w:rPr>
          <w:rFonts w:ascii="Times New Roman" w:hAnsi="Times New Roman"/>
        </w:rPr>
        <w:t>mens</w:t>
      </w:r>
      <w:proofErr w:type="spellEnd"/>
      <w:r w:rsidR="009E34A5" w:rsidRPr="00E51A72">
        <w:rPr>
          <w:rFonts w:ascii="Times New Roman" w:hAnsi="Times New Roman"/>
        </w:rPr>
        <w:t xml:space="preserve"> rea</w:t>
      </w:r>
      <w:r w:rsidR="009E34A5">
        <w:rPr>
          <w:rFonts w:ascii="Times New Roman" w:hAnsi="Times New Roman"/>
        </w:rPr>
        <w:t xml:space="preserve"> of an offence should directly relate (“correspond”) to its </w:t>
      </w:r>
      <w:r w:rsidR="009E34A5" w:rsidRPr="00E51A72">
        <w:rPr>
          <w:rFonts w:ascii="Times New Roman" w:hAnsi="Times New Roman"/>
        </w:rPr>
        <w:t xml:space="preserve">actus </w:t>
      </w:r>
      <w:proofErr w:type="spellStart"/>
      <w:proofErr w:type="gramStart"/>
      <w:r w:rsidR="009E34A5" w:rsidRPr="00E51A72">
        <w:rPr>
          <w:rFonts w:ascii="Times New Roman" w:hAnsi="Times New Roman"/>
        </w:rPr>
        <w:t>reus</w:t>
      </w:r>
      <w:proofErr w:type="spellEnd"/>
      <w:proofErr w:type="gramEnd"/>
      <w:r w:rsidR="00203CD1" w:rsidRPr="00203CD1">
        <w:rPr>
          <w:rFonts w:ascii="Times New Roman" w:hAnsi="Times New Roman"/>
        </w:rPr>
        <w:t>.</w:t>
      </w:r>
      <w:r w:rsidR="009E34A5">
        <w:rPr>
          <w:rStyle w:val="FootnoteReference"/>
          <w:rFonts w:ascii="Times New Roman" w:hAnsi="Times New Roman"/>
        </w:rPr>
        <w:footnoteReference w:id="66"/>
      </w:r>
      <w:r w:rsidR="009E34A5">
        <w:rPr>
          <w:rFonts w:ascii="Times New Roman" w:hAnsi="Times New Roman"/>
        </w:rPr>
        <w:t xml:space="preserve"> The correspondence principle ascribes great significance to individual autonomy (with its emphasis on subjective choice and control) and the rule of law (allowing individuals to plan their conduct).</w:t>
      </w:r>
      <w:r w:rsidR="009E34A5">
        <w:rPr>
          <w:rStyle w:val="FootnoteReference"/>
          <w:rFonts w:ascii="Times New Roman" w:hAnsi="Times New Roman"/>
        </w:rPr>
        <w:footnoteReference w:id="67"/>
      </w:r>
      <w:r w:rsidR="009E34A5">
        <w:rPr>
          <w:rFonts w:ascii="Times New Roman" w:hAnsi="Times New Roman"/>
        </w:rPr>
        <w:t xml:space="preserve"> Constructive liability</w:t>
      </w:r>
      <w:r w:rsidR="00AF3D6D">
        <w:rPr>
          <w:rFonts w:ascii="Times New Roman" w:hAnsi="Times New Roman"/>
        </w:rPr>
        <w:t xml:space="preserve"> </w:t>
      </w:r>
      <w:r w:rsidR="002C0504">
        <w:rPr>
          <w:rFonts w:ascii="Times New Roman" w:hAnsi="Times New Roman"/>
        </w:rPr>
        <w:t>neglects</w:t>
      </w:r>
      <w:r w:rsidR="00203CD1">
        <w:rPr>
          <w:rFonts w:ascii="Times New Roman" w:hAnsi="Times New Roman"/>
        </w:rPr>
        <w:t xml:space="preserve"> </w:t>
      </w:r>
      <w:r w:rsidR="007A12C2">
        <w:rPr>
          <w:rFonts w:ascii="Times New Roman" w:hAnsi="Times New Roman"/>
        </w:rPr>
        <w:t>the</w:t>
      </w:r>
      <w:r w:rsidR="005C3CEE">
        <w:rPr>
          <w:rFonts w:ascii="Times New Roman" w:hAnsi="Times New Roman"/>
        </w:rPr>
        <w:t>se interests</w:t>
      </w:r>
      <w:r w:rsidR="00203CD1">
        <w:rPr>
          <w:rFonts w:ascii="Times New Roman" w:hAnsi="Times New Roman"/>
        </w:rPr>
        <w:t xml:space="preserve"> by penalising</w:t>
      </w:r>
      <w:r w:rsidR="00AF3D6D">
        <w:rPr>
          <w:rFonts w:ascii="Times New Roman" w:hAnsi="Times New Roman"/>
        </w:rPr>
        <w:t xml:space="preserve"> D for a result which was brought about but </w:t>
      </w:r>
      <w:r w:rsidR="00AF3D6D" w:rsidRPr="00BE03CD">
        <w:rPr>
          <w:rFonts w:ascii="Times New Roman" w:hAnsi="Times New Roman"/>
          <w:i/>
        </w:rPr>
        <w:t>not</w:t>
      </w:r>
      <w:r w:rsidR="00AF3D6D">
        <w:rPr>
          <w:rFonts w:ascii="Times New Roman" w:hAnsi="Times New Roman"/>
        </w:rPr>
        <w:t xml:space="preserve"> intended or </w:t>
      </w:r>
      <w:r w:rsidR="00AF3D6D" w:rsidRPr="006C6A54">
        <w:rPr>
          <w:rFonts w:ascii="Times New Roman" w:hAnsi="Times New Roman"/>
        </w:rPr>
        <w:t>foreseen.</w:t>
      </w:r>
      <w:r w:rsidR="00AF3D6D" w:rsidRPr="006C6A54">
        <w:rPr>
          <w:rStyle w:val="FootnoteReference"/>
          <w:rFonts w:ascii="Times New Roman" w:hAnsi="Times New Roman"/>
        </w:rPr>
        <w:footnoteReference w:id="68"/>
      </w:r>
      <w:r w:rsidR="00A40987" w:rsidRPr="006C6A54">
        <w:rPr>
          <w:rFonts w:ascii="Times New Roman" w:hAnsi="Times New Roman"/>
        </w:rPr>
        <w:t xml:space="preserve"> </w:t>
      </w:r>
    </w:p>
    <w:p w:rsidR="008A00F2" w:rsidRPr="006C6A54" w:rsidRDefault="008A00F2" w:rsidP="006C6A54">
      <w:pPr>
        <w:autoSpaceDE w:val="0"/>
        <w:autoSpaceDN w:val="0"/>
        <w:adjustRightInd w:val="0"/>
        <w:spacing w:line="480" w:lineRule="auto"/>
        <w:jc w:val="both"/>
        <w:rPr>
          <w:rFonts w:ascii="Times New Roman" w:hAnsi="Times New Roman"/>
        </w:rPr>
      </w:pPr>
    </w:p>
    <w:p w:rsidR="009E34A5" w:rsidRDefault="002C0504" w:rsidP="006C6A54">
      <w:pPr>
        <w:spacing w:line="480" w:lineRule="auto"/>
        <w:jc w:val="both"/>
        <w:rPr>
          <w:rFonts w:ascii="Times New Roman" w:hAnsi="Times New Roman"/>
        </w:rPr>
      </w:pPr>
      <w:r w:rsidRPr="006C6A54">
        <w:rPr>
          <w:rFonts w:ascii="Times New Roman" w:hAnsi="Times New Roman"/>
        </w:rPr>
        <w:lastRenderedPageBreak/>
        <w:t xml:space="preserve">Some </w:t>
      </w:r>
      <w:r w:rsidR="00615916">
        <w:rPr>
          <w:rFonts w:ascii="Times New Roman" w:hAnsi="Times New Roman"/>
        </w:rPr>
        <w:t>scholars</w:t>
      </w:r>
      <w:r w:rsidR="00AF3D6D" w:rsidRPr="006C6A54">
        <w:rPr>
          <w:rFonts w:ascii="Times New Roman" w:hAnsi="Times New Roman"/>
        </w:rPr>
        <w:t xml:space="preserve"> </w:t>
      </w:r>
      <w:r w:rsidR="00E81BD5" w:rsidRPr="006C6A54">
        <w:rPr>
          <w:rFonts w:ascii="Times New Roman" w:hAnsi="Times New Roman"/>
        </w:rPr>
        <w:t xml:space="preserve">have </w:t>
      </w:r>
      <w:r w:rsidR="005C3CEE" w:rsidRPr="006C6A54">
        <w:rPr>
          <w:rFonts w:ascii="Times New Roman" w:hAnsi="Times New Roman"/>
        </w:rPr>
        <w:t>attempt</w:t>
      </w:r>
      <w:r w:rsidR="00E81BD5" w:rsidRPr="006C6A54">
        <w:rPr>
          <w:rFonts w:ascii="Times New Roman" w:hAnsi="Times New Roman"/>
        </w:rPr>
        <w:t>ed</w:t>
      </w:r>
      <w:r w:rsidR="00AF3D6D" w:rsidRPr="006C6A54">
        <w:rPr>
          <w:rFonts w:ascii="Times New Roman" w:hAnsi="Times New Roman"/>
        </w:rPr>
        <w:t xml:space="preserve"> to defend constructive liability. Gardner argues that it is acceptable because D </w:t>
      </w:r>
      <w:r w:rsidRPr="006C6A54">
        <w:rPr>
          <w:rFonts w:ascii="Times New Roman" w:hAnsi="Times New Roman"/>
        </w:rPr>
        <w:t>causes</w:t>
      </w:r>
      <w:r w:rsidR="00AF3D6D" w:rsidRPr="006C6A54">
        <w:rPr>
          <w:rFonts w:ascii="Times New Roman" w:hAnsi="Times New Roman"/>
        </w:rPr>
        <w:t xml:space="preserve"> a prohibited result from an initial criminal act. </w:t>
      </w:r>
      <w:r w:rsidR="00296899" w:rsidRPr="006C6A54">
        <w:rPr>
          <w:rFonts w:ascii="Times New Roman" w:hAnsi="Times New Roman"/>
        </w:rPr>
        <w:t>Assuming</w:t>
      </w:r>
      <w:r w:rsidR="000B687D" w:rsidRPr="006C6A54">
        <w:rPr>
          <w:rFonts w:ascii="Times New Roman" w:hAnsi="Times New Roman"/>
        </w:rPr>
        <w:t xml:space="preserve"> there</w:t>
      </w:r>
      <w:r w:rsidR="00AF3D6D" w:rsidRPr="006C6A54">
        <w:rPr>
          <w:rFonts w:ascii="Times New Roman" w:hAnsi="Times New Roman"/>
        </w:rPr>
        <w:t xml:space="preserve"> was </w:t>
      </w:r>
      <w:r w:rsidR="00296899" w:rsidRPr="006C6A54">
        <w:rPr>
          <w:rFonts w:ascii="Times New Roman" w:hAnsi="Times New Roman"/>
        </w:rPr>
        <w:t xml:space="preserve">a </w:t>
      </w:r>
      <w:r w:rsidR="00AF3D6D" w:rsidRPr="006C6A54">
        <w:rPr>
          <w:rFonts w:ascii="Times New Roman" w:hAnsi="Times New Roman"/>
        </w:rPr>
        <w:t xml:space="preserve">choice about committing that </w:t>
      </w:r>
      <w:r w:rsidR="008D7FD9" w:rsidRPr="006C6A54">
        <w:rPr>
          <w:rFonts w:ascii="Times New Roman" w:hAnsi="Times New Roman"/>
        </w:rPr>
        <w:t xml:space="preserve">initial </w:t>
      </w:r>
      <w:r w:rsidR="00AF3D6D" w:rsidRPr="006C6A54">
        <w:rPr>
          <w:rFonts w:ascii="Times New Roman" w:hAnsi="Times New Roman"/>
        </w:rPr>
        <w:t>act</w:t>
      </w:r>
      <w:r w:rsidR="000A1190" w:rsidRPr="006C6A54">
        <w:rPr>
          <w:rFonts w:ascii="Times New Roman" w:hAnsi="Times New Roman"/>
        </w:rPr>
        <w:t>,</w:t>
      </w:r>
      <w:r w:rsidR="000B687D" w:rsidRPr="006C6A54">
        <w:rPr>
          <w:rFonts w:ascii="Times New Roman" w:hAnsi="Times New Roman"/>
        </w:rPr>
        <w:t xml:space="preserve"> </w:t>
      </w:r>
      <w:r w:rsidR="000A1190" w:rsidRPr="006C6A54">
        <w:rPr>
          <w:rFonts w:ascii="Times New Roman" w:hAnsi="Times New Roman"/>
        </w:rPr>
        <w:t>such conduct</w:t>
      </w:r>
      <w:r w:rsidR="00AF3D6D" w:rsidRPr="006C6A54">
        <w:rPr>
          <w:rFonts w:ascii="Times New Roman" w:hAnsi="Times New Roman"/>
        </w:rPr>
        <w:t xml:space="preserve"> changes D’s normative position with </w:t>
      </w:r>
      <w:r w:rsidR="00786AE0" w:rsidRPr="006C6A54">
        <w:rPr>
          <w:rFonts w:ascii="Times New Roman" w:hAnsi="Times New Roman"/>
        </w:rPr>
        <w:t>regard</w:t>
      </w:r>
      <w:r w:rsidR="00AF3D6D" w:rsidRPr="006C6A54">
        <w:rPr>
          <w:rFonts w:ascii="Times New Roman" w:hAnsi="Times New Roman"/>
        </w:rPr>
        <w:t xml:space="preserve"> to any consequences (serious or otherwise) </w:t>
      </w:r>
      <w:r w:rsidR="00786AE0" w:rsidRPr="006C6A54">
        <w:rPr>
          <w:rFonts w:ascii="Times New Roman" w:hAnsi="Times New Roman"/>
        </w:rPr>
        <w:t>flowing</w:t>
      </w:r>
      <w:r w:rsidR="00AF3D6D" w:rsidRPr="006C6A54">
        <w:rPr>
          <w:rFonts w:ascii="Times New Roman" w:hAnsi="Times New Roman"/>
        </w:rPr>
        <w:t xml:space="preserve"> from it.</w:t>
      </w:r>
      <w:r w:rsidR="00AF3D6D" w:rsidRPr="006C6A54">
        <w:rPr>
          <w:rStyle w:val="FootnoteReference"/>
          <w:rFonts w:ascii="Times New Roman" w:hAnsi="Times New Roman"/>
        </w:rPr>
        <w:footnoteReference w:id="69"/>
      </w:r>
      <w:r w:rsidR="00AF3D6D" w:rsidRPr="006C6A54">
        <w:rPr>
          <w:rFonts w:ascii="Times New Roman" w:hAnsi="Times New Roman"/>
        </w:rPr>
        <w:t xml:space="preserve"> </w:t>
      </w:r>
      <w:r w:rsidR="00E61738" w:rsidRPr="006C6A54">
        <w:rPr>
          <w:rFonts w:ascii="Times New Roman" w:hAnsi="Times New Roman"/>
        </w:rPr>
        <w:t xml:space="preserve">D </w:t>
      </w:r>
      <w:r w:rsidR="00E81BD5" w:rsidRPr="006C6A54">
        <w:rPr>
          <w:rFonts w:ascii="Times New Roman" w:hAnsi="Times New Roman"/>
        </w:rPr>
        <w:t xml:space="preserve">thereby </w:t>
      </w:r>
      <w:r w:rsidR="00E61738" w:rsidRPr="006C6A54">
        <w:rPr>
          <w:rFonts w:ascii="Times New Roman" w:hAnsi="Times New Roman"/>
        </w:rPr>
        <w:t>becomes criminall</w:t>
      </w:r>
      <w:r w:rsidR="00FA50F5" w:rsidRPr="006C6A54">
        <w:rPr>
          <w:rFonts w:ascii="Times New Roman" w:hAnsi="Times New Roman"/>
        </w:rPr>
        <w:t>y liable for those consequences</w:t>
      </w:r>
      <w:r w:rsidR="003D0167" w:rsidRPr="006C6A54">
        <w:rPr>
          <w:rFonts w:ascii="Times New Roman" w:hAnsi="Times New Roman"/>
        </w:rPr>
        <w:t xml:space="preserve">, a </w:t>
      </w:r>
      <w:r w:rsidR="00A813FE" w:rsidRPr="006C6A54">
        <w:rPr>
          <w:rFonts w:ascii="Times New Roman" w:hAnsi="Times New Roman"/>
        </w:rPr>
        <w:t>prospect of</w:t>
      </w:r>
      <w:r w:rsidR="003D0167" w:rsidRPr="006C6A54">
        <w:rPr>
          <w:rFonts w:ascii="Times New Roman" w:hAnsi="Times New Roman"/>
        </w:rPr>
        <w:t xml:space="preserve"> which D has </w:t>
      </w:r>
      <w:r w:rsidR="009901AF" w:rsidRPr="006C6A54">
        <w:rPr>
          <w:rFonts w:ascii="Times New Roman" w:hAnsi="Times New Roman"/>
        </w:rPr>
        <w:t xml:space="preserve">received </w:t>
      </w:r>
      <w:r w:rsidR="003D0167" w:rsidRPr="006C6A54">
        <w:rPr>
          <w:rFonts w:ascii="Times New Roman" w:hAnsi="Times New Roman"/>
        </w:rPr>
        <w:t xml:space="preserve">fair warning </w:t>
      </w:r>
      <w:r w:rsidR="006C6A54">
        <w:rPr>
          <w:rFonts w:ascii="Times New Roman" w:hAnsi="Times New Roman"/>
        </w:rPr>
        <w:t>“</w:t>
      </w:r>
      <w:r w:rsidR="006C6A54" w:rsidRPr="006C6A54">
        <w:rPr>
          <w:rFonts w:ascii="Times New Roman" w:hAnsi="Times New Roman"/>
        </w:rPr>
        <w:t>by the fact that the law to that effect was</w:t>
      </w:r>
      <w:r w:rsidR="006C6A54">
        <w:rPr>
          <w:rFonts w:ascii="Times New Roman" w:hAnsi="Times New Roman"/>
        </w:rPr>
        <w:t xml:space="preserve"> </w:t>
      </w:r>
      <w:r w:rsidR="006C6A54" w:rsidRPr="006C6A54">
        <w:rPr>
          <w:rFonts w:ascii="Times New Roman" w:hAnsi="Times New Roman"/>
        </w:rPr>
        <w:t>correctly promulgated, publicised, and so o</w:t>
      </w:r>
      <w:r w:rsidR="006C6A54">
        <w:rPr>
          <w:rFonts w:ascii="Times New Roman" w:hAnsi="Times New Roman"/>
        </w:rPr>
        <w:t>n”</w:t>
      </w:r>
      <w:r w:rsidR="009901AF" w:rsidRPr="006C6A54">
        <w:rPr>
          <w:rFonts w:ascii="Times New Roman" w:hAnsi="Times New Roman"/>
        </w:rPr>
        <w:t>.</w:t>
      </w:r>
      <w:r w:rsidR="00A813FE" w:rsidRPr="006C6A54">
        <w:rPr>
          <w:rStyle w:val="FootnoteReference"/>
          <w:rFonts w:ascii="Times New Roman" w:hAnsi="Times New Roman"/>
        </w:rPr>
        <w:footnoteReference w:id="70"/>
      </w:r>
      <w:r w:rsidR="00FA50F5" w:rsidRPr="006C6A54">
        <w:rPr>
          <w:rFonts w:ascii="Times New Roman" w:hAnsi="Times New Roman"/>
        </w:rPr>
        <w:t xml:space="preserve"> </w:t>
      </w:r>
      <w:r w:rsidR="00755EDD">
        <w:rPr>
          <w:rFonts w:ascii="Times New Roman" w:hAnsi="Times New Roman"/>
        </w:rPr>
        <w:t>Arguably</w:t>
      </w:r>
      <w:r w:rsidR="00AF3D6D" w:rsidRPr="006C6A54">
        <w:rPr>
          <w:rFonts w:ascii="Times New Roman" w:hAnsi="Times New Roman"/>
        </w:rPr>
        <w:t xml:space="preserve">, </w:t>
      </w:r>
      <w:r w:rsidR="00755EDD">
        <w:rPr>
          <w:rFonts w:ascii="Times New Roman" w:hAnsi="Times New Roman"/>
        </w:rPr>
        <w:t xml:space="preserve">and </w:t>
      </w:r>
      <w:r w:rsidR="00AF3D6D" w:rsidRPr="006C6A54">
        <w:rPr>
          <w:rFonts w:ascii="Times New Roman" w:hAnsi="Times New Roman"/>
        </w:rPr>
        <w:t xml:space="preserve">as </w:t>
      </w:r>
      <w:r w:rsidR="00755EDD">
        <w:rPr>
          <w:rFonts w:ascii="Times New Roman" w:hAnsi="Times New Roman"/>
        </w:rPr>
        <w:t>discussed</w:t>
      </w:r>
      <w:r w:rsidR="00AF3D6D" w:rsidRPr="006C6A54">
        <w:rPr>
          <w:rFonts w:ascii="Times New Roman" w:hAnsi="Times New Roman"/>
        </w:rPr>
        <w:t xml:space="preserve"> by Ashworth, the “change of normative position” argument </w:t>
      </w:r>
      <w:r w:rsidR="00C447E3">
        <w:rPr>
          <w:rFonts w:ascii="Times New Roman" w:hAnsi="Times New Roman"/>
        </w:rPr>
        <w:t>requires greater elaboration</w:t>
      </w:r>
      <w:r w:rsidR="00AF3D6D" w:rsidRPr="006C6A54">
        <w:rPr>
          <w:rFonts w:ascii="Times New Roman" w:hAnsi="Times New Roman"/>
        </w:rPr>
        <w:t xml:space="preserve">. </w:t>
      </w:r>
      <w:r w:rsidR="00EF790F">
        <w:rPr>
          <w:rFonts w:ascii="Times New Roman" w:hAnsi="Times New Roman"/>
        </w:rPr>
        <w:t xml:space="preserve">More needs to be done </w:t>
      </w:r>
      <w:r w:rsidR="00C447E3">
        <w:rPr>
          <w:rFonts w:ascii="Times New Roman" w:hAnsi="Times New Roman"/>
        </w:rPr>
        <w:t>to</w:t>
      </w:r>
      <w:r w:rsidR="00EF790F">
        <w:rPr>
          <w:rFonts w:ascii="Times New Roman" w:hAnsi="Times New Roman"/>
        </w:rPr>
        <w:t xml:space="preserve"> </w:t>
      </w:r>
      <w:r w:rsidR="00AF3D6D" w:rsidRPr="006C6A54">
        <w:rPr>
          <w:rFonts w:ascii="Times New Roman" w:hAnsi="Times New Roman"/>
        </w:rPr>
        <w:t xml:space="preserve">explain </w:t>
      </w:r>
      <w:r w:rsidR="00AF3D6D" w:rsidRPr="00EF790F">
        <w:rPr>
          <w:rFonts w:ascii="Times New Roman" w:hAnsi="Times New Roman"/>
          <w:i/>
        </w:rPr>
        <w:t>why</w:t>
      </w:r>
      <w:r w:rsidR="00AF3D6D" w:rsidRPr="006C6A54">
        <w:rPr>
          <w:rFonts w:ascii="Times New Roman" w:hAnsi="Times New Roman"/>
        </w:rPr>
        <w:t xml:space="preserve"> D’s original </w:t>
      </w:r>
      <w:r w:rsidR="000A1190" w:rsidRPr="006C6A54">
        <w:rPr>
          <w:rFonts w:ascii="Times New Roman" w:hAnsi="Times New Roman"/>
        </w:rPr>
        <w:t>behaviour</w:t>
      </w:r>
      <w:r w:rsidR="00AF3D6D">
        <w:rPr>
          <w:rFonts w:ascii="Times New Roman" w:hAnsi="Times New Roman"/>
        </w:rPr>
        <w:t xml:space="preserve"> </w:t>
      </w:r>
      <w:r w:rsidR="00AF3D6D" w:rsidRPr="00E103B5">
        <w:rPr>
          <w:rFonts w:ascii="Times New Roman" w:hAnsi="Times New Roman"/>
          <w:i/>
        </w:rPr>
        <w:t>should</w:t>
      </w:r>
      <w:r w:rsidR="00AF3D6D">
        <w:rPr>
          <w:rFonts w:ascii="Times New Roman" w:hAnsi="Times New Roman"/>
        </w:rPr>
        <w:t xml:space="preserve"> be accorded such far-reaching moral and legal significance in </w:t>
      </w:r>
      <w:r w:rsidR="00777552">
        <w:rPr>
          <w:rFonts w:ascii="Times New Roman" w:hAnsi="Times New Roman"/>
        </w:rPr>
        <w:t>establishing</w:t>
      </w:r>
      <w:r w:rsidR="00AF3D6D">
        <w:rPr>
          <w:rFonts w:ascii="Times New Roman" w:hAnsi="Times New Roman"/>
        </w:rPr>
        <w:t xml:space="preserve"> liability for events outside </w:t>
      </w:r>
      <w:r w:rsidR="007A4101">
        <w:rPr>
          <w:rFonts w:ascii="Times New Roman" w:hAnsi="Times New Roman"/>
        </w:rPr>
        <w:t>his or her</w:t>
      </w:r>
      <w:r w:rsidR="00312479">
        <w:rPr>
          <w:rFonts w:ascii="Times New Roman" w:hAnsi="Times New Roman"/>
        </w:rPr>
        <w:t xml:space="preserve"> contemplation.</w:t>
      </w:r>
      <w:r w:rsidR="00AF3D6D">
        <w:rPr>
          <w:rStyle w:val="FootnoteReference"/>
          <w:rFonts w:ascii="Times New Roman" w:hAnsi="Times New Roman"/>
        </w:rPr>
        <w:footnoteReference w:id="71"/>
      </w:r>
      <w:r w:rsidR="00AF3D6D">
        <w:rPr>
          <w:rFonts w:ascii="Times New Roman" w:hAnsi="Times New Roman"/>
        </w:rPr>
        <w:t xml:space="preserve"> </w:t>
      </w:r>
      <w:r w:rsidR="00EF790F">
        <w:rPr>
          <w:rFonts w:ascii="Times New Roman" w:hAnsi="Times New Roman"/>
        </w:rPr>
        <w:t xml:space="preserve">At the very least, </w:t>
      </w:r>
      <w:r w:rsidR="007A4101">
        <w:rPr>
          <w:rFonts w:ascii="Times New Roman" w:hAnsi="Times New Roman"/>
        </w:rPr>
        <w:t xml:space="preserve">adherence to </w:t>
      </w:r>
      <w:r w:rsidR="00EF790F">
        <w:rPr>
          <w:rFonts w:ascii="Times New Roman" w:hAnsi="Times New Roman"/>
        </w:rPr>
        <w:t xml:space="preserve">the correspondence principle should </w:t>
      </w:r>
      <w:r w:rsidR="007A4101">
        <w:rPr>
          <w:rFonts w:ascii="Times New Roman" w:hAnsi="Times New Roman"/>
        </w:rPr>
        <w:t xml:space="preserve">perhaps </w:t>
      </w:r>
      <w:r w:rsidR="00EF790F">
        <w:rPr>
          <w:rFonts w:ascii="Times New Roman" w:hAnsi="Times New Roman"/>
        </w:rPr>
        <w:t xml:space="preserve">be the </w:t>
      </w:r>
      <w:r w:rsidR="00EF790F" w:rsidRPr="005B1D16">
        <w:rPr>
          <w:rFonts w:ascii="Times New Roman" w:hAnsi="Times New Roman"/>
          <w:i/>
        </w:rPr>
        <w:t>default</w:t>
      </w:r>
      <w:r w:rsidR="00EF790F">
        <w:rPr>
          <w:rFonts w:ascii="Times New Roman" w:hAnsi="Times New Roman"/>
        </w:rPr>
        <w:t xml:space="preserve"> approach to framing criminal liability, with departures from this carefully restricted and justified.</w:t>
      </w:r>
      <w:r w:rsidR="00AB3C7C">
        <w:rPr>
          <w:rStyle w:val="FootnoteReference"/>
          <w:rFonts w:ascii="Times New Roman" w:hAnsi="Times New Roman"/>
        </w:rPr>
        <w:footnoteReference w:id="72"/>
      </w:r>
      <w:r w:rsidR="00AB3C7C">
        <w:rPr>
          <w:rFonts w:ascii="Times New Roman" w:hAnsi="Times New Roman"/>
        </w:rPr>
        <w:t xml:space="preserve"> </w:t>
      </w:r>
      <w:r w:rsidR="0012554E">
        <w:rPr>
          <w:rFonts w:ascii="Times New Roman" w:hAnsi="Times New Roman"/>
        </w:rPr>
        <w:t>Elsewhere, t</w:t>
      </w:r>
      <w:r w:rsidR="00AB3C7C">
        <w:rPr>
          <w:rFonts w:ascii="Times New Roman" w:hAnsi="Times New Roman"/>
        </w:rPr>
        <w:t>he presence of ulterior intent in</w:t>
      </w:r>
      <w:r w:rsidR="009E4056">
        <w:rPr>
          <w:rFonts w:ascii="Times New Roman" w:hAnsi="Times New Roman"/>
        </w:rPr>
        <w:t xml:space="preserve"> </w:t>
      </w:r>
      <w:r w:rsidR="00B4467D">
        <w:rPr>
          <w:rFonts w:ascii="Times New Roman" w:hAnsi="Times New Roman"/>
        </w:rPr>
        <w:t>variant 1</w:t>
      </w:r>
      <w:r w:rsidR="009E4056">
        <w:rPr>
          <w:rFonts w:ascii="Times New Roman" w:hAnsi="Times New Roman"/>
        </w:rPr>
        <w:t xml:space="preserve"> </w:t>
      </w:r>
      <w:r w:rsidR="00E61738">
        <w:rPr>
          <w:rFonts w:ascii="Times New Roman" w:hAnsi="Times New Roman"/>
        </w:rPr>
        <w:t xml:space="preserve">also </w:t>
      </w:r>
      <w:r w:rsidR="00AB3C7C">
        <w:rPr>
          <w:rFonts w:ascii="Times New Roman" w:hAnsi="Times New Roman"/>
        </w:rPr>
        <w:t>breach</w:t>
      </w:r>
      <w:r w:rsidR="00BE2AEC">
        <w:rPr>
          <w:rFonts w:ascii="Times New Roman" w:hAnsi="Times New Roman"/>
        </w:rPr>
        <w:t>es</w:t>
      </w:r>
      <w:r w:rsidR="009E34A5">
        <w:rPr>
          <w:rFonts w:ascii="Times New Roman" w:hAnsi="Times New Roman"/>
        </w:rPr>
        <w:t xml:space="preserve"> the correspondence principle</w:t>
      </w:r>
      <w:r w:rsidR="0088297D">
        <w:rPr>
          <w:rFonts w:ascii="Times New Roman" w:hAnsi="Times New Roman"/>
        </w:rPr>
        <w:t>,</w:t>
      </w:r>
      <w:r w:rsidR="0010747B">
        <w:rPr>
          <w:rFonts w:ascii="Times New Roman" w:hAnsi="Times New Roman"/>
        </w:rPr>
        <w:t xml:space="preserve"> </w:t>
      </w:r>
      <w:r w:rsidR="00725439">
        <w:rPr>
          <w:rFonts w:ascii="Times New Roman" w:hAnsi="Times New Roman"/>
        </w:rPr>
        <w:t>although</w:t>
      </w:r>
      <w:r w:rsidR="00E61738">
        <w:rPr>
          <w:rFonts w:ascii="Times New Roman" w:hAnsi="Times New Roman"/>
        </w:rPr>
        <w:t xml:space="preserve"> </w:t>
      </w:r>
      <w:r w:rsidR="00601350">
        <w:rPr>
          <w:rFonts w:ascii="Times New Roman" w:hAnsi="Times New Roman"/>
        </w:rPr>
        <w:t xml:space="preserve">this is not especially problematic </w:t>
      </w:r>
      <w:r w:rsidR="005B1D16">
        <w:rPr>
          <w:rFonts w:ascii="Times New Roman" w:hAnsi="Times New Roman"/>
        </w:rPr>
        <w:t>–</w:t>
      </w:r>
      <w:r w:rsidR="00601350">
        <w:rPr>
          <w:rFonts w:ascii="Times New Roman" w:hAnsi="Times New Roman"/>
        </w:rPr>
        <w:t xml:space="preserve"> it</w:t>
      </w:r>
      <w:r w:rsidR="00E61738">
        <w:rPr>
          <w:rFonts w:ascii="Times New Roman" w:hAnsi="Times New Roman"/>
        </w:rPr>
        <w:t xml:space="preserve"> </w:t>
      </w:r>
      <w:r w:rsidR="0010747B">
        <w:rPr>
          <w:rFonts w:ascii="Times New Roman" w:hAnsi="Times New Roman"/>
        </w:rPr>
        <w:t>does not create constructive liability.</w:t>
      </w:r>
      <w:r w:rsidR="005B1D16">
        <w:rPr>
          <w:rFonts w:ascii="Times New Roman" w:hAnsi="Times New Roman"/>
        </w:rPr>
        <w:t xml:space="preserve"> Rather, i</w:t>
      </w:r>
      <w:r w:rsidR="002D3B79">
        <w:rPr>
          <w:rFonts w:ascii="Times New Roman" w:hAnsi="Times New Roman"/>
        </w:rPr>
        <w:t xml:space="preserve">t </w:t>
      </w:r>
      <w:r w:rsidR="0010747B">
        <w:rPr>
          <w:rFonts w:ascii="Times New Roman" w:hAnsi="Times New Roman"/>
        </w:rPr>
        <w:t xml:space="preserve">only penalises individuals for results which they </w:t>
      </w:r>
      <w:r w:rsidR="0010747B" w:rsidRPr="0010747B">
        <w:rPr>
          <w:rFonts w:ascii="Times New Roman" w:hAnsi="Times New Roman"/>
          <w:i/>
        </w:rPr>
        <w:t>did</w:t>
      </w:r>
      <w:r w:rsidR="0010747B">
        <w:rPr>
          <w:rFonts w:ascii="Times New Roman" w:hAnsi="Times New Roman"/>
        </w:rPr>
        <w:t xml:space="preserve"> </w:t>
      </w:r>
      <w:r w:rsidR="00831713">
        <w:rPr>
          <w:rFonts w:ascii="Times New Roman" w:hAnsi="Times New Roman"/>
        </w:rPr>
        <w:t>intend</w:t>
      </w:r>
      <w:r w:rsidR="0010747B">
        <w:rPr>
          <w:rFonts w:ascii="Times New Roman" w:hAnsi="Times New Roman"/>
        </w:rPr>
        <w:t xml:space="preserve"> but </w:t>
      </w:r>
      <w:r w:rsidR="0010747B" w:rsidRPr="0010747B">
        <w:rPr>
          <w:rFonts w:ascii="Times New Roman" w:hAnsi="Times New Roman"/>
          <w:i/>
        </w:rPr>
        <w:t>failed</w:t>
      </w:r>
      <w:r w:rsidR="0010747B">
        <w:rPr>
          <w:rFonts w:ascii="Times New Roman" w:hAnsi="Times New Roman"/>
        </w:rPr>
        <w:t xml:space="preserve"> to bring about. </w:t>
      </w:r>
    </w:p>
    <w:p w:rsidR="005C067D" w:rsidRDefault="005C067D" w:rsidP="006C6A54">
      <w:pPr>
        <w:spacing w:line="480" w:lineRule="auto"/>
        <w:jc w:val="both"/>
        <w:rPr>
          <w:rFonts w:ascii="Times New Roman" w:hAnsi="Times New Roman"/>
        </w:rPr>
      </w:pPr>
    </w:p>
    <w:p w:rsidR="00B81630" w:rsidRDefault="00554F3E" w:rsidP="002E4125">
      <w:pPr>
        <w:autoSpaceDE w:val="0"/>
        <w:autoSpaceDN w:val="0"/>
        <w:adjustRightInd w:val="0"/>
        <w:spacing w:line="480" w:lineRule="auto"/>
        <w:jc w:val="both"/>
        <w:rPr>
          <w:rFonts w:ascii="Times New Roman" w:hAnsi="Times New Roman"/>
        </w:rPr>
      </w:pPr>
      <w:r>
        <w:rPr>
          <w:rFonts w:ascii="Times New Roman" w:hAnsi="Times New Roman"/>
        </w:rPr>
        <w:t>(b</w:t>
      </w:r>
      <w:r w:rsidR="00B81630">
        <w:rPr>
          <w:rFonts w:ascii="Times New Roman" w:hAnsi="Times New Roman"/>
        </w:rPr>
        <w:t>) Sections 20 and 47</w:t>
      </w:r>
    </w:p>
    <w:p w:rsidR="008315FE" w:rsidRDefault="00FC181D" w:rsidP="00C54536">
      <w:pPr>
        <w:autoSpaceDE w:val="0"/>
        <w:autoSpaceDN w:val="0"/>
        <w:adjustRightInd w:val="0"/>
        <w:spacing w:line="480" w:lineRule="auto"/>
        <w:jc w:val="both"/>
        <w:rPr>
          <w:rFonts w:ascii="Times New Roman" w:hAnsi="Times New Roman"/>
        </w:rPr>
      </w:pPr>
      <w:r>
        <w:rPr>
          <w:rFonts w:ascii="Times New Roman" w:hAnsi="Times New Roman"/>
        </w:rPr>
        <w:t>Descending the injury scale,</w:t>
      </w:r>
      <w:r w:rsidR="00295FF0">
        <w:rPr>
          <w:rFonts w:ascii="Times New Roman" w:hAnsi="Times New Roman"/>
        </w:rPr>
        <w:t xml:space="preserve"> </w:t>
      </w:r>
      <w:proofErr w:type="spellStart"/>
      <w:r w:rsidR="00295FF0" w:rsidRPr="00E51A72">
        <w:rPr>
          <w:rFonts w:ascii="Times New Roman" w:hAnsi="Times New Roman"/>
        </w:rPr>
        <w:t>mens</w:t>
      </w:r>
      <w:proofErr w:type="spellEnd"/>
      <w:r w:rsidR="00295FF0" w:rsidRPr="00E51A72">
        <w:rPr>
          <w:rFonts w:ascii="Times New Roman" w:hAnsi="Times New Roman"/>
        </w:rPr>
        <w:t xml:space="preserve"> rea</w:t>
      </w:r>
      <w:r w:rsidR="00295FF0">
        <w:rPr>
          <w:rFonts w:ascii="Times New Roman" w:hAnsi="Times New Roman"/>
        </w:rPr>
        <w:t xml:space="preserve"> problems</w:t>
      </w:r>
      <w:r w:rsidR="00946EF6">
        <w:rPr>
          <w:rFonts w:ascii="Times New Roman" w:hAnsi="Times New Roman"/>
        </w:rPr>
        <w:t xml:space="preserve"> </w:t>
      </w:r>
      <w:r w:rsidR="00E81BD5">
        <w:rPr>
          <w:rFonts w:ascii="Times New Roman" w:hAnsi="Times New Roman"/>
        </w:rPr>
        <w:t xml:space="preserve">continue </w:t>
      </w:r>
      <w:r w:rsidR="00ED0A58">
        <w:rPr>
          <w:rFonts w:ascii="Times New Roman" w:hAnsi="Times New Roman"/>
        </w:rPr>
        <w:t>in ss.</w:t>
      </w:r>
      <w:r w:rsidR="00295FF0">
        <w:rPr>
          <w:rFonts w:ascii="Times New Roman" w:hAnsi="Times New Roman"/>
        </w:rPr>
        <w:t xml:space="preserve">20 and 47. </w:t>
      </w:r>
      <w:r w:rsidR="00946EF6">
        <w:rPr>
          <w:rFonts w:ascii="Times New Roman" w:hAnsi="Times New Roman"/>
        </w:rPr>
        <w:t>The</w:t>
      </w:r>
      <w:r w:rsidR="00C447E3">
        <w:rPr>
          <w:rFonts w:ascii="Times New Roman" w:hAnsi="Times New Roman"/>
        </w:rPr>
        <w:t xml:space="preserve"> </w:t>
      </w:r>
      <w:r w:rsidR="00946EF6">
        <w:rPr>
          <w:rFonts w:ascii="Times New Roman" w:hAnsi="Times New Roman"/>
        </w:rPr>
        <w:t>former</w:t>
      </w:r>
      <w:r w:rsidR="00C74A7E">
        <w:rPr>
          <w:rFonts w:ascii="Times New Roman" w:hAnsi="Times New Roman"/>
        </w:rPr>
        <w:t xml:space="preserve"> </w:t>
      </w:r>
      <w:r w:rsidR="00B4705E">
        <w:rPr>
          <w:rFonts w:ascii="Times New Roman" w:hAnsi="Times New Roman"/>
        </w:rPr>
        <w:t>requires</w:t>
      </w:r>
      <w:r w:rsidR="00C447E3">
        <w:rPr>
          <w:rFonts w:ascii="Times New Roman" w:hAnsi="Times New Roman"/>
        </w:rPr>
        <w:t xml:space="preserve"> </w:t>
      </w:r>
      <w:r w:rsidR="007A4101">
        <w:rPr>
          <w:rFonts w:ascii="Times New Roman" w:hAnsi="Times New Roman"/>
        </w:rPr>
        <w:t>intention or recklessness</w:t>
      </w:r>
      <w:r w:rsidR="00C447E3">
        <w:rPr>
          <w:rFonts w:ascii="Times New Roman" w:hAnsi="Times New Roman"/>
        </w:rPr>
        <w:t xml:space="preserve"> –</w:t>
      </w:r>
      <w:r w:rsidR="0074549E">
        <w:rPr>
          <w:rFonts w:ascii="Times New Roman" w:hAnsi="Times New Roman"/>
        </w:rPr>
        <w:t xml:space="preserve"> or</w:t>
      </w:r>
      <w:r w:rsidR="00B4705E">
        <w:rPr>
          <w:rFonts w:ascii="Times New Roman" w:hAnsi="Times New Roman"/>
        </w:rPr>
        <w:t xml:space="preserve"> “malice</w:t>
      </w:r>
      <w:r w:rsidR="0074549E">
        <w:rPr>
          <w:rFonts w:ascii="Times New Roman" w:hAnsi="Times New Roman"/>
        </w:rPr>
        <w:t>” on the</w:t>
      </w:r>
      <w:r w:rsidR="00B4705E">
        <w:rPr>
          <w:rFonts w:ascii="Times New Roman" w:hAnsi="Times New Roman"/>
        </w:rPr>
        <w:t xml:space="preserve"> </w:t>
      </w:r>
      <w:r w:rsidR="0074549E">
        <w:rPr>
          <w:rFonts w:ascii="Times New Roman" w:hAnsi="Times New Roman"/>
        </w:rPr>
        <w:t xml:space="preserve">text of the </w:t>
      </w:r>
      <w:r w:rsidR="00B4705E">
        <w:rPr>
          <w:rFonts w:ascii="Times New Roman" w:hAnsi="Times New Roman"/>
        </w:rPr>
        <w:t xml:space="preserve">original </w:t>
      </w:r>
      <w:r w:rsidR="00ED5EA2">
        <w:rPr>
          <w:rFonts w:ascii="Times New Roman" w:hAnsi="Times New Roman"/>
        </w:rPr>
        <w:t>offence</w:t>
      </w:r>
      <w:r w:rsidR="00B4705E">
        <w:rPr>
          <w:rFonts w:ascii="Times New Roman" w:hAnsi="Times New Roman"/>
        </w:rPr>
        <w:t xml:space="preserve"> – </w:t>
      </w:r>
      <w:r w:rsidR="007A4101">
        <w:rPr>
          <w:rFonts w:ascii="Times New Roman" w:hAnsi="Times New Roman"/>
        </w:rPr>
        <w:t>as to</w:t>
      </w:r>
      <w:r w:rsidR="00C74A7E">
        <w:rPr>
          <w:rFonts w:ascii="Times New Roman" w:hAnsi="Times New Roman"/>
        </w:rPr>
        <w:t xml:space="preserve"> the causing of </w:t>
      </w:r>
      <w:r w:rsidR="00C74A7E" w:rsidRPr="00C74A7E">
        <w:rPr>
          <w:rFonts w:ascii="Times New Roman" w:hAnsi="Times New Roman"/>
          <w:i/>
        </w:rPr>
        <w:t>some</w:t>
      </w:r>
      <w:r w:rsidR="00C74A7E">
        <w:rPr>
          <w:rFonts w:ascii="Times New Roman" w:hAnsi="Times New Roman"/>
        </w:rPr>
        <w:t xml:space="preserve"> bodily harm (not necessarily </w:t>
      </w:r>
      <w:r w:rsidR="004D6733">
        <w:rPr>
          <w:rFonts w:ascii="Times New Roman" w:hAnsi="Times New Roman"/>
        </w:rPr>
        <w:t xml:space="preserve">amounting to </w:t>
      </w:r>
      <w:r w:rsidR="00C74A7E">
        <w:rPr>
          <w:rFonts w:ascii="Times New Roman" w:hAnsi="Times New Roman"/>
        </w:rPr>
        <w:t>wounding or GBH</w:t>
      </w:r>
      <w:r w:rsidR="004D6733">
        <w:rPr>
          <w:rFonts w:ascii="Times New Roman" w:hAnsi="Times New Roman"/>
        </w:rPr>
        <w:t>)</w:t>
      </w:r>
      <w:r w:rsidR="00C74A7E">
        <w:rPr>
          <w:rFonts w:ascii="Times New Roman" w:hAnsi="Times New Roman"/>
        </w:rPr>
        <w:t>.</w:t>
      </w:r>
      <w:r w:rsidR="004D6733">
        <w:rPr>
          <w:rStyle w:val="FootnoteReference"/>
          <w:rFonts w:ascii="Times New Roman" w:hAnsi="Times New Roman"/>
        </w:rPr>
        <w:footnoteReference w:id="73"/>
      </w:r>
      <w:r w:rsidR="00C74A7E">
        <w:rPr>
          <w:rFonts w:ascii="Times New Roman" w:hAnsi="Times New Roman"/>
        </w:rPr>
        <w:t xml:space="preserve">  </w:t>
      </w:r>
      <w:r w:rsidR="00946EF6">
        <w:rPr>
          <w:rFonts w:ascii="Times New Roman" w:hAnsi="Times New Roman"/>
        </w:rPr>
        <w:t>The latter</w:t>
      </w:r>
      <w:r w:rsidR="004D6733">
        <w:rPr>
          <w:rFonts w:ascii="Times New Roman" w:hAnsi="Times New Roman"/>
        </w:rPr>
        <w:t xml:space="preserve"> </w:t>
      </w:r>
      <w:r w:rsidR="0074549E">
        <w:rPr>
          <w:rFonts w:ascii="Times New Roman" w:hAnsi="Times New Roman"/>
        </w:rPr>
        <w:t>specifies</w:t>
      </w:r>
      <w:r w:rsidR="004D6733">
        <w:rPr>
          <w:rFonts w:ascii="Times New Roman" w:hAnsi="Times New Roman"/>
        </w:rPr>
        <w:t xml:space="preserve"> </w:t>
      </w:r>
      <w:r w:rsidR="007A4101">
        <w:rPr>
          <w:rFonts w:ascii="Times New Roman" w:hAnsi="Times New Roman"/>
        </w:rPr>
        <w:lastRenderedPageBreak/>
        <w:t>intention or recklessness</w:t>
      </w:r>
      <w:r w:rsidR="004D6733">
        <w:rPr>
          <w:rFonts w:ascii="Times New Roman" w:hAnsi="Times New Roman"/>
        </w:rPr>
        <w:t xml:space="preserve"> as to the assault or battery which causes ABH – there is </w:t>
      </w:r>
      <w:r w:rsidR="004D6733" w:rsidRPr="004D6733">
        <w:rPr>
          <w:rFonts w:ascii="Times New Roman" w:hAnsi="Times New Roman"/>
          <w:i/>
        </w:rPr>
        <w:t>no</w:t>
      </w:r>
      <w:r w:rsidR="004D6733">
        <w:rPr>
          <w:rFonts w:ascii="Times New Roman" w:hAnsi="Times New Roman"/>
        </w:rPr>
        <w:t xml:space="preserve"> additional </w:t>
      </w:r>
      <w:proofErr w:type="spellStart"/>
      <w:r w:rsidR="004D6733" w:rsidRPr="00E51A72">
        <w:rPr>
          <w:rFonts w:ascii="Times New Roman" w:hAnsi="Times New Roman"/>
        </w:rPr>
        <w:t>mens</w:t>
      </w:r>
      <w:proofErr w:type="spellEnd"/>
      <w:r w:rsidR="004D6733" w:rsidRPr="00E51A72">
        <w:rPr>
          <w:rFonts w:ascii="Times New Roman" w:hAnsi="Times New Roman"/>
        </w:rPr>
        <w:t xml:space="preserve"> rea</w:t>
      </w:r>
      <w:r w:rsidR="004D6733">
        <w:rPr>
          <w:rFonts w:ascii="Times New Roman" w:hAnsi="Times New Roman"/>
        </w:rPr>
        <w:t xml:space="preserve"> </w:t>
      </w:r>
      <w:r w:rsidR="00C245B4">
        <w:rPr>
          <w:rFonts w:ascii="Times New Roman" w:hAnsi="Times New Roman"/>
        </w:rPr>
        <w:t>stipulated as</w:t>
      </w:r>
      <w:r w:rsidR="00C01DE1">
        <w:rPr>
          <w:rFonts w:ascii="Times New Roman" w:hAnsi="Times New Roman"/>
        </w:rPr>
        <w:t xml:space="preserve"> to</w:t>
      </w:r>
      <w:r w:rsidR="007A4101">
        <w:rPr>
          <w:rFonts w:ascii="Times New Roman" w:hAnsi="Times New Roman"/>
        </w:rPr>
        <w:t xml:space="preserve"> the ABH itself.</w:t>
      </w:r>
      <w:r w:rsidR="004D6733">
        <w:rPr>
          <w:rStyle w:val="FootnoteReference"/>
          <w:rFonts w:ascii="Times New Roman" w:hAnsi="Times New Roman"/>
        </w:rPr>
        <w:footnoteReference w:id="74"/>
      </w:r>
      <w:r w:rsidR="004D6733">
        <w:rPr>
          <w:rFonts w:ascii="Times New Roman" w:hAnsi="Times New Roman"/>
        </w:rPr>
        <w:t xml:space="preserve"> </w:t>
      </w:r>
      <w:r w:rsidR="000A1190">
        <w:rPr>
          <w:rFonts w:ascii="Times New Roman" w:hAnsi="Times New Roman"/>
        </w:rPr>
        <w:t>Both</w:t>
      </w:r>
      <w:r w:rsidR="00C01DE1">
        <w:rPr>
          <w:rFonts w:ascii="Times New Roman" w:hAnsi="Times New Roman"/>
        </w:rPr>
        <w:t xml:space="preserve"> these offences </w:t>
      </w:r>
      <w:r w:rsidR="00601350">
        <w:rPr>
          <w:rFonts w:ascii="Times New Roman" w:hAnsi="Times New Roman"/>
        </w:rPr>
        <w:t>create constructive liability in violation of</w:t>
      </w:r>
      <w:r w:rsidR="00C01DE1">
        <w:rPr>
          <w:rFonts w:ascii="Times New Roman" w:hAnsi="Times New Roman"/>
        </w:rPr>
        <w:t xml:space="preserve"> the corres</w:t>
      </w:r>
      <w:r w:rsidR="00601350">
        <w:rPr>
          <w:rFonts w:ascii="Times New Roman" w:hAnsi="Times New Roman"/>
        </w:rPr>
        <w:t>pondence principle</w:t>
      </w:r>
      <w:r w:rsidR="001F65E9">
        <w:rPr>
          <w:rFonts w:ascii="Times New Roman" w:hAnsi="Times New Roman"/>
        </w:rPr>
        <w:t>.</w:t>
      </w:r>
      <w:r w:rsidR="001E52D4">
        <w:rPr>
          <w:rFonts w:ascii="Times New Roman" w:hAnsi="Times New Roman"/>
        </w:rPr>
        <w:t xml:space="preserve"> This is especially marked in s.47. Here, the causing of ABH is the distinguishing feature of the crime – indeed, the offence is known as “ABH”. Yet D </w:t>
      </w:r>
      <w:r w:rsidR="00946EF6">
        <w:rPr>
          <w:rFonts w:ascii="Times New Roman" w:hAnsi="Times New Roman"/>
        </w:rPr>
        <w:t>requires</w:t>
      </w:r>
      <w:r w:rsidR="001E52D4">
        <w:rPr>
          <w:rFonts w:ascii="Times New Roman" w:hAnsi="Times New Roman"/>
        </w:rPr>
        <w:t xml:space="preserve"> </w:t>
      </w:r>
      <w:r w:rsidR="001E52D4" w:rsidRPr="001E52D4">
        <w:rPr>
          <w:rFonts w:ascii="Times New Roman" w:hAnsi="Times New Roman"/>
          <w:i/>
        </w:rPr>
        <w:t>no</w:t>
      </w:r>
      <w:r w:rsidR="001E52D4">
        <w:rPr>
          <w:rFonts w:ascii="Times New Roman" w:hAnsi="Times New Roman"/>
        </w:rPr>
        <w:t xml:space="preserve"> awareness of </w:t>
      </w:r>
      <w:r w:rsidR="00E103B5">
        <w:rPr>
          <w:rFonts w:ascii="Times New Roman" w:hAnsi="Times New Roman"/>
        </w:rPr>
        <w:t>potential</w:t>
      </w:r>
      <w:r w:rsidR="00EF5A9F">
        <w:rPr>
          <w:rFonts w:ascii="Times New Roman" w:hAnsi="Times New Roman"/>
        </w:rPr>
        <w:t xml:space="preserve"> </w:t>
      </w:r>
      <w:r w:rsidR="00EF5A9F" w:rsidRPr="00DA52C7">
        <w:rPr>
          <w:rFonts w:ascii="Times New Roman" w:hAnsi="Times New Roman"/>
          <w:i/>
        </w:rPr>
        <w:t>bodily</w:t>
      </w:r>
      <w:r w:rsidR="00EF5A9F">
        <w:rPr>
          <w:rFonts w:ascii="Times New Roman" w:hAnsi="Times New Roman"/>
        </w:rPr>
        <w:t xml:space="preserve"> harm – the </w:t>
      </w:r>
      <w:r w:rsidR="001E52D4">
        <w:rPr>
          <w:rFonts w:ascii="Times New Roman" w:hAnsi="Times New Roman"/>
        </w:rPr>
        <w:t xml:space="preserve">main ingredient of the </w:t>
      </w:r>
      <w:r w:rsidR="001E52D4" w:rsidRPr="00E51A72">
        <w:rPr>
          <w:rFonts w:ascii="Times New Roman" w:hAnsi="Times New Roman"/>
        </w:rPr>
        <w:t xml:space="preserve">actus </w:t>
      </w:r>
      <w:proofErr w:type="spellStart"/>
      <w:proofErr w:type="gramStart"/>
      <w:r w:rsidR="001E52D4" w:rsidRPr="00E51A72">
        <w:rPr>
          <w:rFonts w:ascii="Times New Roman" w:hAnsi="Times New Roman"/>
        </w:rPr>
        <w:t>reus</w:t>
      </w:r>
      <w:proofErr w:type="spellEnd"/>
      <w:proofErr w:type="gramEnd"/>
      <w:r w:rsidR="00EF5A9F">
        <w:rPr>
          <w:rFonts w:ascii="Times New Roman" w:hAnsi="Times New Roman"/>
        </w:rPr>
        <w:t>.</w:t>
      </w:r>
      <w:r w:rsidR="00EF5A9F">
        <w:rPr>
          <w:rStyle w:val="FootnoteReference"/>
          <w:rFonts w:ascii="Times New Roman" w:hAnsi="Times New Roman"/>
        </w:rPr>
        <w:footnoteReference w:id="75"/>
      </w:r>
      <w:r w:rsidR="00EF5A9F">
        <w:rPr>
          <w:rFonts w:ascii="Times New Roman" w:hAnsi="Times New Roman"/>
        </w:rPr>
        <w:t xml:space="preserve"> Rather, D’s state of mind need only relate to</w:t>
      </w:r>
      <w:r w:rsidR="001E52D4">
        <w:rPr>
          <w:rFonts w:ascii="Times New Roman" w:hAnsi="Times New Roman"/>
        </w:rPr>
        <w:t xml:space="preserve"> </w:t>
      </w:r>
      <w:r w:rsidR="00EF5A9F">
        <w:rPr>
          <w:rFonts w:ascii="Times New Roman" w:hAnsi="Times New Roman"/>
        </w:rPr>
        <w:t xml:space="preserve">the initial assault or battery – that is, causing V to apprehend physical contact or making </w:t>
      </w:r>
      <w:r w:rsidR="00886C80">
        <w:rPr>
          <w:rFonts w:ascii="Times New Roman" w:hAnsi="Times New Roman"/>
        </w:rPr>
        <w:t xml:space="preserve">unwanted </w:t>
      </w:r>
      <w:r w:rsidR="00EF5A9F">
        <w:rPr>
          <w:rFonts w:ascii="Times New Roman" w:hAnsi="Times New Roman"/>
        </w:rPr>
        <w:t>physical contact with V.</w:t>
      </w:r>
      <w:r w:rsidR="001E52D4">
        <w:rPr>
          <w:rFonts w:ascii="Times New Roman" w:hAnsi="Times New Roman"/>
        </w:rPr>
        <w:t xml:space="preserve"> In contrast, under s.20 D must at least </w:t>
      </w:r>
      <w:r w:rsidR="00DC6738">
        <w:rPr>
          <w:rFonts w:ascii="Times New Roman" w:hAnsi="Times New Roman"/>
        </w:rPr>
        <w:t>intend or be reckless as to causing</w:t>
      </w:r>
      <w:r w:rsidR="001E52D4">
        <w:rPr>
          <w:rFonts w:ascii="Times New Roman" w:hAnsi="Times New Roman"/>
        </w:rPr>
        <w:t xml:space="preserve"> </w:t>
      </w:r>
      <w:r w:rsidR="001E52D4" w:rsidRPr="00DA52C7">
        <w:rPr>
          <w:rFonts w:ascii="Times New Roman" w:hAnsi="Times New Roman"/>
          <w:i/>
        </w:rPr>
        <w:t xml:space="preserve">some </w:t>
      </w:r>
      <w:r w:rsidR="00EF5A9F" w:rsidRPr="00DA52C7">
        <w:rPr>
          <w:rFonts w:ascii="Times New Roman" w:hAnsi="Times New Roman"/>
          <w:i/>
        </w:rPr>
        <w:t>bodily</w:t>
      </w:r>
      <w:r w:rsidR="00EF5A9F">
        <w:rPr>
          <w:rFonts w:ascii="Times New Roman" w:hAnsi="Times New Roman"/>
        </w:rPr>
        <w:t xml:space="preserve"> </w:t>
      </w:r>
      <w:r w:rsidR="001E52D4">
        <w:rPr>
          <w:rFonts w:ascii="Times New Roman" w:hAnsi="Times New Roman"/>
        </w:rPr>
        <w:t xml:space="preserve">harm and so there is a smaller degree of difference between the </w:t>
      </w:r>
      <w:r w:rsidR="00DC6738" w:rsidRPr="00E51A72">
        <w:rPr>
          <w:rFonts w:ascii="Times New Roman" w:hAnsi="Times New Roman"/>
        </w:rPr>
        <w:t xml:space="preserve">actus </w:t>
      </w:r>
      <w:proofErr w:type="spellStart"/>
      <w:proofErr w:type="gramStart"/>
      <w:r w:rsidR="00DC6738" w:rsidRPr="00E51A72">
        <w:rPr>
          <w:rFonts w:ascii="Times New Roman" w:hAnsi="Times New Roman"/>
        </w:rPr>
        <w:t>reus</w:t>
      </w:r>
      <w:proofErr w:type="spellEnd"/>
      <w:proofErr w:type="gramEnd"/>
      <w:r w:rsidR="00DC6738" w:rsidRPr="00E51A72">
        <w:rPr>
          <w:rFonts w:ascii="Times New Roman" w:hAnsi="Times New Roman"/>
        </w:rPr>
        <w:t xml:space="preserve"> </w:t>
      </w:r>
      <w:r w:rsidR="00DC6738">
        <w:rPr>
          <w:rFonts w:ascii="Times New Roman" w:hAnsi="Times New Roman"/>
        </w:rPr>
        <w:t>and</w:t>
      </w:r>
      <w:r w:rsidR="00DC6738" w:rsidRPr="00E51A72">
        <w:rPr>
          <w:rFonts w:ascii="Times New Roman" w:hAnsi="Times New Roman"/>
        </w:rPr>
        <w:t xml:space="preserve"> </w:t>
      </w:r>
      <w:proofErr w:type="spellStart"/>
      <w:r w:rsidR="001E52D4" w:rsidRPr="00E51A72">
        <w:rPr>
          <w:rFonts w:ascii="Times New Roman" w:hAnsi="Times New Roman"/>
        </w:rPr>
        <w:t>mens</w:t>
      </w:r>
      <w:proofErr w:type="spellEnd"/>
      <w:r w:rsidR="001E52D4" w:rsidRPr="00E51A72">
        <w:rPr>
          <w:rFonts w:ascii="Times New Roman" w:hAnsi="Times New Roman"/>
        </w:rPr>
        <w:t xml:space="preserve"> rea</w:t>
      </w:r>
      <w:r w:rsidR="001E52D4">
        <w:rPr>
          <w:rFonts w:ascii="Times New Roman" w:hAnsi="Times New Roman"/>
        </w:rPr>
        <w:t>.</w:t>
      </w:r>
      <w:r w:rsidR="001E52D4">
        <w:rPr>
          <w:rStyle w:val="FootnoteReference"/>
          <w:rFonts w:ascii="Times New Roman" w:hAnsi="Times New Roman"/>
        </w:rPr>
        <w:footnoteReference w:id="76"/>
      </w:r>
      <w:r w:rsidR="00DA30CB">
        <w:rPr>
          <w:rFonts w:ascii="Times New Roman" w:hAnsi="Times New Roman"/>
        </w:rPr>
        <w:t xml:space="preserve"> Ultimately</w:t>
      </w:r>
      <w:r w:rsidR="00886C80">
        <w:rPr>
          <w:rFonts w:ascii="Times New Roman" w:hAnsi="Times New Roman"/>
        </w:rPr>
        <w:t xml:space="preserve">, </w:t>
      </w:r>
      <w:r w:rsidR="00DA52C7">
        <w:rPr>
          <w:rFonts w:ascii="Times New Roman" w:hAnsi="Times New Roman"/>
        </w:rPr>
        <w:t xml:space="preserve">irrespective of </w:t>
      </w:r>
      <w:r w:rsidR="00DC6738">
        <w:rPr>
          <w:rFonts w:ascii="Times New Roman" w:hAnsi="Times New Roman"/>
        </w:rPr>
        <w:t>any such</w:t>
      </w:r>
      <w:r w:rsidR="00DA52C7">
        <w:rPr>
          <w:rFonts w:ascii="Times New Roman" w:hAnsi="Times New Roman"/>
        </w:rPr>
        <w:t xml:space="preserve"> </w:t>
      </w:r>
      <w:r w:rsidR="00DA52C7" w:rsidRPr="00DA52C7">
        <w:rPr>
          <w:rFonts w:ascii="Times New Roman" w:hAnsi="Times New Roman"/>
        </w:rPr>
        <w:t>degree</w:t>
      </w:r>
      <w:r w:rsidR="00DA52C7">
        <w:rPr>
          <w:rFonts w:ascii="Times New Roman" w:hAnsi="Times New Roman"/>
        </w:rPr>
        <w:t xml:space="preserve">, both crimes </w:t>
      </w:r>
      <w:r w:rsidR="00DC6738">
        <w:rPr>
          <w:rFonts w:ascii="Times New Roman" w:hAnsi="Times New Roman"/>
        </w:rPr>
        <w:t>unfairly label D on conviction given that</w:t>
      </w:r>
      <w:r w:rsidR="00DA52C7">
        <w:rPr>
          <w:rFonts w:ascii="Times New Roman" w:hAnsi="Times New Roman"/>
        </w:rPr>
        <w:t xml:space="preserve"> the h</w:t>
      </w:r>
      <w:r w:rsidR="00DC6738">
        <w:rPr>
          <w:rFonts w:ascii="Times New Roman" w:hAnsi="Times New Roman"/>
        </w:rPr>
        <w:t xml:space="preserve">arm proscribed in either offence still lies </w:t>
      </w:r>
      <w:r w:rsidR="00DC6738" w:rsidRPr="00DC6738">
        <w:rPr>
          <w:rFonts w:ascii="Times New Roman" w:hAnsi="Times New Roman"/>
          <w:i/>
        </w:rPr>
        <w:t>beyond</w:t>
      </w:r>
      <w:r w:rsidR="00DC6738">
        <w:rPr>
          <w:rFonts w:ascii="Times New Roman" w:hAnsi="Times New Roman"/>
        </w:rPr>
        <w:t xml:space="preserve"> that </w:t>
      </w:r>
      <w:r w:rsidR="00C245B4">
        <w:rPr>
          <w:rFonts w:ascii="Times New Roman" w:hAnsi="Times New Roman"/>
        </w:rPr>
        <w:t>envisaged by</w:t>
      </w:r>
      <w:r w:rsidR="00DC6738">
        <w:rPr>
          <w:rFonts w:ascii="Times New Roman" w:hAnsi="Times New Roman"/>
        </w:rPr>
        <w:t xml:space="preserve"> the </w:t>
      </w:r>
      <w:proofErr w:type="spellStart"/>
      <w:r w:rsidR="00DC6738">
        <w:rPr>
          <w:rFonts w:ascii="Times New Roman" w:hAnsi="Times New Roman"/>
        </w:rPr>
        <w:t>mens</w:t>
      </w:r>
      <w:proofErr w:type="spellEnd"/>
      <w:r w:rsidR="00DC6738">
        <w:rPr>
          <w:rFonts w:ascii="Times New Roman" w:hAnsi="Times New Roman"/>
        </w:rPr>
        <w:t xml:space="preserve"> rea.</w:t>
      </w:r>
      <w:r w:rsidR="003B5777">
        <w:rPr>
          <w:rFonts w:ascii="Times New Roman" w:hAnsi="Times New Roman"/>
        </w:rPr>
        <w:t xml:space="preserve"> </w:t>
      </w:r>
      <w:r w:rsidR="005C3BEC">
        <w:rPr>
          <w:rFonts w:ascii="Times New Roman" w:hAnsi="Times New Roman"/>
        </w:rPr>
        <w:t>Inevitably</w:t>
      </w:r>
      <w:r w:rsidR="00ED0A58">
        <w:rPr>
          <w:rFonts w:ascii="Times New Roman" w:hAnsi="Times New Roman"/>
        </w:rPr>
        <w:t>, constructive liability in ss.</w:t>
      </w:r>
      <w:r w:rsidR="005C3BEC">
        <w:rPr>
          <w:rFonts w:ascii="Times New Roman" w:hAnsi="Times New Roman"/>
        </w:rPr>
        <w:t xml:space="preserve">20 and 47 </w:t>
      </w:r>
      <w:r w:rsidR="00B4007D">
        <w:rPr>
          <w:rFonts w:ascii="Times New Roman" w:hAnsi="Times New Roman"/>
        </w:rPr>
        <w:t>also generates</w:t>
      </w:r>
      <w:r w:rsidR="005C3BEC">
        <w:rPr>
          <w:rFonts w:ascii="Times New Roman" w:hAnsi="Times New Roman"/>
        </w:rPr>
        <w:t xml:space="preserve"> sentencing dilemmas: these are </w:t>
      </w:r>
      <w:r w:rsidR="00A974BD">
        <w:rPr>
          <w:rFonts w:ascii="Times New Roman" w:hAnsi="Times New Roman"/>
        </w:rPr>
        <w:t>discussed</w:t>
      </w:r>
      <w:r w:rsidR="005C3BEC">
        <w:rPr>
          <w:rFonts w:ascii="Times New Roman" w:hAnsi="Times New Roman"/>
        </w:rPr>
        <w:t xml:space="preserve"> below.</w:t>
      </w:r>
      <w:r w:rsidR="005C3BEC">
        <w:rPr>
          <w:rStyle w:val="FootnoteReference"/>
          <w:rFonts w:ascii="Times New Roman" w:hAnsi="Times New Roman"/>
        </w:rPr>
        <w:footnoteReference w:id="77"/>
      </w:r>
      <w:r w:rsidR="005D664D">
        <w:rPr>
          <w:rFonts w:ascii="Times New Roman" w:hAnsi="Times New Roman"/>
        </w:rPr>
        <w:t xml:space="preserve"> </w:t>
      </w:r>
    </w:p>
    <w:p w:rsidR="007A4101" w:rsidRDefault="007A4101" w:rsidP="00C54536">
      <w:pPr>
        <w:autoSpaceDE w:val="0"/>
        <w:autoSpaceDN w:val="0"/>
        <w:adjustRightInd w:val="0"/>
        <w:spacing w:line="480" w:lineRule="auto"/>
        <w:jc w:val="both"/>
        <w:rPr>
          <w:rFonts w:ascii="Times New Roman" w:hAnsi="Times New Roman"/>
        </w:rPr>
      </w:pPr>
    </w:p>
    <w:p w:rsidR="00253755" w:rsidRDefault="005D664D" w:rsidP="00C54536">
      <w:pPr>
        <w:autoSpaceDE w:val="0"/>
        <w:autoSpaceDN w:val="0"/>
        <w:adjustRightInd w:val="0"/>
        <w:spacing w:line="480" w:lineRule="auto"/>
        <w:jc w:val="both"/>
        <w:rPr>
          <w:rFonts w:ascii="Times New Roman" w:hAnsi="Times New Roman"/>
        </w:rPr>
      </w:pPr>
      <w:r>
        <w:rPr>
          <w:rFonts w:ascii="Times New Roman" w:hAnsi="Times New Roman"/>
        </w:rPr>
        <w:t xml:space="preserve">Away from </w:t>
      </w:r>
      <w:r w:rsidR="00EC74C0">
        <w:rPr>
          <w:rFonts w:ascii="Times New Roman" w:hAnsi="Times New Roman"/>
        </w:rPr>
        <w:t xml:space="preserve">correspondence, </w:t>
      </w:r>
      <w:r w:rsidR="00253755">
        <w:rPr>
          <w:rFonts w:ascii="Times New Roman" w:hAnsi="Times New Roman"/>
        </w:rPr>
        <w:t xml:space="preserve">the </w:t>
      </w:r>
      <w:proofErr w:type="spellStart"/>
      <w:r w:rsidR="00253755">
        <w:rPr>
          <w:rFonts w:ascii="Times New Roman" w:hAnsi="Times New Roman"/>
        </w:rPr>
        <w:t>mens</w:t>
      </w:r>
      <w:proofErr w:type="spellEnd"/>
      <w:r w:rsidR="00253755">
        <w:rPr>
          <w:rFonts w:ascii="Times New Roman" w:hAnsi="Times New Roman"/>
        </w:rPr>
        <w:t xml:space="preserve"> rea of s.20 </w:t>
      </w:r>
      <w:r w:rsidR="00394B38">
        <w:rPr>
          <w:rFonts w:ascii="Times New Roman" w:hAnsi="Times New Roman"/>
        </w:rPr>
        <w:t>assumes</w:t>
      </w:r>
      <w:r w:rsidR="00253755">
        <w:rPr>
          <w:rFonts w:ascii="Times New Roman" w:hAnsi="Times New Roman"/>
        </w:rPr>
        <w:t xml:space="preserve"> </w:t>
      </w:r>
      <w:r w:rsidR="00394B38">
        <w:rPr>
          <w:rFonts w:ascii="Times New Roman" w:hAnsi="Times New Roman"/>
        </w:rPr>
        <w:t>particular</w:t>
      </w:r>
      <w:r w:rsidR="005D0AFD">
        <w:rPr>
          <w:rFonts w:ascii="Times New Roman" w:hAnsi="Times New Roman"/>
        </w:rPr>
        <w:t xml:space="preserve"> </w:t>
      </w:r>
      <w:r w:rsidR="00394B38">
        <w:rPr>
          <w:rFonts w:ascii="Times New Roman" w:hAnsi="Times New Roman"/>
        </w:rPr>
        <w:t>importance</w:t>
      </w:r>
      <w:r w:rsidR="00715EA8">
        <w:rPr>
          <w:rFonts w:ascii="Times New Roman" w:hAnsi="Times New Roman"/>
        </w:rPr>
        <w:t xml:space="preserve"> </w:t>
      </w:r>
      <w:r w:rsidR="007A4101">
        <w:rPr>
          <w:rFonts w:ascii="Times New Roman" w:hAnsi="Times New Roman"/>
        </w:rPr>
        <w:t xml:space="preserve">in </w:t>
      </w:r>
      <w:r w:rsidR="00394B38">
        <w:rPr>
          <w:rFonts w:ascii="Times New Roman" w:hAnsi="Times New Roman"/>
        </w:rPr>
        <w:t>one</w:t>
      </w:r>
      <w:r w:rsidR="00715EA8">
        <w:rPr>
          <w:rFonts w:ascii="Times New Roman" w:hAnsi="Times New Roman"/>
        </w:rPr>
        <w:t xml:space="preserve"> key</w:t>
      </w:r>
      <w:r>
        <w:rPr>
          <w:rFonts w:ascii="Times New Roman" w:hAnsi="Times New Roman"/>
        </w:rPr>
        <w:t xml:space="preserve"> respect: </w:t>
      </w:r>
      <w:r w:rsidR="00253755">
        <w:rPr>
          <w:rFonts w:ascii="Times New Roman" w:hAnsi="Times New Roman"/>
        </w:rPr>
        <w:t xml:space="preserve">transmission of sexual disease. </w:t>
      </w:r>
      <w:r w:rsidR="00EC74C0">
        <w:rPr>
          <w:rFonts w:ascii="Times New Roman" w:hAnsi="Times New Roman"/>
        </w:rPr>
        <w:t>Passing on serious sexual infection amounts to GBH, although it is rare that this is done intentionally un</w:t>
      </w:r>
      <w:r w:rsidR="004B5C86">
        <w:rPr>
          <w:rFonts w:ascii="Times New Roman" w:hAnsi="Times New Roman"/>
        </w:rPr>
        <w:t>der variant 2 of s.18</w:t>
      </w:r>
      <w:r w:rsidR="00EC74C0">
        <w:rPr>
          <w:rFonts w:ascii="Times New Roman" w:hAnsi="Times New Roman"/>
        </w:rPr>
        <w:t xml:space="preserve">. Consequently, in </w:t>
      </w:r>
      <w:r w:rsidR="007A4101">
        <w:rPr>
          <w:rFonts w:ascii="Times New Roman" w:hAnsi="Times New Roman"/>
        </w:rPr>
        <w:t>these</w:t>
      </w:r>
      <w:r w:rsidR="00EC74C0">
        <w:rPr>
          <w:rFonts w:ascii="Times New Roman" w:hAnsi="Times New Roman"/>
        </w:rPr>
        <w:t xml:space="preserve"> cases</w:t>
      </w:r>
      <w:r>
        <w:rPr>
          <w:rFonts w:ascii="Times New Roman" w:hAnsi="Times New Roman"/>
        </w:rPr>
        <w:t>,</w:t>
      </w:r>
      <w:r w:rsidR="00EC74C0">
        <w:rPr>
          <w:rFonts w:ascii="Times New Roman" w:hAnsi="Times New Roman"/>
        </w:rPr>
        <w:t xml:space="preserve"> </w:t>
      </w:r>
      <w:r w:rsidR="007A4101">
        <w:rPr>
          <w:rFonts w:ascii="Times New Roman" w:hAnsi="Times New Roman"/>
        </w:rPr>
        <w:t xml:space="preserve">prosecutors </w:t>
      </w:r>
      <w:r w:rsidR="00751BBE">
        <w:rPr>
          <w:rFonts w:ascii="Times New Roman" w:hAnsi="Times New Roman"/>
        </w:rPr>
        <w:t xml:space="preserve">tend to </w:t>
      </w:r>
      <w:r>
        <w:rPr>
          <w:rFonts w:ascii="Times New Roman" w:hAnsi="Times New Roman"/>
        </w:rPr>
        <w:t>argue</w:t>
      </w:r>
      <w:r w:rsidR="00715EA8">
        <w:rPr>
          <w:rFonts w:ascii="Times New Roman" w:hAnsi="Times New Roman"/>
        </w:rPr>
        <w:t xml:space="preserve"> </w:t>
      </w:r>
      <w:r w:rsidR="00EC74C0">
        <w:rPr>
          <w:rFonts w:ascii="Times New Roman" w:hAnsi="Times New Roman"/>
        </w:rPr>
        <w:t xml:space="preserve">that </w:t>
      </w:r>
      <w:r w:rsidR="001E4F8C">
        <w:rPr>
          <w:rFonts w:ascii="Times New Roman" w:hAnsi="Times New Roman"/>
        </w:rPr>
        <w:t xml:space="preserve">D </w:t>
      </w:r>
      <w:r w:rsidR="00751BBE">
        <w:rPr>
          <w:rFonts w:ascii="Times New Roman" w:hAnsi="Times New Roman"/>
        </w:rPr>
        <w:t xml:space="preserve">was </w:t>
      </w:r>
      <w:r w:rsidR="001E4F8C">
        <w:rPr>
          <w:rFonts w:ascii="Times New Roman" w:hAnsi="Times New Roman"/>
        </w:rPr>
        <w:t xml:space="preserve">at </w:t>
      </w:r>
      <w:r w:rsidR="001E4F8C" w:rsidRPr="00751BBE">
        <w:rPr>
          <w:rFonts w:ascii="Times New Roman" w:hAnsi="Times New Roman"/>
        </w:rPr>
        <w:t>least</w:t>
      </w:r>
      <w:r w:rsidR="00EC74C0">
        <w:rPr>
          <w:rFonts w:ascii="Times New Roman" w:hAnsi="Times New Roman"/>
        </w:rPr>
        <w:t xml:space="preserve"> </w:t>
      </w:r>
      <w:r w:rsidR="00751BBE" w:rsidRPr="00751BBE">
        <w:rPr>
          <w:rFonts w:ascii="Times New Roman" w:hAnsi="Times New Roman"/>
          <w:i/>
        </w:rPr>
        <w:t>reckless</w:t>
      </w:r>
      <w:r w:rsidR="00751BBE">
        <w:rPr>
          <w:rFonts w:ascii="Times New Roman" w:hAnsi="Times New Roman"/>
        </w:rPr>
        <w:t xml:space="preserve"> </w:t>
      </w:r>
      <w:r w:rsidR="00ED5EA2">
        <w:rPr>
          <w:rFonts w:ascii="Times New Roman" w:hAnsi="Times New Roman"/>
        </w:rPr>
        <w:t>as to</w:t>
      </w:r>
      <w:r w:rsidR="00751BBE">
        <w:rPr>
          <w:rFonts w:ascii="Times New Roman" w:hAnsi="Times New Roman"/>
        </w:rPr>
        <w:t xml:space="preserve"> causing </w:t>
      </w:r>
      <w:r w:rsidR="001E4F8C">
        <w:rPr>
          <w:rFonts w:ascii="Times New Roman" w:hAnsi="Times New Roman"/>
        </w:rPr>
        <w:t xml:space="preserve">some bodily harm (of which serious sexual disease is a type) </w:t>
      </w:r>
      <w:r w:rsidR="007A4101">
        <w:rPr>
          <w:rFonts w:ascii="Times New Roman" w:hAnsi="Times New Roman"/>
        </w:rPr>
        <w:t>under s.20</w:t>
      </w:r>
      <w:r w:rsidR="001E4F8C">
        <w:rPr>
          <w:rFonts w:ascii="Times New Roman" w:hAnsi="Times New Roman"/>
        </w:rPr>
        <w:t>.</w:t>
      </w:r>
      <w:r w:rsidR="00A53F84">
        <w:rPr>
          <w:rStyle w:val="FootnoteReference"/>
          <w:rFonts w:ascii="Times New Roman" w:hAnsi="Times New Roman"/>
        </w:rPr>
        <w:footnoteReference w:id="78"/>
      </w:r>
      <w:r w:rsidR="001E4F8C">
        <w:rPr>
          <w:rFonts w:ascii="Times New Roman" w:hAnsi="Times New Roman"/>
        </w:rPr>
        <w:t xml:space="preserve"> </w:t>
      </w:r>
      <w:r w:rsidR="00537F6F">
        <w:rPr>
          <w:rFonts w:ascii="Times New Roman" w:hAnsi="Times New Roman"/>
        </w:rPr>
        <w:t xml:space="preserve">Unfortunately, recourse to recklessness </w:t>
      </w:r>
      <w:r w:rsidR="007A4101">
        <w:rPr>
          <w:rFonts w:ascii="Times New Roman" w:hAnsi="Times New Roman"/>
        </w:rPr>
        <w:t>poses</w:t>
      </w:r>
      <w:r w:rsidR="00537F6F">
        <w:rPr>
          <w:rFonts w:ascii="Times New Roman" w:hAnsi="Times New Roman"/>
        </w:rPr>
        <w:t xml:space="preserve"> </w:t>
      </w:r>
      <w:r w:rsidR="00355443">
        <w:rPr>
          <w:rFonts w:ascii="Times New Roman" w:hAnsi="Times New Roman"/>
        </w:rPr>
        <w:t>tricky question</w:t>
      </w:r>
      <w:r w:rsidR="00BE4F31">
        <w:rPr>
          <w:rFonts w:ascii="Times New Roman" w:hAnsi="Times New Roman"/>
        </w:rPr>
        <w:t>s</w:t>
      </w:r>
      <w:r w:rsidR="00355443">
        <w:rPr>
          <w:rFonts w:ascii="Times New Roman" w:hAnsi="Times New Roman"/>
        </w:rPr>
        <w:t>:</w:t>
      </w:r>
      <w:r w:rsidR="00E2068B">
        <w:rPr>
          <w:rFonts w:ascii="Times New Roman" w:hAnsi="Times New Roman"/>
        </w:rPr>
        <w:t xml:space="preserve"> what </w:t>
      </w:r>
      <w:r w:rsidR="00355443">
        <w:rPr>
          <w:rFonts w:ascii="Times New Roman" w:hAnsi="Times New Roman"/>
        </w:rPr>
        <w:t>degree</w:t>
      </w:r>
      <w:r w:rsidR="00E2068B">
        <w:rPr>
          <w:rFonts w:ascii="Times New Roman" w:hAnsi="Times New Roman"/>
        </w:rPr>
        <w:t xml:space="preserve"> of knowledge must </w:t>
      </w:r>
      <w:r w:rsidR="00355443">
        <w:rPr>
          <w:rFonts w:ascii="Times New Roman" w:hAnsi="Times New Roman"/>
        </w:rPr>
        <w:t xml:space="preserve">D </w:t>
      </w:r>
      <w:r w:rsidR="00E2068B">
        <w:rPr>
          <w:rFonts w:ascii="Times New Roman" w:hAnsi="Times New Roman"/>
        </w:rPr>
        <w:t xml:space="preserve">possess about </w:t>
      </w:r>
      <w:r w:rsidR="00B737A2">
        <w:rPr>
          <w:rFonts w:ascii="Times New Roman" w:hAnsi="Times New Roman"/>
        </w:rPr>
        <w:t>his or her</w:t>
      </w:r>
      <w:r w:rsidR="00E2068B">
        <w:rPr>
          <w:rFonts w:ascii="Times New Roman" w:hAnsi="Times New Roman"/>
        </w:rPr>
        <w:t xml:space="preserve"> infected status before </w:t>
      </w:r>
      <w:r w:rsidR="00B737A2">
        <w:rPr>
          <w:rFonts w:ascii="Times New Roman" w:hAnsi="Times New Roman"/>
        </w:rPr>
        <w:t>s/he is</w:t>
      </w:r>
      <w:r w:rsidR="00E2068B">
        <w:rPr>
          <w:rFonts w:ascii="Times New Roman" w:hAnsi="Times New Roman"/>
        </w:rPr>
        <w:t xml:space="preserve"> deemed to have </w:t>
      </w:r>
      <w:r w:rsidR="00355443">
        <w:rPr>
          <w:rFonts w:ascii="Times New Roman" w:hAnsi="Times New Roman"/>
        </w:rPr>
        <w:t>been reckless</w:t>
      </w:r>
      <w:r w:rsidR="00E2068B">
        <w:rPr>
          <w:rFonts w:ascii="Times New Roman" w:hAnsi="Times New Roman"/>
        </w:rPr>
        <w:t xml:space="preserve">? </w:t>
      </w:r>
      <w:r w:rsidR="00355443">
        <w:rPr>
          <w:rFonts w:ascii="Times New Roman" w:hAnsi="Times New Roman"/>
        </w:rPr>
        <w:t>More generally under s.20, whilst V can consent to the risk of transmission – so as to absolve D of liability</w:t>
      </w:r>
      <w:r w:rsidR="00751BBE">
        <w:rPr>
          <w:rFonts w:ascii="Times New Roman" w:hAnsi="Times New Roman"/>
        </w:rPr>
        <w:t xml:space="preserve"> if V gets </w:t>
      </w:r>
      <w:r w:rsidR="00751BBE">
        <w:rPr>
          <w:rFonts w:ascii="Times New Roman" w:hAnsi="Times New Roman"/>
        </w:rPr>
        <w:lastRenderedPageBreak/>
        <w:t>infected</w:t>
      </w:r>
      <w:r w:rsidR="00E2068B">
        <w:rPr>
          <w:rFonts w:ascii="Times New Roman" w:hAnsi="Times New Roman"/>
        </w:rPr>
        <w:t xml:space="preserve"> </w:t>
      </w:r>
      <w:r w:rsidR="00355443">
        <w:rPr>
          <w:rFonts w:ascii="Times New Roman" w:hAnsi="Times New Roman"/>
        </w:rPr>
        <w:t xml:space="preserve">– how </w:t>
      </w:r>
      <w:r w:rsidR="00751BBE">
        <w:rPr>
          <w:rFonts w:ascii="Times New Roman" w:hAnsi="Times New Roman"/>
        </w:rPr>
        <w:t xml:space="preserve">must V be </w:t>
      </w:r>
      <w:r w:rsidR="00355443">
        <w:rPr>
          <w:rFonts w:ascii="Times New Roman" w:hAnsi="Times New Roman"/>
        </w:rPr>
        <w:t>“informed”</w:t>
      </w:r>
      <w:r w:rsidR="00E2068B">
        <w:rPr>
          <w:rFonts w:ascii="Times New Roman" w:hAnsi="Times New Roman"/>
        </w:rPr>
        <w:t xml:space="preserve"> </w:t>
      </w:r>
      <w:r w:rsidR="00751BBE">
        <w:rPr>
          <w:rFonts w:ascii="Times New Roman" w:hAnsi="Times New Roman"/>
        </w:rPr>
        <w:t xml:space="preserve">of that risk? Must D disclose </w:t>
      </w:r>
      <w:r w:rsidR="00B7211E">
        <w:rPr>
          <w:rFonts w:ascii="Times New Roman" w:hAnsi="Times New Roman"/>
        </w:rPr>
        <w:t>the risk</w:t>
      </w:r>
      <w:r w:rsidR="00751BBE">
        <w:rPr>
          <w:rFonts w:ascii="Times New Roman" w:hAnsi="Times New Roman"/>
        </w:rPr>
        <w:t xml:space="preserve"> or could V </w:t>
      </w:r>
      <w:r w:rsidR="00727FB7">
        <w:rPr>
          <w:rFonts w:ascii="Times New Roman" w:hAnsi="Times New Roman"/>
        </w:rPr>
        <w:t>discover</w:t>
      </w:r>
      <w:r w:rsidR="00751BBE">
        <w:rPr>
          <w:rFonts w:ascii="Times New Roman" w:hAnsi="Times New Roman"/>
        </w:rPr>
        <w:t xml:space="preserve"> it from a third party? </w:t>
      </w:r>
      <w:r w:rsidR="00355443">
        <w:rPr>
          <w:rFonts w:ascii="Times New Roman" w:hAnsi="Times New Roman"/>
        </w:rPr>
        <w:t xml:space="preserve">What state of mind must D hold about V’s informed consent? </w:t>
      </w:r>
      <w:r w:rsidR="00751BBE">
        <w:rPr>
          <w:rFonts w:ascii="Times New Roman" w:hAnsi="Times New Roman"/>
        </w:rPr>
        <w:t xml:space="preserve">Is there legal equivalence between D not disclosing his or her infected status to V and D actively deceiving V of that status </w:t>
      </w:r>
      <w:r w:rsidR="00727FB7">
        <w:rPr>
          <w:rFonts w:ascii="Times New Roman" w:hAnsi="Times New Roman"/>
        </w:rPr>
        <w:t>following enquiries by</w:t>
      </w:r>
      <w:r w:rsidR="00751BBE">
        <w:rPr>
          <w:rFonts w:ascii="Times New Roman" w:hAnsi="Times New Roman"/>
        </w:rPr>
        <w:t xml:space="preserve"> V? </w:t>
      </w:r>
      <w:r w:rsidR="007A4101">
        <w:rPr>
          <w:rFonts w:ascii="Times New Roman" w:hAnsi="Times New Roman"/>
        </w:rPr>
        <w:t>Current law fails to resolve these matters, although they</w:t>
      </w:r>
      <w:r w:rsidR="00355443">
        <w:rPr>
          <w:rFonts w:ascii="Times New Roman" w:hAnsi="Times New Roman"/>
        </w:rPr>
        <w:t xml:space="preserve"> are addressed </w:t>
      </w:r>
      <w:r w:rsidR="007A4101">
        <w:rPr>
          <w:rFonts w:ascii="Times New Roman" w:hAnsi="Times New Roman"/>
        </w:rPr>
        <w:t xml:space="preserve">as part </w:t>
      </w:r>
      <w:r w:rsidR="00B22EB2">
        <w:rPr>
          <w:rFonts w:ascii="Times New Roman" w:hAnsi="Times New Roman"/>
        </w:rPr>
        <w:t>of the scoping report’s reform proposals</w:t>
      </w:r>
      <w:r w:rsidR="00355443">
        <w:rPr>
          <w:rFonts w:ascii="Times New Roman" w:hAnsi="Times New Roman"/>
        </w:rPr>
        <w:t>.</w:t>
      </w:r>
      <w:r w:rsidR="00355443">
        <w:rPr>
          <w:rStyle w:val="FootnoteReference"/>
          <w:rFonts w:ascii="Times New Roman" w:hAnsi="Times New Roman"/>
        </w:rPr>
        <w:footnoteReference w:id="79"/>
      </w:r>
    </w:p>
    <w:p w:rsidR="00FB00B6" w:rsidRDefault="00FB00B6" w:rsidP="00C54536">
      <w:pPr>
        <w:autoSpaceDE w:val="0"/>
        <w:autoSpaceDN w:val="0"/>
        <w:adjustRightInd w:val="0"/>
        <w:spacing w:line="480" w:lineRule="auto"/>
        <w:jc w:val="both"/>
        <w:rPr>
          <w:rFonts w:ascii="Times New Roman" w:hAnsi="Times New Roman"/>
        </w:rPr>
      </w:pPr>
    </w:p>
    <w:p w:rsidR="00B81630" w:rsidRDefault="00554F3E" w:rsidP="00334BF3">
      <w:pPr>
        <w:spacing w:line="480" w:lineRule="auto"/>
        <w:jc w:val="both"/>
        <w:rPr>
          <w:rFonts w:ascii="Times New Roman" w:hAnsi="Times New Roman"/>
        </w:rPr>
      </w:pPr>
      <w:r>
        <w:rPr>
          <w:rFonts w:ascii="Times New Roman" w:hAnsi="Times New Roman"/>
        </w:rPr>
        <w:t>(c</w:t>
      </w:r>
      <w:r w:rsidR="00B81630">
        <w:rPr>
          <w:rFonts w:ascii="Times New Roman" w:hAnsi="Times New Roman"/>
        </w:rPr>
        <w:t>) Assault and battery</w:t>
      </w:r>
    </w:p>
    <w:p w:rsidR="003F53B9" w:rsidRDefault="003F53B9" w:rsidP="00334BF3">
      <w:pPr>
        <w:spacing w:line="480" w:lineRule="auto"/>
        <w:jc w:val="both"/>
        <w:rPr>
          <w:rFonts w:ascii="Times New Roman" w:hAnsi="Times New Roman"/>
        </w:rPr>
      </w:pPr>
      <w:r>
        <w:rPr>
          <w:rFonts w:ascii="Times New Roman" w:hAnsi="Times New Roman"/>
        </w:rPr>
        <w:t xml:space="preserve">The </w:t>
      </w:r>
      <w:proofErr w:type="spellStart"/>
      <w:r w:rsidR="00EF6A1F">
        <w:rPr>
          <w:rFonts w:ascii="Times New Roman" w:hAnsi="Times New Roman"/>
        </w:rPr>
        <w:t>mentes</w:t>
      </w:r>
      <w:proofErr w:type="spellEnd"/>
      <w:r w:rsidR="00EF6A1F">
        <w:rPr>
          <w:rFonts w:ascii="Times New Roman" w:hAnsi="Times New Roman"/>
        </w:rPr>
        <w:t xml:space="preserve"> </w:t>
      </w:r>
      <w:proofErr w:type="spellStart"/>
      <w:r w:rsidR="00EF6A1F">
        <w:rPr>
          <w:rFonts w:ascii="Times New Roman" w:hAnsi="Times New Roman"/>
        </w:rPr>
        <w:t>reae</w:t>
      </w:r>
      <w:proofErr w:type="spellEnd"/>
      <w:r>
        <w:rPr>
          <w:rFonts w:ascii="Times New Roman" w:hAnsi="Times New Roman"/>
        </w:rPr>
        <w:t xml:space="preserve"> of assault and battery </w:t>
      </w:r>
      <w:r w:rsidR="009F2023">
        <w:rPr>
          <w:rFonts w:ascii="Times New Roman" w:hAnsi="Times New Roman"/>
        </w:rPr>
        <w:t>are intention or recklessness.</w:t>
      </w:r>
      <w:r w:rsidR="009F2023">
        <w:rPr>
          <w:rStyle w:val="FootnoteReference"/>
          <w:rFonts w:ascii="Times New Roman" w:hAnsi="Times New Roman"/>
        </w:rPr>
        <w:footnoteReference w:id="80"/>
      </w:r>
      <w:r w:rsidR="009F2023">
        <w:rPr>
          <w:rFonts w:ascii="Times New Roman" w:hAnsi="Times New Roman"/>
        </w:rPr>
        <w:t xml:space="preserve"> In assault, these </w:t>
      </w:r>
      <w:r w:rsidR="00A700F6">
        <w:rPr>
          <w:rFonts w:ascii="Times New Roman" w:hAnsi="Times New Roman"/>
        </w:rPr>
        <w:t>mental states must</w:t>
      </w:r>
      <w:r w:rsidR="009F2023">
        <w:rPr>
          <w:rFonts w:ascii="Times New Roman" w:hAnsi="Times New Roman"/>
        </w:rPr>
        <w:t xml:space="preserve"> relate to V’s apprehension of physical contact; in battery they relate to making unwanted physical contact with V. </w:t>
      </w:r>
      <w:r w:rsidR="00ED0A58">
        <w:rPr>
          <w:rFonts w:ascii="Times New Roman" w:hAnsi="Times New Roman"/>
        </w:rPr>
        <w:t>The</w:t>
      </w:r>
      <w:r w:rsidR="00B0789E">
        <w:rPr>
          <w:rFonts w:ascii="Times New Roman" w:hAnsi="Times New Roman"/>
        </w:rPr>
        <w:t xml:space="preserve"> </w:t>
      </w:r>
      <w:r w:rsidR="00CF04F1">
        <w:rPr>
          <w:rFonts w:ascii="Times New Roman" w:hAnsi="Times New Roman"/>
        </w:rPr>
        <w:t>SCP</w:t>
      </w:r>
      <w:r w:rsidR="00B0789E">
        <w:rPr>
          <w:rFonts w:ascii="Times New Roman" w:hAnsi="Times New Roman"/>
        </w:rPr>
        <w:t xml:space="preserve"> did not feel there was anything </w:t>
      </w:r>
      <w:r w:rsidR="00E81BD5">
        <w:rPr>
          <w:rFonts w:ascii="Times New Roman" w:hAnsi="Times New Roman"/>
        </w:rPr>
        <w:t>unique</w:t>
      </w:r>
      <w:r w:rsidR="00B0789E" w:rsidRPr="00B0789E">
        <w:rPr>
          <w:rFonts w:ascii="Times New Roman" w:hAnsi="Times New Roman"/>
        </w:rPr>
        <w:t xml:space="preserve"> to</w:t>
      </w:r>
      <w:r w:rsidR="00B0789E">
        <w:rPr>
          <w:rFonts w:ascii="Times New Roman" w:hAnsi="Times New Roman"/>
        </w:rPr>
        <w:t xml:space="preserve"> the </w:t>
      </w:r>
      <w:proofErr w:type="spellStart"/>
      <w:r w:rsidR="00B0789E" w:rsidRPr="00E51A72">
        <w:rPr>
          <w:rFonts w:ascii="Times New Roman" w:hAnsi="Times New Roman"/>
        </w:rPr>
        <w:t>mens</w:t>
      </w:r>
      <w:proofErr w:type="spellEnd"/>
      <w:r w:rsidR="00B0789E" w:rsidRPr="00E51A72">
        <w:rPr>
          <w:rFonts w:ascii="Times New Roman" w:hAnsi="Times New Roman"/>
        </w:rPr>
        <w:t xml:space="preserve"> rea</w:t>
      </w:r>
      <w:r w:rsidR="00B0789E">
        <w:rPr>
          <w:rFonts w:ascii="Times New Roman" w:hAnsi="Times New Roman"/>
        </w:rPr>
        <w:t xml:space="preserve"> tests of assault or battery that was particularly problematic.</w:t>
      </w:r>
    </w:p>
    <w:p w:rsidR="008315FE" w:rsidRDefault="008315FE" w:rsidP="00334BF3">
      <w:pPr>
        <w:spacing w:line="480" w:lineRule="auto"/>
        <w:jc w:val="both"/>
        <w:rPr>
          <w:rFonts w:ascii="Times New Roman" w:hAnsi="Times New Roman"/>
        </w:rPr>
      </w:pPr>
    </w:p>
    <w:p w:rsidR="00F257EC" w:rsidRDefault="00440962" w:rsidP="00334BF3">
      <w:pPr>
        <w:spacing w:line="480" w:lineRule="auto"/>
        <w:jc w:val="both"/>
        <w:rPr>
          <w:rFonts w:ascii="Times New Roman" w:hAnsi="Times New Roman"/>
        </w:rPr>
      </w:pPr>
      <w:r w:rsidRPr="00440962">
        <w:rPr>
          <w:rFonts w:ascii="Times New Roman" w:hAnsi="Times New Roman"/>
          <w:i/>
        </w:rPr>
        <w:t>Framing punishment</w:t>
      </w:r>
    </w:p>
    <w:p w:rsidR="00C04E10" w:rsidRDefault="00090F42" w:rsidP="0097094E">
      <w:pPr>
        <w:spacing w:line="480" w:lineRule="auto"/>
        <w:jc w:val="both"/>
        <w:rPr>
          <w:rFonts w:ascii="Times New Roman" w:hAnsi="Times New Roman"/>
        </w:rPr>
      </w:pPr>
      <w:r>
        <w:rPr>
          <w:rFonts w:ascii="Times New Roman" w:hAnsi="Times New Roman"/>
        </w:rPr>
        <w:t>A</w:t>
      </w:r>
      <w:r w:rsidR="00B4007D">
        <w:rPr>
          <w:rFonts w:ascii="Times New Roman" w:hAnsi="Times New Roman"/>
        </w:rPr>
        <w:t xml:space="preserve"> </w:t>
      </w:r>
      <w:r w:rsidR="00AC0228">
        <w:rPr>
          <w:rFonts w:ascii="Times New Roman" w:hAnsi="Times New Roman"/>
        </w:rPr>
        <w:t xml:space="preserve">final </w:t>
      </w:r>
      <w:r>
        <w:rPr>
          <w:rFonts w:ascii="Times New Roman" w:hAnsi="Times New Roman"/>
        </w:rPr>
        <w:t>level</w:t>
      </w:r>
      <w:r w:rsidR="00CB638B">
        <w:rPr>
          <w:rFonts w:ascii="Times New Roman" w:hAnsi="Times New Roman"/>
        </w:rPr>
        <w:t xml:space="preserve"> of incoherence </w:t>
      </w:r>
      <w:r>
        <w:rPr>
          <w:rFonts w:ascii="Times New Roman" w:hAnsi="Times New Roman"/>
        </w:rPr>
        <w:t xml:space="preserve">can be found </w:t>
      </w:r>
      <w:r w:rsidR="0049197A">
        <w:rPr>
          <w:rFonts w:ascii="Times New Roman" w:hAnsi="Times New Roman"/>
        </w:rPr>
        <w:t>in</w:t>
      </w:r>
      <w:r w:rsidR="00AC0228">
        <w:rPr>
          <w:rFonts w:ascii="Times New Roman" w:hAnsi="Times New Roman"/>
        </w:rPr>
        <w:t xml:space="preserve"> the </w:t>
      </w:r>
      <w:r w:rsidR="00B371E7">
        <w:rPr>
          <w:rFonts w:ascii="Times New Roman" w:hAnsi="Times New Roman"/>
        </w:rPr>
        <w:t>sentences</w:t>
      </w:r>
      <w:r w:rsidR="00CB638B">
        <w:rPr>
          <w:rFonts w:ascii="Times New Roman" w:hAnsi="Times New Roman"/>
        </w:rPr>
        <w:t xml:space="preserve"> </w:t>
      </w:r>
      <w:r w:rsidR="0049197A">
        <w:rPr>
          <w:rFonts w:ascii="Times New Roman" w:hAnsi="Times New Roman"/>
        </w:rPr>
        <w:t xml:space="preserve">that the core offences </w:t>
      </w:r>
      <w:r w:rsidR="00CB638B">
        <w:rPr>
          <w:rFonts w:ascii="Times New Roman" w:hAnsi="Times New Roman"/>
        </w:rPr>
        <w:t>contain</w:t>
      </w:r>
      <w:r w:rsidR="00B371E7">
        <w:rPr>
          <w:rFonts w:ascii="Times New Roman" w:hAnsi="Times New Roman"/>
        </w:rPr>
        <w:t>. Often, th</w:t>
      </w:r>
      <w:r w:rsidR="00F141E5">
        <w:rPr>
          <w:rFonts w:ascii="Times New Roman" w:hAnsi="Times New Roman"/>
        </w:rPr>
        <w:t>e</w:t>
      </w:r>
      <w:r w:rsidR="00B371E7">
        <w:rPr>
          <w:rFonts w:ascii="Times New Roman" w:hAnsi="Times New Roman"/>
        </w:rPr>
        <w:t xml:space="preserve">se </w:t>
      </w:r>
      <w:r w:rsidR="00CB638B">
        <w:rPr>
          <w:rFonts w:ascii="Times New Roman" w:hAnsi="Times New Roman"/>
        </w:rPr>
        <w:t xml:space="preserve">sentences are not consistently scaled across </w:t>
      </w:r>
      <w:r w:rsidR="004E425B">
        <w:rPr>
          <w:rFonts w:ascii="Times New Roman" w:hAnsi="Times New Roman"/>
        </w:rPr>
        <w:t>th</w:t>
      </w:r>
      <w:r w:rsidR="0049197A">
        <w:rPr>
          <w:rFonts w:ascii="Times New Roman" w:hAnsi="Times New Roman"/>
        </w:rPr>
        <w:t>e</w:t>
      </w:r>
      <w:r w:rsidR="00CB638B">
        <w:rPr>
          <w:rFonts w:ascii="Times New Roman" w:hAnsi="Times New Roman"/>
        </w:rPr>
        <w:t xml:space="preserve"> offences</w:t>
      </w:r>
      <w:r w:rsidR="00412001">
        <w:rPr>
          <w:rFonts w:ascii="Times New Roman" w:hAnsi="Times New Roman"/>
        </w:rPr>
        <w:t xml:space="preserve">, leading to an illogical framework of </w:t>
      </w:r>
      <w:r w:rsidR="00B371E7">
        <w:rPr>
          <w:rFonts w:ascii="Times New Roman" w:hAnsi="Times New Roman"/>
        </w:rPr>
        <w:t xml:space="preserve">punishment. </w:t>
      </w:r>
    </w:p>
    <w:p w:rsidR="00C04E10" w:rsidRDefault="00C04E10" w:rsidP="0097094E">
      <w:pPr>
        <w:spacing w:line="480" w:lineRule="auto"/>
        <w:jc w:val="both"/>
        <w:rPr>
          <w:rFonts w:ascii="Times New Roman" w:hAnsi="Times New Roman"/>
        </w:rPr>
      </w:pPr>
    </w:p>
    <w:p w:rsidR="007A34FD" w:rsidRPr="007A34FD" w:rsidRDefault="007A34FD" w:rsidP="007A34FD">
      <w:pPr>
        <w:spacing w:line="480" w:lineRule="auto"/>
        <w:jc w:val="both"/>
        <w:rPr>
          <w:rFonts w:ascii="Times New Roman" w:hAnsi="Times New Roman"/>
        </w:rPr>
      </w:pPr>
      <w:r w:rsidRPr="007A34FD">
        <w:rPr>
          <w:rFonts w:ascii="Times New Roman" w:hAnsi="Times New Roman"/>
        </w:rPr>
        <w:t>(</w:t>
      </w:r>
      <w:proofErr w:type="gramStart"/>
      <w:r w:rsidRPr="007A34FD">
        <w:rPr>
          <w:rFonts w:ascii="Times New Roman" w:hAnsi="Times New Roman"/>
        </w:rPr>
        <w:t>a</w:t>
      </w:r>
      <w:proofErr w:type="gramEnd"/>
      <w:r>
        <w:rPr>
          <w:rFonts w:ascii="Times New Roman" w:hAnsi="Times New Roman"/>
        </w:rPr>
        <w:t xml:space="preserve">) </w:t>
      </w:r>
      <w:r w:rsidRPr="007A34FD">
        <w:rPr>
          <w:rFonts w:ascii="Times New Roman" w:hAnsi="Times New Roman"/>
        </w:rPr>
        <w:t>Sectio</w:t>
      </w:r>
      <w:r>
        <w:rPr>
          <w:rFonts w:ascii="Times New Roman" w:hAnsi="Times New Roman"/>
        </w:rPr>
        <w:t>ns 18 and 20</w:t>
      </w:r>
    </w:p>
    <w:p w:rsidR="0097094E" w:rsidRDefault="00B371E7" w:rsidP="0097094E">
      <w:pPr>
        <w:spacing w:line="480" w:lineRule="auto"/>
        <w:jc w:val="both"/>
        <w:rPr>
          <w:rFonts w:ascii="Times New Roman" w:hAnsi="Times New Roman"/>
        </w:rPr>
      </w:pPr>
      <w:r>
        <w:rPr>
          <w:rFonts w:ascii="Times New Roman" w:hAnsi="Times New Roman"/>
        </w:rPr>
        <w:t xml:space="preserve">Immediately, </w:t>
      </w:r>
      <w:r w:rsidR="0049197A">
        <w:rPr>
          <w:rFonts w:ascii="Times New Roman" w:hAnsi="Times New Roman"/>
        </w:rPr>
        <w:t xml:space="preserve">challenges arise </w:t>
      </w:r>
      <w:r>
        <w:rPr>
          <w:rFonts w:ascii="Times New Roman" w:hAnsi="Times New Roman"/>
        </w:rPr>
        <w:t>at the top of the injury ladder</w:t>
      </w:r>
      <w:r w:rsidR="0097094E">
        <w:rPr>
          <w:rFonts w:ascii="Times New Roman" w:hAnsi="Times New Roman"/>
        </w:rPr>
        <w:t>. In particular, t</w:t>
      </w:r>
      <w:r w:rsidR="00F141E5">
        <w:rPr>
          <w:rFonts w:ascii="Times New Roman" w:hAnsi="Times New Roman"/>
        </w:rPr>
        <w:t>here is a wide difference between</w:t>
      </w:r>
      <w:r w:rsidR="007A34FD">
        <w:rPr>
          <w:rFonts w:ascii="Times New Roman" w:hAnsi="Times New Roman"/>
        </w:rPr>
        <w:t xml:space="preserve"> the maximum sentences in</w:t>
      </w:r>
      <w:r w:rsidR="00F141E5">
        <w:rPr>
          <w:rFonts w:ascii="Times New Roman" w:hAnsi="Times New Roman"/>
        </w:rPr>
        <w:t xml:space="preserve"> ss.18 and 20 – life imprisonment and five years’ imprisonment, respectively. </w:t>
      </w:r>
      <w:r w:rsidR="0097094E">
        <w:rPr>
          <w:rFonts w:ascii="Times New Roman" w:hAnsi="Times New Roman"/>
        </w:rPr>
        <w:t xml:space="preserve">The </w:t>
      </w:r>
      <w:r w:rsidR="00CF04F1">
        <w:rPr>
          <w:rFonts w:ascii="Times New Roman" w:hAnsi="Times New Roman"/>
        </w:rPr>
        <w:t>SCP</w:t>
      </w:r>
      <w:r w:rsidR="0097094E">
        <w:rPr>
          <w:rFonts w:ascii="Times New Roman" w:hAnsi="Times New Roman"/>
        </w:rPr>
        <w:t xml:space="preserve"> </w:t>
      </w:r>
      <w:r w:rsidR="0088297D">
        <w:rPr>
          <w:rFonts w:ascii="Times New Roman" w:hAnsi="Times New Roman"/>
        </w:rPr>
        <w:t>highlights</w:t>
      </w:r>
      <w:r w:rsidR="0097094E">
        <w:rPr>
          <w:rFonts w:ascii="Times New Roman" w:hAnsi="Times New Roman"/>
        </w:rPr>
        <w:t xml:space="preserve"> that this is an enormous contrast given </w:t>
      </w:r>
      <w:r w:rsidR="00050E29">
        <w:rPr>
          <w:rFonts w:ascii="Times New Roman" w:hAnsi="Times New Roman"/>
        </w:rPr>
        <w:t>how</w:t>
      </w:r>
      <w:r w:rsidR="0097094E">
        <w:rPr>
          <w:rFonts w:ascii="Times New Roman" w:hAnsi="Times New Roman"/>
        </w:rPr>
        <w:t xml:space="preserve"> the conduct </w:t>
      </w:r>
      <w:r w:rsidR="00050E29">
        <w:rPr>
          <w:rFonts w:ascii="Times New Roman" w:hAnsi="Times New Roman"/>
        </w:rPr>
        <w:t>elements</w:t>
      </w:r>
      <w:r w:rsidR="0097094E">
        <w:rPr>
          <w:rFonts w:ascii="Times New Roman" w:hAnsi="Times New Roman"/>
        </w:rPr>
        <w:t xml:space="preserve"> of </w:t>
      </w:r>
      <w:r w:rsidR="00050E29">
        <w:rPr>
          <w:rFonts w:ascii="Times New Roman" w:hAnsi="Times New Roman"/>
        </w:rPr>
        <w:t>both</w:t>
      </w:r>
      <w:r w:rsidR="0097094E">
        <w:rPr>
          <w:rFonts w:ascii="Times New Roman" w:hAnsi="Times New Roman"/>
        </w:rPr>
        <w:t xml:space="preserve"> offences are</w:t>
      </w:r>
      <w:r w:rsidR="007A34FD">
        <w:rPr>
          <w:rFonts w:ascii="Times New Roman" w:hAnsi="Times New Roman"/>
        </w:rPr>
        <w:t xml:space="preserve"> </w:t>
      </w:r>
      <w:r w:rsidR="0097094E">
        <w:rPr>
          <w:rFonts w:ascii="Times New Roman" w:hAnsi="Times New Roman"/>
        </w:rPr>
        <w:t>identical.</w:t>
      </w:r>
      <w:r w:rsidR="0097094E">
        <w:rPr>
          <w:rStyle w:val="FootnoteReference"/>
          <w:rFonts w:ascii="Times New Roman" w:hAnsi="Times New Roman"/>
        </w:rPr>
        <w:footnoteReference w:id="81"/>
      </w:r>
      <w:r w:rsidR="0097094E">
        <w:rPr>
          <w:rFonts w:ascii="Times New Roman" w:hAnsi="Times New Roman"/>
        </w:rPr>
        <w:t xml:space="preserve"> </w:t>
      </w:r>
      <w:r w:rsidR="00E96C19">
        <w:rPr>
          <w:rFonts w:ascii="Times New Roman" w:hAnsi="Times New Roman"/>
        </w:rPr>
        <w:t>Of course,</w:t>
      </w:r>
      <w:r w:rsidR="00E51A72">
        <w:rPr>
          <w:rFonts w:ascii="Times New Roman" w:hAnsi="Times New Roman"/>
        </w:rPr>
        <w:t xml:space="preserve"> </w:t>
      </w:r>
      <w:r w:rsidR="00E96C19">
        <w:rPr>
          <w:rFonts w:ascii="Times New Roman" w:hAnsi="Times New Roman"/>
        </w:rPr>
        <w:t xml:space="preserve">it is true that </w:t>
      </w:r>
      <w:r w:rsidR="00E51A72">
        <w:rPr>
          <w:rFonts w:ascii="Times New Roman" w:hAnsi="Times New Roman"/>
        </w:rPr>
        <w:t xml:space="preserve">the </w:t>
      </w:r>
      <w:proofErr w:type="spellStart"/>
      <w:r w:rsidR="00E51A72" w:rsidRPr="00E51A72">
        <w:rPr>
          <w:rFonts w:ascii="Times New Roman" w:hAnsi="Times New Roman"/>
        </w:rPr>
        <w:t>mens</w:t>
      </w:r>
      <w:proofErr w:type="spellEnd"/>
      <w:r w:rsidR="00E51A72" w:rsidRPr="00E51A72">
        <w:rPr>
          <w:rFonts w:ascii="Times New Roman" w:hAnsi="Times New Roman"/>
        </w:rPr>
        <w:t xml:space="preserve"> rea</w:t>
      </w:r>
      <w:r w:rsidR="00E51A72">
        <w:rPr>
          <w:rFonts w:ascii="Times New Roman" w:hAnsi="Times New Roman"/>
        </w:rPr>
        <w:t xml:space="preserve"> of s.18 (</w:t>
      </w:r>
      <w:r w:rsidR="000014EF">
        <w:rPr>
          <w:rFonts w:ascii="Times New Roman" w:hAnsi="Times New Roman"/>
        </w:rPr>
        <w:t>intentional serious</w:t>
      </w:r>
      <w:r w:rsidR="00E51A72">
        <w:rPr>
          <w:rFonts w:ascii="Times New Roman" w:hAnsi="Times New Roman"/>
        </w:rPr>
        <w:t xml:space="preserve"> harm</w:t>
      </w:r>
      <w:r w:rsidR="0008661F">
        <w:rPr>
          <w:rFonts w:ascii="Times New Roman" w:hAnsi="Times New Roman"/>
        </w:rPr>
        <w:t xml:space="preserve"> in </w:t>
      </w:r>
      <w:r w:rsidR="004E425B">
        <w:rPr>
          <w:rFonts w:ascii="Times New Roman" w:hAnsi="Times New Roman"/>
        </w:rPr>
        <w:t xml:space="preserve">its most common forms – </w:t>
      </w:r>
      <w:r w:rsidR="0008661F">
        <w:rPr>
          <w:rFonts w:ascii="Times New Roman" w:hAnsi="Times New Roman"/>
        </w:rPr>
        <w:t xml:space="preserve">variants </w:t>
      </w:r>
      <w:r w:rsidR="00033E71">
        <w:rPr>
          <w:rFonts w:ascii="Times New Roman" w:hAnsi="Times New Roman"/>
        </w:rPr>
        <w:t>1</w:t>
      </w:r>
      <w:r w:rsidR="00B4467D">
        <w:rPr>
          <w:rFonts w:ascii="Times New Roman" w:hAnsi="Times New Roman"/>
        </w:rPr>
        <w:t xml:space="preserve"> and 2</w:t>
      </w:r>
      <w:r w:rsidR="00D771D8">
        <w:rPr>
          <w:rFonts w:ascii="Times New Roman" w:hAnsi="Times New Roman"/>
        </w:rPr>
        <w:t xml:space="preserve">) </w:t>
      </w:r>
      <w:r w:rsidR="00E51A72">
        <w:rPr>
          <w:rFonts w:ascii="Times New Roman" w:hAnsi="Times New Roman"/>
        </w:rPr>
        <w:t xml:space="preserve">marks </w:t>
      </w:r>
      <w:r w:rsidR="00E96C19">
        <w:rPr>
          <w:rFonts w:ascii="Times New Roman" w:hAnsi="Times New Roman"/>
        </w:rPr>
        <w:t>that crime</w:t>
      </w:r>
      <w:r w:rsidR="00E51A72">
        <w:rPr>
          <w:rFonts w:ascii="Times New Roman" w:hAnsi="Times New Roman"/>
        </w:rPr>
        <w:t xml:space="preserve"> out as </w:t>
      </w:r>
      <w:r w:rsidR="000014EF">
        <w:rPr>
          <w:rFonts w:ascii="Times New Roman" w:hAnsi="Times New Roman"/>
        </w:rPr>
        <w:t>more grave than s.20 (</w:t>
      </w:r>
      <w:r w:rsidR="00E103B5">
        <w:rPr>
          <w:rFonts w:ascii="Times New Roman" w:hAnsi="Times New Roman"/>
        </w:rPr>
        <w:t>where the</w:t>
      </w:r>
      <w:r w:rsidR="00E96C19">
        <w:rPr>
          <w:rFonts w:ascii="Times New Roman" w:hAnsi="Times New Roman"/>
        </w:rPr>
        <w:t xml:space="preserve"> </w:t>
      </w:r>
      <w:proofErr w:type="spellStart"/>
      <w:r w:rsidR="00E96C19">
        <w:rPr>
          <w:rFonts w:ascii="Times New Roman" w:hAnsi="Times New Roman"/>
        </w:rPr>
        <w:t>mens</w:t>
      </w:r>
      <w:proofErr w:type="spellEnd"/>
      <w:r w:rsidR="00E96C19">
        <w:rPr>
          <w:rFonts w:ascii="Times New Roman" w:hAnsi="Times New Roman"/>
        </w:rPr>
        <w:t xml:space="preserve"> rea </w:t>
      </w:r>
      <w:r w:rsidR="00D771D8">
        <w:rPr>
          <w:rFonts w:ascii="Times New Roman" w:hAnsi="Times New Roman"/>
        </w:rPr>
        <w:t xml:space="preserve">focusses on </w:t>
      </w:r>
      <w:r w:rsidR="00E96C19">
        <w:rPr>
          <w:rFonts w:ascii="Times New Roman" w:hAnsi="Times New Roman"/>
        </w:rPr>
        <w:t xml:space="preserve">intention </w:t>
      </w:r>
      <w:r w:rsidR="00E96C19" w:rsidRPr="00D771D8">
        <w:rPr>
          <w:rFonts w:ascii="Times New Roman" w:hAnsi="Times New Roman"/>
          <w:i/>
        </w:rPr>
        <w:t>or</w:t>
      </w:r>
      <w:r w:rsidR="000014EF">
        <w:rPr>
          <w:rFonts w:ascii="Times New Roman" w:hAnsi="Times New Roman"/>
        </w:rPr>
        <w:t xml:space="preserve"> reckless</w:t>
      </w:r>
      <w:r w:rsidR="00E96C19">
        <w:rPr>
          <w:rFonts w:ascii="Times New Roman" w:hAnsi="Times New Roman"/>
        </w:rPr>
        <w:t xml:space="preserve">ness </w:t>
      </w:r>
      <w:r w:rsidR="00E96C19">
        <w:rPr>
          <w:rFonts w:ascii="Times New Roman" w:hAnsi="Times New Roman"/>
        </w:rPr>
        <w:lastRenderedPageBreak/>
        <w:t>as to</w:t>
      </w:r>
      <w:r w:rsidR="000014EF">
        <w:rPr>
          <w:rFonts w:ascii="Times New Roman" w:hAnsi="Times New Roman"/>
        </w:rPr>
        <w:t xml:space="preserve"> causing </w:t>
      </w:r>
      <w:r w:rsidR="000014EF" w:rsidRPr="00D771D8">
        <w:rPr>
          <w:rFonts w:ascii="Times New Roman" w:hAnsi="Times New Roman"/>
          <w:i/>
        </w:rPr>
        <w:t>some</w:t>
      </w:r>
      <w:r w:rsidR="000014EF">
        <w:rPr>
          <w:rFonts w:ascii="Times New Roman" w:hAnsi="Times New Roman"/>
        </w:rPr>
        <w:t xml:space="preserve"> bodily harm</w:t>
      </w:r>
      <w:r w:rsidR="00E96C19">
        <w:rPr>
          <w:rFonts w:ascii="Times New Roman" w:hAnsi="Times New Roman"/>
        </w:rPr>
        <w:t>)</w:t>
      </w:r>
      <w:r w:rsidR="00050E29">
        <w:rPr>
          <w:rFonts w:ascii="Times New Roman" w:hAnsi="Times New Roman"/>
        </w:rPr>
        <w:t>. This justifies</w:t>
      </w:r>
      <w:r w:rsidR="00E96C19">
        <w:rPr>
          <w:rFonts w:ascii="Times New Roman" w:hAnsi="Times New Roman"/>
        </w:rPr>
        <w:t xml:space="preserve"> </w:t>
      </w:r>
      <w:r w:rsidR="0020462A">
        <w:rPr>
          <w:rFonts w:ascii="Times New Roman" w:hAnsi="Times New Roman"/>
        </w:rPr>
        <w:t>a higher sentence for the former</w:t>
      </w:r>
      <w:r w:rsidR="00E96C19">
        <w:rPr>
          <w:rFonts w:ascii="Times New Roman" w:hAnsi="Times New Roman"/>
        </w:rPr>
        <w:t xml:space="preserve">. However, the </w:t>
      </w:r>
      <w:r w:rsidR="00E96C19" w:rsidRPr="007A34FD">
        <w:rPr>
          <w:rFonts w:ascii="Times New Roman" w:hAnsi="Times New Roman"/>
          <w:i/>
        </w:rPr>
        <w:t>jump</w:t>
      </w:r>
      <w:r w:rsidR="00E96C19">
        <w:rPr>
          <w:rFonts w:ascii="Times New Roman" w:hAnsi="Times New Roman"/>
        </w:rPr>
        <w:t xml:space="preserve"> in penalty from s.20 to s.18 is huge. Arguably, the distinction in </w:t>
      </w:r>
      <w:proofErr w:type="spellStart"/>
      <w:r w:rsidR="004E425B">
        <w:rPr>
          <w:rFonts w:ascii="Times New Roman" w:hAnsi="Times New Roman"/>
        </w:rPr>
        <w:t>mens</w:t>
      </w:r>
      <w:proofErr w:type="spellEnd"/>
      <w:r w:rsidR="004E425B">
        <w:rPr>
          <w:rFonts w:ascii="Times New Roman" w:hAnsi="Times New Roman"/>
        </w:rPr>
        <w:t xml:space="preserve"> rea between ss. 18 and 20 – </w:t>
      </w:r>
      <w:r w:rsidR="00E96C19">
        <w:rPr>
          <w:rFonts w:ascii="Times New Roman" w:hAnsi="Times New Roman"/>
        </w:rPr>
        <w:t>which are both crimes of violence</w:t>
      </w:r>
      <w:r w:rsidR="004E425B">
        <w:rPr>
          <w:rFonts w:ascii="Times New Roman" w:hAnsi="Times New Roman"/>
        </w:rPr>
        <w:t xml:space="preserve">, </w:t>
      </w:r>
      <w:r w:rsidR="00E96C19">
        <w:rPr>
          <w:rFonts w:ascii="Times New Roman" w:hAnsi="Times New Roman"/>
        </w:rPr>
        <w:t xml:space="preserve">often featuring impulsive reactions to events – </w:t>
      </w:r>
      <w:r w:rsidR="007A34FD">
        <w:rPr>
          <w:rFonts w:ascii="Times New Roman" w:hAnsi="Times New Roman"/>
        </w:rPr>
        <w:t xml:space="preserve">is not </w:t>
      </w:r>
      <w:r w:rsidR="00E310D6">
        <w:rPr>
          <w:rFonts w:ascii="Times New Roman" w:hAnsi="Times New Roman"/>
        </w:rPr>
        <w:t>great enough</w:t>
      </w:r>
      <w:r w:rsidR="007A34FD">
        <w:rPr>
          <w:rFonts w:ascii="Times New Roman" w:hAnsi="Times New Roman"/>
        </w:rPr>
        <w:t xml:space="preserve"> to </w:t>
      </w:r>
      <w:r w:rsidR="00E96C19">
        <w:rPr>
          <w:rFonts w:ascii="Times New Roman" w:hAnsi="Times New Roman"/>
        </w:rPr>
        <w:t xml:space="preserve">warrant </w:t>
      </w:r>
      <w:r w:rsidR="007A34FD">
        <w:rPr>
          <w:rFonts w:ascii="Times New Roman" w:hAnsi="Times New Roman"/>
        </w:rPr>
        <w:t>that jump.</w:t>
      </w:r>
      <w:r w:rsidR="007A34FD">
        <w:rPr>
          <w:rStyle w:val="FootnoteReference"/>
          <w:rFonts w:ascii="Times New Roman" w:hAnsi="Times New Roman"/>
        </w:rPr>
        <w:footnoteReference w:id="82"/>
      </w:r>
      <w:r w:rsidR="00D771D8">
        <w:rPr>
          <w:rFonts w:ascii="Times New Roman" w:hAnsi="Times New Roman"/>
        </w:rPr>
        <w:t xml:space="preserve"> Even </w:t>
      </w:r>
      <w:r w:rsidR="00D771D8" w:rsidRPr="00050E29">
        <w:rPr>
          <w:rFonts w:ascii="Times New Roman" w:hAnsi="Times New Roman"/>
          <w:i/>
        </w:rPr>
        <w:t>within</w:t>
      </w:r>
      <w:r w:rsidR="00D771D8">
        <w:rPr>
          <w:rFonts w:ascii="Times New Roman" w:hAnsi="Times New Roman"/>
        </w:rPr>
        <w:t xml:space="preserve"> s.18</w:t>
      </w:r>
      <w:r w:rsidR="0008661F">
        <w:rPr>
          <w:rFonts w:ascii="Times New Roman" w:hAnsi="Times New Roman"/>
        </w:rPr>
        <w:t>, it is not clear that life imprisonment is</w:t>
      </w:r>
      <w:r w:rsidR="00050E29">
        <w:rPr>
          <w:rFonts w:ascii="Times New Roman" w:hAnsi="Times New Roman"/>
        </w:rPr>
        <w:t xml:space="preserve"> a</w:t>
      </w:r>
      <w:r w:rsidR="0008661F">
        <w:rPr>
          <w:rFonts w:ascii="Times New Roman" w:hAnsi="Times New Roman"/>
        </w:rPr>
        <w:t xml:space="preserve"> fair</w:t>
      </w:r>
      <w:r w:rsidR="00050E29" w:rsidRPr="00050E29">
        <w:rPr>
          <w:rFonts w:ascii="Times New Roman" w:hAnsi="Times New Roman"/>
        </w:rPr>
        <w:t xml:space="preserve"> </w:t>
      </w:r>
      <w:r w:rsidR="00050E29">
        <w:rPr>
          <w:rFonts w:ascii="Times New Roman" w:hAnsi="Times New Roman"/>
        </w:rPr>
        <w:t>sanction</w:t>
      </w:r>
      <w:r w:rsidR="0008661F">
        <w:rPr>
          <w:rFonts w:ascii="Times New Roman" w:hAnsi="Times New Roman"/>
        </w:rPr>
        <w:t xml:space="preserve">. The </w:t>
      </w:r>
      <w:r w:rsidR="00CF04F1">
        <w:rPr>
          <w:rFonts w:ascii="Times New Roman" w:hAnsi="Times New Roman"/>
        </w:rPr>
        <w:t>SCP</w:t>
      </w:r>
      <w:r w:rsidR="0008661F">
        <w:rPr>
          <w:rFonts w:ascii="Times New Roman" w:hAnsi="Times New Roman"/>
        </w:rPr>
        <w:t xml:space="preserve"> question</w:t>
      </w:r>
      <w:r w:rsidR="00050E29">
        <w:rPr>
          <w:rFonts w:ascii="Times New Roman" w:hAnsi="Times New Roman"/>
        </w:rPr>
        <w:t xml:space="preserve">s </w:t>
      </w:r>
      <w:r w:rsidR="0008661F">
        <w:rPr>
          <w:rFonts w:ascii="Times New Roman" w:hAnsi="Times New Roman"/>
        </w:rPr>
        <w:t>whether it is proportionate to have such a sentence avai</w:t>
      </w:r>
      <w:r w:rsidR="00B4467D">
        <w:rPr>
          <w:rFonts w:ascii="Times New Roman" w:hAnsi="Times New Roman"/>
        </w:rPr>
        <w:t>lable under variants 3 and 4</w:t>
      </w:r>
      <w:r w:rsidR="0020462A">
        <w:rPr>
          <w:rFonts w:ascii="Times New Roman" w:hAnsi="Times New Roman"/>
        </w:rPr>
        <w:t>,</w:t>
      </w:r>
      <w:r w:rsidR="0008661F">
        <w:rPr>
          <w:rFonts w:ascii="Times New Roman" w:hAnsi="Times New Roman"/>
        </w:rPr>
        <w:t xml:space="preserve"> given the </w:t>
      </w:r>
      <w:r w:rsidR="0020462A">
        <w:rPr>
          <w:rFonts w:ascii="Times New Roman" w:hAnsi="Times New Roman"/>
        </w:rPr>
        <w:t xml:space="preserve">lack of </w:t>
      </w:r>
      <w:r w:rsidR="00751354">
        <w:rPr>
          <w:rFonts w:ascii="Times New Roman" w:hAnsi="Times New Roman"/>
        </w:rPr>
        <w:t>parity</w:t>
      </w:r>
      <w:r w:rsidR="0008661F">
        <w:rPr>
          <w:rFonts w:ascii="Times New Roman" w:hAnsi="Times New Roman"/>
        </w:rPr>
        <w:t xml:space="preserve"> </w:t>
      </w:r>
      <w:r w:rsidR="004E425B">
        <w:rPr>
          <w:rFonts w:ascii="Times New Roman" w:hAnsi="Times New Roman"/>
        </w:rPr>
        <w:t xml:space="preserve">in these situations </w:t>
      </w:r>
      <w:r w:rsidR="0008661F">
        <w:rPr>
          <w:rFonts w:ascii="Times New Roman" w:hAnsi="Times New Roman"/>
        </w:rPr>
        <w:t>between the harm caused and the conduct intended.</w:t>
      </w:r>
      <w:r w:rsidR="0008661F">
        <w:rPr>
          <w:rStyle w:val="FootnoteReference"/>
          <w:rFonts w:ascii="Times New Roman" w:hAnsi="Times New Roman"/>
        </w:rPr>
        <w:footnoteReference w:id="83"/>
      </w:r>
      <w:r w:rsidR="0020462A">
        <w:rPr>
          <w:rFonts w:ascii="Times New Roman" w:hAnsi="Times New Roman"/>
        </w:rPr>
        <w:t xml:space="preserve"> Accordingly, there is an </w:t>
      </w:r>
      <w:r w:rsidR="0008661F">
        <w:rPr>
          <w:rFonts w:ascii="Times New Roman" w:hAnsi="Times New Roman"/>
        </w:rPr>
        <w:t xml:space="preserve">irony in the </w:t>
      </w:r>
      <w:r w:rsidR="0020462A">
        <w:rPr>
          <w:rFonts w:ascii="Times New Roman" w:hAnsi="Times New Roman"/>
        </w:rPr>
        <w:t>possibility</w:t>
      </w:r>
      <w:r w:rsidR="0008661F">
        <w:rPr>
          <w:rFonts w:ascii="Times New Roman" w:hAnsi="Times New Roman"/>
        </w:rPr>
        <w:t xml:space="preserve"> that an individual may be guilty </w:t>
      </w:r>
      <w:r w:rsidR="00050E29">
        <w:rPr>
          <w:rFonts w:ascii="Times New Roman" w:hAnsi="Times New Roman"/>
        </w:rPr>
        <w:t xml:space="preserve">under </w:t>
      </w:r>
      <w:r w:rsidR="00B4467D">
        <w:rPr>
          <w:rFonts w:ascii="Times New Roman" w:hAnsi="Times New Roman"/>
        </w:rPr>
        <w:t>variant 3 or 4</w:t>
      </w:r>
      <w:r w:rsidR="0008661F">
        <w:rPr>
          <w:rFonts w:ascii="Times New Roman" w:hAnsi="Times New Roman"/>
        </w:rPr>
        <w:t xml:space="preserve"> where they intended no physical harm to anyone, whilst another individual may wound</w:t>
      </w:r>
      <w:r w:rsidR="00B4467D">
        <w:rPr>
          <w:rFonts w:ascii="Times New Roman" w:hAnsi="Times New Roman"/>
        </w:rPr>
        <w:t xml:space="preserve"> under variant 1</w:t>
      </w:r>
      <w:r w:rsidR="00A349CF">
        <w:rPr>
          <w:rFonts w:ascii="Times New Roman" w:hAnsi="Times New Roman"/>
        </w:rPr>
        <w:t xml:space="preserve"> but </w:t>
      </w:r>
      <w:r w:rsidR="0020462A">
        <w:rPr>
          <w:rFonts w:ascii="Times New Roman" w:hAnsi="Times New Roman"/>
        </w:rPr>
        <w:t>only</w:t>
      </w:r>
      <w:r w:rsidR="00EE3C09">
        <w:rPr>
          <w:rFonts w:ascii="Times New Roman" w:hAnsi="Times New Roman"/>
        </w:rPr>
        <w:t xml:space="preserve"> </w:t>
      </w:r>
      <w:r w:rsidR="00050E29">
        <w:rPr>
          <w:rFonts w:ascii="Times New Roman" w:hAnsi="Times New Roman"/>
        </w:rPr>
        <w:t>be</w:t>
      </w:r>
      <w:r w:rsidR="00A349CF">
        <w:rPr>
          <w:rFonts w:ascii="Times New Roman" w:hAnsi="Times New Roman"/>
        </w:rPr>
        <w:t xml:space="preserve"> convicted under s.20 (and receive a substantially reduced sentence) because they</w:t>
      </w:r>
      <w:r w:rsidR="004E425B">
        <w:rPr>
          <w:rFonts w:ascii="Times New Roman" w:hAnsi="Times New Roman"/>
        </w:rPr>
        <w:t xml:space="preserve"> only intended to cause harm in the form of wound –</w:t>
      </w:r>
      <w:r w:rsidR="00E103B5">
        <w:rPr>
          <w:rFonts w:ascii="Times New Roman" w:hAnsi="Times New Roman"/>
        </w:rPr>
        <w:t xml:space="preserve"> </w:t>
      </w:r>
      <w:r w:rsidR="004E425B">
        <w:rPr>
          <w:rFonts w:ascii="Times New Roman" w:hAnsi="Times New Roman"/>
        </w:rPr>
        <w:t>not GBH</w:t>
      </w:r>
      <w:r w:rsidR="00A349CF">
        <w:rPr>
          <w:rFonts w:ascii="Times New Roman" w:hAnsi="Times New Roman"/>
        </w:rPr>
        <w:t>.</w:t>
      </w:r>
      <w:r w:rsidR="00A349CF">
        <w:rPr>
          <w:rStyle w:val="FootnoteReference"/>
          <w:rFonts w:ascii="Times New Roman" w:hAnsi="Times New Roman"/>
        </w:rPr>
        <w:footnoteReference w:id="84"/>
      </w:r>
    </w:p>
    <w:p w:rsidR="005C067D" w:rsidRDefault="005C067D" w:rsidP="00334BF3">
      <w:pPr>
        <w:spacing w:line="480" w:lineRule="auto"/>
        <w:jc w:val="both"/>
        <w:rPr>
          <w:rFonts w:ascii="Times New Roman" w:hAnsi="Times New Roman"/>
        </w:rPr>
      </w:pPr>
    </w:p>
    <w:p w:rsidR="005C10E3" w:rsidRDefault="00A349CF" w:rsidP="00334BF3">
      <w:pPr>
        <w:spacing w:line="480" w:lineRule="auto"/>
        <w:jc w:val="both"/>
        <w:rPr>
          <w:rFonts w:ascii="Times New Roman" w:hAnsi="Times New Roman"/>
        </w:rPr>
      </w:pPr>
      <w:r>
        <w:rPr>
          <w:rFonts w:ascii="Times New Roman" w:hAnsi="Times New Roman"/>
        </w:rPr>
        <w:t>(b) Sections 20 and 4</w:t>
      </w:r>
      <w:r w:rsidR="00EE3C09">
        <w:rPr>
          <w:rFonts w:ascii="Times New Roman" w:hAnsi="Times New Roman"/>
        </w:rPr>
        <w:t>7; assault and b</w:t>
      </w:r>
      <w:r>
        <w:rPr>
          <w:rFonts w:ascii="Times New Roman" w:hAnsi="Times New Roman"/>
        </w:rPr>
        <w:t>attery</w:t>
      </w:r>
    </w:p>
    <w:p w:rsidR="00B0789E" w:rsidRDefault="00D9756C" w:rsidP="00D176DD">
      <w:pPr>
        <w:spacing w:line="480" w:lineRule="auto"/>
        <w:jc w:val="both"/>
        <w:rPr>
          <w:rFonts w:ascii="Times New Roman" w:hAnsi="Times New Roman"/>
        </w:rPr>
      </w:pPr>
      <w:r w:rsidRPr="005F19E9">
        <w:rPr>
          <w:rFonts w:ascii="Times New Roman" w:hAnsi="Times New Roman"/>
        </w:rPr>
        <w:t>As with</w:t>
      </w:r>
      <w:r w:rsidR="00477B7F" w:rsidRPr="005F19E9">
        <w:rPr>
          <w:rFonts w:ascii="Times New Roman" w:hAnsi="Times New Roman"/>
        </w:rPr>
        <w:t xml:space="preserve"> s.20, the maximum penalty for s.47 is five years’ imprisonment. </w:t>
      </w:r>
      <w:r w:rsidR="00C4028E" w:rsidRPr="005F19E9">
        <w:rPr>
          <w:rFonts w:ascii="Times New Roman" w:hAnsi="Times New Roman"/>
        </w:rPr>
        <w:t xml:space="preserve">Straight away, this seems </w:t>
      </w:r>
      <w:r w:rsidR="00BE4F31">
        <w:rPr>
          <w:rFonts w:ascii="Times New Roman" w:hAnsi="Times New Roman"/>
        </w:rPr>
        <w:t>odd</w:t>
      </w:r>
      <w:r w:rsidR="00C4028E" w:rsidRPr="005F19E9">
        <w:rPr>
          <w:rFonts w:ascii="Times New Roman" w:hAnsi="Times New Roman"/>
        </w:rPr>
        <w:t>: why is committing ABH “morally tantamount” to wounding or causing GBH?</w:t>
      </w:r>
      <w:r w:rsidR="00C4028E" w:rsidRPr="005F19E9">
        <w:rPr>
          <w:rStyle w:val="FootnoteReference"/>
          <w:rFonts w:ascii="Times New Roman" w:hAnsi="Times New Roman"/>
        </w:rPr>
        <w:footnoteReference w:id="85"/>
      </w:r>
      <w:r w:rsidR="00C4028E" w:rsidRPr="005F19E9">
        <w:rPr>
          <w:rFonts w:ascii="Times New Roman" w:hAnsi="Times New Roman"/>
        </w:rPr>
        <w:t xml:space="preserve"> Harm under the latter is </w:t>
      </w:r>
      <w:r w:rsidR="00E639C0" w:rsidRPr="005F19E9">
        <w:rPr>
          <w:rFonts w:ascii="Times New Roman" w:hAnsi="Times New Roman"/>
        </w:rPr>
        <w:t xml:space="preserve">surely </w:t>
      </w:r>
      <w:r w:rsidR="00C4028E" w:rsidRPr="005F19E9">
        <w:rPr>
          <w:rFonts w:ascii="Times New Roman" w:hAnsi="Times New Roman"/>
        </w:rPr>
        <w:t xml:space="preserve">not equivalent to </w:t>
      </w:r>
      <w:r w:rsidR="00E639C0" w:rsidRPr="005F19E9">
        <w:rPr>
          <w:rFonts w:ascii="Times New Roman" w:hAnsi="Times New Roman"/>
        </w:rPr>
        <w:t>harm under the former</w:t>
      </w:r>
      <w:r w:rsidR="00606737" w:rsidRPr="005F19E9">
        <w:rPr>
          <w:rFonts w:ascii="Times New Roman" w:hAnsi="Times New Roman"/>
        </w:rPr>
        <w:t xml:space="preserve">? </w:t>
      </w:r>
      <w:r w:rsidR="00BE4B2A" w:rsidRPr="005F19E9">
        <w:rPr>
          <w:rFonts w:ascii="Times New Roman" w:hAnsi="Times New Roman"/>
        </w:rPr>
        <w:t>Significantly, a contrast does e</w:t>
      </w:r>
      <w:r w:rsidR="00824008" w:rsidRPr="005F19E9">
        <w:rPr>
          <w:rFonts w:ascii="Times New Roman" w:hAnsi="Times New Roman"/>
        </w:rPr>
        <w:t xml:space="preserve">merge </w:t>
      </w:r>
      <w:r w:rsidR="00BE4B2A" w:rsidRPr="005F19E9">
        <w:rPr>
          <w:rFonts w:ascii="Times New Roman" w:hAnsi="Times New Roman"/>
        </w:rPr>
        <w:t xml:space="preserve">between </w:t>
      </w:r>
      <w:r w:rsidR="00824008" w:rsidRPr="005F19E9">
        <w:rPr>
          <w:rFonts w:ascii="Times New Roman" w:hAnsi="Times New Roman"/>
        </w:rPr>
        <w:t xml:space="preserve">the maximum sentence for assault and battery (6 months’ imprisonment) </w:t>
      </w:r>
      <w:r w:rsidR="00BE4B2A" w:rsidRPr="005F19E9">
        <w:rPr>
          <w:rFonts w:ascii="Times New Roman" w:hAnsi="Times New Roman"/>
        </w:rPr>
        <w:t xml:space="preserve">and </w:t>
      </w:r>
      <w:r w:rsidR="00824008" w:rsidRPr="005F19E9">
        <w:rPr>
          <w:rFonts w:ascii="Times New Roman" w:hAnsi="Times New Roman"/>
        </w:rPr>
        <w:t xml:space="preserve">that for s.47. CPS guidelines make it clear that battery (or “common assault”) should be charged where the injury is </w:t>
      </w:r>
      <w:r w:rsidR="00467A17">
        <w:rPr>
          <w:rFonts w:ascii="Times New Roman" w:hAnsi="Times New Roman"/>
        </w:rPr>
        <w:t>unlikely</w:t>
      </w:r>
      <w:r w:rsidR="00824008" w:rsidRPr="005F19E9">
        <w:rPr>
          <w:rFonts w:ascii="Times New Roman" w:hAnsi="Times New Roman"/>
        </w:rPr>
        <w:t xml:space="preserve"> to lead to a sentence of more than 6 months’ imprisonment, even though the case could be charged under s.47. </w:t>
      </w:r>
      <w:r w:rsidR="00824008" w:rsidRPr="005F19E9">
        <w:rPr>
          <w:rStyle w:val="FootnoteReference"/>
          <w:rFonts w:ascii="Times New Roman" w:hAnsi="Times New Roman"/>
        </w:rPr>
        <w:footnoteReference w:id="86"/>
      </w:r>
      <w:r w:rsidR="00BE4B2A" w:rsidRPr="005F19E9">
        <w:rPr>
          <w:rFonts w:ascii="Times New Roman" w:hAnsi="Times New Roman"/>
        </w:rPr>
        <w:t xml:space="preserve"> Conversely, s.47 should be charged where the sentence is </w:t>
      </w:r>
      <w:r w:rsidR="00467A17">
        <w:rPr>
          <w:rFonts w:ascii="Times New Roman" w:hAnsi="Times New Roman"/>
        </w:rPr>
        <w:t>probably going</w:t>
      </w:r>
      <w:r w:rsidR="00BE4B2A" w:rsidRPr="005F19E9">
        <w:rPr>
          <w:rFonts w:ascii="Times New Roman" w:hAnsi="Times New Roman"/>
        </w:rPr>
        <w:t xml:space="preserve"> to be longer than 6 months’ </w:t>
      </w:r>
      <w:r w:rsidR="00BE4B2A" w:rsidRPr="005F19E9">
        <w:rPr>
          <w:rFonts w:ascii="Times New Roman" w:hAnsi="Times New Roman"/>
        </w:rPr>
        <w:lastRenderedPageBreak/>
        <w:t>imprisonment.</w:t>
      </w:r>
      <w:r w:rsidR="00BE4B2A" w:rsidRPr="005F19E9">
        <w:rPr>
          <w:rStyle w:val="FootnoteReference"/>
          <w:rFonts w:ascii="Times New Roman" w:hAnsi="Times New Roman"/>
        </w:rPr>
        <w:footnoteReference w:id="87"/>
      </w:r>
      <w:r w:rsidR="00BE4B2A" w:rsidRPr="005F19E9">
        <w:rPr>
          <w:rFonts w:ascii="Times New Roman" w:hAnsi="Times New Roman"/>
        </w:rPr>
        <w:t xml:space="preserve"> The effect of this large </w:t>
      </w:r>
      <w:r w:rsidR="006F0176">
        <w:rPr>
          <w:rFonts w:ascii="Times New Roman" w:hAnsi="Times New Roman"/>
        </w:rPr>
        <w:t>gap</w:t>
      </w:r>
      <w:r w:rsidR="00BE4B2A" w:rsidRPr="005F19E9">
        <w:rPr>
          <w:rFonts w:ascii="Times New Roman" w:hAnsi="Times New Roman"/>
        </w:rPr>
        <w:t xml:space="preserve"> in maximum sentences (s.47 – 5 years; </w:t>
      </w:r>
      <w:r w:rsidR="00CE4ED6" w:rsidRPr="005F19E9">
        <w:rPr>
          <w:rFonts w:ascii="Times New Roman" w:hAnsi="Times New Roman"/>
        </w:rPr>
        <w:t>common assault</w:t>
      </w:r>
      <w:r w:rsidR="00BE4B2A" w:rsidRPr="005F19E9">
        <w:rPr>
          <w:rFonts w:ascii="Times New Roman" w:hAnsi="Times New Roman"/>
        </w:rPr>
        <w:t xml:space="preserve"> – 6 months), combined with the flexibility in charging, is to </w:t>
      </w:r>
      <w:r w:rsidR="00AB06FE" w:rsidRPr="005F19E9">
        <w:rPr>
          <w:rFonts w:ascii="Times New Roman" w:hAnsi="Times New Roman"/>
        </w:rPr>
        <w:t>give</w:t>
      </w:r>
      <w:r w:rsidR="00BE4B2A" w:rsidRPr="005F19E9">
        <w:rPr>
          <w:rFonts w:ascii="Times New Roman" w:hAnsi="Times New Roman"/>
        </w:rPr>
        <w:t xml:space="preserve"> prosecutors </w:t>
      </w:r>
      <w:r w:rsidR="00AB06FE" w:rsidRPr="005F19E9">
        <w:rPr>
          <w:rFonts w:ascii="Times New Roman" w:hAnsi="Times New Roman"/>
        </w:rPr>
        <w:t xml:space="preserve">an unenviable task when selecting the appropriate charge. </w:t>
      </w:r>
      <w:r w:rsidR="00CE4ED6" w:rsidRPr="005F19E9">
        <w:rPr>
          <w:rFonts w:ascii="Times New Roman" w:hAnsi="Times New Roman"/>
        </w:rPr>
        <w:t xml:space="preserve">That task is made no easier by the fact that common assault is triable summarily </w:t>
      </w:r>
      <w:r w:rsidR="00F4794F">
        <w:rPr>
          <w:rFonts w:ascii="Times New Roman" w:hAnsi="Times New Roman"/>
        </w:rPr>
        <w:t>only</w:t>
      </w:r>
      <w:r w:rsidR="00C95169">
        <w:rPr>
          <w:rFonts w:ascii="Times New Roman" w:hAnsi="Times New Roman"/>
        </w:rPr>
        <w:t>,</w:t>
      </w:r>
      <w:r w:rsidR="00F4794F">
        <w:rPr>
          <w:rFonts w:ascii="Times New Roman" w:hAnsi="Times New Roman"/>
        </w:rPr>
        <w:t xml:space="preserve"> </w:t>
      </w:r>
      <w:r w:rsidR="00CE4ED6" w:rsidRPr="005F19E9">
        <w:rPr>
          <w:rFonts w:ascii="Times New Roman" w:hAnsi="Times New Roman"/>
        </w:rPr>
        <w:t xml:space="preserve">whilst s.47 is triable either way. </w:t>
      </w:r>
      <w:r w:rsidR="00AB06FE" w:rsidRPr="005F19E9">
        <w:rPr>
          <w:rFonts w:ascii="Times New Roman" w:hAnsi="Times New Roman"/>
        </w:rPr>
        <w:t>This can result in distorted charging decisions. Notably</w:t>
      </w:r>
      <w:r w:rsidR="00D176DD" w:rsidRPr="005F19E9">
        <w:rPr>
          <w:rFonts w:ascii="Times New Roman" w:hAnsi="Times New Roman"/>
        </w:rPr>
        <w:t xml:space="preserve">, </w:t>
      </w:r>
      <w:r w:rsidR="00AB06FE" w:rsidRPr="005F19E9">
        <w:rPr>
          <w:rFonts w:ascii="Times New Roman" w:hAnsi="Times New Roman"/>
        </w:rPr>
        <w:t>there is an inducement to prosecute some serious cases as common assault</w:t>
      </w:r>
      <w:r w:rsidR="00CE4ED6" w:rsidRPr="005F19E9">
        <w:rPr>
          <w:rFonts w:ascii="Times New Roman" w:hAnsi="Times New Roman"/>
        </w:rPr>
        <w:t xml:space="preserve">, so as </w:t>
      </w:r>
      <w:r w:rsidR="00AB06FE" w:rsidRPr="005F19E9">
        <w:rPr>
          <w:rFonts w:ascii="Times New Roman" w:hAnsi="Times New Roman"/>
        </w:rPr>
        <w:t>to dispose of the</w:t>
      </w:r>
      <w:r w:rsidR="0044755A" w:rsidRPr="005F19E9">
        <w:rPr>
          <w:rFonts w:ascii="Times New Roman" w:hAnsi="Times New Roman"/>
        </w:rPr>
        <w:t>se</w:t>
      </w:r>
      <w:r w:rsidR="00AB06FE" w:rsidRPr="005F19E9">
        <w:rPr>
          <w:rFonts w:ascii="Times New Roman" w:hAnsi="Times New Roman"/>
        </w:rPr>
        <w:t xml:space="preserve"> case</w:t>
      </w:r>
      <w:r w:rsidR="0044755A" w:rsidRPr="005F19E9">
        <w:rPr>
          <w:rFonts w:ascii="Times New Roman" w:hAnsi="Times New Roman"/>
        </w:rPr>
        <w:t>s</w:t>
      </w:r>
      <w:r w:rsidR="00AB06FE" w:rsidRPr="005F19E9">
        <w:rPr>
          <w:rFonts w:ascii="Times New Roman" w:hAnsi="Times New Roman"/>
        </w:rPr>
        <w:t xml:space="preserve"> more </w:t>
      </w:r>
      <w:r w:rsidR="0044755A" w:rsidRPr="005F19E9">
        <w:rPr>
          <w:rFonts w:ascii="Times New Roman" w:hAnsi="Times New Roman"/>
        </w:rPr>
        <w:t>quickly and efficiently</w:t>
      </w:r>
      <w:r w:rsidR="005F19E9" w:rsidRPr="005F19E9">
        <w:rPr>
          <w:rFonts w:ascii="Times New Roman" w:hAnsi="Times New Roman"/>
        </w:rPr>
        <w:t xml:space="preserve"> in the magistrates</w:t>
      </w:r>
      <w:r w:rsidR="005F19E9">
        <w:rPr>
          <w:rFonts w:ascii="Times New Roman" w:hAnsi="Times New Roman"/>
        </w:rPr>
        <w:t>’</w:t>
      </w:r>
      <w:r w:rsidR="005F19E9" w:rsidRPr="005F19E9">
        <w:rPr>
          <w:rFonts w:ascii="Times New Roman" w:hAnsi="Times New Roman"/>
        </w:rPr>
        <w:t xml:space="preserve"> courts</w:t>
      </w:r>
      <w:r w:rsidR="00CE4ED6" w:rsidRPr="005F19E9">
        <w:rPr>
          <w:rFonts w:ascii="Times New Roman" w:hAnsi="Times New Roman"/>
        </w:rPr>
        <w:t xml:space="preserve">. </w:t>
      </w:r>
      <w:r w:rsidR="00452AF6">
        <w:rPr>
          <w:rFonts w:ascii="Times New Roman" w:hAnsi="Times New Roman"/>
        </w:rPr>
        <w:t>Conversely, t</w:t>
      </w:r>
      <w:r w:rsidR="00D176DD" w:rsidRPr="005F19E9">
        <w:rPr>
          <w:rFonts w:ascii="Times New Roman" w:hAnsi="Times New Roman"/>
        </w:rPr>
        <w:t>here may be</w:t>
      </w:r>
      <w:r w:rsidR="00CE4ED6" w:rsidRPr="005F19E9">
        <w:rPr>
          <w:rFonts w:ascii="Times New Roman" w:hAnsi="Times New Roman"/>
        </w:rPr>
        <w:t xml:space="preserve"> an inducement to prosecute some minor cases under s.47,</w:t>
      </w:r>
      <w:r w:rsidR="00E103B5" w:rsidRPr="005F19E9">
        <w:rPr>
          <w:rFonts w:ascii="Times New Roman" w:hAnsi="Times New Roman"/>
        </w:rPr>
        <w:t xml:space="preserve"> so as to increase pressure on </w:t>
      </w:r>
      <w:r w:rsidR="00CE4ED6" w:rsidRPr="005F19E9">
        <w:rPr>
          <w:rFonts w:ascii="Times New Roman" w:hAnsi="Times New Roman"/>
        </w:rPr>
        <w:t xml:space="preserve">D to plead guilty to common assault as an included offence. </w:t>
      </w:r>
      <w:r w:rsidR="00D176DD" w:rsidRPr="005F19E9">
        <w:rPr>
          <w:rFonts w:ascii="Times New Roman" w:hAnsi="Times New Roman"/>
        </w:rPr>
        <w:t xml:space="preserve">Given that a significant number of s.47 cases are tried in the Crown Court, </w:t>
      </w:r>
      <w:r w:rsidR="00CE4ED6" w:rsidRPr="005F19E9">
        <w:rPr>
          <w:rFonts w:ascii="Times New Roman" w:hAnsi="Times New Roman"/>
        </w:rPr>
        <w:t xml:space="preserve">this can incur </w:t>
      </w:r>
      <w:r w:rsidR="00D176DD" w:rsidRPr="005F19E9">
        <w:rPr>
          <w:rFonts w:ascii="Times New Roman" w:hAnsi="Times New Roman"/>
        </w:rPr>
        <w:t>much greater</w:t>
      </w:r>
      <w:r w:rsidR="00CE4ED6" w:rsidRPr="005F19E9">
        <w:rPr>
          <w:rFonts w:ascii="Times New Roman" w:hAnsi="Times New Roman"/>
        </w:rPr>
        <w:t xml:space="preserve"> trouble and expense</w:t>
      </w:r>
      <w:r w:rsidR="00D176DD" w:rsidRPr="005F19E9">
        <w:rPr>
          <w:rFonts w:ascii="Times New Roman" w:hAnsi="Times New Roman"/>
        </w:rPr>
        <w:t xml:space="preserve"> – with </w:t>
      </w:r>
      <w:r w:rsidR="00CE4ED6" w:rsidRPr="005F19E9">
        <w:rPr>
          <w:rFonts w:ascii="Times New Roman" w:hAnsi="Times New Roman"/>
        </w:rPr>
        <w:t xml:space="preserve">the final sentence </w:t>
      </w:r>
      <w:r w:rsidR="00D176DD" w:rsidRPr="005F19E9">
        <w:rPr>
          <w:rFonts w:ascii="Times New Roman" w:hAnsi="Times New Roman"/>
        </w:rPr>
        <w:t>being</w:t>
      </w:r>
      <w:r w:rsidR="00CE4ED6" w:rsidRPr="005F19E9">
        <w:rPr>
          <w:rFonts w:ascii="Times New Roman" w:hAnsi="Times New Roman"/>
        </w:rPr>
        <w:t xml:space="preserve"> one that could have been imposed by a magistrates’ court.</w:t>
      </w:r>
      <w:r w:rsidR="00CE4ED6" w:rsidRPr="005F19E9">
        <w:rPr>
          <w:rStyle w:val="FootnoteReference"/>
          <w:rFonts w:ascii="Times New Roman" w:hAnsi="Times New Roman"/>
        </w:rPr>
        <w:footnoteReference w:id="88"/>
      </w:r>
    </w:p>
    <w:p w:rsidR="00CF04F1" w:rsidRDefault="00CF04F1" w:rsidP="00334BF3">
      <w:pPr>
        <w:spacing w:line="480" w:lineRule="auto"/>
        <w:jc w:val="both"/>
        <w:rPr>
          <w:rFonts w:ascii="Times New Roman" w:hAnsi="Times New Roman"/>
        </w:rPr>
      </w:pPr>
    </w:p>
    <w:p w:rsidR="00F257EC" w:rsidRDefault="00F257EC" w:rsidP="00334BF3">
      <w:pPr>
        <w:spacing w:line="480" w:lineRule="auto"/>
        <w:jc w:val="both"/>
        <w:rPr>
          <w:rFonts w:ascii="Times New Roman" w:hAnsi="Times New Roman"/>
          <w:b/>
        </w:rPr>
      </w:pPr>
      <w:r>
        <w:rPr>
          <w:rFonts w:ascii="Times New Roman" w:hAnsi="Times New Roman"/>
          <w:b/>
        </w:rPr>
        <w:t xml:space="preserve">3. </w:t>
      </w:r>
      <w:r w:rsidR="00E81BD5">
        <w:rPr>
          <w:rFonts w:ascii="Times New Roman" w:hAnsi="Times New Roman"/>
          <w:b/>
        </w:rPr>
        <w:t>The scoping report</w:t>
      </w:r>
      <w:r w:rsidRPr="00F257EC">
        <w:rPr>
          <w:rFonts w:ascii="Times New Roman" w:hAnsi="Times New Roman"/>
          <w:b/>
        </w:rPr>
        <w:t xml:space="preserve">: new </w:t>
      </w:r>
      <w:r w:rsidR="00C52DB7">
        <w:rPr>
          <w:rFonts w:ascii="Times New Roman" w:hAnsi="Times New Roman"/>
          <w:b/>
        </w:rPr>
        <w:t>offences</w:t>
      </w:r>
    </w:p>
    <w:p w:rsidR="00F257EC" w:rsidRDefault="00F257EC" w:rsidP="00334BF3">
      <w:pPr>
        <w:spacing w:line="480" w:lineRule="auto"/>
        <w:jc w:val="both"/>
        <w:rPr>
          <w:rFonts w:ascii="Times New Roman" w:hAnsi="Times New Roman"/>
          <w:b/>
        </w:rPr>
      </w:pPr>
    </w:p>
    <w:p w:rsidR="004A6F65" w:rsidRDefault="00AF5E51" w:rsidP="00334BF3">
      <w:pPr>
        <w:spacing w:line="480" w:lineRule="auto"/>
        <w:jc w:val="both"/>
        <w:rPr>
          <w:rFonts w:ascii="Times New Roman" w:hAnsi="Times New Roman"/>
        </w:rPr>
      </w:pPr>
      <w:r>
        <w:rPr>
          <w:rFonts w:ascii="Times New Roman" w:hAnsi="Times New Roman"/>
        </w:rPr>
        <w:t>The</w:t>
      </w:r>
      <w:r w:rsidR="005A098C">
        <w:rPr>
          <w:rFonts w:ascii="Times New Roman" w:hAnsi="Times New Roman"/>
        </w:rPr>
        <w:t xml:space="preserve"> </w:t>
      </w:r>
      <w:r w:rsidR="00F43537">
        <w:rPr>
          <w:rFonts w:ascii="Times New Roman" w:hAnsi="Times New Roman"/>
        </w:rPr>
        <w:t xml:space="preserve">incoherence in the </w:t>
      </w:r>
      <w:r w:rsidR="005A098C">
        <w:rPr>
          <w:rFonts w:ascii="Times New Roman" w:hAnsi="Times New Roman"/>
        </w:rPr>
        <w:t xml:space="preserve">law </w:t>
      </w:r>
      <w:r w:rsidR="00F43537">
        <w:rPr>
          <w:rFonts w:ascii="Times New Roman" w:hAnsi="Times New Roman"/>
        </w:rPr>
        <w:t>of</w:t>
      </w:r>
      <w:r w:rsidR="005A098C">
        <w:rPr>
          <w:rFonts w:ascii="Times New Roman" w:hAnsi="Times New Roman"/>
        </w:rPr>
        <w:t xml:space="preserve"> offences against the person</w:t>
      </w:r>
      <w:r w:rsidR="00452AF6">
        <w:rPr>
          <w:rFonts w:ascii="Times New Roman" w:hAnsi="Times New Roman"/>
        </w:rPr>
        <w:t xml:space="preserve"> </w:t>
      </w:r>
      <w:r>
        <w:rPr>
          <w:rFonts w:ascii="Times New Roman" w:hAnsi="Times New Roman"/>
        </w:rPr>
        <w:t>renders it confused and confusing</w:t>
      </w:r>
      <w:r w:rsidR="005A098C">
        <w:rPr>
          <w:rFonts w:ascii="Times New Roman" w:hAnsi="Times New Roman"/>
        </w:rPr>
        <w:t xml:space="preserve">. </w:t>
      </w:r>
      <w:r w:rsidR="001B410D">
        <w:rPr>
          <w:rFonts w:ascii="Times New Roman" w:hAnsi="Times New Roman"/>
        </w:rPr>
        <w:t>As such, and b</w:t>
      </w:r>
      <w:r w:rsidR="005A098C">
        <w:rPr>
          <w:rFonts w:ascii="Times New Roman" w:hAnsi="Times New Roman"/>
        </w:rPr>
        <w:t>ased on an overwhelmingly positive response from consultees,</w:t>
      </w:r>
      <w:r w:rsidR="005A098C">
        <w:rPr>
          <w:rStyle w:val="FootnoteReference"/>
          <w:rFonts w:ascii="Times New Roman" w:hAnsi="Times New Roman"/>
        </w:rPr>
        <w:footnoteReference w:id="89"/>
      </w:r>
      <w:r w:rsidR="005A098C">
        <w:rPr>
          <w:rFonts w:ascii="Times New Roman" w:hAnsi="Times New Roman"/>
        </w:rPr>
        <w:t xml:space="preserve"> </w:t>
      </w:r>
      <w:r w:rsidR="0064291F">
        <w:rPr>
          <w:rFonts w:ascii="Times New Roman" w:hAnsi="Times New Roman"/>
        </w:rPr>
        <w:t xml:space="preserve">the </w:t>
      </w:r>
      <w:r w:rsidR="007D5ABC">
        <w:rPr>
          <w:rFonts w:ascii="Times New Roman" w:hAnsi="Times New Roman"/>
        </w:rPr>
        <w:t>s</w:t>
      </w:r>
      <w:r w:rsidR="0064291F">
        <w:rPr>
          <w:rFonts w:ascii="Times New Roman" w:hAnsi="Times New Roman"/>
        </w:rPr>
        <w:t xml:space="preserve">coping report recommends modernisation of these crimes via a new statute. </w:t>
      </w:r>
      <w:r w:rsidR="008764E4">
        <w:rPr>
          <w:rFonts w:ascii="Times New Roman" w:hAnsi="Times New Roman"/>
        </w:rPr>
        <w:t>It argues that this statute should adopt</w:t>
      </w:r>
      <w:r w:rsidR="00311FD2">
        <w:rPr>
          <w:rFonts w:ascii="Times New Roman" w:hAnsi="Times New Roman"/>
        </w:rPr>
        <w:t xml:space="preserve"> </w:t>
      </w:r>
      <w:r w:rsidR="008764E4">
        <w:rPr>
          <w:rFonts w:ascii="Times New Roman" w:hAnsi="Times New Roman"/>
        </w:rPr>
        <w:t>th</w:t>
      </w:r>
      <w:r w:rsidR="00784117">
        <w:rPr>
          <w:rFonts w:ascii="Times New Roman" w:hAnsi="Times New Roman"/>
        </w:rPr>
        <w:t>e</w:t>
      </w:r>
      <w:r w:rsidR="009B1136">
        <w:rPr>
          <w:rFonts w:ascii="Times New Roman" w:hAnsi="Times New Roman"/>
        </w:rPr>
        <w:t xml:space="preserve"> crimes </w:t>
      </w:r>
      <w:r w:rsidR="00AF7AEC">
        <w:rPr>
          <w:rFonts w:ascii="Times New Roman" w:hAnsi="Times New Roman"/>
        </w:rPr>
        <w:t xml:space="preserve">contained in the draft Bill, </w:t>
      </w:r>
      <w:r w:rsidR="004D6036">
        <w:rPr>
          <w:rFonts w:ascii="Times New Roman" w:hAnsi="Times New Roman"/>
        </w:rPr>
        <w:t xml:space="preserve">albeit </w:t>
      </w:r>
      <w:r w:rsidR="00AF7AEC">
        <w:rPr>
          <w:rFonts w:ascii="Times New Roman" w:hAnsi="Times New Roman"/>
        </w:rPr>
        <w:t xml:space="preserve">with some amendments. </w:t>
      </w:r>
      <w:r w:rsidR="004A6F65">
        <w:rPr>
          <w:rFonts w:ascii="Times New Roman" w:hAnsi="Times New Roman"/>
        </w:rPr>
        <w:t xml:space="preserve">The draft Bill is </w:t>
      </w:r>
      <w:r w:rsidR="001C1D92">
        <w:rPr>
          <w:rFonts w:ascii="Times New Roman" w:hAnsi="Times New Roman"/>
        </w:rPr>
        <w:t xml:space="preserve">an appropriate model for change: </w:t>
      </w:r>
      <w:r w:rsidR="004A6F65">
        <w:rPr>
          <w:rFonts w:ascii="Times New Roman" w:hAnsi="Times New Roman"/>
        </w:rPr>
        <w:t>it represents the culmination of</w:t>
      </w:r>
      <w:r w:rsidR="00F95BCE">
        <w:rPr>
          <w:rFonts w:ascii="Times New Roman" w:hAnsi="Times New Roman"/>
        </w:rPr>
        <w:t xml:space="preserve"> </w:t>
      </w:r>
      <w:r w:rsidR="009C27E2">
        <w:rPr>
          <w:rFonts w:ascii="Times New Roman" w:hAnsi="Times New Roman"/>
        </w:rPr>
        <w:t>numerous – and widely respected –</w:t>
      </w:r>
      <w:r w:rsidR="004A6F65">
        <w:rPr>
          <w:rFonts w:ascii="Times New Roman" w:hAnsi="Times New Roman"/>
        </w:rPr>
        <w:t xml:space="preserve"> </w:t>
      </w:r>
      <w:r w:rsidR="00F95BCE">
        <w:rPr>
          <w:rFonts w:ascii="Times New Roman" w:hAnsi="Times New Roman"/>
        </w:rPr>
        <w:t>reform efforts.</w:t>
      </w:r>
      <w:r w:rsidR="00F95BCE">
        <w:rPr>
          <w:rStyle w:val="FootnoteReference"/>
          <w:rFonts w:ascii="Times New Roman" w:hAnsi="Times New Roman"/>
        </w:rPr>
        <w:footnoteReference w:id="90"/>
      </w:r>
      <w:r w:rsidR="00F95BCE">
        <w:rPr>
          <w:rFonts w:ascii="Times New Roman" w:hAnsi="Times New Roman"/>
        </w:rPr>
        <w:t xml:space="preserve"> </w:t>
      </w:r>
      <w:r w:rsidR="007076B4">
        <w:rPr>
          <w:rFonts w:ascii="Times New Roman" w:hAnsi="Times New Roman"/>
        </w:rPr>
        <w:t>That</w:t>
      </w:r>
      <w:r w:rsidR="009D5717">
        <w:rPr>
          <w:rFonts w:ascii="Times New Roman" w:hAnsi="Times New Roman"/>
        </w:rPr>
        <w:t xml:space="preserve"> appropriateness is echoed </w:t>
      </w:r>
      <w:r w:rsidR="00452AF6">
        <w:rPr>
          <w:rFonts w:ascii="Times New Roman" w:hAnsi="Times New Roman"/>
        </w:rPr>
        <w:t>by consultees in their</w:t>
      </w:r>
      <w:r w:rsidR="009D5717">
        <w:rPr>
          <w:rFonts w:ascii="Times New Roman" w:hAnsi="Times New Roman"/>
        </w:rPr>
        <w:t xml:space="preserve"> </w:t>
      </w:r>
      <w:r w:rsidR="00711128">
        <w:rPr>
          <w:rFonts w:ascii="Times New Roman" w:hAnsi="Times New Roman"/>
        </w:rPr>
        <w:lastRenderedPageBreak/>
        <w:t>responses to the SCP.</w:t>
      </w:r>
      <w:r w:rsidR="00AD0B0E">
        <w:rPr>
          <w:rStyle w:val="FootnoteReference"/>
          <w:rFonts w:ascii="Times New Roman" w:hAnsi="Times New Roman"/>
        </w:rPr>
        <w:footnoteReference w:id="91"/>
      </w:r>
      <w:r w:rsidR="00AD0B0E">
        <w:rPr>
          <w:rFonts w:ascii="Times New Roman" w:hAnsi="Times New Roman"/>
        </w:rPr>
        <w:t xml:space="preserve"> </w:t>
      </w:r>
      <w:r w:rsidR="0004382E">
        <w:rPr>
          <w:rFonts w:ascii="Times New Roman" w:hAnsi="Times New Roman"/>
        </w:rPr>
        <w:t xml:space="preserve">In relation to the core offences, the scoping report suggests the following </w:t>
      </w:r>
      <w:r w:rsidR="0021347A">
        <w:rPr>
          <w:rFonts w:ascii="Times New Roman" w:hAnsi="Times New Roman"/>
        </w:rPr>
        <w:t>rank</w:t>
      </w:r>
      <w:r w:rsidR="0004382E">
        <w:rPr>
          <w:rFonts w:ascii="Times New Roman" w:hAnsi="Times New Roman"/>
        </w:rPr>
        <w:t xml:space="preserve"> of </w:t>
      </w:r>
      <w:r w:rsidR="00127D3D">
        <w:rPr>
          <w:rFonts w:ascii="Times New Roman" w:hAnsi="Times New Roman"/>
        </w:rPr>
        <w:t>crimes</w:t>
      </w:r>
      <w:r w:rsidR="0021347A">
        <w:rPr>
          <w:rFonts w:ascii="Times New Roman" w:hAnsi="Times New Roman"/>
        </w:rPr>
        <w:t xml:space="preserve"> </w:t>
      </w:r>
      <w:r w:rsidR="00452AF6">
        <w:rPr>
          <w:rFonts w:ascii="Times New Roman" w:hAnsi="Times New Roman"/>
        </w:rPr>
        <w:t>starting with the most serious</w:t>
      </w:r>
      <w:r w:rsidR="0004382E">
        <w:rPr>
          <w:rFonts w:ascii="Times New Roman" w:hAnsi="Times New Roman"/>
        </w:rPr>
        <w:t>:</w:t>
      </w:r>
    </w:p>
    <w:p w:rsidR="00FD75E9" w:rsidRDefault="00FD75E9" w:rsidP="00FD75E9">
      <w:pPr>
        <w:spacing w:line="480" w:lineRule="auto"/>
        <w:jc w:val="both"/>
        <w:rPr>
          <w:rFonts w:ascii="Times New Roman" w:hAnsi="Times New Roman"/>
        </w:rPr>
      </w:pPr>
    </w:p>
    <w:p w:rsidR="0004382E" w:rsidRPr="00B4467D" w:rsidRDefault="00FD75E9" w:rsidP="00B4467D">
      <w:pPr>
        <w:pStyle w:val="ListParagraph"/>
        <w:numPr>
          <w:ilvl w:val="0"/>
          <w:numId w:val="9"/>
        </w:numPr>
        <w:spacing w:line="480" w:lineRule="auto"/>
        <w:jc w:val="both"/>
        <w:rPr>
          <w:rFonts w:ascii="Times New Roman" w:hAnsi="Times New Roman"/>
        </w:rPr>
      </w:pPr>
      <w:r w:rsidRPr="00B4467D">
        <w:rPr>
          <w:rFonts w:ascii="Times New Roman" w:hAnsi="Times New Roman"/>
        </w:rPr>
        <w:t>“</w:t>
      </w:r>
      <w:r w:rsidR="0004382E" w:rsidRPr="00B4467D">
        <w:rPr>
          <w:rFonts w:ascii="Times New Roman" w:hAnsi="Times New Roman"/>
        </w:rPr>
        <w:t>intentionally causing serious injury</w:t>
      </w:r>
      <w:r w:rsidRPr="00B4467D">
        <w:rPr>
          <w:rFonts w:ascii="Times New Roman" w:hAnsi="Times New Roman"/>
        </w:rPr>
        <w:t>”</w:t>
      </w:r>
      <w:r w:rsidR="0004382E" w:rsidRPr="00B4467D">
        <w:rPr>
          <w:rFonts w:ascii="Times New Roman" w:hAnsi="Times New Roman"/>
        </w:rPr>
        <w:t xml:space="preserve"> – </w:t>
      </w:r>
      <w:r w:rsidR="00205AFE" w:rsidRPr="00B4467D">
        <w:rPr>
          <w:rFonts w:ascii="Times New Roman" w:hAnsi="Times New Roman"/>
        </w:rPr>
        <w:t xml:space="preserve">a replacement for s.18 and </w:t>
      </w:r>
      <w:r w:rsidR="0004382E" w:rsidRPr="00B4467D">
        <w:rPr>
          <w:rFonts w:ascii="Times New Roman" w:hAnsi="Times New Roman"/>
        </w:rPr>
        <w:t>triable on indictment only</w:t>
      </w:r>
      <w:r w:rsidR="009C27E2" w:rsidRPr="00B4467D">
        <w:rPr>
          <w:rFonts w:ascii="Times New Roman" w:hAnsi="Times New Roman"/>
        </w:rPr>
        <w:t xml:space="preserve"> (maximum sentence: </w:t>
      </w:r>
      <w:r w:rsidR="0021347A" w:rsidRPr="00B4467D">
        <w:rPr>
          <w:rFonts w:ascii="Times New Roman" w:hAnsi="Times New Roman"/>
        </w:rPr>
        <w:t>life imprisonment);</w:t>
      </w:r>
    </w:p>
    <w:p w:rsidR="0004382E" w:rsidRDefault="00FD75E9" w:rsidP="0004382E">
      <w:pPr>
        <w:pStyle w:val="ListParagraph"/>
        <w:numPr>
          <w:ilvl w:val="0"/>
          <w:numId w:val="9"/>
        </w:numPr>
        <w:spacing w:line="480" w:lineRule="auto"/>
        <w:jc w:val="both"/>
        <w:rPr>
          <w:rFonts w:ascii="Times New Roman" w:hAnsi="Times New Roman"/>
        </w:rPr>
      </w:pPr>
      <w:r>
        <w:rPr>
          <w:rFonts w:ascii="Times New Roman" w:hAnsi="Times New Roman"/>
        </w:rPr>
        <w:t>“</w:t>
      </w:r>
      <w:r w:rsidR="0004382E">
        <w:rPr>
          <w:rFonts w:ascii="Times New Roman" w:hAnsi="Times New Roman"/>
        </w:rPr>
        <w:t>recklessly causing serious injury</w:t>
      </w:r>
      <w:r>
        <w:rPr>
          <w:rFonts w:ascii="Times New Roman" w:hAnsi="Times New Roman"/>
        </w:rPr>
        <w:t>”</w:t>
      </w:r>
      <w:r w:rsidR="0004382E">
        <w:rPr>
          <w:rFonts w:ascii="Times New Roman" w:hAnsi="Times New Roman"/>
        </w:rPr>
        <w:t xml:space="preserve"> – </w:t>
      </w:r>
      <w:r w:rsidR="00205AFE">
        <w:rPr>
          <w:rFonts w:ascii="Times New Roman" w:hAnsi="Times New Roman"/>
        </w:rPr>
        <w:t xml:space="preserve">a replacement for s.20 and </w:t>
      </w:r>
      <w:r w:rsidR="0004382E">
        <w:rPr>
          <w:rFonts w:ascii="Times New Roman" w:hAnsi="Times New Roman"/>
        </w:rPr>
        <w:t>triable either way</w:t>
      </w:r>
      <w:r w:rsidR="009C27E2">
        <w:rPr>
          <w:rFonts w:ascii="Times New Roman" w:hAnsi="Times New Roman"/>
        </w:rPr>
        <w:t xml:space="preserve"> (maximum sentence: </w:t>
      </w:r>
      <w:r w:rsidR="00C14CC5">
        <w:rPr>
          <w:rFonts w:ascii="Times New Roman" w:hAnsi="Times New Roman"/>
        </w:rPr>
        <w:t>seven</w:t>
      </w:r>
      <w:r w:rsidR="0021347A">
        <w:rPr>
          <w:rFonts w:ascii="Times New Roman" w:hAnsi="Times New Roman"/>
        </w:rPr>
        <w:t xml:space="preserve"> years’ imprisonment)</w:t>
      </w:r>
      <w:r w:rsidR="0004382E">
        <w:rPr>
          <w:rFonts w:ascii="Times New Roman" w:hAnsi="Times New Roman"/>
        </w:rPr>
        <w:t>;</w:t>
      </w:r>
    </w:p>
    <w:p w:rsidR="0004382E" w:rsidRDefault="00FD75E9" w:rsidP="0004382E">
      <w:pPr>
        <w:pStyle w:val="ListParagraph"/>
        <w:numPr>
          <w:ilvl w:val="0"/>
          <w:numId w:val="9"/>
        </w:numPr>
        <w:spacing w:line="480" w:lineRule="auto"/>
        <w:jc w:val="both"/>
        <w:rPr>
          <w:rFonts w:ascii="Times New Roman" w:hAnsi="Times New Roman"/>
        </w:rPr>
      </w:pPr>
      <w:r>
        <w:rPr>
          <w:rFonts w:ascii="Times New Roman" w:hAnsi="Times New Roman"/>
        </w:rPr>
        <w:t>“</w:t>
      </w:r>
      <w:r w:rsidR="0004382E">
        <w:rPr>
          <w:rFonts w:ascii="Times New Roman" w:hAnsi="Times New Roman"/>
        </w:rPr>
        <w:t>intentionally or recklessly causing injury</w:t>
      </w:r>
      <w:r>
        <w:rPr>
          <w:rFonts w:ascii="Times New Roman" w:hAnsi="Times New Roman"/>
        </w:rPr>
        <w:t>”</w:t>
      </w:r>
      <w:r w:rsidR="0004382E">
        <w:rPr>
          <w:rFonts w:ascii="Times New Roman" w:hAnsi="Times New Roman"/>
        </w:rPr>
        <w:t xml:space="preserve"> – </w:t>
      </w:r>
      <w:r w:rsidR="00205AFE">
        <w:rPr>
          <w:rFonts w:ascii="Times New Roman" w:hAnsi="Times New Roman"/>
        </w:rPr>
        <w:t xml:space="preserve">a replacement for s.47 and </w:t>
      </w:r>
      <w:r w:rsidR="0004382E">
        <w:rPr>
          <w:rFonts w:ascii="Times New Roman" w:hAnsi="Times New Roman"/>
        </w:rPr>
        <w:t>triable either way</w:t>
      </w:r>
      <w:r w:rsidR="009C27E2">
        <w:rPr>
          <w:rFonts w:ascii="Times New Roman" w:hAnsi="Times New Roman"/>
        </w:rPr>
        <w:t xml:space="preserve"> (maximum sentence: </w:t>
      </w:r>
      <w:r w:rsidR="00C14CC5">
        <w:rPr>
          <w:rFonts w:ascii="Times New Roman" w:hAnsi="Times New Roman"/>
        </w:rPr>
        <w:t>five</w:t>
      </w:r>
      <w:r w:rsidR="0021347A">
        <w:rPr>
          <w:rFonts w:ascii="Times New Roman" w:hAnsi="Times New Roman"/>
        </w:rPr>
        <w:t xml:space="preserve"> year’s imprisonment)</w:t>
      </w:r>
      <w:r w:rsidR="0004382E">
        <w:rPr>
          <w:rFonts w:ascii="Times New Roman" w:hAnsi="Times New Roman"/>
        </w:rPr>
        <w:t>;</w:t>
      </w:r>
    </w:p>
    <w:p w:rsidR="0004382E" w:rsidRDefault="00FD75E9" w:rsidP="0004382E">
      <w:pPr>
        <w:pStyle w:val="ListParagraph"/>
        <w:numPr>
          <w:ilvl w:val="0"/>
          <w:numId w:val="9"/>
        </w:numPr>
        <w:spacing w:line="480" w:lineRule="auto"/>
        <w:jc w:val="both"/>
        <w:rPr>
          <w:rFonts w:ascii="Times New Roman" w:hAnsi="Times New Roman"/>
        </w:rPr>
      </w:pPr>
      <w:r>
        <w:rPr>
          <w:rFonts w:ascii="Times New Roman" w:hAnsi="Times New Roman"/>
        </w:rPr>
        <w:t xml:space="preserve">“aggravated assault” – </w:t>
      </w:r>
      <w:r w:rsidR="00205AFE">
        <w:rPr>
          <w:rFonts w:ascii="Times New Roman" w:hAnsi="Times New Roman"/>
        </w:rPr>
        <w:t xml:space="preserve">a new offence and </w:t>
      </w:r>
      <w:r>
        <w:rPr>
          <w:rFonts w:ascii="Times New Roman" w:hAnsi="Times New Roman"/>
        </w:rPr>
        <w:t>triable sum</w:t>
      </w:r>
      <w:r w:rsidR="009C27E2">
        <w:rPr>
          <w:rFonts w:ascii="Times New Roman" w:hAnsi="Times New Roman"/>
        </w:rPr>
        <w:t xml:space="preserve">marily only (maximum sentence: </w:t>
      </w:r>
      <w:r w:rsidR="00C14CC5">
        <w:rPr>
          <w:rFonts w:ascii="Times New Roman" w:hAnsi="Times New Roman"/>
        </w:rPr>
        <w:t>twelve</w:t>
      </w:r>
      <w:r>
        <w:rPr>
          <w:rFonts w:ascii="Times New Roman" w:hAnsi="Times New Roman"/>
        </w:rPr>
        <w:t xml:space="preserve"> months’ imprisonment); </w:t>
      </w:r>
    </w:p>
    <w:p w:rsidR="00FD75E9" w:rsidRDefault="00FD75E9" w:rsidP="0004382E">
      <w:pPr>
        <w:pStyle w:val="ListParagraph"/>
        <w:numPr>
          <w:ilvl w:val="0"/>
          <w:numId w:val="9"/>
        </w:numPr>
        <w:spacing w:line="480" w:lineRule="auto"/>
        <w:jc w:val="both"/>
        <w:rPr>
          <w:rFonts w:ascii="Times New Roman" w:hAnsi="Times New Roman"/>
        </w:rPr>
      </w:pPr>
      <w:r>
        <w:rPr>
          <w:rFonts w:ascii="Times New Roman" w:hAnsi="Times New Roman"/>
        </w:rPr>
        <w:t xml:space="preserve">“physical assault” – </w:t>
      </w:r>
      <w:r w:rsidR="00205AFE">
        <w:rPr>
          <w:rFonts w:ascii="Times New Roman" w:hAnsi="Times New Roman"/>
        </w:rPr>
        <w:t xml:space="preserve">a replacement for battery and </w:t>
      </w:r>
      <w:r>
        <w:rPr>
          <w:rFonts w:ascii="Times New Roman" w:hAnsi="Times New Roman"/>
        </w:rPr>
        <w:t>triable sum</w:t>
      </w:r>
      <w:r w:rsidR="009C27E2">
        <w:rPr>
          <w:rFonts w:ascii="Times New Roman" w:hAnsi="Times New Roman"/>
        </w:rPr>
        <w:t xml:space="preserve">marily only (maximum sentence: </w:t>
      </w:r>
      <w:r w:rsidR="00C14CC5">
        <w:rPr>
          <w:rFonts w:ascii="Times New Roman" w:hAnsi="Times New Roman"/>
        </w:rPr>
        <w:t>six</w:t>
      </w:r>
      <w:r>
        <w:rPr>
          <w:rFonts w:ascii="Times New Roman" w:hAnsi="Times New Roman"/>
        </w:rPr>
        <w:t xml:space="preserve"> months’ imprisonment); and </w:t>
      </w:r>
    </w:p>
    <w:p w:rsidR="00D176DD" w:rsidRDefault="00FD75E9" w:rsidP="00334BF3">
      <w:pPr>
        <w:pStyle w:val="ListParagraph"/>
        <w:numPr>
          <w:ilvl w:val="0"/>
          <w:numId w:val="9"/>
        </w:numPr>
        <w:spacing w:line="480" w:lineRule="auto"/>
        <w:jc w:val="both"/>
        <w:rPr>
          <w:rFonts w:ascii="Times New Roman" w:hAnsi="Times New Roman"/>
        </w:rPr>
      </w:pPr>
      <w:r>
        <w:rPr>
          <w:rFonts w:ascii="Times New Roman" w:hAnsi="Times New Roman"/>
        </w:rPr>
        <w:t>“</w:t>
      </w:r>
      <w:proofErr w:type="gramStart"/>
      <w:r>
        <w:rPr>
          <w:rFonts w:ascii="Times New Roman" w:hAnsi="Times New Roman"/>
        </w:rPr>
        <w:t>threatened</w:t>
      </w:r>
      <w:proofErr w:type="gramEnd"/>
      <w:r>
        <w:rPr>
          <w:rFonts w:ascii="Times New Roman" w:hAnsi="Times New Roman"/>
        </w:rPr>
        <w:t xml:space="preserve"> assault” – </w:t>
      </w:r>
      <w:r w:rsidR="00205AFE">
        <w:rPr>
          <w:rFonts w:ascii="Times New Roman" w:hAnsi="Times New Roman"/>
        </w:rPr>
        <w:t xml:space="preserve">a replacement for assault and </w:t>
      </w:r>
      <w:r>
        <w:rPr>
          <w:rFonts w:ascii="Times New Roman" w:hAnsi="Times New Roman"/>
        </w:rPr>
        <w:t>triable sum</w:t>
      </w:r>
      <w:r w:rsidR="009C27E2">
        <w:rPr>
          <w:rFonts w:ascii="Times New Roman" w:hAnsi="Times New Roman"/>
        </w:rPr>
        <w:t xml:space="preserve">marily only (maximum sentence: </w:t>
      </w:r>
      <w:r w:rsidR="00C14CC5">
        <w:rPr>
          <w:rFonts w:ascii="Times New Roman" w:hAnsi="Times New Roman"/>
        </w:rPr>
        <w:t>six</w:t>
      </w:r>
      <w:r>
        <w:rPr>
          <w:rFonts w:ascii="Times New Roman" w:hAnsi="Times New Roman"/>
        </w:rPr>
        <w:t xml:space="preserve"> months’ imprisonment). </w:t>
      </w:r>
      <w:r w:rsidR="00672E24">
        <w:rPr>
          <w:rStyle w:val="FootnoteReference"/>
          <w:rFonts w:ascii="Times New Roman" w:hAnsi="Times New Roman"/>
        </w:rPr>
        <w:footnoteReference w:id="92"/>
      </w:r>
    </w:p>
    <w:p w:rsidR="00FD75E9" w:rsidRDefault="00FD75E9" w:rsidP="00FD75E9">
      <w:pPr>
        <w:spacing w:line="480" w:lineRule="auto"/>
        <w:jc w:val="both"/>
        <w:rPr>
          <w:rFonts w:ascii="Times New Roman" w:hAnsi="Times New Roman"/>
        </w:rPr>
      </w:pPr>
    </w:p>
    <w:p w:rsidR="00FD75E9" w:rsidRDefault="00FD75E9" w:rsidP="00FD75E9">
      <w:pPr>
        <w:spacing w:line="480" w:lineRule="auto"/>
        <w:jc w:val="both"/>
        <w:rPr>
          <w:rFonts w:ascii="Times New Roman" w:hAnsi="Times New Roman"/>
        </w:rPr>
      </w:pPr>
      <w:r>
        <w:rPr>
          <w:rFonts w:ascii="Times New Roman" w:hAnsi="Times New Roman"/>
        </w:rPr>
        <w:t xml:space="preserve">In this section, the article </w:t>
      </w:r>
      <w:r w:rsidR="00C52DB7">
        <w:rPr>
          <w:rFonts w:ascii="Times New Roman" w:hAnsi="Times New Roman"/>
        </w:rPr>
        <w:t>examines the coherence of</w:t>
      </w:r>
      <w:r>
        <w:rPr>
          <w:rFonts w:ascii="Times New Roman" w:hAnsi="Times New Roman"/>
        </w:rPr>
        <w:t xml:space="preserve"> these offences </w:t>
      </w:r>
      <w:r w:rsidR="00C52DB7">
        <w:rPr>
          <w:rFonts w:ascii="Times New Roman" w:hAnsi="Times New Roman"/>
        </w:rPr>
        <w:t>as compared with</w:t>
      </w:r>
      <w:r w:rsidR="00280981">
        <w:rPr>
          <w:rFonts w:ascii="Times New Roman" w:hAnsi="Times New Roman"/>
        </w:rPr>
        <w:t xml:space="preserve"> their current counterparts</w:t>
      </w:r>
      <w:r w:rsidR="003B3153">
        <w:rPr>
          <w:rFonts w:ascii="Times New Roman" w:hAnsi="Times New Roman"/>
        </w:rPr>
        <w:t xml:space="preserve">. </w:t>
      </w:r>
      <w:r w:rsidR="00396873">
        <w:rPr>
          <w:rFonts w:ascii="Times New Roman" w:hAnsi="Times New Roman"/>
        </w:rPr>
        <w:t xml:space="preserve">In doing so, it </w:t>
      </w:r>
      <w:r w:rsidR="00B40D29">
        <w:rPr>
          <w:rFonts w:ascii="Times New Roman" w:hAnsi="Times New Roman"/>
        </w:rPr>
        <w:t>considers issues of conduct, fault and punishment th</w:t>
      </w:r>
      <w:r w:rsidR="00F843E0">
        <w:rPr>
          <w:rFonts w:ascii="Times New Roman" w:hAnsi="Times New Roman"/>
        </w:rPr>
        <w:t xml:space="preserve">rough </w:t>
      </w:r>
      <w:r w:rsidR="00F26C06">
        <w:rPr>
          <w:rFonts w:ascii="Times New Roman" w:hAnsi="Times New Roman"/>
        </w:rPr>
        <w:t xml:space="preserve">three </w:t>
      </w:r>
      <w:r w:rsidR="00F26C06" w:rsidRPr="00396873">
        <w:rPr>
          <w:rFonts w:ascii="Times New Roman" w:hAnsi="Times New Roman"/>
          <w:i/>
        </w:rPr>
        <w:t>broader</w:t>
      </w:r>
      <w:r w:rsidR="00F26C06">
        <w:rPr>
          <w:rFonts w:ascii="Times New Roman" w:hAnsi="Times New Roman"/>
        </w:rPr>
        <w:t xml:space="preserve"> </w:t>
      </w:r>
      <w:r w:rsidR="000612E1">
        <w:rPr>
          <w:rFonts w:ascii="Times New Roman" w:hAnsi="Times New Roman"/>
        </w:rPr>
        <w:t>reform controversies</w:t>
      </w:r>
      <w:r w:rsidR="00D54770">
        <w:rPr>
          <w:rFonts w:ascii="Times New Roman" w:hAnsi="Times New Roman"/>
        </w:rPr>
        <w:t>: offence definition;</w:t>
      </w:r>
      <w:r w:rsidR="003B3153">
        <w:rPr>
          <w:rFonts w:ascii="Times New Roman" w:hAnsi="Times New Roman"/>
        </w:rPr>
        <w:t xml:space="preserve"> disease transmission; and the role of consent</w:t>
      </w:r>
      <w:r w:rsidR="007E3A63">
        <w:rPr>
          <w:rFonts w:ascii="Times New Roman" w:hAnsi="Times New Roman"/>
        </w:rPr>
        <w:t>.</w:t>
      </w:r>
      <w:r w:rsidR="00CD0996">
        <w:rPr>
          <w:rFonts w:ascii="Times New Roman" w:hAnsi="Times New Roman"/>
        </w:rPr>
        <w:t xml:space="preserve"> </w:t>
      </w:r>
      <w:r w:rsidR="00E007FE">
        <w:rPr>
          <w:rFonts w:ascii="Times New Roman" w:hAnsi="Times New Roman"/>
        </w:rPr>
        <w:t xml:space="preserve">This approach provides an </w:t>
      </w:r>
      <w:r w:rsidR="00396873">
        <w:rPr>
          <w:rFonts w:ascii="Times New Roman" w:hAnsi="Times New Roman"/>
        </w:rPr>
        <w:t xml:space="preserve">opportunity to assess the </w:t>
      </w:r>
      <w:r w:rsidR="00C84527">
        <w:rPr>
          <w:rFonts w:ascii="Times New Roman" w:hAnsi="Times New Roman"/>
        </w:rPr>
        <w:t>potential</w:t>
      </w:r>
      <w:r w:rsidR="00396873">
        <w:rPr>
          <w:rFonts w:ascii="Times New Roman" w:hAnsi="Times New Roman"/>
        </w:rPr>
        <w:t xml:space="preserve"> success of the proposed c</w:t>
      </w:r>
      <w:r w:rsidR="001F55A4">
        <w:rPr>
          <w:rFonts w:ascii="Times New Roman" w:hAnsi="Times New Roman"/>
        </w:rPr>
        <w:t xml:space="preserve">rimes from a wider perspective. </w:t>
      </w:r>
      <w:r w:rsidR="00F843E0">
        <w:rPr>
          <w:rFonts w:ascii="Times New Roman" w:hAnsi="Times New Roman"/>
        </w:rPr>
        <w:t>S</w:t>
      </w:r>
      <w:r w:rsidR="00394B38">
        <w:rPr>
          <w:rFonts w:ascii="Times New Roman" w:hAnsi="Times New Roman"/>
        </w:rPr>
        <w:t>pecial emphasis</w:t>
      </w:r>
      <w:r w:rsidR="00E25C72">
        <w:rPr>
          <w:rFonts w:ascii="Times New Roman" w:hAnsi="Times New Roman"/>
        </w:rPr>
        <w:t xml:space="preserve"> is placed on the first </w:t>
      </w:r>
      <w:r w:rsidR="00F843E0">
        <w:rPr>
          <w:rFonts w:ascii="Times New Roman" w:hAnsi="Times New Roman"/>
        </w:rPr>
        <w:t xml:space="preserve">controversy, </w:t>
      </w:r>
      <w:r w:rsidR="00E25C72">
        <w:rPr>
          <w:rFonts w:ascii="Times New Roman" w:hAnsi="Times New Roman"/>
        </w:rPr>
        <w:t>not least because</w:t>
      </w:r>
      <w:r w:rsidR="00F843E0">
        <w:rPr>
          <w:rFonts w:ascii="Times New Roman" w:hAnsi="Times New Roman"/>
        </w:rPr>
        <w:t xml:space="preserve"> </w:t>
      </w:r>
      <w:r w:rsidR="00524B11">
        <w:rPr>
          <w:rFonts w:ascii="Times New Roman" w:hAnsi="Times New Roman"/>
        </w:rPr>
        <w:t>it</w:t>
      </w:r>
      <w:r w:rsidR="008051AC">
        <w:rPr>
          <w:rFonts w:ascii="Times New Roman" w:hAnsi="Times New Roman"/>
        </w:rPr>
        <w:t xml:space="preserve"> permits evaluation of </w:t>
      </w:r>
      <w:r w:rsidR="00524B11">
        <w:rPr>
          <w:rFonts w:ascii="Times New Roman" w:hAnsi="Times New Roman"/>
        </w:rPr>
        <w:t>conduct, faul</w:t>
      </w:r>
      <w:r w:rsidR="00F843E0">
        <w:rPr>
          <w:rFonts w:ascii="Times New Roman" w:hAnsi="Times New Roman"/>
        </w:rPr>
        <w:t>t and punishment</w:t>
      </w:r>
      <w:r w:rsidR="00524B11">
        <w:rPr>
          <w:rFonts w:ascii="Times New Roman" w:hAnsi="Times New Roman"/>
        </w:rPr>
        <w:t xml:space="preserve"> across </w:t>
      </w:r>
      <w:r w:rsidR="00524B11">
        <w:rPr>
          <w:rFonts w:ascii="Times New Roman" w:hAnsi="Times New Roman"/>
        </w:rPr>
        <w:lastRenderedPageBreak/>
        <w:t xml:space="preserve">all </w:t>
      </w:r>
      <w:r w:rsidR="008051AC">
        <w:rPr>
          <w:rFonts w:ascii="Times New Roman" w:hAnsi="Times New Roman"/>
        </w:rPr>
        <w:t>the new crimes</w:t>
      </w:r>
      <w:r w:rsidR="00F843E0">
        <w:rPr>
          <w:rFonts w:ascii="Times New Roman" w:hAnsi="Times New Roman"/>
        </w:rPr>
        <w:t xml:space="preserve">. </w:t>
      </w:r>
      <w:r w:rsidR="002107C9">
        <w:rPr>
          <w:rFonts w:ascii="Times New Roman" w:hAnsi="Times New Roman"/>
        </w:rPr>
        <w:t xml:space="preserve">In </w:t>
      </w:r>
      <w:r w:rsidR="001F55A4">
        <w:rPr>
          <w:rFonts w:ascii="Times New Roman" w:hAnsi="Times New Roman"/>
        </w:rPr>
        <w:t xml:space="preserve">contrast, </w:t>
      </w:r>
      <w:r w:rsidR="00300A1F">
        <w:rPr>
          <w:rFonts w:ascii="Times New Roman" w:hAnsi="Times New Roman"/>
        </w:rPr>
        <w:t>t</w:t>
      </w:r>
      <w:r w:rsidR="00A71D58">
        <w:rPr>
          <w:rFonts w:ascii="Times New Roman" w:hAnsi="Times New Roman"/>
        </w:rPr>
        <w:t xml:space="preserve">he </w:t>
      </w:r>
      <w:r w:rsidR="00300A1F">
        <w:rPr>
          <w:rFonts w:ascii="Times New Roman" w:hAnsi="Times New Roman"/>
        </w:rPr>
        <w:t>last</w:t>
      </w:r>
      <w:r w:rsidR="00A71D58">
        <w:rPr>
          <w:rFonts w:ascii="Times New Roman" w:hAnsi="Times New Roman"/>
        </w:rPr>
        <w:t xml:space="preserve"> two controversies </w:t>
      </w:r>
      <w:r w:rsidR="001F55A4">
        <w:rPr>
          <w:rFonts w:ascii="Times New Roman" w:hAnsi="Times New Roman"/>
        </w:rPr>
        <w:t>concern</w:t>
      </w:r>
      <w:r w:rsidR="00A71D58">
        <w:rPr>
          <w:rFonts w:ascii="Times New Roman" w:hAnsi="Times New Roman"/>
        </w:rPr>
        <w:t xml:space="preserve"> </w:t>
      </w:r>
      <w:r w:rsidR="00A71D58" w:rsidRPr="001F55A4">
        <w:rPr>
          <w:rFonts w:ascii="Times New Roman" w:hAnsi="Times New Roman"/>
        </w:rPr>
        <w:t>discrete</w:t>
      </w:r>
      <w:r w:rsidR="00A71D58">
        <w:rPr>
          <w:rFonts w:ascii="Times New Roman" w:hAnsi="Times New Roman"/>
        </w:rPr>
        <w:t xml:space="preserve"> topics </w:t>
      </w:r>
      <w:r w:rsidR="008051AC">
        <w:rPr>
          <w:rFonts w:ascii="Times New Roman" w:hAnsi="Times New Roman"/>
        </w:rPr>
        <w:t xml:space="preserve">relating to specific </w:t>
      </w:r>
      <w:r w:rsidR="008139F4">
        <w:rPr>
          <w:rFonts w:ascii="Times New Roman" w:hAnsi="Times New Roman"/>
        </w:rPr>
        <w:t xml:space="preserve">offences. </w:t>
      </w:r>
      <w:r w:rsidR="00FB7A4C">
        <w:rPr>
          <w:rFonts w:ascii="Times New Roman" w:hAnsi="Times New Roman"/>
        </w:rPr>
        <w:t>Both these controversies invoke matters of conduct and/or fault</w:t>
      </w:r>
      <w:r w:rsidR="00FB7A4C" w:rsidRPr="00FB7A4C">
        <w:rPr>
          <w:rFonts w:ascii="Times New Roman" w:hAnsi="Times New Roman"/>
        </w:rPr>
        <w:t xml:space="preserve"> </w:t>
      </w:r>
      <w:r w:rsidR="00FB7A4C">
        <w:rPr>
          <w:rFonts w:ascii="Times New Roman" w:hAnsi="Times New Roman"/>
        </w:rPr>
        <w:t xml:space="preserve">only. </w:t>
      </w:r>
    </w:p>
    <w:p w:rsidR="00751354" w:rsidRDefault="00751354" w:rsidP="00FD75E9">
      <w:pPr>
        <w:spacing w:line="480" w:lineRule="auto"/>
        <w:jc w:val="both"/>
        <w:rPr>
          <w:rFonts w:ascii="Times New Roman" w:hAnsi="Times New Roman"/>
        </w:rPr>
      </w:pPr>
    </w:p>
    <w:p w:rsidR="003B3153" w:rsidRDefault="00C91A7F" w:rsidP="00A8369F">
      <w:pPr>
        <w:spacing w:line="480" w:lineRule="auto"/>
        <w:jc w:val="both"/>
        <w:rPr>
          <w:rFonts w:ascii="Times New Roman" w:hAnsi="Times New Roman"/>
        </w:rPr>
      </w:pPr>
      <w:r>
        <w:rPr>
          <w:rFonts w:ascii="Times New Roman" w:hAnsi="Times New Roman"/>
          <w:i/>
        </w:rPr>
        <w:t>Defining</w:t>
      </w:r>
      <w:r w:rsidR="003B3153">
        <w:rPr>
          <w:rFonts w:ascii="Times New Roman" w:hAnsi="Times New Roman"/>
          <w:i/>
        </w:rPr>
        <w:t xml:space="preserve"> offences against the person</w:t>
      </w:r>
    </w:p>
    <w:p w:rsidR="00B251AB" w:rsidRDefault="009A3853" w:rsidP="00A8369F">
      <w:pPr>
        <w:spacing w:line="480" w:lineRule="auto"/>
        <w:jc w:val="both"/>
        <w:rPr>
          <w:rFonts w:ascii="Times New Roman" w:hAnsi="Times New Roman"/>
        </w:rPr>
      </w:pPr>
      <w:r>
        <w:rPr>
          <w:rFonts w:ascii="Times New Roman" w:hAnsi="Times New Roman"/>
        </w:rPr>
        <w:t>Section</w:t>
      </w:r>
      <w:r w:rsidR="00FB7A4C">
        <w:rPr>
          <w:rFonts w:ascii="Times New Roman" w:hAnsi="Times New Roman"/>
        </w:rPr>
        <w:t xml:space="preserve"> two </w:t>
      </w:r>
      <w:r>
        <w:rPr>
          <w:rFonts w:ascii="Times New Roman" w:hAnsi="Times New Roman"/>
        </w:rPr>
        <w:t>argued</w:t>
      </w:r>
      <w:r w:rsidR="00FB7A4C">
        <w:rPr>
          <w:rFonts w:ascii="Times New Roman" w:hAnsi="Times New Roman"/>
        </w:rPr>
        <w:t xml:space="preserve"> that the</w:t>
      </w:r>
      <w:r w:rsidR="004D112F">
        <w:rPr>
          <w:rFonts w:ascii="Times New Roman" w:hAnsi="Times New Roman"/>
        </w:rPr>
        <w:t xml:space="preserve"> </w:t>
      </w:r>
      <w:r w:rsidR="00D965A1">
        <w:rPr>
          <w:rFonts w:ascii="Times New Roman" w:hAnsi="Times New Roman"/>
        </w:rPr>
        <w:t>incoherence of</w:t>
      </w:r>
      <w:r w:rsidR="006D44B5">
        <w:rPr>
          <w:rFonts w:ascii="Times New Roman" w:hAnsi="Times New Roman"/>
        </w:rPr>
        <w:t xml:space="preserve"> </w:t>
      </w:r>
      <w:r w:rsidR="00FB7A4C">
        <w:rPr>
          <w:rFonts w:ascii="Times New Roman" w:hAnsi="Times New Roman"/>
        </w:rPr>
        <w:t xml:space="preserve">the </w:t>
      </w:r>
      <w:r w:rsidR="0074549E">
        <w:rPr>
          <w:rFonts w:ascii="Times New Roman" w:hAnsi="Times New Roman"/>
        </w:rPr>
        <w:t xml:space="preserve">existing </w:t>
      </w:r>
      <w:r w:rsidR="002A6998">
        <w:rPr>
          <w:rFonts w:ascii="Times New Roman" w:hAnsi="Times New Roman"/>
        </w:rPr>
        <w:t xml:space="preserve">core </w:t>
      </w:r>
      <w:r w:rsidR="00FB7A4C">
        <w:rPr>
          <w:rFonts w:ascii="Times New Roman" w:hAnsi="Times New Roman"/>
        </w:rPr>
        <w:t xml:space="preserve">crimes </w:t>
      </w:r>
      <w:r w:rsidR="006D44B5">
        <w:rPr>
          <w:rFonts w:ascii="Times New Roman" w:hAnsi="Times New Roman"/>
        </w:rPr>
        <w:t>stem</w:t>
      </w:r>
      <w:r w:rsidR="00D965A1">
        <w:rPr>
          <w:rFonts w:ascii="Times New Roman" w:hAnsi="Times New Roman"/>
        </w:rPr>
        <w:t>s</w:t>
      </w:r>
      <w:r w:rsidR="006D44B5">
        <w:rPr>
          <w:rFonts w:ascii="Times New Roman" w:hAnsi="Times New Roman"/>
        </w:rPr>
        <w:t xml:space="preserve"> from deficiencies in offence drafting</w:t>
      </w:r>
      <w:r w:rsidR="002E6652">
        <w:rPr>
          <w:rFonts w:ascii="Times New Roman" w:hAnsi="Times New Roman"/>
        </w:rPr>
        <w:t xml:space="preserve">. </w:t>
      </w:r>
      <w:r w:rsidR="000A1F50">
        <w:rPr>
          <w:rFonts w:ascii="Times New Roman" w:hAnsi="Times New Roman"/>
        </w:rPr>
        <w:t>Consequently, it is</w:t>
      </w:r>
      <w:r w:rsidR="00BA3784">
        <w:rPr>
          <w:rFonts w:ascii="Times New Roman" w:hAnsi="Times New Roman"/>
        </w:rPr>
        <w:t xml:space="preserve"> vital that the </w:t>
      </w:r>
      <w:r w:rsidR="00F42C2A">
        <w:rPr>
          <w:rFonts w:ascii="Times New Roman" w:hAnsi="Times New Roman"/>
        </w:rPr>
        <w:t>scoping report</w:t>
      </w:r>
      <w:r w:rsidR="006D44B5">
        <w:rPr>
          <w:rFonts w:ascii="Times New Roman" w:hAnsi="Times New Roman"/>
        </w:rPr>
        <w:t xml:space="preserve"> </w:t>
      </w:r>
      <w:r w:rsidR="00B4467D">
        <w:rPr>
          <w:rFonts w:ascii="Times New Roman" w:hAnsi="Times New Roman"/>
        </w:rPr>
        <w:t>address</w:t>
      </w:r>
      <w:r w:rsidR="00F42C2A">
        <w:rPr>
          <w:rFonts w:ascii="Times New Roman" w:hAnsi="Times New Roman"/>
        </w:rPr>
        <w:t>es</w:t>
      </w:r>
      <w:r w:rsidR="003E5F8F">
        <w:rPr>
          <w:rFonts w:ascii="Times New Roman" w:hAnsi="Times New Roman"/>
        </w:rPr>
        <w:t xml:space="preserve"> </w:t>
      </w:r>
      <w:r w:rsidR="00F42C2A">
        <w:rPr>
          <w:rFonts w:ascii="Times New Roman" w:hAnsi="Times New Roman"/>
        </w:rPr>
        <w:t>these</w:t>
      </w:r>
      <w:r w:rsidR="003E5F8F">
        <w:rPr>
          <w:rFonts w:ascii="Times New Roman" w:hAnsi="Times New Roman"/>
        </w:rPr>
        <w:t xml:space="preserve"> </w:t>
      </w:r>
      <w:r w:rsidR="006D44B5">
        <w:rPr>
          <w:rFonts w:ascii="Times New Roman" w:hAnsi="Times New Roman"/>
        </w:rPr>
        <w:t>challeng</w:t>
      </w:r>
      <w:r w:rsidR="00F42C2A">
        <w:rPr>
          <w:rFonts w:ascii="Times New Roman" w:hAnsi="Times New Roman"/>
        </w:rPr>
        <w:t>es</w:t>
      </w:r>
      <w:r w:rsidR="003E5F8F">
        <w:rPr>
          <w:rFonts w:ascii="Times New Roman" w:hAnsi="Times New Roman"/>
        </w:rPr>
        <w:t xml:space="preserve">. </w:t>
      </w:r>
      <w:r w:rsidR="00673CD2">
        <w:rPr>
          <w:rFonts w:ascii="Times New Roman" w:hAnsi="Times New Roman"/>
        </w:rPr>
        <w:t>Of course</w:t>
      </w:r>
      <w:r w:rsidR="00FD38C5">
        <w:rPr>
          <w:rFonts w:ascii="Times New Roman" w:hAnsi="Times New Roman"/>
        </w:rPr>
        <w:t xml:space="preserve">, </w:t>
      </w:r>
      <w:r w:rsidR="00A974BD">
        <w:rPr>
          <w:rFonts w:ascii="Times New Roman" w:hAnsi="Times New Roman"/>
        </w:rPr>
        <w:t>debates</w:t>
      </w:r>
      <w:r w:rsidR="00FD38C5">
        <w:rPr>
          <w:rFonts w:ascii="Times New Roman" w:hAnsi="Times New Roman"/>
        </w:rPr>
        <w:t xml:space="preserve"> about </w:t>
      </w:r>
      <w:r w:rsidR="006D44B5">
        <w:rPr>
          <w:rFonts w:ascii="Times New Roman" w:hAnsi="Times New Roman"/>
        </w:rPr>
        <w:t xml:space="preserve">definition </w:t>
      </w:r>
      <w:r w:rsidR="00673CD2">
        <w:rPr>
          <w:rFonts w:ascii="Times New Roman" w:hAnsi="Times New Roman"/>
        </w:rPr>
        <w:t>assume</w:t>
      </w:r>
      <w:r w:rsidR="00DE6116">
        <w:rPr>
          <w:rFonts w:ascii="Times New Roman" w:hAnsi="Times New Roman"/>
        </w:rPr>
        <w:t xml:space="preserve"> </w:t>
      </w:r>
      <w:r w:rsidR="00673CD2">
        <w:rPr>
          <w:rFonts w:ascii="Times New Roman" w:hAnsi="Times New Roman"/>
        </w:rPr>
        <w:t xml:space="preserve">that </w:t>
      </w:r>
      <w:r w:rsidR="00B251AB">
        <w:rPr>
          <w:rFonts w:ascii="Times New Roman" w:hAnsi="Times New Roman"/>
        </w:rPr>
        <w:t xml:space="preserve">offences against the person </w:t>
      </w:r>
      <w:r w:rsidR="00673CD2">
        <w:rPr>
          <w:rFonts w:ascii="Times New Roman" w:hAnsi="Times New Roman"/>
        </w:rPr>
        <w:t xml:space="preserve">should be criminalised </w:t>
      </w:r>
      <w:r w:rsidR="008864F8">
        <w:rPr>
          <w:rFonts w:ascii="Times New Roman" w:hAnsi="Times New Roman"/>
        </w:rPr>
        <w:t>in the first place</w:t>
      </w:r>
      <w:r w:rsidR="00FE69CE">
        <w:rPr>
          <w:rFonts w:ascii="Times New Roman" w:hAnsi="Times New Roman"/>
        </w:rPr>
        <w:t>.</w:t>
      </w:r>
      <w:r w:rsidR="00D570F1">
        <w:rPr>
          <w:rFonts w:ascii="Times New Roman" w:hAnsi="Times New Roman"/>
        </w:rPr>
        <w:t xml:space="preserve"> Whilst legitimate, </w:t>
      </w:r>
      <w:r w:rsidR="00021E8E">
        <w:rPr>
          <w:rFonts w:ascii="Times New Roman" w:hAnsi="Times New Roman"/>
        </w:rPr>
        <w:t>that</w:t>
      </w:r>
      <w:r w:rsidR="002A6998">
        <w:rPr>
          <w:rFonts w:ascii="Times New Roman" w:hAnsi="Times New Roman"/>
        </w:rPr>
        <w:t xml:space="preserve"> assumption </w:t>
      </w:r>
      <w:r w:rsidR="004E7499">
        <w:rPr>
          <w:rFonts w:ascii="Times New Roman" w:hAnsi="Times New Roman"/>
        </w:rPr>
        <w:t>warrants</w:t>
      </w:r>
      <w:r w:rsidR="009418D1">
        <w:rPr>
          <w:rFonts w:ascii="Times New Roman" w:hAnsi="Times New Roman"/>
        </w:rPr>
        <w:t xml:space="preserve"> explanation</w:t>
      </w:r>
      <w:r w:rsidR="006F7A3B">
        <w:rPr>
          <w:rFonts w:ascii="Times New Roman" w:hAnsi="Times New Roman"/>
        </w:rPr>
        <w:t xml:space="preserve">. </w:t>
      </w:r>
      <w:r w:rsidR="009535E2">
        <w:rPr>
          <w:rFonts w:ascii="Times New Roman" w:hAnsi="Times New Roman"/>
        </w:rPr>
        <w:t xml:space="preserve">This is because </w:t>
      </w:r>
      <w:r w:rsidR="008266CB">
        <w:rPr>
          <w:rFonts w:ascii="Times New Roman" w:hAnsi="Times New Roman"/>
        </w:rPr>
        <w:t xml:space="preserve">the processes of </w:t>
      </w:r>
      <w:r w:rsidR="009535E2">
        <w:rPr>
          <w:rFonts w:ascii="Times New Roman" w:hAnsi="Times New Roman"/>
        </w:rPr>
        <w:t>c</w:t>
      </w:r>
      <w:r w:rsidR="007A2AC2">
        <w:rPr>
          <w:rFonts w:ascii="Times New Roman" w:hAnsi="Times New Roman"/>
        </w:rPr>
        <w:t>riminalisation and offence de</w:t>
      </w:r>
      <w:r w:rsidR="009535E2">
        <w:rPr>
          <w:rFonts w:ascii="Times New Roman" w:hAnsi="Times New Roman"/>
        </w:rPr>
        <w:t xml:space="preserve">finition are linked: the latter </w:t>
      </w:r>
      <w:r w:rsidR="004A63A7">
        <w:rPr>
          <w:rFonts w:ascii="Times New Roman" w:hAnsi="Times New Roman"/>
        </w:rPr>
        <w:t>hones our</w:t>
      </w:r>
      <w:r w:rsidR="00A513EA">
        <w:rPr>
          <w:rFonts w:ascii="Times New Roman" w:hAnsi="Times New Roman"/>
        </w:rPr>
        <w:t xml:space="preserve"> moral and legal</w:t>
      </w:r>
      <w:r w:rsidR="004A63A7">
        <w:rPr>
          <w:rFonts w:ascii="Times New Roman" w:hAnsi="Times New Roman"/>
        </w:rPr>
        <w:t xml:space="preserve"> </w:t>
      </w:r>
      <w:r w:rsidR="00F86F60">
        <w:rPr>
          <w:rFonts w:ascii="Times New Roman" w:hAnsi="Times New Roman"/>
        </w:rPr>
        <w:t xml:space="preserve">grasp of </w:t>
      </w:r>
      <w:r w:rsidR="00F42C2A">
        <w:rPr>
          <w:rFonts w:ascii="Times New Roman" w:hAnsi="Times New Roman"/>
        </w:rPr>
        <w:t xml:space="preserve">the </w:t>
      </w:r>
      <w:r w:rsidR="00F86F60">
        <w:rPr>
          <w:rFonts w:ascii="Times New Roman" w:hAnsi="Times New Roman"/>
        </w:rPr>
        <w:t xml:space="preserve">conduct </w:t>
      </w:r>
      <w:r w:rsidR="00F42C2A">
        <w:rPr>
          <w:rFonts w:ascii="Times New Roman" w:hAnsi="Times New Roman"/>
        </w:rPr>
        <w:t xml:space="preserve">proscribed </w:t>
      </w:r>
      <w:r w:rsidR="008266CB">
        <w:rPr>
          <w:rFonts w:ascii="Times New Roman" w:hAnsi="Times New Roman"/>
        </w:rPr>
        <w:t>by</w:t>
      </w:r>
      <w:r w:rsidR="004A63A7">
        <w:rPr>
          <w:rFonts w:ascii="Times New Roman" w:hAnsi="Times New Roman"/>
        </w:rPr>
        <w:t xml:space="preserve"> the former.</w:t>
      </w:r>
      <w:r w:rsidR="009535E2">
        <w:rPr>
          <w:rStyle w:val="FootnoteReference"/>
          <w:rFonts w:ascii="Times New Roman" w:hAnsi="Times New Roman"/>
        </w:rPr>
        <w:footnoteReference w:id="93"/>
      </w:r>
      <w:r w:rsidR="009535E2">
        <w:rPr>
          <w:rFonts w:ascii="Times New Roman" w:hAnsi="Times New Roman"/>
        </w:rPr>
        <w:t xml:space="preserve"> </w:t>
      </w:r>
      <w:r w:rsidR="00D965A1">
        <w:rPr>
          <w:rFonts w:ascii="Times New Roman" w:hAnsi="Times New Roman"/>
        </w:rPr>
        <w:t xml:space="preserve">As will be seen, </w:t>
      </w:r>
      <w:r w:rsidR="004E7499">
        <w:rPr>
          <w:rFonts w:ascii="Times New Roman" w:hAnsi="Times New Roman"/>
        </w:rPr>
        <w:t>such an</w:t>
      </w:r>
      <w:r w:rsidR="00863982">
        <w:rPr>
          <w:rFonts w:ascii="Times New Roman" w:hAnsi="Times New Roman"/>
        </w:rPr>
        <w:t xml:space="preserve"> </w:t>
      </w:r>
      <w:r w:rsidR="009418D1">
        <w:rPr>
          <w:rFonts w:ascii="Times New Roman" w:hAnsi="Times New Roman"/>
        </w:rPr>
        <w:t>explanation</w:t>
      </w:r>
      <w:r w:rsidR="00B251AB">
        <w:rPr>
          <w:rFonts w:ascii="Times New Roman" w:hAnsi="Times New Roman"/>
        </w:rPr>
        <w:t xml:space="preserve"> </w:t>
      </w:r>
      <w:r w:rsidR="00BD49F6">
        <w:rPr>
          <w:rFonts w:ascii="Times New Roman" w:hAnsi="Times New Roman"/>
        </w:rPr>
        <w:t>also</w:t>
      </w:r>
      <w:r w:rsidR="005C56A7">
        <w:rPr>
          <w:rFonts w:ascii="Times New Roman" w:hAnsi="Times New Roman"/>
        </w:rPr>
        <w:t xml:space="preserve"> helps clarify</w:t>
      </w:r>
      <w:r w:rsidR="00BD49F6">
        <w:rPr>
          <w:rFonts w:ascii="Times New Roman" w:hAnsi="Times New Roman"/>
        </w:rPr>
        <w:t xml:space="preserve"> </w:t>
      </w:r>
      <w:r w:rsidR="00B251AB">
        <w:rPr>
          <w:rFonts w:ascii="Times New Roman" w:hAnsi="Times New Roman"/>
        </w:rPr>
        <w:t xml:space="preserve">the grounds on which the scoping report </w:t>
      </w:r>
      <w:r w:rsidR="004B2619">
        <w:rPr>
          <w:rFonts w:ascii="Times New Roman" w:hAnsi="Times New Roman"/>
        </w:rPr>
        <w:t>continues the</w:t>
      </w:r>
      <w:r w:rsidR="00863982">
        <w:rPr>
          <w:rFonts w:ascii="Times New Roman" w:hAnsi="Times New Roman"/>
        </w:rPr>
        <w:t xml:space="preserve"> separate criminalisation of “threatened assault” and “physical assault” (</w:t>
      </w:r>
      <w:r w:rsidR="00E4517B">
        <w:rPr>
          <w:rFonts w:ascii="Times New Roman" w:hAnsi="Times New Roman"/>
        </w:rPr>
        <w:t xml:space="preserve">replacing </w:t>
      </w:r>
      <w:r w:rsidR="00863982">
        <w:rPr>
          <w:rFonts w:ascii="Times New Roman" w:hAnsi="Times New Roman"/>
        </w:rPr>
        <w:t xml:space="preserve">assault and battery, respectively). </w:t>
      </w:r>
      <w:r w:rsidR="00014BC8">
        <w:rPr>
          <w:rFonts w:ascii="Times New Roman" w:hAnsi="Times New Roman"/>
        </w:rPr>
        <w:t xml:space="preserve"> </w:t>
      </w:r>
    </w:p>
    <w:p w:rsidR="00C54536" w:rsidRDefault="00C54536" w:rsidP="00A8369F">
      <w:pPr>
        <w:spacing w:line="480" w:lineRule="auto"/>
        <w:jc w:val="both"/>
        <w:rPr>
          <w:rFonts w:ascii="Times New Roman" w:hAnsi="Times New Roman"/>
        </w:rPr>
      </w:pPr>
    </w:p>
    <w:p w:rsidR="00084A9E" w:rsidRDefault="00D024F1" w:rsidP="00A8369F">
      <w:pPr>
        <w:spacing w:line="480" w:lineRule="auto"/>
        <w:jc w:val="both"/>
        <w:rPr>
          <w:rFonts w:ascii="Times New Roman" w:hAnsi="Times New Roman"/>
        </w:rPr>
      </w:pPr>
      <w:r>
        <w:rPr>
          <w:rFonts w:ascii="Times New Roman" w:hAnsi="Times New Roman"/>
        </w:rPr>
        <w:t>In deciding what conduct should be criminalised, t</w:t>
      </w:r>
      <w:r w:rsidR="00CF14CF">
        <w:rPr>
          <w:rFonts w:ascii="Times New Roman" w:hAnsi="Times New Roman"/>
        </w:rPr>
        <w:t xml:space="preserve">he </w:t>
      </w:r>
      <w:r w:rsidR="002F73FA">
        <w:rPr>
          <w:rFonts w:ascii="Times New Roman" w:hAnsi="Times New Roman"/>
        </w:rPr>
        <w:t xml:space="preserve">Harm Principle </w:t>
      </w:r>
      <w:r w:rsidR="00AE1F0F">
        <w:rPr>
          <w:rFonts w:ascii="Times New Roman" w:hAnsi="Times New Roman"/>
        </w:rPr>
        <w:t>remains</w:t>
      </w:r>
      <w:r w:rsidR="002F73FA">
        <w:rPr>
          <w:rFonts w:ascii="Times New Roman" w:hAnsi="Times New Roman"/>
        </w:rPr>
        <w:t xml:space="preserve"> a paradigmatic</w:t>
      </w:r>
      <w:r>
        <w:rPr>
          <w:rFonts w:ascii="Times New Roman" w:hAnsi="Times New Roman"/>
        </w:rPr>
        <w:t xml:space="preserve"> criterion</w:t>
      </w:r>
      <w:r w:rsidR="007F53CD">
        <w:rPr>
          <w:rFonts w:ascii="Times New Roman" w:hAnsi="Times New Roman"/>
        </w:rPr>
        <w:t>.</w:t>
      </w:r>
      <w:r w:rsidR="00EE352E">
        <w:rPr>
          <w:rStyle w:val="FootnoteReference"/>
          <w:rFonts w:ascii="Times New Roman" w:hAnsi="Times New Roman"/>
        </w:rPr>
        <w:footnoteReference w:id="94"/>
      </w:r>
      <w:r w:rsidR="00EE352E">
        <w:rPr>
          <w:rFonts w:ascii="Times New Roman" w:hAnsi="Times New Roman"/>
        </w:rPr>
        <w:t xml:space="preserve"> </w:t>
      </w:r>
      <w:r w:rsidR="00A63B0D">
        <w:rPr>
          <w:rFonts w:ascii="Times New Roman" w:hAnsi="Times New Roman"/>
        </w:rPr>
        <w:t xml:space="preserve">Whilst </w:t>
      </w:r>
      <w:r w:rsidR="006E2C1A">
        <w:rPr>
          <w:rFonts w:ascii="Times New Roman" w:hAnsi="Times New Roman"/>
        </w:rPr>
        <w:t xml:space="preserve">its role </w:t>
      </w:r>
      <w:r w:rsidR="00170521">
        <w:rPr>
          <w:rFonts w:ascii="Times New Roman" w:hAnsi="Times New Roman"/>
        </w:rPr>
        <w:t xml:space="preserve">in </w:t>
      </w:r>
      <w:r w:rsidR="00FD21D1">
        <w:rPr>
          <w:rFonts w:ascii="Times New Roman" w:hAnsi="Times New Roman"/>
        </w:rPr>
        <w:t>this</w:t>
      </w:r>
      <w:r w:rsidR="00993B76">
        <w:rPr>
          <w:rFonts w:ascii="Times New Roman" w:hAnsi="Times New Roman"/>
        </w:rPr>
        <w:t xml:space="preserve"> </w:t>
      </w:r>
      <w:r w:rsidR="00170521">
        <w:rPr>
          <w:rFonts w:ascii="Times New Roman" w:hAnsi="Times New Roman"/>
        </w:rPr>
        <w:t xml:space="preserve">process </w:t>
      </w:r>
      <w:r w:rsidR="00F02FD3">
        <w:rPr>
          <w:rFonts w:ascii="Times New Roman" w:hAnsi="Times New Roman"/>
        </w:rPr>
        <w:t>is contested</w:t>
      </w:r>
      <w:r w:rsidR="00993B76">
        <w:rPr>
          <w:rFonts w:ascii="Times New Roman" w:hAnsi="Times New Roman"/>
        </w:rPr>
        <w:t>,</w:t>
      </w:r>
      <w:r w:rsidR="00EE352E">
        <w:rPr>
          <w:rStyle w:val="FootnoteReference"/>
          <w:rFonts w:ascii="Times New Roman" w:hAnsi="Times New Roman"/>
        </w:rPr>
        <w:footnoteReference w:id="95"/>
      </w:r>
      <w:r w:rsidR="002E7360">
        <w:rPr>
          <w:rFonts w:ascii="Times New Roman" w:hAnsi="Times New Roman"/>
        </w:rPr>
        <w:t xml:space="preserve"> </w:t>
      </w:r>
      <w:r w:rsidR="007C2B54">
        <w:rPr>
          <w:rFonts w:ascii="Times New Roman" w:hAnsi="Times New Roman"/>
        </w:rPr>
        <w:t>it</w:t>
      </w:r>
      <w:r w:rsidR="00A63B0D">
        <w:rPr>
          <w:rFonts w:ascii="Times New Roman" w:hAnsi="Times New Roman"/>
        </w:rPr>
        <w:t xml:space="preserve"> </w:t>
      </w:r>
      <w:r w:rsidR="00AE1F0F">
        <w:rPr>
          <w:rFonts w:ascii="Times New Roman" w:hAnsi="Times New Roman"/>
        </w:rPr>
        <w:t>is</w:t>
      </w:r>
      <w:r w:rsidR="002E7360">
        <w:rPr>
          <w:rFonts w:ascii="Times New Roman" w:hAnsi="Times New Roman"/>
        </w:rPr>
        <w:t xml:space="preserve"> </w:t>
      </w:r>
      <w:r w:rsidR="00170521">
        <w:rPr>
          <w:rFonts w:ascii="Times New Roman" w:hAnsi="Times New Roman"/>
        </w:rPr>
        <w:t>helpful</w:t>
      </w:r>
      <w:r w:rsidR="002E7360">
        <w:rPr>
          <w:rFonts w:ascii="Times New Roman" w:hAnsi="Times New Roman"/>
        </w:rPr>
        <w:t xml:space="preserve"> in</w:t>
      </w:r>
      <w:r w:rsidR="00993B76">
        <w:rPr>
          <w:rFonts w:ascii="Times New Roman" w:hAnsi="Times New Roman"/>
        </w:rPr>
        <w:t xml:space="preserve"> </w:t>
      </w:r>
      <w:r w:rsidR="00190304">
        <w:rPr>
          <w:rFonts w:ascii="Times New Roman" w:hAnsi="Times New Roman"/>
        </w:rPr>
        <w:t xml:space="preserve">delimiting </w:t>
      </w:r>
      <w:r>
        <w:rPr>
          <w:rFonts w:ascii="Times New Roman" w:hAnsi="Times New Roman"/>
        </w:rPr>
        <w:t>the criminal law’s normative scope</w:t>
      </w:r>
      <w:r w:rsidR="00315CB6">
        <w:rPr>
          <w:rFonts w:ascii="Times New Roman" w:hAnsi="Times New Roman"/>
        </w:rPr>
        <w:t xml:space="preserve">. </w:t>
      </w:r>
      <w:r w:rsidR="007F53CD">
        <w:rPr>
          <w:rFonts w:ascii="Times New Roman" w:hAnsi="Times New Roman"/>
        </w:rPr>
        <w:t xml:space="preserve">Generally, </w:t>
      </w:r>
      <w:r w:rsidR="00AE1F0F">
        <w:rPr>
          <w:rFonts w:ascii="Times New Roman" w:hAnsi="Times New Roman"/>
        </w:rPr>
        <w:t>it</w:t>
      </w:r>
      <w:r w:rsidR="007F53CD">
        <w:rPr>
          <w:rFonts w:ascii="Times New Roman" w:hAnsi="Times New Roman"/>
        </w:rPr>
        <w:t xml:space="preserve"> </w:t>
      </w:r>
      <w:r w:rsidR="007B01EE">
        <w:rPr>
          <w:rFonts w:ascii="Times New Roman" w:hAnsi="Times New Roman"/>
        </w:rPr>
        <w:t>sanctions</w:t>
      </w:r>
      <w:r w:rsidR="007F53CD">
        <w:rPr>
          <w:rFonts w:ascii="Times New Roman" w:hAnsi="Times New Roman"/>
        </w:rPr>
        <w:t xml:space="preserve"> the criminalisation of conduct that is </w:t>
      </w:r>
      <w:r w:rsidR="00DF0C25">
        <w:rPr>
          <w:rFonts w:ascii="Times New Roman" w:hAnsi="Times New Roman"/>
        </w:rPr>
        <w:t>both harmful and wrong</w:t>
      </w:r>
      <w:r w:rsidR="00D42F22">
        <w:rPr>
          <w:rFonts w:ascii="Times New Roman" w:hAnsi="Times New Roman"/>
        </w:rPr>
        <w:t>ful</w:t>
      </w:r>
      <w:r w:rsidR="007C2B54">
        <w:rPr>
          <w:rFonts w:ascii="Times New Roman" w:hAnsi="Times New Roman"/>
        </w:rPr>
        <w:t xml:space="preserve">, subject to balancing requirements such as the </w:t>
      </w:r>
      <w:r w:rsidR="006B5C70">
        <w:rPr>
          <w:rFonts w:ascii="Times New Roman" w:hAnsi="Times New Roman"/>
        </w:rPr>
        <w:t>likely occurrence</w:t>
      </w:r>
      <w:r w:rsidR="007C2B54">
        <w:rPr>
          <w:rFonts w:ascii="Times New Roman" w:hAnsi="Times New Roman"/>
        </w:rPr>
        <w:t xml:space="preserve"> of </w:t>
      </w:r>
      <w:r w:rsidR="006B5C70">
        <w:rPr>
          <w:rFonts w:ascii="Times New Roman" w:hAnsi="Times New Roman"/>
        </w:rPr>
        <w:t>the</w:t>
      </w:r>
      <w:r w:rsidR="00F02FD3">
        <w:rPr>
          <w:rFonts w:ascii="Times New Roman" w:hAnsi="Times New Roman"/>
        </w:rPr>
        <w:t xml:space="preserve"> conduct</w:t>
      </w:r>
      <w:r w:rsidR="007C2B54">
        <w:rPr>
          <w:rFonts w:ascii="Times New Roman" w:hAnsi="Times New Roman"/>
        </w:rPr>
        <w:t xml:space="preserve"> and</w:t>
      </w:r>
      <w:r w:rsidR="001613ED">
        <w:rPr>
          <w:rFonts w:ascii="Times New Roman" w:hAnsi="Times New Roman"/>
        </w:rPr>
        <w:t xml:space="preserve"> </w:t>
      </w:r>
      <w:r w:rsidR="00F02FD3">
        <w:rPr>
          <w:rFonts w:ascii="Times New Roman" w:hAnsi="Times New Roman"/>
        </w:rPr>
        <w:t xml:space="preserve">its </w:t>
      </w:r>
      <w:r w:rsidR="006B5C70">
        <w:rPr>
          <w:rFonts w:ascii="Times New Roman" w:hAnsi="Times New Roman"/>
        </w:rPr>
        <w:t>gravity</w:t>
      </w:r>
      <w:r w:rsidR="007C2B54">
        <w:rPr>
          <w:rFonts w:ascii="Times New Roman" w:hAnsi="Times New Roman"/>
        </w:rPr>
        <w:t>.</w:t>
      </w:r>
      <w:r w:rsidR="007C2B54">
        <w:rPr>
          <w:rStyle w:val="FootnoteReference"/>
          <w:rFonts w:ascii="Times New Roman" w:hAnsi="Times New Roman"/>
        </w:rPr>
        <w:footnoteReference w:id="96"/>
      </w:r>
      <w:r w:rsidR="007C2B54">
        <w:rPr>
          <w:rFonts w:ascii="Times New Roman" w:hAnsi="Times New Roman"/>
        </w:rPr>
        <w:t xml:space="preserve"> </w:t>
      </w:r>
      <w:r w:rsidR="00021E8E">
        <w:rPr>
          <w:rFonts w:ascii="Times New Roman" w:hAnsi="Times New Roman"/>
        </w:rPr>
        <w:t>It</w:t>
      </w:r>
      <w:r w:rsidR="00EA51A8">
        <w:rPr>
          <w:rFonts w:ascii="Times New Roman" w:hAnsi="Times New Roman"/>
        </w:rPr>
        <w:t xml:space="preserve"> </w:t>
      </w:r>
      <w:r w:rsidR="00673CD2">
        <w:rPr>
          <w:rFonts w:ascii="Times New Roman" w:hAnsi="Times New Roman"/>
        </w:rPr>
        <w:t xml:space="preserve">can be </w:t>
      </w:r>
      <w:r w:rsidR="009A39AA">
        <w:rPr>
          <w:rFonts w:ascii="Times New Roman" w:hAnsi="Times New Roman"/>
        </w:rPr>
        <w:t>agreed</w:t>
      </w:r>
      <w:r w:rsidR="00673CD2">
        <w:rPr>
          <w:rFonts w:ascii="Times New Roman" w:hAnsi="Times New Roman"/>
        </w:rPr>
        <w:t xml:space="preserve"> </w:t>
      </w:r>
      <w:r w:rsidR="00EA51A8">
        <w:rPr>
          <w:rFonts w:ascii="Times New Roman" w:hAnsi="Times New Roman"/>
        </w:rPr>
        <w:t xml:space="preserve">that </w:t>
      </w:r>
      <w:r w:rsidR="00D76916">
        <w:rPr>
          <w:rFonts w:ascii="Times New Roman" w:hAnsi="Times New Roman"/>
        </w:rPr>
        <w:t xml:space="preserve">the Harm Principle permits </w:t>
      </w:r>
      <w:r>
        <w:rPr>
          <w:rFonts w:ascii="Times New Roman" w:hAnsi="Times New Roman"/>
        </w:rPr>
        <w:t xml:space="preserve">criminalisation of </w:t>
      </w:r>
      <w:r w:rsidR="00F02FD3">
        <w:rPr>
          <w:rFonts w:ascii="Times New Roman" w:hAnsi="Times New Roman"/>
        </w:rPr>
        <w:t>offences against the person</w:t>
      </w:r>
      <w:r w:rsidR="00F86F60">
        <w:rPr>
          <w:rFonts w:ascii="Times New Roman" w:hAnsi="Times New Roman"/>
        </w:rPr>
        <w:t>,</w:t>
      </w:r>
      <w:r w:rsidR="00021E8E">
        <w:rPr>
          <w:rFonts w:ascii="Times New Roman" w:hAnsi="Times New Roman"/>
        </w:rPr>
        <w:t xml:space="preserve"> including the core crimes</w:t>
      </w:r>
      <w:r w:rsidR="00F02FD3">
        <w:rPr>
          <w:rFonts w:ascii="Times New Roman" w:hAnsi="Times New Roman"/>
        </w:rPr>
        <w:t xml:space="preserve">. </w:t>
      </w:r>
      <w:r w:rsidR="00A514B2">
        <w:rPr>
          <w:rFonts w:ascii="Times New Roman" w:hAnsi="Times New Roman"/>
        </w:rPr>
        <w:t>Notwithstanding consent,</w:t>
      </w:r>
      <w:r w:rsidR="00A514B2">
        <w:rPr>
          <w:rStyle w:val="FootnoteReference"/>
          <w:rFonts w:ascii="Times New Roman" w:hAnsi="Times New Roman"/>
        </w:rPr>
        <w:footnoteReference w:id="97"/>
      </w:r>
      <w:r w:rsidR="00A514B2">
        <w:rPr>
          <w:rFonts w:ascii="Times New Roman" w:hAnsi="Times New Roman"/>
        </w:rPr>
        <w:t xml:space="preserve"> </w:t>
      </w:r>
      <w:r w:rsidR="00B21B8C">
        <w:rPr>
          <w:rFonts w:ascii="Times New Roman" w:hAnsi="Times New Roman"/>
        </w:rPr>
        <w:t xml:space="preserve">this is </w:t>
      </w:r>
      <w:r w:rsidR="00B21B8C">
        <w:rPr>
          <w:rFonts w:ascii="Times New Roman" w:hAnsi="Times New Roman"/>
        </w:rPr>
        <w:lastRenderedPageBreak/>
        <w:t xml:space="preserve">because </w:t>
      </w:r>
      <w:r w:rsidR="006A2309">
        <w:rPr>
          <w:rFonts w:ascii="Times New Roman" w:hAnsi="Times New Roman"/>
        </w:rPr>
        <w:t>ss.18, 20 and 47</w:t>
      </w:r>
      <w:r w:rsidR="00B21B8C">
        <w:rPr>
          <w:rFonts w:ascii="Times New Roman" w:hAnsi="Times New Roman"/>
        </w:rPr>
        <w:t xml:space="preserve"> </w:t>
      </w:r>
      <w:r w:rsidR="006D1C50">
        <w:rPr>
          <w:rFonts w:ascii="Times New Roman" w:hAnsi="Times New Roman"/>
        </w:rPr>
        <w:t>cover</w:t>
      </w:r>
      <w:r w:rsidR="004A0CDF">
        <w:rPr>
          <w:rFonts w:ascii="Times New Roman" w:hAnsi="Times New Roman"/>
        </w:rPr>
        <w:t xml:space="preserve"> behaviour which physically or psychiatrically </w:t>
      </w:r>
      <w:r w:rsidR="006A2309">
        <w:rPr>
          <w:rFonts w:ascii="Times New Roman" w:hAnsi="Times New Roman"/>
        </w:rPr>
        <w:t>damage</w:t>
      </w:r>
      <w:r w:rsidR="009A39AA">
        <w:rPr>
          <w:rFonts w:ascii="Times New Roman" w:hAnsi="Times New Roman"/>
        </w:rPr>
        <w:t>s</w:t>
      </w:r>
      <w:r w:rsidR="004A0CDF">
        <w:rPr>
          <w:rFonts w:ascii="Times New Roman" w:hAnsi="Times New Roman"/>
        </w:rPr>
        <w:t xml:space="preserve"> bodily </w:t>
      </w:r>
      <w:r w:rsidR="004A0CDF" w:rsidRPr="00346358">
        <w:rPr>
          <w:rFonts w:ascii="Times New Roman" w:hAnsi="Times New Roman"/>
        </w:rPr>
        <w:t>integrity</w:t>
      </w:r>
      <w:r w:rsidR="004A0CDF">
        <w:rPr>
          <w:rFonts w:ascii="Times New Roman" w:hAnsi="Times New Roman"/>
        </w:rPr>
        <w:t xml:space="preserve"> </w:t>
      </w:r>
      <w:r w:rsidR="00B21B8C">
        <w:rPr>
          <w:rFonts w:ascii="Times New Roman" w:hAnsi="Times New Roman"/>
        </w:rPr>
        <w:t xml:space="preserve">to </w:t>
      </w:r>
      <w:r w:rsidR="00014BC8">
        <w:rPr>
          <w:rFonts w:ascii="Times New Roman" w:hAnsi="Times New Roman"/>
        </w:rPr>
        <w:t>differing</w:t>
      </w:r>
      <w:r w:rsidR="00E40E5A">
        <w:rPr>
          <w:rFonts w:ascii="Times New Roman" w:hAnsi="Times New Roman"/>
        </w:rPr>
        <w:t xml:space="preserve"> </w:t>
      </w:r>
      <w:r w:rsidR="00B21B8C">
        <w:rPr>
          <w:rFonts w:ascii="Times New Roman" w:hAnsi="Times New Roman"/>
        </w:rPr>
        <w:t>degree</w:t>
      </w:r>
      <w:r w:rsidR="0019059A">
        <w:rPr>
          <w:rFonts w:ascii="Times New Roman" w:hAnsi="Times New Roman"/>
        </w:rPr>
        <w:t>s</w:t>
      </w:r>
      <w:r w:rsidR="004A0CDF">
        <w:rPr>
          <w:rFonts w:ascii="Times New Roman" w:hAnsi="Times New Roman"/>
        </w:rPr>
        <w:t>.</w:t>
      </w:r>
      <w:r w:rsidR="006A2309">
        <w:rPr>
          <w:rFonts w:ascii="Times New Roman" w:hAnsi="Times New Roman"/>
        </w:rPr>
        <w:t xml:space="preserve"> </w:t>
      </w:r>
      <w:r w:rsidR="009A39AA">
        <w:rPr>
          <w:rFonts w:ascii="Times New Roman" w:hAnsi="Times New Roman"/>
        </w:rPr>
        <w:t>At a milder level</w:t>
      </w:r>
      <w:r w:rsidR="006A2309">
        <w:rPr>
          <w:rFonts w:ascii="Times New Roman" w:hAnsi="Times New Roman"/>
        </w:rPr>
        <w:t>, battery</w:t>
      </w:r>
      <w:r w:rsidR="00014BC8">
        <w:rPr>
          <w:rFonts w:ascii="Times New Roman" w:hAnsi="Times New Roman"/>
        </w:rPr>
        <w:t xml:space="preserve"> involve</w:t>
      </w:r>
      <w:r w:rsidR="008466E2">
        <w:rPr>
          <w:rFonts w:ascii="Times New Roman" w:hAnsi="Times New Roman"/>
        </w:rPr>
        <w:t>s</w:t>
      </w:r>
      <w:r w:rsidR="00014BC8">
        <w:rPr>
          <w:rFonts w:ascii="Times New Roman" w:hAnsi="Times New Roman"/>
        </w:rPr>
        <w:t xml:space="preserve"> </w:t>
      </w:r>
      <w:r w:rsidR="00346358">
        <w:rPr>
          <w:rFonts w:ascii="Times New Roman" w:hAnsi="Times New Roman"/>
        </w:rPr>
        <w:t xml:space="preserve">touching which </w:t>
      </w:r>
      <w:r w:rsidR="009A39AA">
        <w:rPr>
          <w:rFonts w:ascii="Times New Roman" w:hAnsi="Times New Roman"/>
        </w:rPr>
        <w:t>interferes</w:t>
      </w:r>
      <w:r w:rsidR="006A2309">
        <w:rPr>
          <w:rFonts w:ascii="Times New Roman" w:hAnsi="Times New Roman"/>
        </w:rPr>
        <w:t xml:space="preserve"> with bodily </w:t>
      </w:r>
      <w:r w:rsidR="006A2309" w:rsidRPr="008466E2">
        <w:rPr>
          <w:rFonts w:ascii="Times New Roman" w:hAnsi="Times New Roman"/>
        </w:rPr>
        <w:t>autonomy</w:t>
      </w:r>
      <w:r w:rsidR="00D87A18">
        <w:rPr>
          <w:rFonts w:ascii="Times New Roman" w:hAnsi="Times New Roman"/>
        </w:rPr>
        <w:t xml:space="preserve"> (</w:t>
      </w:r>
      <w:r w:rsidR="008466E2">
        <w:rPr>
          <w:rFonts w:ascii="Times New Roman" w:hAnsi="Times New Roman"/>
        </w:rPr>
        <w:t>if not integrity</w:t>
      </w:r>
      <w:r w:rsidR="00D87A18">
        <w:rPr>
          <w:rFonts w:ascii="Times New Roman" w:hAnsi="Times New Roman"/>
        </w:rPr>
        <w:t>)</w:t>
      </w:r>
      <w:r w:rsidR="006A2309">
        <w:rPr>
          <w:rFonts w:ascii="Times New Roman" w:hAnsi="Times New Roman"/>
        </w:rPr>
        <w:t xml:space="preserve">. These harms </w:t>
      </w:r>
      <w:r w:rsidR="00D42F22">
        <w:rPr>
          <w:rFonts w:ascii="Times New Roman" w:hAnsi="Times New Roman"/>
        </w:rPr>
        <w:t xml:space="preserve">are </w:t>
      </w:r>
      <w:r w:rsidR="00D87A18">
        <w:rPr>
          <w:rFonts w:ascii="Times New Roman" w:hAnsi="Times New Roman"/>
        </w:rPr>
        <w:t>wrong</w:t>
      </w:r>
      <w:r w:rsidR="006A2309">
        <w:rPr>
          <w:rFonts w:ascii="Times New Roman" w:hAnsi="Times New Roman"/>
        </w:rPr>
        <w:t xml:space="preserve"> </w:t>
      </w:r>
      <w:r w:rsidR="008466E2">
        <w:rPr>
          <w:rFonts w:ascii="Times New Roman" w:hAnsi="Times New Roman"/>
        </w:rPr>
        <w:t xml:space="preserve">because they </w:t>
      </w:r>
      <w:r w:rsidR="006A2309">
        <w:rPr>
          <w:rFonts w:ascii="Times New Roman" w:hAnsi="Times New Roman"/>
        </w:rPr>
        <w:t>set</w:t>
      </w:r>
      <w:r w:rsidR="004A0CDF">
        <w:rPr>
          <w:rFonts w:ascii="Times New Roman" w:hAnsi="Times New Roman"/>
        </w:rPr>
        <w:t xml:space="preserve"> back V’s pre-legal </w:t>
      </w:r>
      <w:r w:rsidR="004A0CDF" w:rsidRPr="008466E2">
        <w:rPr>
          <w:rFonts w:ascii="Times New Roman" w:hAnsi="Times New Roman"/>
          <w:i/>
        </w:rPr>
        <w:t>entitlement</w:t>
      </w:r>
      <w:r w:rsidR="004A0CDF">
        <w:rPr>
          <w:rFonts w:ascii="Times New Roman" w:hAnsi="Times New Roman"/>
        </w:rPr>
        <w:t xml:space="preserve"> not to be so harmed. </w:t>
      </w:r>
      <w:r w:rsidR="00816B02">
        <w:rPr>
          <w:rFonts w:ascii="Times New Roman" w:hAnsi="Times New Roman"/>
        </w:rPr>
        <w:t>I</w:t>
      </w:r>
      <w:r w:rsidR="00B21B8C">
        <w:rPr>
          <w:rFonts w:ascii="Times New Roman" w:hAnsi="Times New Roman"/>
        </w:rPr>
        <w:t xml:space="preserve">n respect of </w:t>
      </w:r>
      <w:r w:rsidR="00081019">
        <w:rPr>
          <w:rFonts w:ascii="Times New Roman" w:hAnsi="Times New Roman"/>
        </w:rPr>
        <w:t>assault</w:t>
      </w:r>
      <w:r w:rsidR="00816B02">
        <w:rPr>
          <w:rFonts w:ascii="Times New Roman" w:hAnsi="Times New Roman"/>
        </w:rPr>
        <w:t xml:space="preserve">, it is true that </w:t>
      </w:r>
      <w:r w:rsidR="00213717">
        <w:rPr>
          <w:rFonts w:ascii="Times New Roman" w:hAnsi="Times New Roman"/>
        </w:rPr>
        <w:t xml:space="preserve">no physical or psychiatric harm is suffered – only </w:t>
      </w:r>
      <w:r w:rsidR="00A752E2">
        <w:rPr>
          <w:rFonts w:ascii="Times New Roman" w:hAnsi="Times New Roman"/>
        </w:rPr>
        <w:t>emotional</w:t>
      </w:r>
      <w:r w:rsidR="00816B02">
        <w:rPr>
          <w:rFonts w:ascii="Times New Roman" w:hAnsi="Times New Roman"/>
        </w:rPr>
        <w:t xml:space="preserve"> harm. Nevertheless, </w:t>
      </w:r>
      <w:r w:rsidR="00257033">
        <w:rPr>
          <w:rFonts w:ascii="Times New Roman" w:hAnsi="Times New Roman"/>
        </w:rPr>
        <w:t xml:space="preserve">the </w:t>
      </w:r>
      <w:r w:rsidR="00B21B8C">
        <w:rPr>
          <w:rFonts w:ascii="Times New Roman" w:hAnsi="Times New Roman"/>
        </w:rPr>
        <w:t xml:space="preserve">conduct </w:t>
      </w:r>
      <w:r w:rsidR="00D965A1">
        <w:rPr>
          <w:rFonts w:ascii="Times New Roman" w:hAnsi="Times New Roman"/>
        </w:rPr>
        <w:t>which causes</w:t>
      </w:r>
      <w:r w:rsidR="00257033">
        <w:rPr>
          <w:rFonts w:ascii="Times New Roman" w:hAnsi="Times New Roman"/>
        </w:rPr>
        <w:t xml:space="preserve"> this</w:t>
      </w:r>
      <w:r w:rsidR="00D27EAD">
        <w:rPr>
          <w:rFonts w:ascii="Times New Roman" w:hAnsi="Times New Roman"/>
        </w:rPr>
        <w:t xml:space="preserve"> harm </w:t>
      </w:r>
      <w:r w:rsidR="00D87A18">
        <w:rPr>
          <w:rFonts w:ascii="Times New Roman" w:hAnsi="Times New Roman"/>
        </w:rPr>
        <w:t>is also</w:t>
      </w:r>
      <w:r w:rsidR="00D42F22">
        <w:rPr>
          <w:rFonts w:ascii="Times New Roman" w:hAnsi="Times New Roman"/>
        </w:rPr>
        <w:t xml:space="preserve"> </w:t>
      </w:r>
      <w:r w:rsidR="00B21B8C">
        <w:rPr>
          <w:rFonts w:ascii="Times New Roman" w:hAnsi="Times New Roman"/>
        </w:rPr>
        <w:t>wrong</w:t>
      </w:r>
      <w:r w:rsidR="00CB3377">
        <w:rPr>
          <w:rFonts w:ascii="Times New Roman" w:hAnsi="Times New Roman"/>
        </w:rPr>
        <w:t xml:space="preserve">. That </w:t>
      </w:r>
      <w:r w:rsidR="006D1C50">
        <w:rPr>
          <w:rFonts w:ascii="Times New Roman" w:hAnsi="Times New Roman"/>
        </w:rPr>
        <w:t>attitude</w:t>
      </w:r>
      <w:r w:rsidR="00CB3377">
        <w:rPr>
          <w:rFonts w:ascii="Times New Roman" w:hAnsi="Times New Roman"/>
        </w:rPr>
        <w:t xml:space="preserve"> is </w:t>
      </w:r>
      <w:r w:rsidR="006D1C50">
        <w:rPr>
          <w:rFonts w:ascii="Times New Roman" w:hAnsi="Times New Roman"/>
        </w:rPr>
        <w:t>reflected</w:t>
      </w:r>
      <w:r w:rsidR="00CB3377">
        <w:rPr>
          <w:rFonts w:ascii="Times New Roman" w:hAnsi="Times New Roman"/>
        </w:rPr>
        <w:t xml:space="preserve"> in the scoping report</w:t>
      </w:r>
      <w:r w:rsidR="002E12F0">
        <w:rPr>
          <w:rFonts w:ascii="Times New Roman" w:hAnsi="Times New Roman"/>
        </w:rPr>
        <w:t>. In recommending separate offences of “threatened as</w:t>
      </w:r>
      <w:r w:rsidR="003A6F19">
        <w:rPr>
          <w:rFonts w:ascii="Times New Roman" w:hAnsi="Times New Roman"/>
        </w:rPr>
        <w:t>sault” and “physical assault”</w:t>
      </w:r>
      <w:r w:rsidR="00C97B6A">
        <w:rPr>
          <w:rFonts w:ascii="Times New Roman" w:hAnsi="Times New Roman"/>
        </w:rPr>
        <w:t>,</w:t>
      </w:r>
      <w:r w:rsidR="002E12F0">
        <w:rPr>
          <w:rFonts w:ascii="Times New Roman" w:hAnsi="Times New Roman"/>
        </w:rPr>
        <w:t xml:space="preserve"> </w:t>
      </w:r>
      <w:r w:rsidR="006D1C50">
        <w:rPr>
          <w:rFonts w:ascii="Times New Roman" w:hAnsi="Times New Roman"/>
        </w:rPr>
        <w:t>it</w:t>
      </w:r>
      <w:r w:rsidR="002E12F0">
        <w:rPr>
          <w:rFonts w:ascii="Times New Roman" w:hAnsi="Times New Roman"/>
        </w:rPr>
        <w:t xml:space="preserve"> confirms that both crimes</w:t>
      </w:r>
      <w:r w:rsidR="00CB3377">
        <w:rPr>
          <w:rFonts w:ascii="Times New Roman" w:hAnsi="Times New Roman"/>
        </w:rPr>
        <w:t xml:space="preserve"> target</w:t>
      </w:r>
    </w:p>
    <w:p w:rsidR="00084A9E" w:rsidRDefault="00084A9E" w:rsidP="00A8369F">
      <w:pPr>
        <w:spacing w:line="480" w:lineRule="auto"/>
        <w:jc w:val="both"/>
        <w:rPr>
          <w:rFonts w:ascii="Times New Roman" w:hAnsi="Times New Roman"/>
        </w:rPr>
      </w:pPr>
    </w:p>
    <w:p w:rsidR="00084A9E" w:rsidRDefault="00CB3377" w:rsidP="00084A9E">
      <w:pPr>
        <w:spacing w:line="480" w:lineRule="auto"/>
        <w:ind w:left="720"/>
        <w:jc w:val="both"/>
        <w:rPr>
          <w:rFonts w:ascii="Times New Roman" w:hAnsi="Times New Roman"/>
        </w:rPr>
      </w:pPr>
      <w:r>
        <w:rPr>
          <w:rFonts w:ascii="Times New Roman" w:hAnsi="Times New Roman"/>
        </w:rPr>
        <w:t xml:space="preserve">“fundamentally </w:t>
      </w:r>
      <w:r w:rsidRPr="0042064D">
        <w:rPr>
          <w:rFonts w:ascii="Times New Roman" w:hAnsi="Times New Roman"/>
          <w:i/>
        </w:rPr>
        <w:t>different</w:t>
      </w:r>
      <w:r>
        <w:rPr>
          <w:rFonts w:ascii="Times New Roman" w:hAnsi="Times New Roman"/>
        </w:rPr>
        <w:t xml:space="preserve"> wrongs, particularly since assault includes </w:t>
      </w:r>
      <w:r w:rsidRPr="00114909">
        <w:rPr>
          <w:rFonts w:ascii="Times New Roman" w:hAnsi="Times New Roman"/>
          <w:i/>
        </w:rPr>
        <w:t>threatening</w:t>
      </w:r>
      <w:r>
        <w:rPr>
          <w:rFonts w:ascii="Times New Roman" w:hAnsi="Times New Roman"/>
        </w:rPr>
        <w:t xml:space="preserve"> behaviour such as telephone calls that need not form the opening stage of an intended attack: it is </w:t>
      </w:r>
      <w:r w:rsidRPr="00183C13">
        <w:rPr>
          <w:rFonts w:ascii="Times New Roman" w:hAnsi="Times New Roman"/>
          <w:i/>
        </w:rPr>
        <w:t>enough</w:t>
      </w:r>
      <w:r>
        <w:rPr>
          <w:rFonts w:ascii="Times New Roman" w:hAnsi="Times New Roman"/>
        </w:rPr>
        <w:t xml:space="preserve"> that V apprehends that </w:t>
      </w:r>
      <w:r w:rsidR="00183C13">
        <w:rPr>
          <w:rFonts w:ascii="Times New Roman" w:hAnsi="Times New Roman"/>
        </w:rPr>
        <w:t>an attack will take place in the near future</w:t>
      </w:r>
      <w:r w:rsidR="00084A9E">
        <w:rPr>
          <w:rFonts w:ascii="Times New Roman" w:hAnsi="Times New Roman"/>
        </w:rPr>
        <w:t>.”</w:t>
      </w:r>
      <w:r w:rsidR="00183C13">
        <w:rPr>
          <w:rStyle w:val="FootnoteReference"/>
          <w:rFonts w:ascii="Times New Roman" w:hAnsi="Times New Roman"/>
        </w:rPr>
        <w:footnoteReference w:id="98"/>
      </w:r>
      <w:r w:rsidR="00820CBD">
        <w:rPr>
          <w:rFonts w:ascii="Times New Roman" w:hAnsi="Times New Roman"/>
        </w:rPr>
        <w:t xml:space="preserve"> </w:t>
      </w:r>
    </w:p>
    <w:p w:rsidR="00084A9E" w:rsidRDefault="00084A9E" w:rsidP="00A8369F">
      <w:pPr>
        <w:spacing w:line="480" w:lineRule="auto"/>
        <w:jc w:val="both"/>
        <w:rPr>
          <w:rFonts w:ascii="Times New Roman" w:hAnsi="Times New Roman"/>
        </w:rPr>
      </w:pPr>
    </w:p>
    <w:p w:rsidR="000612E1" w:rsidRDefault="0042064D" w:rsidP="00A8369F">
      <w:pPr>
        <w:spacing w:line="480" w:lineRule="auto"/>
        <w:jc w:val="both"/>
        <w:rPr>
          <w:rFonts w:ascii="Times New Roman" w:hAnsi="Times New Roman"/>
        </w:rPr>
      </w:pPr>
      <w:r>
        <w:rPr>
          <w:rFonts w:ascii="Times New Roman" w:hAnsi="Times New Roman"/>
        </w:rPr>
        <w:t>In addition</w:t>
      </w:r>
      <w:r w:rsidR="006D1C50">
        <w:rPr>
          <w:rFonts w:ascii="Times New Roman" w:hAnsi="Times New Roman"/>
        </w:rPr>
        <w:t xml:space="preserve">, these </w:t>
      </w:r>
      <w:r w:rsidR="0019059A">
        <w:rPr>
          <w:rFonts w:ascii="Times New Roman" w:hAnsi="Times New Roman"/>
        </w:rPr>
        <w:t>replacement</w:t>
      </w:r>
      <w:r w:rsidR="006D1C50">
        <w:rPr>
          <w:rFonts w:ascii="Times New Roman" w:hAnsi="Times New Roman"/>
        </w:rPr>
        <w:t xml:space="preserve"> offences </w:t>
      </w:r>
      <w:r w:rsidR="00820CBD">
        <w:rPr>
          <w:rFonts w:ascii="Times New Roman" w:hAnsi="Times New Roman"/>
        </w:rPr>
        <w:t xml:space="preserve">more accurately </w:t>
      </w:r>
      <w:r w:rsidR="006D1C50" w:rsidRPr="00727FB7">
        <w:rPr>
          <w:rFonts w:ascii="Times New Roman" w:hAnsi="Times New Roman"/>
        </w:rPr>
        <w:t>label</w:t>
      </w:r>
      <w:r w:rsidR="00820CBD">
        <w:rPr>
          <w:rFonts w:ascii="Times New Roman" w:hAnsi="Times New Roman"/>
        </w:rPr>
        <w:t xml:space="preserve"> the har</w:t>
      </w:r>
      <w:r w:rsidR="00021E8E">
        <w:rPr>
          <w:rFonts w:ascii="Times New Roman" w:hAnsi="Times New Roman"/>
        </w:rPr>
        <w:t>m with which each is concerned</w:t>
      </w:r>
      <w:r w:rsidR="00635C8E">
        <w:rPr>
          <w:rFonts w:ascii="Times New Roman" w:hAnsi="Times New Roman"/>
        </w:rPr>
        <w:t>.</w:t>
      </w:r>
    </w:p>
    <w:p w:rsidR="00114909" w:rsidRDefault="00114909" w:rsidP="00A8369F">
      <w:pPr>
        <w:spacing w:line="480" w:lineRule="auto"/>
        <w:jc w:val="both"/>
        <w:rPr>
          <w:rFonts w:ascii="Times New Roman" w:hAnsi="Times New Roman"/>
        </w:rPr>
      </w:pPr>
    </w:p>
    <w:p w:rsidR="00B21B8C" w:rsidRDefault="001E38C8" w:rsidP="00CC3B92">
      <w:pPr>
        <w:spacing w:line="480" w:lineRule="auto"/>
        <w:jc w:val="both"/>
        <w:rPr>
          <w:rFonts w:ascii="Times New Roman" w:hAnsi="Times New Roman"/>
        </w:rPr>
      </w:pPr>
      <w:r>
        <w:rPr>
          <w:rFonts w:ascii="Times New Roman" w:hAnsi="Times New Roman"/>
        </w:rPr>
        <w:t>Accepting that</w:t>
      </w:r>
      <w:r w:rsidR="003A041E">
        <w:rPr>
          <w:rFonts w:ascii="Times New Roman" w:hAnsi="Times New Roman"/>
        </w:rPr>
        <w:t xml:space="preserve"> </w:t>
      </w:r>
      <w:r w:rsidR="00267F4D">
        <w:rPr>
          <w:rFonts w:ascii="Times New Roman" w:hAnsi="Times New Roman"/>
        </w:rPr>
        <w:t>offences against the person</w:t>
      </w:r>
      <w:r w:rsidR="00FD1DE8">
        <w:rPr>
          <w:rFonts w:ascii="Times New Roman" w:hAnsi="Times New Roman"/>
        </w:rPr>
        <w:t xml:space="preserve"> </w:t>
      </w:r>
      <w:r w:rsidR="003A6F19">
        <w:rPr>
          <w:rFonts w:ascii="Times New Roman" w:hAnsi="Times New Roman"/>
        </w:rPr>
        <w:t>should</w:t>
      </w:r>
      <w:r w:rsidR="00441985">
        <w:rPr>
          <w:rFonts w:ascii="Times New Roman" w:hAnsi="Times New Roman"/>
        </w:rPr>
        <w:t xml:space="preserve"> be criminalised</w:t>
      </w:r>
      <w:r w:rsidR="00261052">
        <w:rPr>
          <w:rFonts w:ascii="Times New Roman" w:hAnsi="Times New Roman"/>
        </w:rPr>
        <w:t>, attention</w:t>
      </w:r>
      <w:r w:rsidR="00084A9E">
        <w:rPr>
          <w:rFonts w:ascii="Times New Roman" w:hAnsi="Times New Roman"/>
        </w:rPr>
        <w:t xml:space="preserve"> next</w:t>
      </w:r>
      <w:r w:rsidR="00261052">
        <w:rPr>
          <w:rFonts w:ascii="Times New Roman" w:hAnsi="Times New Roman"/>
        </w:rPr>
        <w:t xml:space="preserve"> </w:t>
      </w:r>
      <w:r w:rsidR="00964441">
        <w:rPr>
          <w:rFonts w:ascii="Times New Roman" w:hAnsi="Times New Roman"/>
        </w:rPr>
        <w:t>shift</w:t>
      </w:r>
      <w:r w:rsidR="00FD0B3C">
        <w:rPr>
          <w:rFonts w:ascii="Times New Roman" w:hAnsi="Times New Roman"/>
        </w:rPr>
        <w:t>s</w:t>
      </w:r>
      <w:r w:rsidR="00261052">
        <w:rPr>
          <w:rFonts w:ascii="Times New Roman" w:hAnsi="Times New Roman"/>
        </w:rPr>
        <w:t xml:space="preserve"> to </w:t>
      </w:r>
      <w:r w:rsidR="00441985">
        <w:rPr>
          <w:rFonts w:ascii="Times New Roman" w:hAnsi="Times New Roman"/>
        </w:rPr>
        <w:t xml:space="preserve">how </w:t>
      </w:r>
      <w:r w:rsidR="005E64DC">
        <w:rPr>
          <w:rFonts w:ascii="Times New Roman" w:hAnsi="Times New Roman"/>
        </w:rPr>
        <w:t xml:space="preserve">the revised crimes </w:t>
      </w:r>
      <w:r w:rsidR="005E64DC" w:rsidRPr="005C56A7">
        <w:rPr>
          <w:rFonts w:ascii="Times New Roman" w:hAnsi="Times New Roman"/>
        </w:rPr>
        <w:t>define</w:t>
      </w:r>
      <w:r w:rsidR="005E64DC">
        <w:rPr>
          <w:rFonts w:ascii="Times New Roman" w:hAnsi="Times New Roman"/>
        </w:rPr>
        <w:t xml:space="preserve"> </w:t>
      </w:r>
      <w:r w:rsidR="00D42F22">
        <w:rPr>
          <w:rFonts w:ascii="Times New Roman" w:hAnsi="Times New Roman"/>
        </w:rPr>
        <w:t>the</w:t>
      </w:r>
      <w:r w:rsidR="00A37A36">
        <w:rPr>
          <w:rFonts w:ascii="Times New Roman" w:hAnsi="Times New Roman"/>
        </w:rPr>
        <w:t xml:space="preserve"> harms and wrongs </w:t>
      </w:r>
      <w:r w:rsidR="00460925">
        <w:rPr>
          <w:rFonts w:ascii="Times New Roman" w:hAnsi="Times New Roman"/>
        </w:rPr>
        <w:t>underpinning</w:t>
      </w:r>
      <w:r w:rsidR="00A37A36">
        <w:rPr>
          <w:rFonts w:ascii="Times New Roman" w:hAnsi="Times New Roman"/>
        </w:rPr>
        <w:t xml:space="preserve"> them.</w:t>
      </w:r>
      <w:r w:rsidR="00EE1EE7">
        <w:rPr>
          <w:rFonts w:ascii="Times New Roman" w:hAnsi="Times New Roman"/>
        </w:rPr>
        <w:t xml:space="preserve"> </w:t>
      </w:r>
      <w:r w:rsidR="00251D85">
        <w:rPr>
          <w:rFonts w:ascii="Times New Roman" w:hAnsi="Times New Roman"/>
        </w:rPr>
        <w:t>As</w:t>
      </w:r>
      <w:r w:rsidR="00751B99">
        <w:rPr>
          <w:rFonts w:ascii="Times New Roman" w:hAnsi="Times New Roman"/>
        </w:rPr>
        <w:t xml:space="preserve"> part of </w:t>
      </w:r>
      <w:r w:rsidR="00570604">
        <w:rPr>
          <w:rFonts w:ascii="Times New Roman" w:hAnsi="Times New Roman"/>
        </w:rPr>
        <w:t>this</w:t>
      </w:r>
      <w:r w:rsidR="00751B99">
        <w:rPr>
          <w:rFonts w:ascii="Times New Roman" w:hAnsi="Times New Roman"/>
        </w:rPr>
        <w:t xml:space="preserve"> </w:t>
      </w:r>
      <w:r w:rsidR="00F86F60">
        <w:rPr>
          <w:rFonts w:ascii="Times New Roman" w:hAnsi="Times New Roman"/>
        </w:rPr>
        <w:t>assessment</w:t>
      </w:r>
      <w:r w:rsidR="00C40C6C">
        <w:rPr>
          <w:rFonts w:ascii="Times New Roman" w:hAnsi="Times New Roman"/>
        </w:rPr>
        <w:t xml:space="preserve">, </w:t>
      </w:r>
      <w:r w:rsidR="00751B99">
        <w:rPr>
          <w:rFonts w:ascii="Times New Roman" w:hAnsi="Times New Roman"/>
        </w:rPr>
        <w:t xml:space="preserve">it </w:t>
      </w:r>
      <w:r w:rsidR="00FD0B3C">
        <w:rPr>
          <w:rFonts w:ascii="Times New Roman" w:hAnsi="Times New Roman"/>
        </w:rPr>
        <w:t>is</w:t>
      </w:r>
      <w:r w:rsidR="007229F8">
        <w:rPr>
          <w:rFonts w:ascii="Times New Roman" w:hAnsi="Times New Roman"/>
        </w:rPr>
        <w:t xml:space="preserve"> critical to evaluate the extent to which </w:t>
      </w:r>
      <w:r w:rsidR="008C341B" w:rsidRPr="00CC3B92">
        <w:rPr>
          <w:rFonts w:ascii="Times New Roman" w:hAnsi="Times New Roman"/>
        </w:rPr>
        <w:t xml:space="preserve">the new offences </w:t>
      </w:r>
      <w:r w:rsidR="000821EC" w:rsidRPr="00CC3B92">
        <w:rPr>
          <w:rFonts w:ascii="Times New Roman" w:hAnsi="Times New Roman"/>
        </w:rPr>
        <w:t>resolve</w:t>
      </w:r>
      <w:r w:rsidR="008C341B" w:rsidRPr="00CC3B92">
        <w:rPr>
          <w:rFonts w:ascii="Times New Roman" w:hAnsi="Times New Roman"/>
        </w:rPr>
        <w:t xml:space="preserve"> </w:t>
      </w:r>
      <w:r w:rsidR="00866AF4" w:rsidRPr="00CC3B92">
        <w:rPr>
          <w:rFonts w:ascii="Times New Roman" w:hAnsi="Times New Roman"/>
        </w:rPr>
        <w:t>the problem</w:t>
      </w:r>
      <w:r w:rsidR="005D58D4">
        <w:rPr>
          <w:rFonts w:ascii="Times New Roman" w:hAnsi="Times New Roman"/>
        </w:rPr>
        <w:t xml:space="preserve">s of conduct and </w:t>
      </w:r>
      <w:r w:rsidR="00866AF4" w:rsidRPr="00CC3B92">
        <w:rPr>
          <w:rFonts w:ascii="Times New Roman" w:hAnsi="Times New Roman"/>
        </w:rPr>
        <w:t xml:space="preserve">fault </w:t>
      </w:r>
      <w:r w:rsidR="008C341B" w:rsidRPr="00CC3B92">
        <w:rPr>
          <w:rFonts w:ascii="Times New Roman" w:hAnsi="Times New Roman"/>
        </w:rPr>
        <w:t>outlined</w:t>
      </w:r>
      <w:r w:rsidR="00213717">
        <w:rPr>
          <w:rFonts w:ascii="Times New Roman" w:hAnsi="Times New Roman"/>
        </w:rPr>
        <w:t xml:space="preserve"> in section two.</w:t>
      </w:r>
      <w:r w:rsidR="005D58D4">
        <w:rPr>
          <w:rFonts w:ascii="Times New Roman" w:hAnsi="Times New Roman"/>
        </w:rPr>
        <w:t xml:space="preserve"> </w:t>
      </w:r>
      <w:r w:rsidR="00CF04F1">
        <w:rPr>
          <w:rFonts w:ascii="Times New Roman" w:hAnsi="Times New Roman"/>
        </w:rPr>
        <w:t>Further</w:t>
      </w:r>
      <w:r w:rsidR="009632DA">
        <w:rPr>
          <w:rFonts w:ascii="Times New Roman" w:hAnsi="Times New Roman"/>
        </w:rPr>
        <w:t>more</w:t>
      </w:r>
      <w:r w:rsidR="009D7165">
        <w:rPr>
          <w:rFonts w:ascii="Times New Roman" w:hAnsi="Times New Roman"/>
        </w:rPr>
        <w:t xml:space="preserve">, </w:t>
      </w:r>
      <w:r w:rsidR="00251D85">
        <w:rPr>
          <w:rFonts w:ascii="Times New Roman" w:hAnsi="Times New Roman"/>
        </w:rPr>
        <w:t xml:space="preserve">definition informs sentencing. </w:t>
      </w:r>
      <w:r w:rsidR="00F86F60">
        <w:rPr>
          <w:rFonts w:ascii="Times New Roman" w:hAnsi="Times New Roman"/>
        </w:rPr>
        <w:t xml:space="preserve">The </w:t>
      </w:r>
      <w:r w:rsidR="005C56A7">
        <w:rPr>
          <w:rFonts w:ascii="Times New Roman" w:hAnsi="Times New Roman"/>
        </w:rPr>
        <w:t xml:space="preserve">ensuing </w:t>
      </w:r>
      <w:r w:rsidR="00570604">
        <w:rPr>
          <w:rFonts w:ascii="Times New Roman" w:hAnsi="Times New Roman"/>
        </w:rPr>
        <w:t xml:space="preserve">analysis </w:t>
      </w:r>
      <w:r w:rsidR="00F26C06">
        <w:rPr>
          <w:rFonts w:ascii="Times New Roman" w:hAnsi="Times New Roman"/>
        </w:rPr>
        <w:t xml:space="preserve">therefore </w:t>
      </w:r>
      <w:r w:rsidR="00713B9F">
        <w:rPr>
          <w:rFonts w:ascii="Times New Roman" w:hAnsi="Times New Roman"/>
        </w:rPr>
        <w:t>also assess</w:t>
      </w:r>
      <w:r w:rsidR="00727FB7">
        <w:rPr>
          <w:rFonts w:ascii="Times New Roman" w:hAnsi="Times New Roman"/>
        </w:rPr>
        <w:t>es</w:t>
      </w:r>
      <w:r w:rsidR="00570604">
        <w:rPr>
          <w:rFonts w:ascii="Times New Roman" w:hAnsi="Times New Roman"/>
        </w:rPr>
        <w:t xml:space="preserve"> the framing of </w:t>
      </w:r>
      <w:r w:rsidR="009D7165">
        <w:rPr>
          <w:rFonts w:ascii="Times New Roman" w:hAnsi="Times New Roman"/>
        </w:rPr>
        <w:t xml:space="preserve">punishment </w:t>
      </w:r>
      <w:r w:rsidR="00727D2E">
        <w:rPr>
          <w:rFonts w:ascii="Times New Roman" w:hAnsi="Times New Roman"/>
        </w:rPr>
        <w:t xml:space="preserve">as </w:t>
      </w:r>
      <w:r w:rsidR="00E416E2">
        <w:rPr>
          <w:rFonts w:ascii="Times New Roman" w:hAnsi="Times New Roman"/>
        </w:rPr>
        <w:t>set out</w:t>
      </w:r>
      <w:r w:rsidR="00727D2E">
        <w:rPr>
          <w:rFonts w:ascii="Times New Roman" w:hAnsi="Times New Roman"/>
        </w:rPr>
        <w:t xml:space="preserve"> in</w:t>
      </w:r>
      <w:r w:rsidR="00570604">
        <w:rPr>
          <w:rFonts w:ascii="Times New Roman" w:hAnsi="Times New Roman"/>
        </w:rPr>
        <w:t xml:space="preserve"> the scoping report.</w:t>
      </w:r>
    </w:p>
    <w:p w:rsidR="009632DA" w:rsidRDefault="009632DA" w:rsidP="00CC3B92">
      <w:pPr>
        <w:spacing w:line="480" w:lineRule="auto"/>
        <w:jc w:val="both"/>
        <w:rPr>
          <w:rFonts w:ascii="Times New Roman" w:hAnsi="Times New Roman"/>
        </w:rPr>
      </w:pPr>
    </w:p>
    <w:p w:rsidR="00D176DD" w:rsidRPr="00CC3B92" w:rsidRDefault="00A8369F" w:rsidP="00CC3B92">
      <w:pPr>
        <w:spacing w:line="480" w:lineRule="auto"/>
        <w:jc w:val="both"/>
        <w:rPr>
          <w:rFonts w:ascii="Times New Roman" w:hAnsi="Times New Roman"/>
        </w:rPr>
      </w:pPr>
      <w:r w:rsidRPr="00CC3B92">
        <w:rPr>
          <w:rFonts w:ascii="Times New Roman" w:hAnsi="Times New Roman"/>
        </w:rPr>
        <w:lastRenderedPageBreak/>
        <w:t xml:space="preserve">(a) </w:t>
      </w:r>
      <w:r w:rsidR="00660305">
        <w:rPr>
          <w:rFonts w:ascii="Times New Roman" w:hAnsi="Times New Roman"/>
        </w:rPr>
        <w:t>Reflecting wrongdoing</w:t>
      </w:r>
      <w:r w:rsidR="008C19AD">
        <w:rPr>
          <w:rFonts w:ascii="Times New Roman" w:hAnsi="Times New Roman"/>
        </w:rPr>
        <w:t xml:space="preserve"> #1</w:t>
      </w:r>
      <w:r w:rsidR="00B4467D" w:rsidRPr="00CC3B92">
        <w:rPr>
          <w:rFonts w:ascii="Times New Roman" w:hAnsi="Times New Roman"/>
        </w:rPr>
        <w:t xml:space="preserve">: offences 1, 2 and </w:t>
      </w:r>
      <w:r w:rsidR="00F413E6" w:rsidRPr="00CC3B92">
        <w:rPr>
          <w:rFonts w:ascii="Times New Roman" w:hAnsi="Times New Roman"/>
        </w:rPr>
        <w:t>3</w:t>
      </w:r>
    </w:p>
    <w:p w:rsidR="00453876" w:rsidRDefault="00B936B6" w:rsidP="00CC3B92">
      <w:pPr>
        <w:autoSpaceDE w:val="0"/>
        <w:autoSpaceDN w:val="0"/>
        <w:adjustRightInd w:val="0"/>
        <w:spacing w:line="480" w:lineRule="auto"/>
        <w:jc w:val="both"/>
        <w:rPr>
          <w:rFonts w:ascii="Times New Roman" w:hAnsi="Times New Roman"/>
        </w:rPr>
      </w:pPr>
      <w:r>
        <w:rPr>
          <w:rFonts w:ascii="Times New Roman" w:hAnsi="Times New Roman"/>
        </w:rPr>
        <w:t xml:space="preserve">It is noticeable that the </w:t>
      </w:r>
      <w:r w:rsidR="00C44BD5" w:rsidRPr="00CC3B92">
        <w:rPr>
          <w:rFonts w:ascii="Times New Roman" w:hAnsi="Times New Roman"/>
        </w:rPr>
        <w:t>scoping report</w:t>
      </w:r>
      <w:r w:rsidR="0085677F" w:rsidRPr="00CC3B92">
        <w:rPr>
          <w:rFonts w:ascii="Times New Roman" w:hAnsi="Times New Roman"/>
        </w:rPr>
        <w:t xml:space="preserve"> defines</w:t>
      </w:r>
      <w:r w:rsidR="00C37CD1">
        <w:rPr>
          <w:rFonts w:ascii="Times New Roman" w:hAnsi="Times New Roman"/>
        </w:rPr>
        <w:t xml:space="preserve"> offences 1, 2 and 3 according to </w:t>
      </w:r>
      <w:r w:rsidR="00001E92" w:rsidRPr="00001E92">
        <w:rPr>
          <w:rFonts w:ascii="Times New Roman" w:hAnsi="Times New Roman"/>
          <w:i/>
        </w:rPr>
        <w:t>outcome</w:t>
      </w:r>
      <w:r w:rsidR="00F20F89">
        <w:rPr>
          <w:rFonts w:ascii="Times New Roman" w:hAnsi="Times New Roman"/>
          <w:i/>
        </w:rPr>
        <w:t>s</w:t>
      </w:r>
      <w:r w:rsidR="00C37CD1">
        <w:rPr>
          <w:rFonts w:ascii="Times New Roman" w:hAnsi="Times New Roman"/>
        </w:rPr>
        <w:t xml:space="preserve">. </w:t>
      </w:r>
      <w:r w:rsidR="00FD0B3C">
        <w:rPr>
          <w:rFonts w:ascii="Times New Roman" w:hAnsi="Times New Roman"/>
        </w:rPr>
        <w:t>It</w:t>
      </w:r>
      <w:r w:rsidR="00F20F89">
        <w:rPr>
          <w:rFonts w:ascii="Times New Roman" w:hAnsi="Times New Roman"/>
        </w:rPr>
        <w:t xml:space="preserve"> </w:t>
      </w:r>
      <w:r w:rsidR="009632DA">
        <w:rPr>
          <w:rFonts w:ascii="Times New Roman" w:hAnsi="Times New Roman"/>
        </w:rPr>
        <w:t>organises</w:t>
      </w:r>
      <w:r w:rsidR="00F20F89">
        <w:rPr>
          <w:rFonts w:ascii="Times New Roman" w:hAnsi="Times New Roman"/>
        </w:rPr>
        <w:t xml:space="preserve"> these outcomes via</w:t>
      </w:r>
      <w:r w:rsidR="008B60B9" w:rsidRPr="00CC3B92">
        <w:rPr>
          <w:rFonts w:ascii="Times New Roman" w:hAnsi="Times New Roman"/>
        </w:rPr>
        <w:t xml:space="preserve"> a hierarchy of </w:t>
      </w:r>
      <w:r w:rsidR="000933AC" w:rsidRPr="00CC3B92">
        <w:rPr>
          <w:rFonts w:ascii="Times New Roman" w:hAnsi="Times New Roman"/>
          <w:i/>
        </w:rPr>
        <w:t>general</w:t>
      </w:r>
      <w:r w:rsidR="000933AC" w:rsidRPr="00CC3B92">
        <w:rPr>
          <w:rFonts w:ascii="Times New Roman" w:hAnsi="Times New Roman"/>
        </w:rPr>
        <w:t xml:space="preserve"> </w:t>
      </w:r>
      <w:r w:rsidR="006826E1">
        <w:rPr>
          <w:rFonts w:ascii="Times New Roman" w:hAnsi="Times New Roman"/>
        </w:rPr>
        <w:t>harms</w:t>
      </w:r>
      <w:r w:rsidR="008B60B9" w:rsidRPr="00CC3B92">
        <w:rPr>
          <w:rFonts w:ascii="Times New Roman" w:hAnsi="Times New Roman"/>
        </w:rPr>
        <w:t xml:space="preserve">. </w:t>
      </w:r>
      <w:r w:rsidR="00001E92">
        <w:rPr>
          <w:rFonts w:ascii="Times New Roman" w:hAnsi="Times New Roman"/>
        </w:rPr>
        <w:t>O</w:t>
      </w:r>
      <w:r w:rsidR="00B4467D" w:rsidRPr="00CC3B92">
        <w:rPr>
          <w:rFonts w:ascii="Times New Roman" w:hAnsi="Times New Roman"/>
        </w:rPr>
        <w:t>ffences 1 and 2</w:t>
      </w:r>
      <w:r w:rsidR="0099093B" w:rsidRPr="00CC3B92">
        <w:rPr>
          <w:rFonts w:ascii="Times New Roman" w:hAnsi="Times New Roman"/>
        </w:rPr>
        <w:t xml:space="preserve"> prohibit </w:t>
      </w:r>
      <w:r w:rsidR="008B60B9" w:rsidRPr="00CC3B92">
        <w:rPr>
          <w:rFonts w:ascii="Times New Roman" w:hAnsi="Times New Roman"/>
        </w:rPr>
        <w:t xml:space="preserve">“serious injury” </w:t>
      </w:r>
      <w:r w:rsidR="00C80F56" w:rsidRPr="00CC3B92">
        <w:rPr>
          <w:rFonts w:ascii="Times New Roman" w:hAnsi="Times New Roman"/>
        </w:rPr>
        <w:t>– this replacing</w:t>
      </w:r>
      <w:r w:rsidR="008B60B9" w:rsidRPr="00CC3B92">
        <w:rPr>
          <w:rFonts w:ascii="Times New Roman" w:hAnsi="Times New Roman"/>
        </w:rPr>
        <w:t xml:space="preserve"> </w:t>
      </w:r>
      <w:r w:rsidR="0085677F" w:rsidRPr="00CC3B92">
        <w:rPr>
          <w:rFonts w:ascii="Times New Roman" w:hAnsi="Times New Roman"/>
        </w:rPr>
        <w:t>“</w:t>
      </w:r>
      <w:r w:rsidR="008B60B9" w:rsidRPr="00CC3B92">
        <w:rPr>
          <w:rFonts w:ascii="Times New Roman" w:hAnsi="Times New Roman"/>
        </w:rPr>
        <w:t>wounding</w:t>
      </w:r>
      <w:r w:rsidR="0085677F" w:rsidRPr="00CC3B92">
        <w:rPr>
          <w:rFonts w:ascii="Times New Roman" w:hAnsi="Times New Roman"/>
        </w:rPr>
        <w:t>”</w:t>
      </w:r>
      <w:r w:rsidR="008B60B9" w:rsidRPr="00CC3B92">
        <w:rPr>
          <w:rFonts w:ascii="Times New Roman" w:hAnsi="Times New Roman"/>
        </w:rPr>
        <w:t xml:space="preserve"> and </w:t>
      </w:r>
      <w:r w:rsidR="0085677F" w:rsidRPr="00CC3B92">
        <w:rPr>
          <w:rFonts w:ascii="Times New Roman" w:hAnsi="Times New Roman"/>
        </w:rPr>
        <w:t>“</w:t>
      </w:r>
      <w:r w:rsidR="008B60B9" w:rsidRPr="00CC3B92">
        <w:rPr>
          <w:rFonts w:ascii="Times New Roman" w:hAnsi="Times New Roman"/>
        </w:rPr>
        <w:t>GBH</w:t>
      </w:r>
      <w:r w:rsidR="0085677F" w:rsidRPr="00CC3B92">
        <w:rPr>
          <w:rFonts w:ascii="Times New Roman" w:hAnsi="Times New Roman"/>
        </w:rPr>
        <w:t>”</w:t>
      </w:r>
      <w:r w:rsidR="008B60B9" w:rsidRPr="00CC3B92">
        <w:rPr>
          <w:rFonts w:ascii="Times New Roman" w:hAnsi="Times New Roman"/>
        </w:rPr>
        <w:t xml:space="preserve"> </w:t>
      </w:r>
      <w:r w:rsidR="0085677F" w:rsidRPr="00CC3B92">
        <w:rPr>
          <w:rFonts w:ascii="Times New Roman" w:hAnsi="Times New Roman"/>
        </w:rPr>
        <w:t>in</w:t>
      </w:r>
      <w:r w:rsidR="008B60B9" w:rsidRPr="00CC3B92">
        <w:rPr>
          <w:rFonts w:ascii="Times New Roman" w:hAnsi="Times New Roman"/>
        </w:rPr>
        <w:t xml:space="preserve"> ss.18 and 20. </w:t>
      </w:r>
      <w:r w:rsidR="0009743D" w:rsidRPr="00CC3B92">
        <w:rPr>
          <w:rFonts w:ascii="Times New Roman" w:hAnsi="Times New Roman"/>
        </w:rPr>
        <w:t>The removal of wounding as a</w:t>
      </w:r>
      <w:r w:rsidR="00277161" w:rsidRPr="00CC3B92">
        <w:rPr>
          <w:rFonts w:ascii="Times New Roman" w:hAnsi="Times New Roman"/>
        </w:rPr>
        <w:t xml:space="preserve"> </w:t>
      </w:r>
      <w:r w:rsidR="001A25DC" w:rsidRPr="00CC3B92">
        <w:rPr>
          <w:rFonts w:ascii="Times New Roman" w:hAnsi="Times New Roman"/>
        </w:rPr>
        <w:t>specific</w:t>
      </w:r>
      <w:r w:rsidR="0009743D" w:rsidRPr="00CC3B92">
        <w:rPr>
          <w:rFonts w:ascii="Times New Roman" w:hAnsi="Times New Roman"/>
        </w:rPr>
        <w:t xml:space="preserve"> </w:t>
      </w:r>
      <w:r w:rsidR="00A8436E" w:rsidRPr="00CC3B92">
        <w:rPr>
          <w:rFonts w:ascii="Times New Roman" w:hAnsi="Times New Roman"/>
        </w:rPr>
        <w:t xml:space="preserve">harm </w:t>
      </w:r>
      <w:r w:rsidR="00C80F56" w:rsidRPr="00CC3B92">
        <w:rPr>
          <w:rFonts w:ascii="Times New Roman" w:hAnsi="Times New Roman"/>
          <w:i/>
        </w:rPr>
        <w:t>type</w:t>
      </w:r>
      <w:r w:rsidR="00C80F56" w:rsidRPr="00CC3B92">
        <w:rPr>
          <w:rFonts w:ascii="Times New Roman" w:hAnsi="Times New Roman"/>
        </w:rPr>
        <w:t xml:space="preserve"> </w:t>
      </w:r>
      <w:r w:rsidR="0009743D" w:rsidRPr="00CC3B92">
        <w:rPr>
          <w:rFonts w:ascii="Times New Roman" w:hAnsi="Times New Roman"/>
        </w:rPr>
        <w:t>(and the retention of GBH as</w:t>
      </w:r>
      <w:r w:rsidR="00A87A0F" w:rsidRPr="00CC3B92">
        <w:rPr>
          <w:rFonts w:ascii="Times New Roman" w:hAnsi="Times New Roman"/>
        </w:rPr>
        <w:t xml:space="preserve"> a </w:t>
      </w:r>
      <w:r w:rsidR="001A25DC" w:rsidRPr="00CC3B92">
        <w:rPr>
          <w:rFonts w:ascii="Times New Roman" w:hAnsi="Times New Roman"/>
          <w:i/>
        </w:rPr>
        <w:t>non</w:t>
      </w:r>
      <w:r w:rsidR="001A25DC" w:rsidRPr="00CC3B92">
        <w:rPr>
          <w:rFonts w:ascii="Times New Roman" w:hAnsi="Times New Roman"/>
        </w:rPr>
        <w:t>-specific</w:t>
      </w:r>
      <w:r w:rsidR="002635FB">
        <w:rPr>
          <w:rFonts w:ascii="Times New Roman" w:hAnsi="Times New Roman"/>
        </w:rPr>
        <w:t xml:space="preserve"> outcome – now </w:t>
      </w:r>
      <w:r w:rsidR="00A87A0F" w:rsidRPr="00CC3B92">
        <w:rPr>
          <w:rFonts w:ascii="Times New Roman" w:hAnsi="Times New Roman"/>
        </w:rPr>
        <w:t>rephrased as</w:t>
      </w:r>
      <w:r w:rsidR="0009743D" w:rsidRPr="00CC3B92">
        <w:rPr>
          <w:rFonts w:ascii="Times New Roman" w:hAnsi="Times New Roman"/>
        </w:rPr>
        <w:t xml:space="preserve"> </w:t>
      </w:r>
      <w:r w:rsidR="00A87A0F" w:rsidRPr="00CC3B92">
        <w:rPr>
          <w:rFonts w:ascii="Times New Roman" w:hAnsi="Times New Roman"/>
        </w:rPr>
        <w:t>“</w:t>
      </w:r>
      <w:r w:rsidR="0009743D" w:rsidRPr="00CC3B92">
        <w:rPr>
          <w:rFonts w:ascii="Times New Roman" w:hAnsi="Times New Roman"/>
        </w:rPr>
        <w:t>serious injury</w:t>
      </w:r>
      <w:r w:rsidR="00A87A0F" w:rsidRPr="00CC3B92">
        <w:rPr>
          <w:rFonts w:ascii="Times New Roman" w:hAnsi="Times New Roman"/>
        </w:rPr>
        <w:t>”</w:t>
      </w:r>
      <w:r w:rsidR="0009743D" w:rsidRPr="00CC3B92">
        <w:rPr>
          <w:rFonts w:ascii="Times New Roman" w:hAnsi="Times New Roman"/>
        </w:rPr>
        <w:t xml:space="preserve">) </w:t>
      </w:r>
      <w:r w:rsidR="00FA52C7" w:rsidRPr="00CC3B92">
        <w:rPr>
          <w:rFonts w:ascii="Times New Roman" w:hAnsi="Times New Roman"/>
        </w:rPr>
        <w:t>affirms</w:t>
      </w:r>
      <w:r w:rsidR="0009743D" w:rsidRPr="00CC3B92">
        <w:rPr>
          <w:rFonts w:ascii="Times New Roman" w:hAnsi="Times New Roman"/>
        </w:rPr>
        <w:t xml:space="preserve"> </w:t>
      </w:r>
      <w:r w:rsidR="00FF3E9F" w:rsidRPr="00CC3B92">
        <w:rPr>
          <w:rFonts w:ascii="Times New Roman" w:hAnsi="Times New Roman"/>
        </w:rPr>
        <w:t>the</w:t>
      </w:r>
      <w:r w:rsidR="00A87A0F" w:rsidRPr="00CC3B92">
        <w:rPr>
          <w:rFonts w:ascii="Times New Roman" w:hAnsi="Times New Roman"/>
        </w:rPr>
        <w:t xml:space="preserve"> </w:t>
      </w:r>
      <w:r w:rsidR="001A25DC" w:rsidRPr="00CC3B92">
        <w:rPr>
          <w:rFonts w:ascii="Times New Roman" w:hAnsi="Times New Roman"/>
        </w:rPr>
        <w:t>focus on</w:t>
      </w:r>
      <w:r w:rsidR="00A87A0F" w:rsidRPr="00CC3B92">
        <w:rPr>
          <w:rFonts w:ascii="Times New Roman" w:hAnsi="Times New Roman"/>
        </w:rPr>
        <w:t xml:space="preserve"> </w:t>
      </w:r>
      <w:r w:rsidR="00FA52C7" w:rsidRPr="00CC3B92">
        <w:rPr>
          <w:rFonts w:ascii="Times New Roman" w:hAnsi="Times New Roman"/>
        </w:rPr>
        <w:t>general</w:t>
      </w:r>
      <w:r w:rsidR="00A87A0F" w:rsidRPr="00CC3B92">
        <w:rPr>
          <w:rFonts w:ascii="Times New Roman" w:hAnsi="Times New Roman"/>
        </w:rPr>
        <w:t xml:space="preserve"> </w:t>
      </w:r>
      <w:r w:rsidR="00FA52C7" w:rsidRPr="00CC3B92">
        <w:rPr>
          <w:rFonts w:ascii="Times New Roman" w:hAnsi="Times New Roman"/>
        </w:rPr>
        <w:t>harm</w:t>
      </w:r>
      <w:r w:rsidR="0009743D" w:rsidRPr="00CC3B92">
        <w:rPr>
          <w:rFonts w:ascii="Times New Roman" w:hAnsi="Times New Roman"/>
        </w:rPr>
        <w:t>.</w:t>
      </w:r>
      <w:r w:rsidR="008F31E4" w:rsidRPr="00CC3B92">
        <w:rPr>
          <w:rFonts w:ascii="Times New Roman" w:hAnsi="Times New Roman"/>
        </w:rPr>
        <w:t xml:space="preserve"> </w:t>
      </w:r>
      <w:r w:rsidR="009E3888" w:rsidRPr="00CC3B92">
        <w:rPr>
          <w:rFonts w:ascii="Times New Roman" w:hAnsi="Times New Roman"/>
        </w:rPr>
        <w:t xml:space="preserve">Moreover, it </w:t>
      </w:r>
      <w:r w:rsidR="001D5620" w:rsidRPr="00CC3B92">
        <w:rPr>
          <w:rFonts w:ascii="Times New Roman" w:hAnsi="Times New Roman"/>
        </w:rPr>
        <w:t>signals</w:t>
      </w:r>
      <w:r w:rsidR="00453876">
        <w:rPr>
          <w:rFonts w:ascii="Times New Roman" w:hAnsi="Times New Roman"/>
        </w:rPr>
        <w:t xml:space="preserve"> that wounding</w:t>
      </w:r>
      <w:r w:rsidR="009E3888" w:rsidRPr="00CC3B92">
        <w:rPr>
          <w:rFonts w:ascii="Times New Roman" w:hAnsi="Times New Roman"/>
        </w:rPr>
        <w:t xml:space="preserve"> no longer prima facie </w:t>
      </w:r>
      <w:r w:rsidR="009D7165">
        <w:rPr>
          <w:rFonts w:ascii="Times New Roman" w:hAnsi="Times New Roman"/>
        </w:rPr>
        <w:t>fits</w:t>
      </w:r>
      <w:r w:rsidR="009E3888" w:rsidRPr="00CC3B92">
        <w:rPr>
          <w:rFonts w:ascii="Times New Roman" w:hAnsi="Times New Roman"/>
        </w:rPr>
        <w:t xml:space="preserve"> </w:t>
      </w:r>
      <w:r w:rsidR="009D7165">
        <w:rPr>
          <w:rFonts w:ascii="Times New Roman" w:hAnsi="Times New Roman"/>
        </w:rPr>
        <w:t>under</w:t>
      </w:r>
      <w:r w:rsidR="009E3888" w:rsidRPr="00CC3B92">
        <w:rPr>
          <w:rFonts w:ascii="Times New Roman" w:hAnsi="Times New Roman"/>
        </w:rPr>
        <w:t xml:space="preserve"> the two most serious </w:t>
      </w:r>
      <w:r w:rsidR="001E38C8" w:rsidRPr="00CC3B92">
        <w:rPr>
          <w:rFonts w:ascii="Times New Roman" w:hAnsi="Times New Roman"/>
        </w:rPr>
        <w:t>crimes</w:t>
      </w:r>
      <w:r w:rsidR="009E3888" w:rsidRPr="00CC3B92">
        <w:rPr>
          <w:rFonts w:ascii="Times New Roman" w:hAnsi="Times New Roman"/>
        </w:rPr>
        <w:t xml:space="preserve">. This </w:t>
      </w:r>
      <w:r w:rsidR="0009743D" w:rsidRPr="00CC3B92">
        <w:rPr>
          <w:rFonts w:ascii="Times New Roman" w:hAnsi="Times New Roman"/>
        </w:rPr>
        <w:t xml:space="preserve">formalises the </w:t>
      </w:r>
      <w:r w:rsidR="00FC078D" w:rsidRPr="00CC3B92">
        <w:rPr>
          <w:rFonts w:ascii="Times New Roman" w:hAnsi="Times New Roman"/>
        </w:rPr>
        <w:t xml:space="preserve">fair labelling </w:t>
      </w:r>
      <w:r w:rsidR="0009743D" w:rsidRPr="00CC3B92">
        <w:rPr>
          <w:rFonts w:ascii="Times New Roman" w:hAnsi="Times New Roman"/>
        </w:rPr>
        <w:t xml:space="preserve">practice of </w:t>
      </w:r>
      <w:r w:rsidR="0092279A" w:rsidRPr="00CC3B92">
        <w:rPr>
          <w:rFonts w:ascii="Times New Roman" w:hAnsi="Times New Roman"/>
        </w:rPr>
        <w:t>charging</w:t>
      </w:r>
      <w:r w:rsidR="004F2454" w:rsidRPr="00CC3B92">
        <w:rPr>
          <w:rFonts w:ascii="Times New Roman" w:hAnsi="Times New Roman"/>
        </w:rPr>
        <w:t xml:space="preserve"> </w:t>
      </w:r>
      <w:r w:rsidR="00A87A0F" w:rsidRPr="00CC3B92">
        <w:rPr>
          <w:rFonts w:ascii="Times New Roman" w:hAnsi="Times New Roman"/>
        </w:rPr>
        <w:t>wound</w:t>
      </w:r>
      <w:r w:rsidR="00E35747" w:rsidRPr="00CC3B92">
        <w:rPr>
          <w:rFonts w:ascii="Times New Roman" w:hAnsi="Times New Roman"/>
        </w:rPr>
        <w:t xml:space="preserve">s under </w:t>
      </w:r>
      <w:r w:rsidR="008F31E4" w:rsidRPr="00CC3B92">
        <w:rPr>
          <w:rFonts w:ascii="Times New Roman" w:hAnsi="Times New Roman"/>
        </w:rPr>
        <w:t xml:space="preserve">the most </w:t>
      </w:r>
      <w:r w:rsidR="00453876">
        <w:rPr>
          <w:rFonts w:ascii="Times New Roman" w:hAnsi="Times New Roman"/>
        </w:rPr>
        <w:t>appropriate</w:t>
      </w:r>
      <w:r w:rsidR="00C27892">
        <w:rPr>
          <w:rFonts w:ascii="Times New Roman" w:hAnsi="Times New Roman"/>
        </w:rPr>
        <w:t xml:space="preserve"> offence available</w:t>
      </w:r>
      <w:r w:rsidR="0092279A" w:rsidRPr="00CC3B92">
        <w:rPr>
          <w:rFonts w:ascii="Times New Roman" w:hAnsi="Times New Roman"/>
        </w:rPr>
        <w:t>.</w:t>
      </w:r>
      <w:r w:rsidR="00B4467D" w:rsidRPr="00CC3B92">
        <w:rPr>
          <w:rFonts w:ascii="Times New Roman" w:hAnsi="Times New Roman"/>
        </w:rPr>
        <w:t xml:space="preserve"> </w:t>
      </w:r>
      <w:r w:rsidR="00C27892">
        <w:rPr>
          <w:rFonts w:ascii="Times New Roman" w:hAnsi="Times New Roman"/>
        </w:rPr>
        <w:t>Lower down the scale</w:t>
      </w:r>
      <w:r w:rsidR="00B4467D" w:rsidRPr="00CC3B92">
        <w:rPr>
          <w:rFonts w:ascii="Times New Roman" w:hAnsi="Times New Roman"/>
        </w:rPr>
        <w:t>, offence 3</w:t>
      </w:r>
      <w:r w:rsidR="009E3053" w:rsidRPr="00CC3B92">
        <w:rPr>
          <w:rFonts w:ascii="Times New Roman" w:hAnsi="Times New Roman"/>
        </w:rPr>
        <w:t xml:space="preserve"> </w:t>
      </w:r>
      <w:r w:rsidR="008102FB" w:rsidRPr="00CC3B92">
        <w:rPr>
          <w:rFonts w:ascii="Times New Roman" w:hAnsi="Times New Roman"/>
        </w:rPr>
        <w:t>retains</w:t>
      </w:r>
      <w:r w:rsidR="009E3053" w:rsidRPr="00CC3B92">
        <w:rPr>
          <w:rFonts w:ascii="Times New Roman" w:hAnsi="Times New Roman"/>
        </w:rPr>
        <w:t xml:space="preserve"> ABH as a general outcome</w:t>
      </w:r>
      <w:r w:rsidR="008102FB" w:rsidRPr="00CC3B92">
        <w:rPr>
          <w:rFonts w:ascii="Times New Roman" w:hAnsi="Times New Roman"/>
        </w:rPr>
        <w:t xml:space="preserve"> – </w:t>
      </w:r>
      <w:r w:rsidR="00F86F60">
        <w:rPr>
          <w:rFonts w:ascii="Times New Roman" w:hAnsi="Times New Roman"/>
        </w:rPr>
        <w:t xml:space="preserve">now </w:t>
      </w:r>
      <w:r w:rsidR="008102FB" w:rsidRPr="00CC3B92">
        <w:rPr>
          <w:rFonts w:ascii="Times New Roman" w:hAnsi="Times New Roman"/>
        </w:rPr>
        <w:t>reworded</w:t>
      </w:r>
      <w:r w:rsidR="00213717">
        <w:rPr>
          <w:rFonts w:ascii="Times New Roman" w:hAnsi="Times New Roman"/>
        </w:rPr>
        <w:t xml:space="preserve"> as “injury”. This reinforces</w:t>
      </w:r>
      <w:r w:rsidR="008102FB" w:rsidRPr="00CC3B92">
        <w:rPr>
          <w:rFonts w:ascii="Times New Roman" w:hAnsi="Times New Roman"/>
        </w:rPr>
        <w:t xml:space="preserve"> </w:t>
      </w:r>
      <w:r w:rsidR="00277161" w:rsidRPr="00CC3B92">
        <w:rPr>
          <w:rFonts w:ascii="Times New Roman" w:hAnsi="Times New Roman"/>
        </w:rPr>
        <w:t xml:space="preserve">the </w:t>
      </w:r>
      <w:r w:rsidR="008102FB" w:rsidRPr="00CC3B92">
        <w:rPr>
          <w:rFonts w:ascii="Times New Roman" w:hAnsi="Times New Roman"/>
        </w:rPr>
        <w:t>focus</w:t>
      </w:r>
      <w:r w:rsidR="00E35747" w:rsidRPr="00CC3B92">
        <w:rPr>
          <w:rFonts w:ascii="Times New Roman" w:hAnsi="Times New Roman"/>
        </w:rPr>
        <w:t xml:space="preserve"> on </w:t>
      </w:r>
      <w:r w:rsidR="00277161" w:rsidRPr="00CC3B92">
        <w:rPr>
          <w:rFonts w:ascii="Times New Roman" w:hAnsi="Times New Roman"/>
        </w:rPr>
        <w:t xml:space="preserve">general </w:t>
      </w:r>
      <w:r w:rsidR="001A25DC" w:rsidRPr="00CC3B92">
        <w:rPr>
          <w:rFonts w:ascii="Times New Roman" w:hAnsi="Times New Roman"/>
        </w:rPr>
        <w:t>harm</w:t>
      </w:r>
      <w:r w:rsidR="00277161" w:rsidRPr="00CC3B92">
        <w:rPr>
          <w:rFonts w:ascii="Times New Roman" w:hAnsi="Times New Roman"/>
        </w:rPr>
        <w:t xml:space="preserve"> yet more. </w:t>
      </w:r>
      <w:r w:rsidR="00C31949">
        <w:rPr>
          <w:rFonts w:ascii="Times New Roman" w:hAnsi="Times New Roman"/>
        </w:rPr>
        <w:t xml:space="preserve">Additionally, </w:t>
      </w:r>
      <w:r w:rsidR="00F86F60">
        <w:rPr>
          <w:rFonts w:ascii="Times New Roman" w:hAnsi="Times New Roman"/>
        </w:rPr>
        <w:t xml:space="preserve">offence 3 removes </w:t>
      </w:r>
      <w:r w:rsidR="00C31949">
        <w:rPr>
          <w:rFonts w:ascii="Times New Roman" w:hAnsi="Times New Roman"/>
        </w:rPr>
        <w:t>t</w:t>
      </w:r>
      <w:r w:rsidR="006D2E2F" w:rsidRPr="00CC3B92">
        <w:rPr>
          <w:rFonts w:ascii="Times New Roman" w:hAnsi="Times New Roman"/>
        </w:rPr>
        <w:t>he requirement fo</w:t>
      </w:r>
      <w:r w:rsidR="00F86F60">
        <w:rPr>
          <w:rFonts w:ascii="Times New Roman" w:hAnsi="Times New Roman"/>
        </w:rPr>
        <w:t>r an initial assault or battery</w:t>
      </w:r>
      <w:r w:rsidR="006D2E2F" w:rsidRPr="00CC3B92">
        <w:rPr>
          <w:rFonts w:ascii="Times New Roman" w:hAnsi="Times New Roman"/>
        </w:rPr>
        <w:t xml:space="preserve">. </w:t>
      </w:r>
    </w:p>
    <w:p w:rsidR="00453876" w:rsidRDefault="00453876" w:rsidP="00CC3B92">
      <w:pPr>
        <w:autoSpaceDE w:val="0"/>
        <w:autoSpaceDN w:val="0"/>
        <w:adjustRightInd w:val="0"/>
        <w:spacing w:line="480" w:lineRule="auto"/>
        <w:jc w:val="both"/>
        <w:rPr>
          <w:rFonts w:ascii="Times New Roman" w:hAnsi="Times New Roman"/>
        </w:rPr>
      </w:pPr>
    </w:p>
    <w:p w:rsidR="006B03A9" w:rsidRDefault="00F30468" w:rsidP="00CC3B92">
      <w:pPr>
        <w:autoSpaceDE w:val="0"/>
        <w:autoSpaceDN w:val="0"/>
        <w:adjustRightInd w:val="0"/>
        <w:spacing w:line="480" w:lineRule="auto"/>
        <w:jc w:val="both"/>
        <w:rPr>
          <w:rFonts w:ascii="Times New Roman" w:hAnsi="Times New Roman"/>
        </w:rPr>
      </w:pPr>
      <w:r w:rsidRPr="00CC3B92">
        <w:rPr>
          <w:rFonts w:ascii="Times New Roman" w:hAnsi="Times New Roman"/>
        </w:rPr>
        <w:t>The modernisation of language in the form of “serious injury” and “injury”, along with the removal of words like “inflict”</w:t>
      </w:r>
      <w:r w:rsidR="005E1B30" w:rsidRPr="00CC3B92">
        <w:rPr>
          <w:rFonts w:ascii="Times New Roman" w:hAnsi="Times New Roman"/>
        </w:rPr>
        <w:t xml:space="preserve">, “bodily” and </w:t>
      </w:r>
      <w:r w:rsidRPr="00CC3B92">
        <w:rPr>
          <w:rFonts w:ascii="Times New Roman" w:hAnsi="Times New Roman"/>
        </w:rPr>
        <w:t xml:space="preserve">“occasioning”, </w:t>
      </w:r>
      <w:r w:rsidR="00D775FE">
        <w:rPr>
          <w:rFonts w:ascii="Times New Roman" w:hAnsi="Times New Roman"/>
        </w:rPr>
        <w:t xml:space="preserve">represents an important updating </w:t>
      </w:r>
      <w:r w:rsidRPr="00CC3B92">
        <w:rPr>
          <w:rFonts w:ascii="Times New Roman" w:hAnsi="Times New Roman"/>
        </w:rPr>
        <w:t xml:space="preserve">of </w:t>
      </w:r>
      <w:r w:rsidR="009E3888" w:rsidRPr="00CC3B92">
        <w:rPr>
          <w:rFonts w:ascii="Times New Roman" w:hAnsi="Times New Roman"/>
        </w:rPr>
        <w:t>relevant</w:t>
      </w:r>
      <w:r w:rsidRPr="00CC3B92">
        <w:rPr>
          <w:rFonts w:ascii="Times New Roman" w:hAnsi="Times New Roman"/>
        </w:rPr>
        <w:t xml:space="preserve"> terms. </w:t>
      </w:r>
      <w:r w:rsidR="00346358" w:rsidRPr="00CC3B92">
        <w:rPr>
          <w:rFonts w:ascii="Times New Roman" w:hAnsi="Times New Roman"/>
        </w:rPr>
        <w:t xml:space="preserve">To be sure, “serious injury” and “injury” are readily understandable to the public </w:t>
      </w:r>
      <w:r w:rsidR="006E6BB1" w:rsidRPr="00CC3B92">
        <w:rPr>
          <w:rFonts w:ascii="Times New Roman" w:hAnsi="Times New Roman"/>
        </w:rPr>
        <w:t>as descriptions of harm.</w:t>
      </w:r>
      <w:r w:rsidR="00936994" w:rsidRPr="00CC3B92">
        <w:rPr>
          <w:rStyle w:val="FootnoteReference"/>
          <w:rFonts w:ascii="Times New Roman" w:hAnsi="Times New Roman"/>
        </w:rPr>
        <w:footnoteReference w:id="99"/>
      </w:r>
      <w:r w:rsidR="00936994" w:rsidRPr="00CC3B92">
        <w:rPr>
          <w:rFonts w:ascii="Times New Roman" w:hAnsi="Times New Roman"/>
        </w:rPr>
        <w:t xml:space="preserve"> </w:t>
      </w:r>
      <w:r w:rsidR="00755EDD">
        <w:rPr>
          <w:rFonts w:ascii="Times New Roman" w:hAnsi="Times New Roman"/>
        </w:rPr>
        <w:t>Like</w:t>
      </w:r>
      <w:r w:rsidR="00346358" w:rsidRPr="00CC3B92">
        <w:rPr>
          <w:rFonts w:ascii="Times New Roman" w:hAnsi="Times New Roman"/>
        </w:rPr>
        <w:t xml:space="preserve"> </w:t>
      </w:r>
      <w:r w:rsidR="00887833" w:rsidRPr="00CC3B92">
        <w:rPr>
          <w:rFonts w:ascii="Times New Roman" w:hAnsi="Times New Roman"/>
        </w:rPr>
        <w:t xml:space="preserve">“wounding”, </w:t>
      </w:r>
      <w:r w:rsidR="00346358" w:rsidRPr="00CC3B92">
        <w:rPr>
          <w:rFonts w:ascii="Times New Roman" w:hAnsi="Times New Roman"/>
        </w:rPr>
        <w:t xml:space="preserve">“grievous bodily harm” and “actual bodily harm”, </w:t>
      </w:r>
      <w:r w:rsidR="00936994" w:rsidRPr="00CC3B92">
        <w:rPr>
          <w:rFonts w:ascii="Times New Roman" w:hAnsi="Times New Roman"/>
        </w:rPr>
        <w:t>they</w:t>
      </w:r>
      <w:r w:rsidR="00DF1F50" w:rsidRPr="00CC3B92">
        <w:rPr>
          <w:rFonts w:ascii="Times New Roman" w:hAnsi="Times New Roman"/>
        </w:rPr>
        <w:t xml:space="preserve"> are condemnatory </w:t>
      </w:r>
      <w:r w:rsidR="00490AA9" w:rsidRPr="00CC3B92">
        <w:rPr>
          <w:rFonts w:ascii="Times New Roman" w:hAnsi="Times New Roman"/>
        </w:rPr>
        <w:t xml:space="preserve">in tone, </w:t>
      </w:r>
      <w:r w:rsidR="001753D6">
        <w:rPr>
          <w:rFonts w:ascii="Times New Roman" w:hAnsi="Times New Roman"/>
        </w:rPr>
        <w:t>conveying</w:t>
      </w:r>
      <w:r w:rsidR="00346358" w:rsidRPr="00CC3B92">
        <w:rPr>
          <w:rFonts w:ascii="Times New Roman" w:hAnsi="Times New Roman"/>
        </w:rPr>
        <w:t xml:space="preserve"> </w:t>
      </w:r>
      <w:r w:rsidR="00E33552">
        <w:rPr>
          <w:rFonts w:ascii="Times New Roman" w:hAnsi="Times New Roman"/>
        </w:rPr>
        <w:t xml:space="preserve">the </w:t>
      </w:r>
      <w:r w:rsidR="00E87FA6">
        <w:rPr>
          <w:rFonts w:ascii="Times New Roman" w:hAnsi="Times New Roman"/>
        </w:rPr>
        <w:t>idea</w:t>
      </w:r>
      <w:r w:rsidR="00E33552">
        <w:rPr>
          <w:rFonts w:ascii="Times New Roman" w:hAnsi="Times New Roman"/>
        </w:rPr>
        <w:t xml:space="preserve"> </w:t>
      </w:r>
      <w:r w:rsidR="00213717">
        <w:rPr>
          <w:rFonts w:ascii="Times New Roman" w:hAnsi="Times New Roman"/>
        </w:rPr>
        <w:t xml:space="preserve">that </w:t>
      </w:r>
      <w:r w:rsidR="003E7834">
        <w:rPr>
          <w:rFonts w:ascii="Times New Roman" w:hAnsi="Times New Roman"/>
        </w:rPr>
        <w:t xml:space="preserve">it </w:t>
      </w:r>
      <w:r w:rsidR="00213717">
        <w:rPr>
          <w:rFonts w:ascii="Times New Roman" w:hAnsi="Times New Roman"/>
        </w:rPr>
        <w:t xml:space="preserve">is wrong – and illegal – to cause </w:t>
      </w:r>
      <w:r w:rsidR="001753D6">
        <w:rPr>
          <w:rFonts w:ascii="Times New Roman" w:hAnsi="Times New Roman"/>
        </w:rPr>
        <w:t>such</w:t>
      </w:r>
      <w:r w:rsidR="00346358" w:rsidRPr="00CC3B92">
        <w:rPr>
          <w:rFonts w:ascii="Times New Roman" w:hAnsi="Times New Roman"/>
        </w:rPr>
        <w:t xml:space="preserve"> </w:t>
      </w:r>
      <w:r w:rsidR="006E6BB1" w:rsidRPr="00CC3B92">
        <w:rPr>
          <w:rFonts w:ascii="Times New Roman" w:hAnsi="Times New Roman"/>
        </w:rPr>
        <w:t xml:space="preserve">outcomes. </w:t>
      </w:r>
      <w:r w:rsidR="00140B0D">
        <w:rPr>
          <w:rFonts w:ascii="Times New Roman" w:hAnsi="Times New Roman"/>
        </w:rPr>
        <w:t>This</w:t>
      </w:r>
      <w:r w:rsidR="004E41F7">
        <w:rPr>
          <w:rFonts w:ascii="Times New Roman" w:hAnsi="Times New Roman"/>
        </w:rPr>
        <w:t xml:space="preserve"> </w:t>
      </w:r>
      <w:r w:rsidR="009C0627">
        <w:rPr>
          <w:rFonts w:ascii="Times New Roman" w:hAnsi="Times New Roman"/>
        </w:rPr>
        <w:t>recognition</w:t>
      </w:r>
      <w:r w:rsidR="004E41F7">
        <w:rPr>
          <w:rFonts w:ascii="Times New Roman" w:hAnsi="Times New Roman"/>
        </w:rPr>
        <w:t xml:space="preserve"> of the actual harm caused</w:t>
      </w:r>
      <w:r w:rsidR="00140B0D">
        <w:rPr>
          <w:rFonts w:ascii="Times New Roman" w:hAnsi="Times New Roman"/>
        </w:rPr>
        <w:t xml:space="preserve"> is particularly important for the victims of these offences. </w:t>
      </w:r>
      <w:r w:rsidR="007C79C4" w:rsidRPr="00CC3B92">
        <w:rPr>
          <w:rFonts w:ascii="Times New Roman" w:hAnsi="Times New Roman"/>
        </w:rPr>
        <w:t>Nonetheless, some might lament the loss of the</w:t>
      </w:r>
      <w:r w:rsidR="001753D6">
        <w:rPr>
          <w:rFonts w:ascii="Times New Roman" w:hAnsi="Times New Roman"/>
        </w:rPr>
        <w:t xml:space="preserve"> current </w:t>
      </w:r>
      <w:r w:rsidR="00001E92">
        <w:rPr>
          <w:rFonts w:ascii="Times New Roman" w:hAnsi="Times New Roman"/>
        </w:rPr>
        <w:t>harm</w:t>
      </w:r>
      <w:r w:rsidR="001753D6">
        <w:rPr>
          <w:rFonts w:ascii="Times New Roman" w:hAnsi="Times New Roman"/>
        </w:rPr>
        <w:t xml:space="preserve"> descriptions for the</w:t>
      </w:r>
      <w:r w:rsidR="007C79C4" w:rsidRPr="00CC3B92">
        <w:rPr>
          <w:rFonts w:ascii="Times New Roman" w:hAnsi="Times New Roman"/>
        </w:rPr>
        <w:t xml:space="preserve"> </w:t>
      </w:r>
      <w:r w:rsidR="001753D6" w:rsidRPr="00CC3B92">
        <w:rPr>
          <w:rFonts w:ascii="Times New Roman" w:hAnsi="Times New Roman"/>
          <w:i/>
        </w:rPr>
        <w:t>moral</w:t>
      </w:r>
      <w:r w:rsidR="001753D6" w:rsidRPr="00CC3B92">
        <w:rPr>
          <w:rFonts w:ascii="Times New Roman" w:hAnsi="Times New Roman"/>
        </w:rPr>
        <w:t xml:space="preserve"> resonance </w:t>
      </w:r>
      <w:r w:rsidR="001753D6">
        <w:rPr>
          <w:rFonts w:ascii="Times New Roman" w:hAnsi="Times New Roman"/>
        </w:rPr>
        <w:t>they</w:t>
      </w:r>
      <w:r w:rsidR="007C79C4" w:rsidRPr="00CC3B92">
        <w:rPr>
          <w:rFonts w:ascii="Times New Roman" w:hAnsi="Times New Roman"/>
        </w:rPr>
        <w:t xml:space="preserve"> </w:t>
      </w:r>
      <w:r w:rsidR="003E7834">
        <w:rPr>
          <w:rFonts w:ascii="Times New Roman" w:hAnsi="Times New Roman"/>
        </w:rPr>
        <w:t>create</w:t>
      </w:r>
      <w:r w:rsidR="00A72C60">
        <w:rPr>
          <w:rFonts w:ascii="Times New Roman" w:hAnsi="Times New Roman"/>
        </w:rPr>
        <w:t xml:space="preserve"> in the public imagination.</w:t>
      </w:r>
      <w:r w:rsidR="00887833" w:rsidRPr="00CC3B92">
        <w:rPr>
          <w:rFonts w:ascii="Times New Roman" w:hAnsi="Times New Roman"/>
        </w:rPr>
        <w:t xml:space="preserve"> </w:t>
      </w:r>
      <w:r w:rsidR="008D6FA6" w:rsidRPr="00CC3B92">
        <w:rPr>
          <w:rFonts w:ascii="Times New Roman" w:hAnsi="Times New Roman"/>
        </w:rPr>
        <w:t xml:space="preserve">There is no denying that </w:t>
      </w:r>
      <w:r w:rsidR="00DF1F50" w:rsidRPr="00CC3B92">
        <w:rPr>
          <w:rFonts w:ascii="Times New Roman" w:hAnsi="Times New Roman"/>
        </w:rPr>
        <w:t xml:space="preserve">“wounding”, “grievous bodily harm” and “actual bodily harm” </w:t>
      </w:r>
      <w:r w:rsidR="00490AA9" w:rsidRPr="00CC3B92">
        <w:rPr>
          <w:rFonts w:ascii="Times New Roman" w:hAnsi="Times New Roman"/>
        </w:rPr>
        <w:t xml:space="preserve">(along with the </w:t>
      </w:r>
      <w:r w:rsidR="005873C3" w:rsidRPr="00CC3B92">
        <w:rPr>
          <w:rFonts w:ascii="Times New Roman" w:hAnsi="Times New Roman"/>
        </w:rPr>
        <w:t xml:space="preserve">abbreviations </w:t>
      </w:r>
      <w:r w:rsidR="00490AA9" w:rsidRPr="00CC3B92">
        <w:rPr>
          <w:rFonts w:ascii="Times New Roman" w:hAnsi="Times New Roman"/>
        </w:rPr>
        <w:t xml:space="preserve">“GBH” and “ABH”) </w:t>
      </w:r>
      <w:r w:rsidR="001753D6">
        <w:rPr>
          <w:rFonts w:ascii="Times New Roman" w:hAnsi="Times New Roman"/>
        </w:rPr>
        <w:t xml:space="preserve">are distinctly evocative. </w:t>
      </w:r>
      <w:r w:rsidR="000C22AC">
        <w:rPr>
          <w:rFonts w:ascii="Times New Roman" w:hAnsi="Times New Roman"/>
        </w:rPr>
        <w:t>As Gardner states, they</w:t>
      </w:r>
      <w:r w:rsidR="001753D6">
        <w:rPr>
          <w:rFonts w:ascii="Times New Roman" w:hAnsi="Times New Roman"/>
        </w:rPr>
        <w:t xml:space="preserve"> contain</w:t>
      </w:r>
      <w:r w:rsidR="00A92002" w:rsidRPr="00CC3B92">
        <w:rPr>
          <w:rFonts w:ascii="Times New Roman" w:hAnsi="Times New Roman"/>
        </w:rPr>
        <w:t xml:space="preserve"> </w:t>
      </w:r>
      <w:r w:rsidR="000C22AC">
        <w:rPr>
          <w:rFonts w:ascii="Times New Roman" w:hAnsi="Times New Roman"/>
        </w:rPr>
        <w:t xml:space="preserve">a </w:t>
      </w:r>
      <w:r w:rsidR="00A92002" w:rsidRPr="00CC3B92">
        <w:rPr>
          <w:rFonts w:ascii="Times New Roman" w:hAnsi="Times New Roman"/>
        </w:rPr>
        <w:t xml:space="preserve">“moral clarity which makes them accessible to the ordinary people who must </w:t>
      </w:r>
      <w:r w:rsidR="00A92002" w:rsidRPr="00CC3B92">
        <w:rPr>
          <w:rFonts w:ascii="Times New Roman" w:hAnsi="Times New Roman"/>
        </w:rPr>
        <w:lastRenderedPageBreak/>
        <w:t>be guided by them</w:t>
      </w:r>
      <w:r w:rsidR="006E2EAC">
        <w:rPr>
          <w:rFonts w:ascii="Times New Roman" w:hAnsi="Times New Roman"/>
        </w:rPr>
        <w:t>.”</w:t>
      </w:r>
      <w:r w:rsidR="00A92002" w:rsidRPr="00CC3B92">
        <w:rPr>
          <w:rStyle w:val="FootnoteReference"/>
          <w:rFonts w:ascii="Times New Roman" w:hAnsi="Times New Roman"/>
        </w:rPr>
        <w:footnoteReference w:id="100"/>
      </w:r>
      <w:r w:rsidR="00A92002" w:rsidRPr="00CC3B92">
        <w:rPr>
          <w:rFonts w:ascii="Times New Roman" w:hAnsi="Times New Roman"/>
        </w:rPr>
        <w:t xml:space="preserve"> </w:t>
      </w:r>
      <w:r w:rsidR="00055231" w:rsidRPr="00CC3B92">
        <w:rPr>
          <w:rFonts w:ascii="Times New Roman" w:hAnsi="Times New Roman"/>
        </w:rPr>
        <w:t>Consequently, i</w:t>
      </w:r>
      <w:r w:rsidR="00490AA9" w:rsidRPr="00CC3B92">
        <w:rPr>
          <w:rFonts w:ascii="Times New Roman" w:hAnsi="Times New Roman"/>
        </w:rPr>
        <w:t>t</w:t>
      </w:r>
      <w:r w:rsidR="00A92002" w:rsidRPr="00CC3B92">
        <w:rPr>
          <w:rFonts w:ascii="Times New Roman" w:hAnsi="Times New Roman"/>
        </w:rPr>
        <w:t xml:space="preserve"> must be wondered whether the </w:t>
      </w:r>
      <w:r w:rsidR="0056355A" w:rsidRPr="00CC3B92">
        <w:rPr>
          <w:rFonts w:ascii="Times New Roman" w:hAnsi="Times New Roman"/>
        </w:rPr>
        <w:t>pursuit of</w:t>
      </w:r>
      <w:r w:rsidR="00A92002" w:rsidRPr="00CC3B92">
        <w:rPr>
          <w:rFonts w:ascii="Times New Roman" w:hAnsi="Times New Roman"/>
        </w:rPr>
        <w:t xml:space="preserve"> textual </w:t>
      </w:r>
      <w:r w:rsidR="00210F8D">
        <w:rPr>
          <w:rFonts w:ascii="Times New Roman" w:hAnsi="Times New Roman"/>
        </w:rPr>
        <w:t>certainty</w:t>
      </w:r>
      <w:r w:rsidR="0056355A" w:rsidRPr="00CC3B92">
        <w:rPr>
          <w:rFonts w:ascii="Times New Roman" w:hAnsi="Times New Roman"/>
        </w:rPr>
        <w:t xml:space="preserve"> </w:t>
      </w:r>
      <w:r w:rsidR="00DF1F50" w:rsidRPr="00CC3B92">
        <w:rPr>
          <w:rFonts w:ascii="Times New Roman" w:hAnsi="Times New Roman"/>
        </w:rPr>
        <w:t>justifies</w:t>
      </w:r>
      <w:r w:rsidR="00A92002" w:rsidRPr="00CC3B92">
        <w:rPr>
          <w:rFonts w:ascii="Times New Roman" w:hAnsi="Times New Roman"/>
        </w:rPr>
        <w:t xml:space="preserve"> the removal of </w:t>
      </w:r>
      <w:r w:rsidR="0056355A" w:rsidRPr="00CC3B92">
        <w:rPr>
          <w:rFonts w:ascii="Times New Roman" w:hAnsi="Times New Roman"/>
          <w:i/>
        </w:rPr>
        <w:t>all</w:t>
      </w:r>
      <w:r w:rsidR="0056355A" w:rsidRPr="00CC3B92">
        <w:rPr>
          <w:rFonts w:ascii="Times New Roman" w:hAnsi="Times New Roman"/>
        </w:rPr>
        <w:t xml:space="preserve"> </w:t>
      </w:r>
      <w:r w:rsidR="00DF1F50" w:rsidRPr="00CC3B92">
        <w:rPr>
          <w:rFonts w:ascii="Times New Roman" w:hAnsi="Times New Roman"/>
        </w:rPr>
        <w:t xml:space="preserve">morally </w:t>
      </w:r>
      <w:r w:rsidR="0056355A" w:rsidRPr="00CC3B92">
        <w:rPr>
          <w:rFonts w:ascii="Times New Roman" w:hAnsi="Times New Roman"/>
        </w:rPr>
        <w:t>loaded</w:t>
      </w:r>
      <w:r w:rsidR="00DF1F50" w:rsidRPr="00CC3B92">
        <w:rPr>
          <w:rFonts w:ascii="Times New Roman" w:hAnsi="Times New Roman"/>
        </w:rPr>
        <w:t xml:space="preserve"> </w:t>
      </w:r>
      <w:r w:rsidR="00A72C60">
        <w:rPr>
          <w:rFonts w:ascii="Times New Roman" w:hAnsi="Times New Roman"/>
        </w:rPr>
        <w:t>harm-</w:t>
      </w:r>
      <w:r w:rsidR="00055231" w:rsidRPr="00CC3B92">
        <w:rPr>
          <w:rFonts w:ascii="Times New Roman" w:hAnsi="Times New Roman"/>
        </w:rPr>
        <w:t>phrasing from offences against the person</w:t>
      </w:r>
      <w:r w:rsidR="00490AA9" w:rsidRPr="00CC3B92">
        <w:rPr>
          <w:rFonts w:ascii="Times New Roman" w:hAnsi="Times New Roman"/>
        </w:rPr>
        <w:t>.</w:t>
      </w:r>
      <w:r w:rsidR="00490AA9" w:rsidRPr="00CC3B92">
        <w:rPr>
          <w:rStyle w:val="FootnoteReference"/>
          <w:rFonts w:ascii="Times New Roman" w:hAnsi="Times New Roman"/>
        </w:rPr>
        <w:footnoteReference w:id="101"/>
      </w:r>
      <w:r w:rsidR="00490AA9" w:rsidRPr="00CC3B92">
        <w:rPr>
          <w:rFonts w:ascii="Times New Roman" w:hAnsi="Times New Roman"/>
        </w:rPr>
        <w:t xml:space="preserve"> </w:t>
      </w:r>
      <w:r w:rsidR="00CC3B92" w:rsidRPr="00CC3B92">
        <w:rPr>
          <w:rFonts w:ascii="Times New Roman" w:hAnsi="Times New Roman"/>
        </w:rPr>
        <w:t>These debates also have</w:t>
      </w:r>
      <w:r w:rsidR="0056355A" w:rsidRPr="00CC3B92">
        <w:rPr>
          <w:rFonts w:ascii="Times New Roman" w:hAnsi="Times New Roman"/>
        </w:rPr>
        <w:t xml:space="preserve"> fair labelling implications on conviction. </w:t>
      </w:r>
      <w:r w:rsidR="00CC3B92" w:rsidRPr="00CC3B92">
        <w:rPr>
          <w:rFonts w:ascii="Times New Roman" w:hAnsi="Times New Roman"/>
        </w:rPr>
        <w:t xml:space="preserve">The descriptions “serious injury” and “injury” may not sufficiently </w:t>
      </w:r>
      <w:r w:rsidR="001753D6">
        <w:rPr>
          <w:rFonts w:ascii="Times New Roman" w:hAnsi="Times New Roman"/>
        </w:rPr>
        <w:t>distinguish</w:t>
      </w:r>
      <w:r w:rsidR="00CC3B92" w:rsidRPr="00CC3B92">
        <w:rPr>
          <w:rFonts w:ascii="Times New Roman" w:hAnsi="Times New Roman"/>
        </w:rPr>
        <w:t xml:space="preserve"> the </w:t>
      </w:r>
      <w:r w:rsidR="00A72C60">
        <w:rPr>
          <w:rFonts w:ascii="Times New Roman" w:hAnsi="Times New Roman"/>
        </w:rPr>
        <w:t xml:space="preserve">harmful </w:t>
      </w:r>
      <w:r w:rsidR="00E371BA">
        <w:rPr>
          <w:rFonts w:ascii="Times New Roman" w:hAnsi="Times New Roman"/>
        </w:rPr>
        <w:t>outcome</w:t>
      </w:r>
      <w:r w:rsidR="00CC3B92" w:rsidRPr="00CC3B92">
        <w:rPr>
          <w:rFonts w:ascii="Times New Roman" w:hAnsi="Times New Roman"/>
        </w:rPr>
        <w:t xml:space="preserve"> </w:t>
      </w:r>
      <w:r w:rsidR="00F60753">
        <w:rPr>
          <w:rFonts w:ascii="Times New Roman" w:hAnsi="Times New Roman"/>
        </w:rPr>
        <w:t>caused</w:t>
      </w:r>
      <w:r w:rsidR="00CC3B92" w:rsidRPr="00CC3B92">
        <w:rPr>
          <w:rFonts w:ascii="Times New Roman" w:hAnsi="Times New Roman"/>
        </w:rPr>
        <w:t>.</w:t>
      </w:r>
      <w:r w:rsidR="00350E99">
        <w:rPr>
          <w:rFonts w:ascii="Times New Roman" w:hAnsi="Times New Roman"/>
        </w:rPr>
        <w:t xml:space="preserve"> </w:t>
      </w:r>
      <w:r w:rsidR="00350E99" w:rsidRPr="00CC3B92">
        <w:rPr>
          <w:rFonts w:ascii="Times New Roman" w:hAnsi="Times New Roman"/>
        </w:rPr>
        <w:t xml:space="preserve">For </w:t>
      </w:r>
      <w:r w:rsidR="00350E99">
        <w:rPr>
          <w:rFonts w:ascii="Times New Roman" w:hAnsi="Times New Roman"/>
        </w:rPr>
        <w:t>instance</w:t>
      </w:r>
      <w:r w:rsidR="00350E99" w:rsidRPr="00CC3B92">
        <w:rPr>
          <w:rFonts w:ascii="Times New Roman" w:hAnsi="Times New Roman"/>
        </w:rPr>
        <w:t xml:space="preserve">, </w:t>
      </w:r>
      <w:proofErr w:type="spellStart"/>
      <w:r w:rsidR="00350E99" w:rsidRPr="00CC3B92">
        <w:rPr>
          <w:rFonts w:ascii="Times New Roman" w:hAnsi="Times New Roman"/>
        </w:rPr>
        <w:t>Horder</w:t>
      </w:r>
      <w:proofErr w:type="spellEnd"/>
      <w:r w:rsidR="00350E99" w:rsidRPr="00CC3B92">
        <w:rPr>
          <w:rFonts w:ascii="Times New Roman" w:hAnsi="Times New Roman"/>
        </w:rPr>
        <w:t xml:space="preserve"> remarks </w:t>
      </w:r>
      <w:r w:rsidR="006E2EAC">
        <w:rPr>
          <w:rFonts w:ascii="Times New Roman" w:hAnsi="Times New Roman"/>
        </w:rPr>
        <w:t>that:</w:t>
      </w:r>
    </w:p>
    <w:p w:rsidR="006B03A9" w:rsidRDefault="006B03A9" w:rsidP="00CC3B92">
      <w:pPr>
        <w:autoSpaceDE w:val="0"/>
        <w:autoSpaceDN w:val="0"/>
        <w:adjustRightInd w:val="0"/>
        <w:spacing w:line="480" w:lineRule="auto"/>
        <w:jc w:val="both"/>
        <w:rPr>
          <w:rFonts w:ascii="Times New Roman" w:hAnsi="Times New Roman"/>
        </w:rPr>
      </w:pPr>
    </w:p>
    <w:p w:rsidR="006B03A9" w:rsidRDefault="00350E99" w:rsidP="00553F61">
      <w:pPr>
        <w:autoSpaceDE w:val="0"/>
        <w:autoSpaceDN w:val="0"/>
        <w:adjustRightInd w:val="0"/>
        <w:spacing w:line="480" w:lineRule="auto"/>
        <w:ind w:left="720"/>
        <w:jc w:val="both"/>
        <w:rPr>
          <w:rFonts w:ascii="Times New Roman" w:hAnsi="Times New Roman"/>
        </w:rPr>
      </w:pPr>
      <w:r w:rsidRPr="00CC3B92">
        <w:rPr>
          <w:rFonts w:ascii="Times New Roman" w:hAnsi="Times New Roman"/>
        </w:rPr>
        <w:t>“</w:t>
      </w:r>
      <w:r w:rsidR="006E2EAC">
        <w:rPr>
          <w:rFonts w:ascii="Times New Roman" w:hAnsi="Times New Roman"/>
        </w:rPr>
        <w:t>S</w:t>
      </w:r>
      <w:r w:rsidRPr="00CC3B92">
        <w:rPr>
          <w:rFonts w:ascii="Times New Roman" w:hAnsi="Times New Roman"/>
        </w:rPr>
        <w:t>omeone who</w:t>
      </w:r>
      <w:r>
        <w:rPr>
          <w:rFonts w:ascii="Times New Roman" w:hAnsi="Times New Roman"/>
        </w:rPr>
        <w:t xml:space="preserve"> </w:t>
      </w:r>
      <w:r w:rsidRPr="00CC3B92">
        <w:rPr>
          <w:rFonts w:ascii="Times New Roman" w:hAnsi="Times New Roman"/>
        </w:rPr>
        <w:t>deliberately breaks another's nose in punching him hard is lumped together in</w:t>
      </w:r>
      <w:r>
        <w:rPr>
          <w:rFonts w:ascii="Times New Roman" w:hAnsi="Times New Roman"/>
        </w:rPr>
        <w:t xml:space="preserve"> </w:t>
      </w:r>
      <w:r w:rsidRPr="00CC3B92">
        <w:rPr>
          <w:rFonts w:ascii="Times New Roman" w:hAnsi="Times New Roman"/>
        </w:rPr>
        <w:t>the same offence category</w:t>
      </w:r>
      <w:r>
        <w:rPr>
          <w:rFonts w:ascii="Times New Roman" w:hAnsi="Times New Roman"/>
        </w:rPr>
        <w:t xml:space="preserve"> – </w:t>
      </w:r>
      <w:r w:rsidRPr="00CC3B92">
        <w:rPr>
          <w:rFonts w:ascii="Times New Roman" w:hAnsi="Times New Roman"/>
        </w:rPr>
        <w:t>intentionally causing serious injury</w:t>
      </w:r>
      <w:r>
        <w:rPr>
          <w:rFonts w:ascii="Times New Roman" w:hAnsi="Times New Roman"/>
        </w:rPr>
        <w:t xml:space="preserve"> – </w:t>
      </w:r>
      <w:r w:rsidRPr="00CC3B92">
        <w:rPr>
          <w:rFonts w:ascii="Times New Roman" w:hAnsi="Times New Roman"/>
        </w:rPr>
        <w:t>as someone</w:t>
      </w:r>
      <w:r>
        <w:rPr>
          <w:rFonts w:ascii="Times New Roman" w:hAnsi="Times New Roman"/>
        </w:rPr>
        <w:t xml:space="preserve"> </w:t>
      </w:r>
      <w:r w:rsidRPr="00CC3B92">
        <w:rPr>
          <w:rFonts w:ascii="Times New Roman" w:hAnsi="Times New Roman"/>
        </w:rPr>
        <w:t>who deliberately saws another's leg off, puts out a victim's eyes, severs his spine</w:t>
      </w:r>
      <w:r>
        <w:rPr>
          <w:rFonts w:ascii="Times New Roman" w:hAnsi="Times New Roman"/>
        </w:rPr>
        <w:t xml:space="preserve"> </w:t>
      </w:r>
      <w:r w:rsidRPr="00CC3B92">
        <w:rPr>
          <w:rFonts w:ascii="Times New Roman" w:hAnsi="Times New Roman"/>
        </w:rPr>
        <w:t>or castrates him</w:t>
      </w:r>
      <w:r w:rsidR="006E2EAC">
        <w:rPr>
          <w:rFonts w:ascii="Times New Roman" w:hAnsi="Times New Roman"/>
        </w:rPr>
        <w:t>.</w:t>
      </w:r>
      <w:r>
        <w:rPr>
          <w:rFonts w:ascii="Times New Roman" w:hAnsi="Times New Roman"/>
        </w:rPr>
        <w:t>”</w:t>
      </w:r>
      <w:r>
        <w:rPr>
          <w:rStyle w:val="FootnoteReference"/>
          <w:rFonts w:ascii="Times New Roman" w:hAnsi="Times New Roman"/>
        </w:rPr>
        <w:footnoteReference w:id="102"/>
      </w:r>
      <w:r>
        <w:rPr>
          <w:rFonts w:ascii="Times New Roman" w:hAnsi="Times New Roman"/>
        </w:rPr>
        <w:t xml:space="preserve"> </w:t>
      </w:r>
    </w:p>
    <w:p w:rsidR="006B03A9" w:rsidRDefault="006B03A9" w:rsidP="00CC3B92">
      <w:pPr>
        <w:autoSpaceDE w:val="0"/>
        <w:autoSpaceDN w:val="0"/>
        <w:adjustRightInd w:val="0"/>
        <w:spacing w:line="480" w:lineRule="auto"/>
        <w:jc w:val="both"/>
        <w:rPr>
          <w:rFonts w:ascii="Times New Roman" w:hAnsi="Times New Roman"/>
        </w:rPr>
      </w:pPr>
    </w:p>
    <w:p w:rsidR="006420B4" w:rsidRDefault="00A72C60" w:rsidP="00CC3B92">
      <w:pPr>
        <w:autoSpaceDE w:val="0"/>
        <w:autoSpaceDN w:val="0"/>
        <w:adjustRightInd w:val="0"/>
        <w:spacing w:line="480" w:lineRule="auto"/>
        <w:jc w:val="both"/>
        <w:rPr>
          <w:rFonts w:ascii="Times New Roman" w:hAnsi="Times New Roman"/>
        </w:rPr>
      </w:pPr>
      <w:r>
        <w:rPr>
          <w:rFonts w:ascii="Times New Roman" w:hAnsi="Times New Roman"/>
        </w:rPr>
        <w:t>Has</w:t>
      </w:r>
      <w:r w:rsidR="00350E99">
        <w:rPr>
          <w:rFonts w:ascii="Times New Roman" w:hAnsi="Times New Roman"/>
        </w:rPr>
        <w:t xml:space="preserve"> the scoping report missed an opportunity to variegate </w:t>
      </w:r>
      <w:r w:rsidR="005873C3">
        <w:rPr>
          <w:rFonts w:ascii="Times New Roman" w:hAnsi="Times New Roman"/>
        </w:rPr>
        <w:t xml:space="preserve">outcomes in </w:t>
      </w:r>
      <w:r w:rsidR="0033516F">
        <w:rPr>
          <w:rFonts w:ascii="Times New Roman" w:hAnsi="Times New Roman"/>
        </w:rPr>
        <w:t>these</w:t>
      </w:r>
      <w:r w:rsidR="005873C3">
        <w:rPr>
          <w:rFonts w:ascii="Times New Roman" w:hAnsi="Times New Roman"/>
        </w:rPr>
        <w:t xml:space="preserve"> more detailed way</w:t>
      </w:r>
      <w:r w:rsidR="0033516F">
        <w:rPr>
          <w:rFonts w:ascii="Times New Roman" w:hAnsi="Times New Roman"/>
        </w:rPr>
        <w:t>s</w:t>
      </w:r>
      <w:r>
        <w:rPr>
          <w:rFonts w:ascii="Times New Roman" w:hAnsi="Times New Roman"/>
        </w:rPr>
        <w:t>?</w:t>
      </w:r>
      <w:r w:rsidR="00CC3B92" w:rsidRPr="00CC3B92">
        <w:rPr>
          <w:rFonts w:ascii="Times New Roman" w:hAnsi="Times New Roman"/>
        </w:rPr>
        <w:t xml:space="preserve"> </w:t>
      </w:r>
      <w:r>
        <w:rPr>
          <w:rFonts w:ascii="Times New Roman" w:hAnsi="Times New Roman"/>
        </w:rPr>
        <w:t>Ultimately</w:t>
      </w:r>
      <w:r w:rsidR="00350E99">
        <w:rPr>
          <w:rFonts w:ascii="Times New Roman" w:hAnsi="Times New Roman"/>
        </w:rPr>
        <w:t xml:space="preserve">, there is the concern that particularism in offence </w:t>
      </w:r>
      <w:r w:rsidR="000E5803">
        <w:rPr>
          <w:rFonts w:ascii="Times New Roman" w:hAnsi="Times New Roman"/>
        </w:rPr>
        <w:t>outcomes</w:t>
      </w:r>
      <w:r w:rsidR="00350E99">
        <w:rPr>
          <w:rFonts w:ascii="Times New Roman" w:hAnsi="Times New Roman"/>
        </w:rPr>
        <w:t xml:space="preserve"> encourage</w:t>
      </w:r>
      <w:r w:rsidR="005873C3">
        <w:rPr>
          <w:rFonts w:ascii="Times New Roman" w:hAnsi="Times New Roman"/>
        </w:rPr>
        <w:t>s</w:t>
      </w:r>
      <w:r w:rsidR="00350E99">
        <w:rPr>
          <w:rFonts w:ascii="Times New Roman" w:hAnsi="Times New Roman"/>
        </w:rPr>
        <w:t xml:space="preserve"> technical arguments over whether D’s conduct falls within </w:t>
      </w:r>
      <w:r w:rsidR="00A8436E">
        <w:rPr>
          <w:rFonts w:ascii="Times New Roman" w:hAnsi="Times New Roman"/>
        </w:rPr>
        <w:t xml:space="preserve">the relevant crime. The desire to avoid </w:t>
      </w:r>
      <w:r w:rsidR="00257033">
        <w:rPr>
          <w:rFonts w:ascii="Times New Roman" w:hAnsi="Times New Roman"/>
        </w:rPr>
        <w:t>these</w:t>
      </w:r>
      <w:r w:rsidR="00453876">
        <w:rPr>
          <w:rFonts w:ascii="Times New Roman" w:hAnsi="Times New Roman"/>
        </w:rPr>
        <w:t xml:space="preserve"> strategies</w:t>
      </w:r>
      <w:r w:rsidR="001753D6">
        <w:rPr>
          <w:rFonts w:ascii="Times New Roman" w:hAnsi="Times New Roman"/>
        </w:rPr>
        <w:t xml:space="preserve"> by describing</w:t>
      </w:r>
      <w:r w:rsidR="00A8436E">
        <w:rPr>
          <w:rFonts w:ascii="Times New Roman" w:hAnsi="Times New Roman"/>
        </w:rPr>
        <w:t xml:space="preserve"> </w:t>
      </w:r>
      <w:r w:rsidR="001753D6">
        <w:rPr>
          <w:rFonts w:ascii="Times New Roman" w:hAnsi="Times New Roman"/>
        </w:rPr>
        <w:t xml:space="preserve">more general – if morally </w:t>
      </w:r>
      <w:r w:rsidR="00CD2FEB">
        <w:rPr>
          <w:rFonts w:ascii="Times New Roman" w:hAnsi="Times New Roman"/>
        </w:rPr>
        <w:t>sterilised</w:t>
      </w:r>
      <w:r w:rsidR="001753D6">
        <w:rPr>
          <w:rFonts w:ascii="Times New Roman" w:hAnsi="Times New Roman"/>
        </w:rPr>
        <w:t xml:space="preserve"> –</w:t>
      </w:r>
      <w:r w:rsidR="007D3E3B">
        <w:rPr>
          <w:rFonts w:ascii="Times New Roman" w:hAnsi="Times New Roman"/>
        </w:rPr>
        <w:t xml:space="preserve"> </w:t>
      </w:r>
      <w:r w:rsidR="000E5803">
        <w:rPr>
          <w:rFonts w:ascii="Times New Roman" w:hAnsi="Times New Roman"/>
        </w:rPr>
        <w:t>harms</w:t>
      </w:r>
      <w:r w:rsidR="00A8436E">
        <w:rPr>
          <w:rFonts w:ascii="Times New Roman" w:hAnsi="Times New Roman"/>
        </w:rPr>
        <w:t xml:space="preserve"> is underst</w:t>
      </w:r>
      <w:r w:rsidR="00092121">
        <w:rPr>
          <w:rFonts w:ascii="Times New Roman" w:hAnsi="Times New Roman"/>
        </w:rPr>
        <w:t xml:space="preserve">andable. </w:t>
      </w:r>
      <w:r w:rsidR="00E371BA">
        <w:rPr>
          <w:rFonts w:ascii="Times New Roman" w:hAnsi="Times New Roman"/>
        </w:rPr>
        <w:t>Similarly</w:t>
      </w:r>
      <w:r w:rsidR="00F90A1C">
        <w:rPr>
          <w:rFonts w:ascii="Times New Roman" w:hAnsi="Times New Roman"/>
        </w:rPr>
        <w:t xml:space="preserve">, the absence in offences 1, 2 and 3 of any mention of </w:t>
      </w:r>
      <w:r w:rsidR="00F90A1C" w:rsidRPr="00F90A1C">
        <w:rPr>
          <w:rFonts w:ascii="Times New Roman" w:hAnsi="Times New Roman"/>
          <w:i/>
        </w:rPr>
        <w:t>how</w:t>
      </w:r>
      <w:r w:rsidR="00F90A1C">
        <w:rPr>
          <w:rFonts w:ascii="Times New Roman" w:hAnsi="Times New Roman"/>
        </w:rPr>
        <w:t xml:space="preserve"> D has bro</w:t>
      </w:r>
      <w:r w:rsidR="00E371BA">
        <w:rPr>
          <w:rFonts w:ascii="Times New Roman" w:hAnsi="Times New Roman"/>
        </w:rPr>
        <w:t xml:space="preserve">ught about the harmful outcome </w:t>
      </w:r>
      <w:r w:rsidR="00F90A1C">
        <w:rPr>
          <w:rFonts w:ascii="Times New Roman" w:hAnsi="Times New Roman"/>
        </w:rPr>
        <w:t xml:space="preserve">alludes to the practical difficulties of discerning between different </w:t>
      </w:r>
      <w:r w:rsidR="00E371BA">
        <w:rPr>
          <w:rFonts w:ascii="Times New Roman" w:hAnsi="Times New Roman"/>
        </w:rPr>
        <w:t>modes of responsibility</w:t>
      </w:r>
      <w:r w:rsidR="00F90A1C">
        <w:rPr>
          <w:rFonts w:ascii="Times New Roman" w:hAnsi="Times New Roman"/>
        </w:rPr>
        <w:t xml:space="preserve"> – for example, stabbing, cutting</w:t>
      </w:r>
      <w:r w:rsidR="00E371BA">
        <w:rPr>
          <w:rFonts w:ascii="Times New Roman" w:hAnsi="Times New Roman"/>
        </w:rPr>
        <w:t xml:space="preserve"> or piercing</w:t>
      </w:r>
      <w:r w:rsidR="00F90A1C">
        <w:rPr>
          <w:rFonts w:ascii="Times New Roman" w:hAnsi="Times New Roman"/>
        </w:rPr>
        <w:t>.</w:t>
      </w:r>
      <w:r w:rsidR="00F90A1C">
        <w:rPr>
          <w:rStyle w:val="FootnoteReference"/>
          <w:rFonts w:ascii="Times New Roman" w:hAnsi="Times New Roman"/>
        </w:rPr>
        <w:footnoteReference w:id="103"/>
      </w:r>
      <w:r w:rsidR="00F90A1C">
        <w:rPr>
          <w:rFonts w:ascii="Times New Roman" w:hAnsi="Times New Roman"/>
        </w:rPr>
        <w:t xml:space="preserve"> </w:t>
      </w:r>
      <w:r w:rsidR="007E530F">
        <w:rPr>
          <w:rFonts w:ascii="Times New Roman" w:hAnsi="Times New Roman"/>
        </w:rPr>
        <w:t xml:space="preserve">This is a continuation of the status quo: </w:t>
      </w:r>
      <w:r w:rsidR="008F2091">
        <w:rPr>
          <w:rFonts w:ascii="Times New Roman" w:hAnsi="Times New Roman"/>
        </w:rPr>
        <w:t xml:space="preserve">ss.18, 20 and 47 </w:t>
      </w:r>
      <w:r w:rsidR="0033516F">
        <w:rPr>
          <w:rFonts w:ascii="Times New Roman" w:hAnsi="Times New Roman"/>
        </w:rPr>
        <w:t>are</w:t>
      </w:r>
      <w:r w:rsidR="00E371BA">
        <w:rPr>
          <w:rFonts w:ascii="Times New Roman" w:hAnsi="Times New Roman"/>
        </w:rPr>
        <w:t xml:space="preserve"> also silent on </w:t>
      </w:r>
      <w:r w:rsidR="002A6EEA">
        <w:rPr>
          <w:rFonts w:ascii="Times New Roman" w:hAnsi="Times New Roman"/>
        </w:rPr>
        <w:t>this</w:t>
      </w:r>
      <w:r w:rsidR="0043126B">
        <w:rPr>
          <w:rFonts w:ascii="Times New Roman" w:hAnsi="Times New Roman"/>
        </w:rPr>
        <w:t xml:space="preserve"> </w:t>
      </w:r>
      <w:r w:rsidR="001D2BCC">
        <w:rPr>
          <w:rFonts w:ascii="Times New Roman" w:hAnsi="Times New Roman"/>
        </w:rPr>
        <w:t>matter</w:t>
      </w:r>
      <w:r w:rsidR="007E530F">
        <w:rPr>
          <w:rFonts w:ascii="Times New Roman" w:hAnsi="Times New Roman"/>
        </w:rPr>
        <w:t xml:space="preserve">. </w:t>
      </w:r>
      <w:r w:rsidR="0043126B">
        <w:rPr>
          <w:rFonts w:ascii="Times New Roman" w:hAnsi="Times New Roman"/>
        </w:rPr>
        <w:t xml:space="preserve"> </w:t>
      </w:r>
    </w:p>
    <w:p w:rsidR="00204F18" w:rsidRPr="00CC3B92" w:rsidRDefault="00204F18" w:rsidP="00CC3B92">
      <w:pPr>
        <w:autoSpaceDE w:val="0"/>
        <w:autoSpaceDN w:val="0"/>
        <w:adjustRightInd w:val="0"/>
        <w:spacing w:line="480" w:lineRule="auto"/>
        <w:jc w:val="both"/>
        <w:rPr>
          <w:rFonts w:ascii="Times New Roman" w:hAnsi="Times New Roman"/>
        </w:rPr>
      </w:pPr>
    </w:p>
    <w:p w:rsidR="00A43B65" w:rsidRPr="004B07B0" w:rsidRDefault="007D3E3B" w:rsidP="004B07B0">
      <w:pPr>
        <w:spacing w:line="480" w:lineRule="auto"/>
        <w:jc w:val="both"/>
        <w:rPr>
          <w:rFonts w:ascii="Times New Roman" w:hAnsi="Times New Roman"/>
        </w:rPr>
      </w:pPr>
      <w:r>
        <w:rPr>
          <w:rFonts w:ascii="Times New Roman" w:hAnsi="Times New Roman"/>
        </w:rPr>
        <w:t>Desp</w:t>
      </w:r>
      <w:r w:rsidR="006826E1">
        <w:rPr>
          <w:rFonts w:ascii="Times New Roman" w:hAnsi="Times New Roman"/>
        </w:rPr>
        <w:t xml:space="preserve">ite the focus on </w:t>
      </w:r>
      <w:r w:rsidR="006826E1" w:rsidRPr="00AA421F">
        <w:rPr>
          <w:rFonts w:ascii="Times New Roman" w:hAnsi="Times New Roman"/>
          <w:i/>
        </w:rPr>
        <w:t>general</w:t>
      </w:r>
      <w:r w:rsidR="006826E1">
        <w:rPr>
          <w:rFonts w:ascii="Times New Roman" w:hAnsi="Times New Roman"/>
        </w:rPr>
        <w:t xml:space="preserve"> </w:t>
      </w:r>
      <w:r w:rsidR="00A17024">
        <w:rPr>
          <w:rFonts w:ascii="Times New Roman" w:hAnsi="Times New Roman"/>
        </w:rPr>
        <w:t>outcomes</w:t>
      </w:r>
      <w:r>
        <w:rPr>
          <w:rFonts w:ascii="Times New Roman" w:hAnsi="Times New Roman"/>
        </w:rPr>
        <w:t xml:space="preserve">, </w:t>
      </w:r>
      <w:r w:rsidR="0014348E" w:rsidRPr="00CC3B92">
        <w:rPr>
          <w:rFonts w:ascii="Times New Roman" w:hAnsi="Times New Roman"/>
        </w:rPr>
        <w:t xml:space="preserve">the </w:t>
      </w:r>
      <w:r w:rsidR="00453876">
        <w:rPr>
          <w:rFonts w:ascii="Times New Roman" w:hAnsi="Times New Roman"/>
        </w:rPr>
        <w:t xml:space="preserve">scoping </w:t>
      </w:r>
      <w:r w:rsidR="0014348E" w:rsidRPr="00CC3B92">
        <w:rPr>
          <w:rFonts w:ascii="Times New Roman" w:hAnsi="Times New Roman"/>
        </w:rPr>
        <w:t xml:space="preserve">report </w:t>
      </w:r>
      <w:r w:rsidR="00AA421F">
        <w:rPr>
          <w:rFonts w:ascii="Times New Roman" w:hAnsi="Times New Roman"/>
        </w:rPr>
        <w:t>specifies</w:t>
      </w:r>
      <w:r w:rsidR="00D73FD1">
        <w:rPr>
          <w:rFonts w:ascii="Times New Roman" w:hAnsi="Times New Roman"/>
        </w:rPr>
        <w:t xml:space="preserve"> that </w:t>
      </w:r>
      <w:r w:rsidR="0087017C" w:rsidRPr="00CC3B92">
        <w:rPr>
          <w:rFonts w:ascii="Times New Roman" w:hAnsi="Times New Roman"/>
        </w:rPr>
        <w:t>“</w:t>
      </w:r>
      <w:r w:rsidR="00D73FD1">
        <w:rPr>
          <w:rFonts w:ascii="Times New Roman" w:hAnsi="Times New Roman"/>
        </w:rPr>
        <w:t xml:space="preserve">injury” </w:t>
      </w:r>
      <w:r w:rsidR="00CB0D55">
        <w:rPr>
          <w:rFonts w:ascii="Times New Roman" w:hAnsi="Times New Roman"/>
        </w:rPr>
        <w:t>mean</w:t>
      </w:r>
      <w:r w:rsidR="00D73FD1">
        <w:rPr>
          <w:rFonts w:ascii="Times New Roman" w:hAnsi="Times New Roman"/>
        </w:rPr>
        <w:t>s</w:t>
      </w:r>
      <w:r w:rsidR="00CB0D55">
        <w:rPr>
          <w:rFonts w:ascii="Times New Roman" w:hAnsi="Times New Roman"/>
        </w:rPr>
        <w:t xml:space="preserve"> </w:t>
      </w:r>
      <w:r w:rsidR="00012085" w:rsidRPr="00CC3B92">
        <w:rPr>
          <w:rFonts w:ascii="Times New Roman" w:hAnsi="Times New Roman"/>
        </w:rPr>
        <w:t xml:space="preserve">physical </w:t>
      </w:r>
      <w:r w:rsidR="0014348E" w:rsidRPr="00CC3B92">
        <w:rPr>
          <w:rFonts w:ascii="Times New Roman" w:hAnsi="Times New Roman"/>
          <w:i/>
        </w:rPr>
        <w:t>and</w:t>
      </w:r>
      <w:r w:rsidR="00A17024">
        <w:rPr>
          <w:rFonts w:ascii="Times New Roman" w:hAnsi="Times New Roman"/>
        </w:rPr>
        <w:t xml:space="preserve"> mental harm. Once again, t</w:t>
      </w:r>
      <w:r w:rsidR="00453876">
        <w:rPr>
          <w:rFonts w:ascii="Times New Roman" w:hAnsi="Times New Roman"/>
        </w:rPr>
        <w:t>he latter must amount</w:t>
      </w:r>
      <w:r w:rsidR="009E3888" w:rsidRPr="00CC3B92">
        <w:rPr>
          <w:rFonts w:ascii="Times New Roman" w:hAnsi="Times New Roman"/>
        </w:rPr>
        <w:t xml:space="preserve"> to a </w:t>
      </w:r>
      <w:r w:rsidR="00060FCE" w:rsidRPr="00CC3B92">
        <w:rPr>
          <w:rFonts w:ascii="Times New Roman" w:hAnsi="Times New Roman"/>
        </w:rPr>
        <w:t xml:space="preserve">recognised psychiatric </w:t>
      </w:r>
      <w:r w:rsidR="00060FCE" w:rsidRPr="00CC3B92">
        <w:rPr>
          <w:rFonts w:ascii="Times New Roman" w:hAnsi="Times New Roman"/>
        </w:rPr>
        <w:lastRenderedPageBreak/>
        <w:t>condition.</w:t>
      </w:r>
      <w:r w:rsidR="00060FCE" w:rsidRPr="00CC3B92">
        <w:rPr>
          <w:rStyle w:val="FootnoteReference"/>
          <w:rFonts w:ascii="Times New Roman" w:hAnsi="Times New Roman"/>
        </w:rPr>
        <w:footnoteReference w:id="104"/>
      </w:r>
      <w:r w:rsidR="00060FCE" w:rsidRPr="00CC3B92">
        <w:rPr>
          <w:rFonts w:ascii="Times New Roman" w:hAnsi="Times New Roman"/>
        </w:rPr>
        <w:t xml:space="preserve"> </w:t>
      </w:r>
      <w:r w:rsidR="006420B4" w:rsidRPr="00CC3B92">
        <w:rPr>
          <w:rFonts w:ascii="Times New Roman" w:hAnsi="Times New Roman"/>
        </w:rPr>
        <w:t>Such</w:t>
      </w:r>
      <w:r w:rsidR="001962AE" w:rsidRPr="00CC3B92">
        <w:rPr>
          <w:rFonts w:ascii="Times New Roman" w:hAnsi="Times New Roman"/>
        </w:rPr>
        <w:t xml:space="preserve"> conditions may </w:t>
      </w:r>
      <w:r w:rsidR="006420B4" w:rsidRPr="00CC3B92">
        <w:rPr>
          <w:rFonts w:ascii="Times New Roman" w:hAnsi="Times New Roman"/>
        </w:rPr>
        <w:t xml:space="preserve">therefore </w:t>
      </w:r>
      <w:r w:rsidR="001962AE" w:rsidRPr="00CC3B92">
        <w:rPr>
          <w:rFonts w:ascii="Times New Roman" w:hAnsi="Times New Roman"/>
        </w:rPr>
        <w:t xml:space="preserve">fall within offences </w:t>
      </w:r>
      <w:r w:rsidR="00B4467D" w:rsidRPr="00CC3B92">
        <w:rPr>
          <w:rFonts w:ascii="Times New Roman" w:hAnsi="Times New Roman"/>
        </w:rPr>
        <w:t>1, 2 and 3</w:t>
      </w:r>
      <w:r w:rsidR="00A17024">
        <w:rPr>
          <w:rFonts w:ascii="Times New Roman" w:hAnsi="Times New Roman"/>
        </w:rPr>
        <w:t>, depending on severity. This replicates</w:t>
      </w:r>
      <w:r w:rsidR="0092279A" w:rsidRPr="00CC3B92">
        <w:rPr>
          <w:rFonts w:ascii="Times New Roman" w:hAnsi="Times New Roman"/>
        </w:rPr>
        <w:t xml:space="preserve"> the position </w:t>
      </w:r>
      <w:r w:rsidR="001962AE" w:rsidRPr="00CC3B92">
        <w:rPr>
          <w:rFonts w:ascii="Times New Roman" w:hAnsi="Times New Roman"/>
        </w:rPr>
        <w:t>in</w:t>
      </w:r>
      <w:r w:rsidR="0092279A" w:rsidRPr="00CC3B92">
        <w:rPr>
          <w:rFonts w:ascii="Times New Roman" w:hAnsi="Times New Roman"/>
        </w:rPr>
        <w:t xml:space="preserve"> existing law</w:t>
      </w:r>
      <w:r w:rsidR="001962AE" w:rsidRPr="00CC3B92">
        <w:rPr>
          <w:rFonts w:ascii="Times New Roman" w:hAnsi="Times New Roman"/>
        </w:rPr>
        <w:t xml:space="preserve"> under ss.18, 20 and 47</w:t>
      </w:r>
      <w:r w:rsidR="00552BD7" w:rsidRPr="00CC3B92">
        <w:rPr>
          <w:rFonts w:ascii="Times New Roman" w:hAnsi="Times New Roman"/>
        </w:rPr>
        <w:t>.</w:t>
      </w:r>
      <w:r w:rsidR="0028472F" w:rsidRPr="00CC3B92">
        <w:rPr>
          <w:rStyle w:val="FootnoteReference"/>
          <w:rFonts w:ascii="Times New Roman" w:hAnsi="Times New Roman"/>
        </w:rPr>
        <w:footnoteReference w:id="105"/>
      </w:r>
      <w:r w:rsidR="0092279A" w:rsidRPr="00CC3B92">
        <w:rPr>
          <w:rFonts w:ascii="Times New Roman" w:hAnsi="Times New Roman"/>
        </w:rPr>
        <w:t xml:space="preserve"> </w:t>
      </w:r>
      <w:r w:rsidR="00703746">
        <w:rPr>
          <w:rFonts w:ascii="Times New Roman" w:hAnsi="Times New Roman"/>
        </w:rPr>
        <w:t>D</w:t>
      </w:r>
      <w:r w:rsidR="003E7834">
        <w:rPr>
          <w:rFonts w:ascii="Times New Roman" w:hAnsi="Times New Roman"/>
        </w:rPr>
        <w:t>isease transmission also amounts to</w:t>
      </w:r>
      <w:r w:rsidR="00A17024">
        <w:rPr>
          <w:rFonts w:ascii="Times New Roman" w:hAnsi="Times New Roman"/>
        </w:rPr>
        <w:t xml:space="preserve"> “injury”</w:t>
      </w:r>
      <w:r w:rsidR="003E7834">
        <w:rPr>
          <w:rFonts w:ascii="Times New Roman" w:hAnsi="Times New Roman"/>
        </w:rPr>
        <w:t xml:space="preserve"> so as to </w:t>
      </w:r>
      <w:r w:rsidR="001636F8">
        <w:rPr>
          <w:rFonts w:ascii="Times New Roman" w:hAnsi="Times New Roman"/>
        </w:rPr>
        <w:t xml:space="preserve">fall within offences 1, 2 and </w:t>
      </w:r>
      <w:proofErr w:type="gramStart"/>
      <w:r w:rsidR="001636F8">
        <w:rPr>
          <w:rFonts w:ascii="Times New Roman" w:hAnsi="Times New Roman"/>
        </w:rPr>
        <w:t>3,</w:t>
      </w:r>
      <w:proofErr w:type="gramEnd"/>
      <w:r w:rsidR="00C80DAA" w:rsidRPr="00CC3B92">
        <w:rPr>
          <w:rStyle w:val="FootnoteReference"/>
          <w:rFonts w:ascii="Times New Roman" w:hAnsi="Times New Roman"/>
        </w:rPr>
        <w:footnoteReference w:id="106"/>
      </w:r>
      <w:r w:rsidR="004F3888">
        <w:rPr>
          <w:rFonts w:ascii="Times New Roman" w:hAnsi="Times New Roman"/>
        </w:rPr>
        <w:t xml:space="preserve"> although </w:t>
      </w:r>
      <w:r w:rsidR="00EA6DFA">
        <w:rPr>
          <w:rFonts w:ascii="Times New Roman" w:hAnsi="Times New Roman"/>
        </w:rPr>
        <w:t xml:space="preserve">the likelihood of </w:t>
      </w:r>
      <w:r w:rsidR="00751BBE">
        <w:rPr>
          <w:rFonts w:ascii="Times New Roman" w:hAnsi="Times New Roman"/>
        </w:rPr>
        <w:t>more minor infection</w:t>
      </w:r>
      <w:r w:rsidR="001636F8">
        <w:rPr>
          <w:rFonts w:ascii="Times New Roman" w:hAnsi="Times New Roman"/>
        </w:rPr>
        <w:t xml:space="preserve"> </w:t>
      </w:r>
      <w:r w:rsidR="00B4467D" w:rsidRPr="004B07B0">
        <w:rPr>
          <w:rFonts w:ascii="Times New Roman" w:hAnsi="Times New Roman"/>
        </w:rPr>
        <w:t>being charged under offence 3</w:t>
      </w:r>
      <w:r w:rsidR="00EA6DFA" w:rsidRPr="004B07B0">
        <w:rPr>
          <w:rFonts w:ascii="Times New Roman" w:hAnsi="Times New Roman"/>
        </w:rPr>
        <w:t xml:space="preserve"> appears remote</w:t>
      </w:r>
      <w:r w:rsidR="00F32723" w:rsidRPr="004B07B0">
        <w:rPr>
          <w:rFonts w:ascii="Times New Roman" w:hAnsi="Times New Roman"/>
        </w:rPr>
        <w:t>. W</w:t>
      </w:r>
      <w:r w:rsidR="00EA6DFA" w:rsidRPr="004B07B0">
        <w:rPr>
          <w:rFonts w:ascii="Times New Roman" w:hAnsi="Times New Roman"/>
        </w:rPr>
        <w:t xml:space="preserve">here the disease is not serious (thereby </w:t>
      </w:r>
      <w:r w:rsidR="00F32723" w:rsidRPr="004B07B0">
        <w:rPr>
          <w:rFonts w:ascii="Times New Roman" w:hAnsi="Times New Roman"/>
        </w:rPr>
        <w:t>falling</w:t>
      </w:r>
      <w:r w:rsidR="00B4467D" w:rsidRPr="004B07B0">
        <w:rPr>
          <w:rFonts w:ascii="Times New Roman" w:hAnsi="Times New Roman"/>
        </w:rPr>
        <w:t xml:space="preserve"> outside offences 1 or 2), liability for offence </w:t>
      </w:r>
      <w:r w:rsidR="00EA6DFA" w:rsidRPr="004B07B0">
        <w:rPr>
          <w:rFonts w:ascii="Times New Roman" w:hAnsi="Times New Roman"/>
        </w:rPr>
        <w:t xml:space="preserve">3 </w:t>
      </w:r>
      <w:r w:rsidR="001E38C8" w:rsidRPr="004B07B0">
        <w:rPr>
          <w:rFonts w:ascii="Times New Roman" w:hAnsi="Times New Roman"/>
        </w:rPr>
        <w:t>will</w:t>
      </w:r>
      <w:r w:rsidR="00EA6DFA" w:rsidRPr="004B07B0">
        <w:rPr>
          <w:rFonts w:ascii="Times New Roman" w:hAnsi="Times New Roman"/>
        </w:rPr>
        <w:t xml:space="preserve"> </w:t>
      </w:r>
      <w:r w:rsidR="00F32723" w:rsidRPr="004B07B0">
        <w:rPr>
          <w:rFonts w:ascii="Times New Roman" w:hAnsi="Times New Roman"/>
        </w:rPr>
        <w:t xml:space="preserve">probably </w:t>
      </w:r>
      <w:r w:rsidR="00EA6DFA" w:rsidRPr="004B07B0">
        <w:rPr>
          <w:rFonts w:ascii="Times New Roman" w:hAnsi="Times New Roman"/>
        </w:rPr>
        <w:t xml:space="preserve">be avoided on grounds of </w:t>
      </w:r>
      <w:proofErr w:type="spellStart"/>
      <w:r w:rsidR="00EA6DFA" w:rsidRPr="004B07B0">
        <w:rPr>
          <w:rFonts w:ascii="Times New Roman" w:hAnsi="Times New Roman"/>
        </w:rPr>
        <w:t>mens</w:t>
      </w:r>
      <w:proofErr w:type="spellEnd"/>
      <w:r w:rsidR="00EA6DFA" w:rsidRPr="004B07B0">
        <w:rPr>
          <w:rFonts w:ascii="Times New Roman" w:hAnsi="Times New Roman"/>
        </w:rPr>
        <w:t xml:space="preserve"> rea.</w:t>
      </w:r>
      <w:r w:rsidR="00C0397D" w:rsidRPr="004B07B0">
        <w:rPr>
          <w:rFonts w:ascii="Times New Roman" w:hAnsi="Times New Roman"/>
        </w:rPr>
        <w:t xml:space="preserve"> </w:t>
      </w:r>
      <w:r w:rsidR="00B53E5A">
        <w:rPr>
          <w:rFonts w:ascii="Times New Roman" w:hAnsi="Times New Roman"/>
        </w:rPr>
        <w:t>Assuming an intention to injure is absent, only recklessness will suffice</w:t>
      </w:r>
      <w:r w:rsidR="00CF04F1">
        <w:rPr>
          <w:rFonts w:ascii="Times New Roman" w:hAnsi="Times New Roman"/>
        </w:rPr>
        <w:t xml:space="preserve">. The latter </w:t>
      </w:r>
      <w:r w:rsidR="00A75E7B">
        <w:rPr>
          <w:rFonts w:ascii="Times New Roman" w:hAnsi="Times New Roman"/>
        </w:rPr>
        <w:t>requires</w:t>
      </w:r>
      <w:r w:rsidR="001636F8">
        <w:rPr>
          <w:rFonts w:ascii="Times New Roman" w:hAnsi="Times New Roman"/>
        </w:rPr>
        <w:t>, amongst other things,</w:t>
      </w:r>
      <w:r w:rsidR="00A75E7B">
        <w:rPr>
          <w:rFonts w:ascii="Times New Roman" w:hAnsi="Times New Roman"/>
        </w:rPr>
        <w:t xml:space="preserve"> that </w:t>
      </w:r>
      <w:r w:rsidR="00C0397D" w:rsidRPr="004B07B0">
        <w:rPr>
          <w:rFonts w:ascii="Times New Roman" w:hAnsi="Times New Roman"/>
        </w:rPr>
        <w:t xml:space="preserve">the risk </w:t>
      </w:r>
      <w:r w:rsidR="00E4361B" w:rsidRPr="004B07B0">
        <w:rPr>
          <w:rFonts w:ascii="Times New Roman" w:hAnsi="Times New Roman"/>
        </w:rPr>
        <w:t>must have been</w:t>
      </w:r>
      <w:r w:rsidR="00C0397D" w:rsidRPr="004B07B0">
        <w:rPr>
          <w:rFonts w:ascii="Times New Roman" w:hAnsi="Times New Roman"/>
        </w:rPr>
        <w:t xml:space="preserve"> a</w:t>
      </w:r>
      <w:r w:rsidR="004E119A" w:rsidRPr="004B07B0">
        <w:rPr>
          <w:rFonts w:ascii="Times New Roman" w:hAnsi="Times New Roman"/>
        </w:rPr>
        <w:t xml:space="preserve">n </w:t>
      </w:r>
      <w:r w:rsidR="00A75E7B">
        <w:rPr>
          <w:rFonts w:ascii="Times New Roman" w:hAnsi="Times New Roman"/>
        </w:rPr>
        <w:t xml:space="preserve">objectively </w:t>
      </w:r>
      <w:r w:rsidR="004E119A" w:rsidRPr="004B07B0">
        <w:rPr>
          <w:rFonts w:ascii="Times New Roman" w:hAnsi="Times New Roman"/>
        </w:rPr>
        <w:t>un</w:t>
      </w:r>
      <w:r w:rsidR="00C0397D" w:rsidRPr="004B07B0">
        <w:rPr>
          <w:rFonts w:ascii="Times New Roman" w:hAnsi="Times New Roman"/>
        </w:rPr>
        <w:t>reasonable one to take</w:t>
      </w:r>
      <w:r w:rsidR="009E6FE2" w:rsidRPr="004B07B0">
        <w:rPr>
          <w:rFonts w:ascii="Times New Roman" w:hAnsi="Times New Roman"/>
        </w:rPr>
        <w:t xml:space="preserve"> </w:t>
      </w:r>
      <w:r w:rsidR="009E6FE2" w:rsidRPr="00EA6A5C">
        <w:rPr>
          <w:rFonts w:ascii="Times New Roman" w:hAnsi="Times New Roman"/>
          <w:i/>
        </w:rPr>
        <w:t>in the circumstances</w:t>
      </w:r>
      <w:r w:rsidR="00E4361B" w:rsidRPr="004B07B0">
        <w:rPr>
          <w:rFonts w:ascii="Times New Roman" w:hAnsi="Times New Roman"/>
        </w:rPr>
        <w:t>.</w:t>
      </w:r>
      <w:r w:rsidR="007F6942" w:rsidRPr="004B07B0">
        <w:rPr>
          <w:rStyle w:val="FootnoteReference"/>
          <w:rFonts w:ascii="Times New Roman" w:hAnsi="Times New Roman"/>
        </w:rPr>
        <w:footnoteReference w:id="107"/>
      </w:r>
      <w:r w:rsidR="00E4361B" w:rsidRPr="004B07B0">
        <w:rPr>
          <w:rFonts w:ascii="Times New Roman" w:hAnsi="Times New Roman"/>
        </w:rPr>
        <w:t xml:space="preserve"> </w:t>
      </w:r>
      <w:r w:rsidR="004E119A" w:rsidRPr="004B07B0">
        <w:rPr>
          <w:rFonts w:ascii="Times New Roman" w:hAnsi="Times New Roman"/>
        </w:rPr>
        <w:t>Many</w:t>
      </w:r>
      <w:r w:rsidR="007F6942" w:rsidRPr="004B07B0">
        <w:rPr>
          <w:rFonts w:ascii="Times New Roman" w:hAnsi="Times New Roman"/>
        </w:rPr>
        <w:t xml:space="preserve"> non-serious </w:t>
      </w:r>
      <w:r w:rsidR="000748C5" w:rsidRPr="004B07B0">
        <w:rPr>
          <w:rFonts w:ascii="Times New Roman" w:hAnsi="Times New Roman"/>
        </w:rPr>
        <w:t>infections</w:t>
      </w:r>
      <w:r w:rsidR="007F6942" w:rsidRPr="004B07B0">
        <w:rPr>
          <w:rFonts w:ascii="Times New Roman" w:hAnsi="Times New Roman"/>
        </w:rPr>
        <w:t xml:space="preserve"> are transmitted between people </w:t>
      </w:r>
      <w:r w:rsidR="004C073E" w:rsidRPr="004B07B0">
        <w:rPr>
          <w:rFonts w:ascii="Times New Roman" w:hAnsi="Times New Roman"/>
        </w:rPr>
        <w:t>all the time</w:t>
      </w:r>
      <w:r w:rsidR="004E119A" w:rsidRPr="004B07B0">
        <w:rPr>
          <w:rFonts w:ascii="Times New Roman" w:hAnsi="Times New Roman"/>
        </w:rPr>
        <w:t xml:space="preserve"> – an obvious example being the common cold. Clearly, it is </w:t>
      </w:r>
      <w:r w:rsidR="00E4361B" w:rsidRPr="004B07B0">
        <w:rPr>
          <w:rFonts w:ascii="Times New Roman" w:hAnsi="Times New Roman"/>
        </w:rPr>
        <w:t xml:space="preserve">objectively </w:t>
      </w:r>
      <w:r w:rsidR="004E119A" w:rsidRPr="004B07B0">
        <w:rPr>
          <w:rFonts w:ascii="Times New Roman" w:hAnsi="Times New Roman"/>
        </w:rPr>
        <w:t xml:space="preserve">reasonable to run the risk of transmitting such </w:t>
      </w:r>
      <w:r w:rsidR="006F4679" w:rsidRPr="004B07B0">
        <w:rPr>
          <w:rFonts w:ascii="Times New Roman" w:hAnsi="Times New Roman"/>
        </w:rPr>
        <w:t>illnesses</w:t>
      </w:r>
      <w:r w:rsidR="004E119A" w:rsidRPr="004B07B0">
        <w:rPr>
          <w:rFonts w:ascii="Times New Roman" w:hAnsi="Times New Roman"/>
        </w:rPr>
        <w:t xml:space="preserve"> </w:t>
      </w:r>
      <w:r w:rsidR="009E6FE2" w:rsidRPr="004B07B0">
        <w:rPr>
          <w:rFonts w:ascii="Times New Roman" w:hAnsi="Times New Roman"/>
        </w:rPr>
        <w:t>in</w:t>
      </w:r>
      <w:r w:rsidR="00E4361B" w:rsidRPr="004B07B0">
        <w:rPr>
          <w:rFonts w:ascii="Times New Roman" w:hAnsi="Times New Roman"/>
        </w:rPr>
        <w:t xml:space="preserve"> </w:t>
      </w:r>
      <w:r w:rsidR="004C073E" w:rsidRPr="004B07B0">
        <w:rPr>
          <w:rFonts w:ascii="Times New Roman" w:hAnsi="Times New Roman"/>
        </w:rPr>
        <w:t>daily life</w:t>
      </w:r>
      <w:r w:rsidR="009E6FE2" w:rsidRPr="004B07B0">
        <w:rPr>
          <w:rFonts w:ascii="Times New Roman" w:hAnsi="Times New Roman"/>
        </w:rPr>
        <w:t>.</w:t>
      </w:r>
      <w:r w:rsidR="009E6FE2" w:rsidRPr="004B07B0">
        <w:rPr>
          <w:rStyle w:val="FootnoteReference"/>
          <w:rFonts w:ascii="Times New Roman" w:hAnsi="Times New Roman"/>
        </w:rPr>
        <w:footnoteReference w:id="108"/>
      </w:r>
      <w:r w:rsidR="009E6FE2" w:rsidRPr="004B07B0">
        <w:rPr>
          <w:rFonts w:ascii="Times New Roman" w:hAnsi="Times New Roman"/>
        </w:rPr>
        <w:t xml:space="preserve"> </w:t>
      </w:r>
      <w:r w:rsidR="00604B78">
        <w:rPr>
          <w:rFonts w:ascii="Times New Roman" w:hAnsi="Times New Roman"/>
        </w:rPr>
        <w:t>Problematically</w:t>
      </w:r>
      <w:r w:rsidR="00F32723" w:rsidRPr="004B07B0">
        <w:rPr>
          <w:rFonts w:ascii="Times New Roman" w:hAnsi="Times New Roman"/>
        </w:rPr>
        <w:t xml:space="preserve">, this </w:t>
      </w:r>
      <w:r w:rsidR="009E6FE2" w:rsidRPr="004B07B0">
        <w:rPr>
          <w:rFonts w:ascii="Times New Roman" w:hAnsi="Times New Roman"/>
        </w:rPr>
        <w:t>presupposes</w:t>
      </w:r>
      <w:r w:rsidR="00243818" w:rsidRPr="004B07B0">
        <w:rPr>
          <w:rFonts w:ascii="Times New Roman" w:hAnsi="Times New Roman"/>
        </w:rPr>
        <w:t xml:space="preserve"> that </w:t>
      </w:r>
      <w:r w:rsidR="006F4679" w:rsidRPr="004B07B0">
        <w:rPr>
          <w:rFonts w:ascii="Times New Roman" w:hAnsi="Times New Roman"/>
        </w:rPr>
        <w:t>distinction</w:t>
      </w:r>
      <w:r w:rsidR="00243818" w:rsidRPr="004B07B0">
        <w:rPr>
          <w:rFonts w:ascii="Times New Roman" w:hAnsi="Times New Roman"/>
        </w:rPr>
        <w:t>s</w:t>
      </w:r>
      <w:r w:rsidR="006F4679" w:rsidRPr="004B07B0">
        <w:rPr>
          <w:rFonts w:ascii="Times New Roman" w:hAnsi="Times New Roman"/>
        </w:rPr>
        <w:t xml:space="preserve"> between serious and </w:t>
      </w:r>
      <w:r w:rsidR="000748C5" w:rsidRPr="004B07B0">
        <w:rPr>
          <w:rFonts w:ascii="Times New Roman" w:hAnsi="Times New Roman"/>
        </w:rPr>
        <w:t>non-</w:t>
      </w:r>
      <w:r w:rsidR="00243818" w:rsidRPr="004B07B0">
        <w:rPr>
          <w:rFonts w:ascii="Times New Roman" w:hAnsi="Times New Roman"/>
        </w:rPr>
        <w:t xml:space="preserve">serious </w:t>
      </w:r>
      <w:r w:rsidR="000748C5" w:rsidRPr="004B07B0">
        <w:rPr>
          <w:rFonts w:ascii="Times New Roman" w:hAnsi="Times New Roman"/>
        </w:rPr>
        <w:t>diseases</w:t>
      </w:r>
      <w:r w:rsidR="00453876" w:rsidRPr="004B07B0">
        <w:rPr>
          <w:rFonts w:ascii="Times New Roman" w:hAnsi="Times New Roman"/>
        </w:rPr>
        <w:t xml:space="preserve"> can be drawn</w:t>
      </w:r>
      <w:r w:rsidR="001F3436" w:rsidRPr="004B07B0">
        <w:rPr>
          <w:rFonts w:ascii="Times New Roman" w:hAnsi="Times New Roman"/>
        </w:rPr>
        <w:t xml:space="preserve">. </w:t>
      </w:r>
      <w:r w:rsidR="00243818" w:rsidRPr="004B07B0">
        <w:rPr>
          <w:rFonts w:ascii="Times New Roman" w:hAnsi="Times New Roman"/>
        </w:rPr>
        <w:t xml:space="preserve">As the scoping report identifies, individuals have different susceptibilities and </w:t>
      </w:r>
      <w:r w:rsidR="004C073E" w:rsidRPr="004B07B0">
        <w:rPr>
          <w:rFonts w:ascii="Times New Roman" w:hAnsi="Times New Roman"/>
        </w:rPr>
        <w:t>ailments</w:t>
      </w:r>
      <w:r w:rsidR="00243818" w:rsidRPr="004B07B0">
        <w:rPr>
          <w:rFonts w:ascii="Times New Roman" w:hAnsi="Times New Roman"/>
        </w:rPr>
        <w:t xml:space="preserve"> </w:t>
      </w:r>
      <w:r w:rsidR="001A25DC" w:rsidRPr="004B07B0">
        <w:rPr>
          <w:rFonts w:ascii="Times New Roman" w:hAnsi="Times New Roman"/>
        </w:rPr>
        <w:t>that are</w:t>
      </w:r>
      <w:r w:rsidR="00243818" w:rsidRPr="004B07B0">
        <w:rPr>
          <w:rFonts w:ascii="Times New Roman" w:hAnsi="Times New Roman"/>
        </w:rPr>
        <w:t xml:space="preserve"> regarded as “minor” may do </w:t>
      </w:r>
      <w:r w:rsidR="001A25DC" w:rsidRPr="004B07B0">
        <w:rPr>
          <w:rFonts w:ascii="Times New Roman" w:hAnsi="Times New Roman"/>
        </w:rPr>
        <w:t xml:space="preserve">more </w:t>
      </w:r>
      <w:r w:rsidR="00243818" w:rsidRPr="004B07B0">
        <w:rPr>
          <w:rFonts w:ascii="Times New Roman" w:hAnsi="Times New Roman"/>
        </w:rPr>
        <w:t xml:space="preserve">serious harm to </w:t>
      </w:r>
      <w:r w:rsidR="001A25DC" w:rsidRPr="004B07B0">
        <w:rPr>
          <w:rFonts w:ascii="Times New Roman" w:hAnsi="Times New Roman"/>
        </w:rPr>
        <w:t>one person than</w:t>
      </w:r>
      <w:r w:rsidR="00453876" w:rsidRPr="004B07B0">
        <w:rPr>
          <w:rFonts w:ascii="Times New Roman" w:hAnsi="Times New Roman"/>
        </w:rPr>
        <w:t xml:space="preserve"> </w:t>
      </w:r>
      <w:r w:rsidR="00604ACE">
        <w:rPr>
          <w:rFonts w:ascii="Times New Roman" w:hAnsi="Times New Roman"/>
        </w:rPr>
        <w:t xml:space="preserve">to </w:t>
      </w:r>
      <w:r>
        <w:rPr>
          <w:rFonts w:ascii="Times New Roman" w:hAnsi="Times New Roman"/>
        </w:rPr>
        <w:t>another</w:t>
      </w:r>
      <w:r w:rsidR="00243818" w:rsidRPr="004B07B0">
        <w:rPr>
          <w:rFonts w:ascii="Times New Roman" w:hAnsi="Times New Roman"/>
        </w:rPr>
        <w:t>.</w:t>
      </w:r>
      <w:r w:rsidR="00243818" w:rsidRPr="004B07B0">
        <w:rPr>
          <w:rStyle w:val="FootnoteReference"/>
          <w:rFonts w:ascii="Times New Roman" w:hAnsi="Times New Roman"/>
        </w:rPr>
        <w:footnoteReference w:id="109"/>
      </w:r>
      <w:r w:rsidR="000748C5" w:rsidRPr="004B07B0">
        <w:rPr>
          <w:rFonts w:ascii="Times New Roman" w:hAnsi="Times New Roman"/>
        </w:rPr>
        <w:t xml:space="preserve"> </w:t>
      </w:r>
      <w:r>
        <w:rPr>
          <w:rFonts w:ascii="Times New Roman" w:hAnsi="Times New Roman"/>
        </w:rPr>
        <w:t>Nonetheless</w:t>
      </w:r>
      <w:r w:rsidR="003F0FB3" w:rsidRPr="004B07B0">
        <w:rPr>
          <w:rFonts w:ascii="Times New Roman" w:hAnsi="Times New Roman"/>
        </w:rPr>
        <w:t xml:space="preserve">, </w:t>
      </w:r>
      <w:r w:rsidR="00C27892" w:rsidRPr="004B07B0">
        <w:rPr>
          <w:rFonts w:ascii="Times New Roman" w:hAnsi="Times New Roman"/>
        </w:rPr>
        <w:t>even in these</w:t>
      </w:r>
      <w:r w:rsidR="00A75E7B">
        <w:rPr>
          <w:rFonts w:ascii="Times New Roman" w:hAnsi="Times New Roman"/>
        </w:rPr>
        <w:t xml:space="preserve"> </w:t>
      </w:r>
      <w:r w:rsidR="00C27892" w:rsidRPr="004B07B0">
        <w:rPr>
          <w:rFonts w:ascii="Times New Roman" w:hAnsi="Times New Roman"/>
        </w:rPr>
        <w:t>situations</w:t>
      </w:r>
      <w:r w:rsidR="003F0FB3" w:rsidRPr="004B07B0">
        <w:rPr>
          <w:rFonts w:ascii="Times New Roman" w:hAnsi="Times New Roman"/>
        </w:rPr>
        <w:t>,</w:t>
      </w:r>
      <w:r w:rsidR="001A25DC" w:rsidRPr="004B07B0">
        <w:rPr>
          <w:rFonts w:ascii="Times New Roman" w:hAnsi="Times New Roman"/>
        </w:rPr>
        <w:t xml:space="preserve"> </w:t>
      </w:r>
      <w:r w:rsidR="00E4361B" w:rsidRPr="004B07B0">
        <w:rPr>
          <w:rFonts w:ascii="Times New Roman" w:hAnsi="Times New Roman"/>
        </w:rPr>
        <w:t xml:space="preserve">the </w:t>
      </w:r>
      <w:r w:rsidR="001F30B7">
        <w:rPr>
          <w:rFonts w:ascii="Times New Roman" w:hAnsi="Times New Roman"/>
        </w:rPr>
        <w:t>possibility</w:t>
      </w:r>
      <w:r w:rsidR="00E4361B" w:rsidRPr="004B07B0">
        <w:rPr>
          <w:rFonts w:ascii="Times New Roman" w:hAnsi="Times New Roman"/>
        </w:rPr>
        <w:t xml:space="preserve"> of </w:t>
      </w:r>
      <w:r w:rsidR="000748C5" w:rsidRPr="004B07B0">
        <w:rPr>
          <w:rFonts w:ascii="Times New Roman" w:hAnsi="Times New Roman"/>
        </w:rPr>
        <w:t>transmission</w:t>
      </w:r>
      <w:r w:rsidR="00E94414">
        <w:rPr>
          <w:rFonts w:ascii="Times New Roman" w:hAnsi="Times New Roman"/>
        </w:rPr>
        <w:t xml:space="preserve"> is still likely to be </w:t>
      </w:r>
      <w:r w:rsidR="00A75E7B">
        <w:rPr>
          <w:rFonts w:ascii="Times New Roman" w:hAnsi="Times New Roman"/>
        </w:rPr>
        <w:t xml:space="preserve">an </w:t>
      </w:r>
      <w:r w:rsidR="000748C5" w:rsidRPr="00E94414">
        <w:rPr>
          <w:rFonts w:ascii="Times New Roman" w:hAnsi="Times New Roman"/>
          <w:i/>
        </w:rPr>
        <w:t>objectively</w:t>
      </w:r>
      <w:r w:rsidR="000748C5" w:rsidRPr="004B07B0">
        <w:rPr>
          <w:rFonts w:ascii="Times New Roman" w:hAnsi="Times New Roman"/>
        </w:rPr>
        <w:t xml:space="preserve"> </w:t>
      </w:r>
      <w:r w:rsidR="00550971" w:rsidRPr="004B07B0">
        <w:rPr>
          <w:rFonts w:ascii="Times New Roman" w:hAnsi="Times New Roman"/>
        </w:rPr>
        <w:t>reasonable</w:t>
      </w:r>
      <w:r w:rsidR="00696009" w:rsidRPr="004B07B0">
        <w:rPr>
          <w:rFonts w:ascii="Times New Roman" w:hAnsi="Times New Roman"/>
        </w:rPr>
        <w:t xml:space="preserve"> </w:t>
      </w:r>
      <w:r w:rsidR="001F30B7">
        <w:rPr>
          <w:rFonts w:ascii="Times New Roman" w:hAnsi="Times New Roman"/>
        </w:rPr>
        <w:t>risk</w:t>
      </w:r>
      <w:r w:rsidR="00A75E7B">
        <w:rPr>
          <w:rFonts w:ascii="Times New Roman" w:hAnsi="Times New Roman"/>
        </w:rPr>
        <w:t xml:space="preserve"> to </w:t>
      </w:r>
      <w:r w:rsidR="001F30B7">
        <w:rPr>
          <w:rFonts w:ascii="Times New Roman" w:hAnsi="Times New Roman"/>
        </w:rPr>
        <w:t>take</w:t>
      </w:r>
      <w:r w:rsidR="007858D8" w:rsidRPr="004B07B0">
        <w:rPr>
          <w:rFonts w:ascii="Times New Roman" w:hAnsi="Times New Roman"/>
        </w:rPr>
        <w:t xml:space="preserve">. </w:t>
      </w:r>
      <w:r w:rsidR="004C073E" w:rsidRPr="004B07B0">
        <w:rPr>
          <w:rFonts w:ascii="Times New Roman" w:hAnsi="Times New Roman"/>
        </w:rPr>
        <w:t>Elsewhere</w:t>
      </w:r>
      <w:r w:rsidR="00EA6DFA" w:rsidRPr="004B07B0">
        <w:rPr>
          <w:rFonts w:ascii="Times New Roman" w:hAnsi="Times New Roman"/>
        </w:rPr>
        <w:t xml:space="preserve">, </w:t>
      </w:r>
      <w:r w:rsidR="00A8436E" w:rsidRPr="004B07B0">
        <w:rPr>
          <w:rFonts w:ascii="Times New Roman" w:hAnsi="Times New Roman"/>
        </w:rPr>
        <w:t>inclusion of</w:t>
      </w:r>
      <w:r w:rsidR="00474B73" w:rsidRPr="004B07B0">
        <w:rPr>
          <w:rFonts w:ascii="Times New Roman" w:hAnsi="Times New Roman"/>
        </w:rPr>
        <w:t xml:space="preserve"> </w:t>
      </w:r>
      <w:r w:rsidR="00474B73" w:rsidRPr="004B07B0">
        <w:rPr>
          <w:rFonts w:ascii="Times New Roman" w:hAnsi="Times New Roman"/>
          <w:i/>
        </w:rPr>
        <w:t>serious</w:t>
      </w:r>
      <w:r w:rsidR="00474B73" w:rsidRPr="004B07B0">
        <w:rPr>
          <w:rFonts w:ascii="Times New Roman" w:hAnsi="Times New Roman"/>
        </w:rPr>
        <w:t xml:space="preserve"> disea</w:t>
      </w:r>
      <w:r w:rsidR="00B4467D" w:rsidRPr="004B07B0">
        <w:rPr>
          <w:rFonts w:ascii="Times New Roman" w:hAnsi="Times New Roman"/>
        </w:rPr>
        <w:t xml:space="preserve">se transmission under offences </w:t>
      </w:r>
      <w:r w:rsidR="00474B73" w:rsidRPr="004B07B0">
        <w:rPr>
          <w:rFonts w:ascii="Times New Roman" w:hAnsi="Times New Roman"/>
        </w:rPr>
        <w:t>1</w:t>
      </w:r>
      <w:r w:rsidR="00B4467D" w:rsidRPr="004B07B0">
        <w:rPr>
          <w:rFonts w:ascii="Times New Roman" w:hAnsi="Times New Roman"/>
        </w:rPr>
        <w:t xml:space="preserve"> and 2</w:t>
      </w:r>
      <w:r w:rsidR="00474B73" w:rsidRPr="004B07B0">
        <w:rPr>
          <w:rFonts w:ascii="Times New Roman" w:hAnsi="Times New Roman"/>
        </w:rPr>
        <w:t xml:space="preserve"> marks no</w:t>
      </w:r>
      <w:r w:rsidR="00637E06" w:rsidRPr="004B07B0">
        <w:rPr>
          <w:rFonts w:ascii="Times New Roman" w:hAnsi="Times New Roman"/>
        </w:rPr>
        <w:t xml:space="preserve"> change from current law</w:t>
      </w:r>
      <w:r w:rsidR="00C80DAA" w:rsidRPr="004B07B0">
        <w:rPr>
          <w:rFonts w:ascii="Times New Roman" w:hAnsi="Times New Roman"/>
        </w:rPr>
        <w:t xml:space="preserve">: their equivalent </w:t>
      </w:r>
      <w:r w:rsidR="00637E06" w:rsidRPr="004B07B0">
        <w:rPr>
          <w:rFonts w:ascii="Times New Roman" w:hAnsi="Times New Roman"/>
        </w:rPr>
        <w:t xml:space="preserve">crimes </w:t>
      </w:r>
      <w:r w:rsidR="00C80DAA" w:rsidRPr="004B07B0">
        <w:rPr>
          <w:rFonts w:ascii="Times New Roman" w:hAnsi="Times New Roman"/>
        </w:rPr>
        <w:t>(ss.18 and 20)</w:t>
      </w:r>
      <w:r w:rsidR="00637E06" w:rsidRPr="004B07B0">
        <w:rPr>
          <w:rFonts w:ascii="Times New Roman" w:hAnsi="Times New Roman"/>
        </w:rPr>
        <w:t xml:space="preserve"> already</w:t>
      </w:r>
      <w:r w:rsidR="00C80DAA" w:rsidRPr="004B07B0">
        <w:rPr>
          <w:rFonts w:ascii="Times New Roman" w:hAnsi="Times New Roman"/>
        </w:rPr>
        <w:t xml:space="preserve"> include </w:t>
      </w:r>
      <w:r w:rsidR="00257033" w:rsidRPr="004B07B0">
        <w:rPr>
          <w:rFonts w:ascii="Times New Roman" w:hAnsi="Times New Roman"/>
        </w:rPr>
        <w:t>this</w:t>
      </w:r>
      <w:r w:rsidR="00C27892" w:rsidRPr="004B07B0">
        <w:rPr>
          <w:rFonts w:ascii="Times New Roman" w:hAnsi="Times New Roman"/>
        </w:rPr>
        <w:t xml:space="preserve"> harm</w:t>
      </w:r>
      <w:r w:rsidR="00C80DAA" w:rsidRPr="004B07B0">
        <w:rPr>
          <w:rFonts w:ascii="Times New Roman" w:hAnsi="Times New Roman"/>
        </w:rPr>
        <w:t xml:space="preserve"> within</w:t>
      </w:r>
      <w:r w:rsidR="00637E06" w:rsidRPr="004B07B0">
        <w:rPr>
          <w:rFonts w:ascii="Times New Roman" w:hAnsi="Times New Roman"/>
        </w:rPr>
        <w:t xml:space="preserve"> the </w:t>
      </w:r>
      <w:r w:rsidR="00C27892" w:rsidRPr="004B07B0">
        <w:rPr>
          <w:rFonts w:ascii="Times New Roman" w:hAnsi="Times New Roman"/>
        </w:rPr>
        <w:t>meaning</w:t>
      </w:r>
      <w:r w:rsidR="00637E06" w:rsidRPr="004B07B0">
        <w:rPr>
          <w:rFonts w:ascii="Times New Roman" w:hAnsi="Times New Roman"/>
        </w:rPr>
        <w:t xml:space="preserve"> of</w:t>
      </w:r>
      <w:r w:rsidR="00C80DAA" w:rsidRPr="004B07B0">
        <w:rPr>
          <w:rFonts w:ascii="Times New Roman" w:hAnsi="Times New Roman"/>
        </w:rPr>
        <w:t xml:space="preserve"> GBH.</w:t>
      </w:r>
      <w:r w:rsidR="00637E06" w:rsidRPr="004B07B0">
        <w:rPr>
          <w:rStyle w:val="FootnoteReference"/>
          <w:rFonts w:ascii="Times New Roman" w:hAnsi="Times New Roman"/>
        </w:rPr>
        <w:footnoteReference w:id="110"/>
      </w:r>
      <w:r w:rsidR="00637E06" w:rsidRPr="004B07B0">
        <w:rPr>
          <w:rFonts w:ascii="Times New Roman" w:hAnsi="Times New Roman"/>
        </w:rPr>
        <w:t xml:space="preserve"> </w:t>
      </w:r>
    </w:p>
    <w:p w:rsidR="00F90A1C" w:rsidRDefault="00F90A1C" w:rsidP="004B07B0">
      <w:pPr>
        <w:autoSpaceDE w:val="0"/>
        <w:autoSpaceDN w:val="0"/>
        <w:adjustRightInd w:val="0"/>
        <w:spacing w:line="480" w:lineRule="auto"/>
        <w:jc w:val="both"/>
        <w:rPr>
          <w:rFonts w:ascii="Times New Roman" w:hAnsi="Times New Roman"/>
        </w:rPr>
      </w:pPr>
    </w:p>
    <w:p w:rsidR="00C44BD5" w:rsidRPr="00BF76C2" w:rsidRDefault="004F6992" w:rsidP="00BF76C2">
      <w:pPr>
        <w:autoSpaceDE w:val="0"/>
        <w:autoSpaceDN w:val="0"/>
        <w:adjustRightInd w:val="0"/>
        <w:spacing w:line="480" w:lineRule="auto"/>
        <w:jc w:val="both"/>
        <w:rPr>
          <w:rFonts w:ascii="Times New Roman" w:hAnsi="Times New Roman"/>
        </w:rPr>
      </w:pPr>
      <w:r>
        <w:rPr>
          <w:rFonts w:ascii="Times New Roman" w:hAnsi="Times New Roman"/>
        </w:rPr>
        <w:t>Overall, in defining conduct,</w:t>
      </w:r>
      <w:r w:rsidR="00257CE1" w:rsidRPr="004B07B0">
        <w:rPr>
          <w:rFonts w:ascii="Times New Roman" w:hAnsi="Times New Roman"/>
        </w:rPr>
        <w:t xml:space="preserve"> the new hierarchy presents a </w:t>
      </w:r>
      <w:r w:rsidR="004843F8" w:rsidRPr="004B07B0">
        <w:rPr>
          <w:rFonts w:ascii="Times New Roman" w:hAnsi="Times New Roman"/>
        </w:rPr>
        <w:t>simple</w:t>
      </w:r>
      <w:r w:rsidR="00257CE1" w:rsidRPr="004B07B0">
        <w:rPr>
          <w:rFonts w:ascii="Times New Roman" w:hAnsi="Times New Roman"/>
        </w:rPr>
        <w:t xml:space="preserve"> and logical ladder of </w:t>
      </w:r>
      <w:r>
        <w:rPr>
          <w:rFonts w:ascii="Times New Roman" w:hAnsi="Times New Roman"/>
        </w:rPr>
        <w:t>harms</w:t>
      </w:r>
      <w:r w:rsidR="00257CE1" w:rsidRPr="004B07B0">
        <w:rPr>
          <w:rFonts w:ascii="Times New Roman" w:hAnsi="Times New Roman"/>
        </w:rPr>
        <w:t xml:space="preserve"> across offences 1, 2 and 3. It is</w:t>
      </w:r>
      <w:r w:rsidR="000C22AC">
        <w:rPr>
          <w:rFonts w:ascii="Times New Roman" w:hAnsi="Times New Roman"/>
        </w:rPr>
        <w:t xml:space="preserve"> therefore more</w:t>
      </w:r>
      <w:r w:rsidR="00257CE1" w:rsidRPr="004B07B0">
        <w:rPr>
          <w:rFonts w:ascii="Times New Roman" w:hAnsi="Times New Roman"/>
        </w:rPr>
        <w:t xml:space="preserve"> intelligible to </w:t>
      </w:r>
      <w:r w:rsidR="0065338F" w:rsidRPr="004B07B0">
        <w:rPr>
          <w:rFonts w:ascii="Times New Roman" w:hAnsi="Times New Roman"/>
        </w:rPr>
        <w:t xml:space="preserve">practitioners and </w:t>
      </w:r>
      <w:r w:rsidR="000C22AC">
        <w:rPr>
          <w:rFonts w:ascii="Times New Roman" w:hAnsi="Times New Roman"/>
        </w:rPr>
        <w:t>the public</w:t>
      </w:r>
      <w:r w:rsidR="00257CE1" w:rsidRPr="004B07B0">
        <w:rPr>
          <w:rFonts w:ascii="Times New Roman" w:hAnsi="Times New Roman"/>
        </w:rPr>
        <w:t xml:space="preserve">. </w:t>
      </w:r>
      <w:r w:rsidR="004843F8" w:rsidRPr="004B07B0">
        <w:rPr>
          <w:rFonts w:ascii="Times New Roman" w:hAnsi="Times New Roman"/>
        </w:rPr>
        <w:t xml:space="preserve">However, </w:t>
      </w:r>
      <w:r w:rsidR="00484E2B" w:rsidRPr="004B07B0">
        <w:rPr>
          <w:rFonts w:ascii="Times New Roman" w:hAnsi="Times New Roman"/>
        </w:rPr>
        <w:t xml:space="preserve">in </w:t>
      </w:r>
      <w:r w:rsidR="009C4165" w:rsidRPr="004B07B0">
        <w:rPr>
          <w:rFonts w:ascii="Times New Roman" w:hAnsi="Times New Roman"/>
        </w:rPr>
        <w:t>some</w:t>
      </w:r>
      <w:r w:rsidR="00484E2B" w:rsidRPr="004B07B0">
        <w:rPr>
          <w:rFonts w:ascii="Times New Roman" w:hAnsi="Times New Roman"/>
        </w:rPr>
        <w:t xml:space="preserve"> respects</w:t>
      </w:r>
      <w:r w:rsidR="00AA421F">
        <w:rPr>
          <w:rFonts w:ascii="Times New Roman" w:hAnsi="Times New Roman"/>
        </w:rPr>
        <w:t>,</w:t>
      </w:r>
      <w:r w:rsidR="00484E2B" w:rsidRPr="004B07B0">
        <w:rPr>
          <w:rFonts w:ascii="Times New Roman" w:hAnsi="Times New Roman"/>
        </w:rPr>
        <w:t xml:space="preserve"> the revised scheme of harms perpetuates existing problems. </w:t>
      </w:r>
      <w:r w:rsidR="009C4165" w:rsidRPr="004B07B0">
        <w:rPr>
          <w:rFonts w:ascii="Times New Roman" w:hAnsi="Times New Roman"/>
        </w:rPr>
        <w:t xml:space="preserve">In </w:t>
      </w:r>
      <w:r w:rsidR="009C4165" w:rsidRPr="004B07B0">
        <w:rPr>
          <w:rFonts w:ascii="Times New Roman" w:hAnsi="Times New Roman"/>
        </w:rPr>
        <w:lastRenderedPageBreak/>
        <w:t xml:space="preserve">particular, the scoping report is </w:t>
      </w:r>
      <w:r w:rsidR="004B07B0" w:rsidRPr="004B07B0">
        <w:rPr>
          <w:rFonts w:ascii="Times New Roman" w:hAnsi="Times New Roman"/>
        </w:rPr>
        <w:t>vague</w:t>
      </w:r>
      <w:r w:rsidR="009C4165" w:rsidRPr="004B07B0">
        <w:rPr>
          <w:rFonts w:ascii="Times New Roman" w:hAnsi="Times New Roman"/>
        </w:rPr>
        <w:t xml:space="preserve"> about the boundary between “serious injury” and “injury”. Of course, some degree of overlap in classifying harms is inevitable. </w:t>
      </w:r>
      <w:r w:rsidR="006367C1" w:rsidRPr="004B07B0">
        <w:rPr>
          <w:rFonts w:ascii="Times New Roman" w:hAnsi="Times New Roman"/>
        </w:rPr>
        <w:t xml:space="preserve">However, the scoping report could have been clearer on this </w:t>
      </w:r>
      <w:r w:rsidR="00FE5E11" w:rsidRPr="004B07B0">
        <w:rPr>
          <w:rFonts w:ascii="Times New Roman" w:hAnsi="Times New Roman"/>
        </w:rPr>
        <w:t>distinction</w:t>
      </w:r>
      <w:r w:rsidR="0071395E" w:rsidRPr="004B07B0">
        <w:rPr>
          <w:rFonts w:ascii="Times New Roman" w:hAnsi="Times New Roman"/>
        </w:rPr>
        <w:t xml:space="preserve">. </w:t>
      </w:r>
      <w:r w:rsidR="002C4069">
        <w:rPr>
          <w:rFonts w:ascii="Times New Roman" w:hAnsi="Times New Roman"/>
        </w:rPr>
        <w:t xml:space="preserve">For example, </w:t>
      </w:r>
      <w:r w:rsidR="006367C1" w:rsidRPr="004B07B0">
        <w:rPr>
          <w:rFonts w:ascii="Times New Roman" w:hAnsi="Times New Roman"/>
        </w:rPr>
        <w:t xml:space="preserve">it notes that </w:t>
      </w:r>
      <w:r w:rsidR="00FE5E11" w:rsidRPr="004B07B0">
        <w:rPr>
          <w:rFonts w:ascii="Times New Roman" w:hAnsi="Times New Roman"/>
        </w:rPr>
        <w:t>the word “serious” remains ambiguous</w:t>
      </w:r>
      <w:r w:rsidR="0071395E" w:rsidRPr="004B07B0">
        <w:rPr>
          <w:rFonts w:ascii="Times New Roman" w:hAnsi="Times New Roman"/>
        </w:rPr>
        <w:t>,</w:t>
      </w:r>
      <w:r w:rsidR="00FE5E11" w:rsidRPr="004B07B0">
        <w:rPr>
          <w:rFonts w:ascii="Times New Roman" w:hAnsi="Times New Roman"/>
        </w:rPr>
        <w:t xml:space="preserve"> before debating</w:t>
      </w:r>
      <w:r w:rsidR="0071395E" w:rsidRPr="004B07B0">
        <w:rPr>
          <w:rFonts w:ascii="Times New Roman" w:hAnsi="Times New Roman"/>
        </w:rPr>
        <w:t xml:space="preserve"> – </w:t>
      </w:r>
      <w:r w:rsidR="00FE5E11" w:rsidRPr="004B07B0">
        <w:rPr>
          <w:rFonts w:ascii="Times New Roman" w:hAnsi="Times New Roman"/>
        </w:rPr>
        <w:t>withou</w:t>
      </w:r>
      <w:r w:rsidR="0071395E" w:rsidRPr="004B07B0">
        <w:rPr>
          <w:rFonts w:ascii="Times New Roman" w:hAnsi="Times New Roman"/>
        </w:rPr>
        <w:t xml:space="preserve">t resolving – </w:t>
      </w:r>
      <w:r w:rsidR="00FE5E11" w:rsidRPr="004B07B0">
        <w:rPr>
          <w:rFonts w:ascii="Times New Roman" w:hAnsi="Times New Roman"/>
        </w:rPr>
        <w:t xml:space="preserve">whether it might be preferable </w:t>
      </w:r>
      <w:r w:rsidR="0071395E" w:rsidRPr="004B07B0">
        <w:rPr>
          <w:rFonts w:ascii="Times New Roman" w:hAnsi="Times New Roman"/>
        </w:rPr>
        <w:t>for</w:t>
      </w:r>
      <w:r w:rsidR="00FE5E11" w:rsidRPr="004B07B0">
        <w:rPr>
          <w:rFonts w:ascii="Times New Roman" w:hAnsi="Times New Roman"/>
        </w:rPr>
        <w:t xml:space="preserve"> offences 1 and 2 </w:t>
      </w:r>
      <w:r w:rsidR="0071395E" w:rsidRPr="004B07B0">
        <w:rPr>
          <w:rFonts w:ascii="Times New Roman" w:hAnsi="Times New Roman"/>
        </w:rPr>
        <w:t>to require</w:t>
      </w:r>
      <w:r w:rsidR="00FE5E11" w:rsidRPr="004B07B0">
        <w:rPr>
          <w:rFonts w:ascii="Times New Roman" w:hAnsi="Times New Roman"/>
        </w:rPr>
        <w:t xml:space="preserve"> “exceptionally grave injury”.</w:t>
      </w:r>
      <w:r w:rsidR="00FE5E11" w:rsidRPr="004B07B0">
        <w:rPr>
          <w:rStyle w:val="FootnoteReference"/>
          <w:rFonts w:ascii="Times New Roman" w:hAnsi="Times New Roman"/>
        </w:rPr>
        <w:footnoteReference w:id="111"/>
      </w:r>
      <w:r w:rsidR="002D1F58" w:rsidRPr="004B07B0">
        <w:rPr>
          <w:rFonts w:ascii="Times New Roman" w:hAnsi="Times New Roman"/>
        </w:rPr>
        <w:t xml:space="preserve"> </w:t>
      </w:r>
      <w:r w:rsidR="00CD2FEB" w:rsidRPr="004B07B0">
        <w:rPr>
          <w:rFonts w:ascii="Times New Roman" w:hAnsi="Times New Roman"/>
        </w:rPr>
        <w:t xml:space="preserve">That extra layer of definition </w:t>
      </w:r>
      <w:r w:rsidR="00E619A7" w:rsidRPr="004B07B0">
        <w:rPr>
          <w:rFonts w:ascii="Times New Roman" w:hAnsi="Times New Roman"/>
        </w:rPr>
        <w:t>w</w:t>
      </w:r>
      <w:r w:rsidR="00CD2FEB" w:rsidRPr="004B07B0">
        <w:rPr>
          <w:rFonts w:ascii="Times New Roman" w:hAnsi="Times New Roman"/>
        </w:rPr>
        <w:t xml:space="preserve">ould </w:t>
      </w:r>
      <w:r w:rsidR="00F20F89">
        <w:rPr>
          <w:rFonts w:ascii="Times New Roman" w:hAnsi="Times New Roman"/>
        </w:rPr>
        <w:t xml:space="preserve">have </w:t>
      </w:r>
      <w:r w:rsidR="00E00D32">
        <w:rPr>
          <w:rFonts w:ascii="Times New Roman" w:hAnsi="Times New Roman"/>
        </w:rPr>
        <w:t>better</w:t>
      </w:r>
      <w:r w:rsidR="00CD2FEB" w:rsidRPr="004B07B0">
        <w:rPr>
          <w:rFonts w:ascii="Times New Roman" w:hAnsi="Times New Roman"/>
        </w:rPr>
        <w:t xml:space="preserve"> </w:t>
      </w:r>
      <w:r w:rsidR="00E00D32">
        <w:rPr>
          <w:rFonts w:ascii="Times New Roman" w:hAnsi="Times New Roman"/>
        </w:rPr>
        <w:t>delimit</w:t>
      </w:r>
      <w:r w:rsidR="00F20F89">
        <w:rPr>
          <w:rFonts w:ascii="Times New Roman" w:hAnsi="Times New Roman"/>
        </w:rPr>
        <w:t>ed</w:t>
      </w:r>
      <w:r w:rsidR="00CD2FEB" w:rsidRPr="004B07B0">
        <w:rPr>
          <w:rFonts w:ascii="Times New Roman" w:hAnsi="Times New Roman"/>
        </w:rPr>
        <w:t xml:space="preserve"> the severity </w:t>
      </w:r>
      <w:r w:rsidR="005E4A5C">
        <w:rPr>
          <w:rFonts w:ascii="Times New Roman" w:hAnsi="Times New Roman"/>
        </w:rPr>
        <w:t>of</w:t>
      </w:r>
      <w:r w:rsidR="00CD2FEB" w:rsidRPr="004B07B0">
        <w:rPr>
          <w:rFonts w:ascii="Times New Roman" w:hAnsi="Times New Roman"/>
        </w:rPr>
        <w:t xml:space="preserve"> physical or mental suffering that </w:t>
      </w:r>
      <w:r w:rsidR="00321FB3">
        <w:rPr>
          <w:rFonts w:ascii="Times New Roman" w:hAnsi="Times New Roman"/>
        </w:rPr>
        <w:t>isolates</w:t>
      </w:r>
      <w:r w:rsidR="00CD2FEB" w:rsidRPr="004B07B0">
        <w:rPr>
          <w:rFonts w:ascii="Times New Roman" w:hAnsi="Times New Roman"/>
        </w:rPr>
        <w:t xml:space="preserve"> offences 1 and 2 </w:t>
      </w:r>
      <w:r w:rsidR="00CD2FEB" w:rsidRPr="001F00FA">
        <w:rPr>
          <w:rFonts w:ascii="Times New Roman" w:hAnsi="Times New Roman"/>
        </w:rPr>
        <w:t xml:space="preserve">from offence 3. </w:t>
      </w:r>
      <w:r w:rsidR="00E00D32">
        <w:rPr>
          <w:rFonts w:ascii="Times New Roman" w:hAnsi="Times New Roman"/>
        </w:rPr>
        <w:t xml:space="preserve">It is therefore regrettable that the scoping report does not provide </w:t>
      </w:r>
      <w:r w:rsidR="00631246">
        <w:rPr>
          <w:rFonts w:ascii="Times New Roman" w:hAnsi="Times New Roman"/>
        </w:rPr>
        <w:t>more precision o</w:t>
      </w:r>
      <w:r w:rsidR="00E00D32">
        <w:rPr>
          <w:rFonts w:ascii="Times New Roman" w:hAnsi="Times New Roman"/>
        </w:rPr>
        <w:t xml:space="preserve">n how “serious” should be understood, especially given that </w:t>
      </w:r>
      <w:r w:rsidR="004B07B0" w:rsidRPr="001F00FA">
        <w:rPr>
          <w:rFonts w:ascii="Times New Roman" w:hAnsi="Times New Roman"/>
        </w:rPr>
        <w:t xml:space="preserve">demand for </w:t>
      </w:r>
      <w:r w:rsidR="00E00D32">
        <w:rPr>
          <w:rFonts w:ascii="Times New Roman" w:hAnsi="Times New Roman"/>
        </w:rPr>
        <w:t xml:space="preserve">precision </w:t>
      </w:r>
      <w:r w:rsidR="005E4A5C">
        <w:rPr>
          <w:rFonts w:ascii="Times New Roman" w:hAnsi="Times New Roman"/>
        </w:rPr>
        <w:t xml:space="preserve">on this issue </w:t>
      </w:r>
      <w:r w:rsidR="004B07B0" w:rsidRPr="001F00FA">
        <w:rPr>
          <w:rFonts w:ascii="Times New Roman" w:hAnsi="Times New Roman"/>
        </w:rPr>
        <w:t>is longstanding.</w:t>
      </w:r>
      <w:r w:rsidR="00CD2FEB" w:rsidRPr="001F00FA">
        <w:rPr>
          <w:rStyle w:val="FootnoteReference"/>
          <w:rFonts w:ascii="Times New Roman" w:hAnsi="Times New Roman"/>
        </w:rPr>
        <w:footnoteReference w:id="112"/>
      </w:r>
      <w:r w:rsidR="00E619A7" w:rsidRPr="001F00FA">
        <w:rPr>
          <w:rFonts w:ascii="Times New Roman" w:hAnsi="Times New Roman"/>
        </w:rPr>
        <w:t xml:space="preserve"> </w:t>
      </w:r>
      <w:r w:rsidR="005E4A5C">
        <w:rPr>
          <w:rFonts w:ascii="Times New Roman" w:hAnsi="Times New Roman"/>
        </w:rPr>
        <w:t>At the moment</w:t>
      </w:r>
      <w:r w:rsidR="00631246">
        <w:rPr>
          <w:rFonts w:ascii="Times New Roman" w:hAnsi="Times New Roman"/>
        </w:rPr>
        <w:t xml:space="preserve">, </w:t>
      </w:r>
      <w:r w:rsidR="005E4A5C">
        <w:rPr>
          <w:rFonts w:ascii="Times New Roman" w:hAnsi="Times New Roman"/>
        </w:rPr>
        <w:t xml:space="preserve">assuming </w:t>
      </w:r>
      <w:r w:rsidR="00191586">
        <w:rPr>
          <w:rFonts w:ascii="Times New Roman" w:hAnsi="Times New Roman"/>
        </w:rPr>
        <w:t xml:space="preserve">the split between </w:t>
      </w:r>
      <w:r w:rsidR="00631246">
        <w:rPr>
          <w:rFonts w:ascii="Times New Roman" w:hAnsi="Times New Roman"/>
        </w:rPr>
        <w:t>“serious injury” and “injury”</w:t>
      </w:r>
      <w:r w:rsidR="005E4A5C">
        <w:rPr>
          <w:rFonts w:ascii="Times New Roman" w:hAnsi="Times New Roman"/>
        </w:rPr>
        <w:t xml:space="preserve"> mimic</w:t>
      </w:r>
      <w:r w:rsidR="00191586">
        <w:rPr>
          <w:rFonts w:ascii="Times New Roman" w:hAnsi="Times New Roman"/>
        </w:rPr>
        <w:t>s</w:t>
      </w:r>
      <w:r w:rsidR="005E4A5C">
        <w:rPr>
          <w:rFonts w:ascii="Times New Roman" w:hAnsi="Times New Roman"/>
        </w:rPr>
        <w:t xml:space="preserve"> the actus re</w:t>
      </w:r>
      <w:r w:rsidR="00210F8D">
        <w:rPr>
          <w:rFonts w:ascii="Times New Roman" w:hAnsi="Times New Roman"/>
        </w:rPr>
        <w:t xml:space="preserve">i divide between ss.18/20 and </w:t>
      </w:r>
      <w:r w:rsidR="005E4A5C">
        <w:rPr>
          <w:rFonts w:ascii="Times New Roman" w:hAnsi="Times New Roman"/>
        </w:rPr>
        <w:t xml:space="preserve">47, </w:t>
      </w:r>
      <w:r w:rsidR="00E10454">
        <w:rPr>
          <w:rFonts w:ascii="Times New Roman" w:hAnsi="Times New Roman"/>
        </w:rPr>
        <w:t xml:space="preserve">the problems of overlap, fair warning and fair labelling that </w:t>
      </w:r>
      <w:r w:rsidR="0012301F">
        <w:rPr>
          <w:rFonts w:ascii="Times New Roman" w:hAnsi="Times New Roman"/>
        </w:rPr>
        <w:t xml:space="preserve">have long </w:t>
      </w:r>
      <w:r w:rsidR="00E10454">
        <w:rPr>
          <w:rFonts w:ascii="Times New Roman" w:hAnsi="Times New Roman"/>
        </w:rPr>
        <w:t>stalk</w:t>
      </w:r>
      <w:r w:rsidR="009B1136">
        <w:rPr>
          <w:rFonts w:ascii="Times New Roman" w:hAnsi="Times New Roman"/>
        </w:rPr>
        <w:t>ed</w:t>
      </w:r>
      <w:r w:rsidR="00703746">
        <w:rPr>
          <w:rFonts w:ascii="Times New Roman" w:hAnsi="Times New Roman"/>
        </w:rPr>
        <w:t xml:space="preserve"> the law </w:t>
      </w:r>
      <w:r w:rsidR="001F30B7">
        <w:rPr>
          <w:rFonts w:ascii="Times New Roman" w:hAnsi="Times New Roman"/>
        </w:rPr>
        <w:t>may well</w:t>
      </w:r>
      <w:r w:rsidR="00E10454">
        <w:rPr>
          <w:rFonts w:ascii="Times New Roman" w:hAnsi="Times New Roman"/>
        </w:rPr>
        <w:t xml:space="preserve"> persist. </w:t>
      </w:r>
      <w:r w:rsidR="00C62F80" w:rsidRPr="001F00FA">
        <w:rPr>
          <w:rFonts w:ascii="Times New Roman" w:hAnsi="Times New Roman"/>
        </w:rPr>
        <w:t xml:space="preserve">The uncertainty created by this gap would need addressing by </w:t>
      </w:r>
      <w:r w:rsidR="004B07B0" w:rsidRPr="001F00FA">
        <w:rPr>
          <w:rFonts w:ascii="Times New Roman" w:hAnsi="Times New Roman"/>
        </w:rPr>
        <w:t xml:space="preserve">CPS guidance, keeping in mind the point in </w:t>
      </w:r>
      <w:proofErr w:type="spellStart"/>
      <w:r w:rsidR="004B07B0" w:rsidRPr="00BF76C2">
        <w:rPr>
          <w:rFonts w:ascii="Times New Roman" w:hAnsi="Times New Roman"/>
          <w:i/>
        </w:rPr>
        <w:t>Bollom</w:t>
      </w:r>
      <w:proofErr w:type="spellEnd"/>
      <w:r w:rsidR="004B07B0" w:rsidRPr="00BF76C2">
        <w:rPr>
          <w:rFonts w:ascii="Times New Roman" w:hAnsi="Times New Roman"/>
        </w:rPr>
        <w:t xml:space="preserve"> that </w:t>
      </w:r>
      <w:r w:rsidR="00651392">
        <w:rPr>
          <w:rFonts w:ascii="Times New Roman" w:hAnsi="Times New Roman"/>
        </w:rPr>
        <w:t xml:space="preserve">assessment of </w:t>
      </w:r>
      <w:r w:rsidR="00154547">
        <w:rPr>
          <w:rFonts w:ascii="Times New Roman" w:hAnsi="Times New Roman"/>
        </w:rPr>
        <w:t xml:space="preserve">an injury’s seriousness must take into account </w:t>
      </w:r>
      <w:r w:rsidR="001F00FA" w:rsidRPr="00BF76C2">
        <w:rPr>
          <w:rFonts w:ascii="Times New Roman" w:hAnsi="Times New Roman"/>
        </w:rPr>
        <w:t xml:space="preserve">the effect of the harm on the </w:t>
      </w:r>
      <w:r w:rsidR="001F00FA" w:rsidRPr="00BF76C2">
        <w:rPr>
          <w:rFonts w:ascii="Times New Roman" w:hAnsi="Times New Roman"/>
          <w:i/>
        </w:rPr>
        <w:t xml:space="preserve">particular </w:t>
      </w:r>
      <w:r w:rsidR="001F00FA" w:rsidRPr="00BF76C2">
        <w:rPr>
          <w:rFonts w:ascii="Times New Roman" w:hAnsi="Times New Roman"/>
        </w:rPr>
        <w:t>individual.</w:t>
      </w:r>
      <w:r w:rsidR="001F00FA" w:rsidRPr="00BF76C2">
        <w:rPr>
          <w:rStyle w:val="FootnoteReference"/>
          <w:rFonts w:ascii="Times New Roman" w:hAnsi="Times New Roman"/>
        </w:rPr>
        <w:footnoteReference w:id="113"/>
      </w:r>
    </w:p>
    <w:p w:rsidR="00351331" w:rsidRPr="00BF76C2" w:rsidRDefault="00351331" w:rsidP="00BF76C2">
      <w:pPr>
        <w:autoSpaceDE w:val="0"/>
        <w:autoSpaceDN w:val="0"/>
        <w:adjustRightInd w:val="0"/>
        <w:spacing w:line="480" w:lineRule="auto"/>
        <w:jc w:val="both"/>
        <w:rPr>
          <w:rFonts w:ascii="Times New Roman" w:hAnsi="Times New Roman"/>
        </w:rPr>
      </w:pPr>
    </w:p>
    <w:p w:rsidR="00651392" w:rsidRDefault="004F6992" w:rsidP="00BF76C2">
      <w:pPr>
        <w:autoSpaceDE w:val="0"/>
        <w:autoSpaceDN w:val="0"/>
        <w:adjustRightInd w:val="0"/>
        <w:spacing w:line="480" w:lineRule="auto"/>
        <w:jc w:val="both"/>
        <w:rPr>
          <w:rFonts w:ascii="Times New Roman" w:hAnsi="Times New Roman"/>
        </w:rPr>
      </w:pPr>
      <w:r w:rsidRPr="00BF76C2">
        <w:rPr>
          <w:rFonts w:ascii="Times New Roman" w:hAnsi="Times New Roman"/>
        </w:rPr>
        <w:t xml:space="preserve">Notwithstanding these criticisms, </w:t>
      </w:r>
      <w:r w:rsidR="005F1021" w:rsidRPr="00BF76C2">
        <w:rPr>
          <w:rFonts w:ascii="Times New Roman" w:hAnsi="Times New Roman"/>
        </w:rPr>
        <w:t xml:space="preserve">offences 1 and 2 </w:t>
      </w:r>
      <w:r w:rsidR="00BF76C2" w:rsidRPr="00BF76C2">
        <w:rPr>
          <w:rFonts w:ascii="Times New Roman" w:hAnsi="Times New Roman"/>
        </w:rPr>
        <w:t>should be welcomed for containing</w:t>
      </w:r>
      <w:r w:rsidR="005F1021" w:rsidRPr="00BF76C2">
        <w:rPr>
          <w:rFonts w:ascii="Times New Roman" w:hAnsi="Times New Roman"/>
        </w:rPr>
        <w:t xml:space="preserve"> </w:t>
      </w:r>
      <w:r w:rsidR="00AF0B79">
        <w:rPr>
          <w:rFonts w:ascii="Times New Roman" w:hAnsi="Times New Roman"/>
        </w:rPr>
        <w:t>requirements</w:t>
      </w:r>
      <w:r w:rsidR="005F1021" w:rsidRPr="00BF76C2">
        <w:rPr>
          <w:rFonts w:ascii="Times New Roman" w:hAnsi="Times New Roman"/>
        </w:rPr>
        <w:t xml:space="preserve"> of fault</w:t>
      </w:r>
      <w:r w:rsidR="001636F8">
        <w:rPr>
          <w:rFonts w:ascii="Times New Roman" w:hAnsi="Times New Roman"/>
        </w:rPr>
        <w:t xml:space="preserve"> (intention or recklessness, respectively, as to causing serious injury) </w:t>
      </w:r>
      <w:r w:rsidR="005F1021" w:rsidRPr="00BF76C2">
        <w:rPr>
          <w:rFonts w:ascii="Times New Roman" w:hAnsi="Times New Roman"/>
        </w:rPr>
        <w:t xml:space="preserve">which </w:t>
      </w:r>
      <w:r w:rsidR="00815AAA">
        <w:rPr>
          <w:rFonts w:ascii="Times New Roman" w:hAnsi="Times New Roman"/>
        </w:rPr>
        <w:t>directly track the</w:t>
      </w:r>
      <w:r w:rsidR="00703DAC">
        <w:rPr>
          <w:rFonts w:ascii="Times New Roman" w:hAnsi="Times New Roman"/>
        </w:rPr>
        <w:t xml:space="preserve"> harm</w:t>
      </w:r>
      <w:r w:rsidR="001636F8">
        <w:rPr>
          <w:rFonts w:ascii="Times New Roman" w:hAnsi="Times New Roman"/>
        </w:rPr>
        <w:t xml:space="preserve"> proscribed by</w:t>
      </w:r>
      <w:r w:rsidR="00815AAA">
        <w:rPr>
          <w:rFonts w:ascii="Times New Roman" w:hAnsi="Times New Roman"/>
        </w:rPr>
        <w:t xml:space="preserve"> those crimes</w:t>
      </w:r>
      <w:r w:rsidR="001636F8">
        <w:rPr>
          <w:rFonts w:ascii="Times New Roman" w:hAnsi="Times New Roman"/>
        </w:rPr>
        <w:t xml:space="preserve"> (serious injury)</w:t>
      </w:r>
      <w:r w:rsidR="00815AAA">
        <w:rPr>
          <w:rFonts w:ascii="Times New Roman" w:hAnsi="Times New Roman"/>
        </w:rPr>
        <w:t>. This satisfies the correspondence principle: there</w:t>
      </w:r>
      <w:r w:rsidR="000234A5">
        <w:rPr>
          <w:rFonts w:ascii="Times New Roman" w:hAnsi="Times New Roman"/>
        </w:rPr>
        <w:t xml:space="preserve"> is no constructive liability</w:t>
      </w:r>
      <w:r w:rsidR="00815AAA">
        <w:rPr>
          <w:rFonts w:ascii="Times New Roman" w:hAnsi="Times New Roman"/>
        </w:rPr>
        <w:t xml:space="preserve">. </w:t>
      </w:r>
      <w:r w:rsidR="00703746">
        <w:rPr>
          <w:rFonts w:ascii="Times New Roman" w:hAnsi="Times New Roman"/>
        </w:rPr>
        <w:t>This is surely good for fair warning.</w:t>
      </w:r>
      <w:r w:rsidR="00703746">
        <w:rPr>
          <w:rStyle w:val="FootnoteReference"/>
          <w:rFonts w:ascii="Times New Roman" w:hAnsi="Times New Roman"/>
        </w:rPr>
        <w:footnoteReference w:id="114"/>
      </w:r>
      <w:r w:rsidR="00703746">
        <w:rPr>
          <w:rFonts w:ascii="Times New Roman" w:hAnsi="Times New Roman"/>
        </w:rPr>
        <w:t xml:space="preserve"> </w:t>
      </w:r>
      <w:r w:rsidR="00703DAC">
        <w:rPr>
          <w:rFonts w:ascii="Times New Roman" w:hAnsi="Times New Roman"/>
        </w:rPr>
        <w:t>Moreover, fault corresponds</w:t>
      </w:r>
      <w:r w:rsidR="005F1021" w:rsidRPr="00BF76C2">
        <w:rPr>
          <w:rFonts w:ascii="Times New Roman" w:hAnsi="Times New Roman"/>
        </w:rPr>
        <w:t xml:space="preserve"> with </w:t>
      </w:r>
      <w:r w:rsidR="00A72B2E">
        <w:rPr>
          <w:rFonts w:ascii="Times New Roman" w:hAnsi="Times New Roman"/>
        </w:rPr>
        <w:t>punishment</w:t>
      </w:r>
      <w:r w:rsidR="005F1021" w:rsidRPr="00BF76C2">
        <w:rPr>
          <w:rFonts w:ascii="Times New Roman" w:hAnsi="Times New Roman"/>
        </w:rPr>
        <w:t>. Offence 1 – which can only be committed intentionally – contains a higher sentence (life imprisonment) than that in offence 2 (seven years) which ca</w:t>
      </w:r>
      <w:r w:rsidR="000471CA" w:rsidRPr="00BF76C2">
        <w:rPr>
          <w:rFonts w:ascii="Times New Roman" w:hAnsi="Times New Roman"/>
        </w:rPr>
        <w:t xml:space="preserve">n only be committed recklessly. Such sentencing features are a vast improvement on those in ss.18 and 20 where neither necessarily accorded with D’s </w:t>
      </w:r>
      <w:r w:rsidR="004D1DD4" w:rsidRPr="00BF76C2">
        <w:rPr>
          <w:rFonts w:ascii="Times New Roman" w:hAnsi="Times New Roman"/>
        </w:rPr>
        <w:t>conduct</w:t>
      </w:r>
      <w:r w:rsidR="000471CA" w:rsidRPr="00BF76C2">
        <w:rPr>
          <w:rFonts w:ascii="Times New Roman" w:hAnsi="Times New Roman"/>
        </w:rPr>
        <w:t xml:space="preserve"> </w:t>
      </w:r>
      <w:r w:rsidR="000471CA" w:rsidRPr="00BF76C2">
        <w:rPr>
          <w:rFonts w:ascii="Times New Roman" w:hAnsi="Times New Roman"/>
        </w:rPr>
        <w:lastRenderedPageBreak/>
        <w:t xml:space="preserve">or </w:t>
      </w:r>
      <w:r w:rsidR="004D1DD4" w:rsidRPr="00BF76C2">
        <w:rPr>
          <w:rFonts w:ascii="Times New Roman" w:hAnsi="Times New Roman"/>
        </w:rPr>
        <w:t xml:space="preserve">culpability. Unfortunately, </w:t>
      </w:r>
      <w:r w:rsidR="00A806FA">
        <w:rPr>
          <w:rFonts w:ascii="Times New Roman" w:hAnsi="Times New Roman"/>
        </w:rPr>
        <w:t xml:space="preserve">that rule is not adhered to in </w:t>
      </w:r>
      <w:r w:rsidR="004D1DD4" w:rsidRPr="00BF76C2">
        <w:rPr>
          <w:rFonts w:ascii="Times New Roman" w:hAnsi="Times New Roman"/>
        </w:rPr>
        <w:t xml:space="preserve">offence 3. Here, </w:t>
      </w:r>
      <w:r w:rsidR="002E606B" w:rsidRPr="00BF76C2">
        <w:rPr>
          <w:rFonts w:ascii="Times New Roman" w:hAnsi="Times New Roman"/>
        </w:rPr>
        <w:t xml:space="preserve">the </w:t>
      </w:r>
      <w:r w:rsidR="004D1DD4" w:rsidRPr="00BF76C2">
        <w:rPr>
          <w:rFonts w:ascii="Times New Roman" w:hAnsi="Times New Roman"/>
        </w:rPr>
        <w:t xml:space="preserve">sentence (five years) </w:t>
      </w:r>
      <w:r w:rsidR="002E606B" w:rsidRPr="00BF76C2">
        <w:rPr>
          <w:rFonts w:ascii="Times New Roman" w:hAnsi="Times New Roman"/>
        </w:rPr>
        <w:t xml:space="preserve">is the same </w:t>
      </w:r>
      <w:r w:rsidR="004D1DD4" w:rsidRPr="00BF76C2">
        <w:rPr>
          <w:rFonts w:ascii="Times New Roman" w:hAnsi="Times New Roman"/>
        </w:rPr>
        <w:t xml:space="preserve">irrespective of D’s </w:t>
      </w:r>
      <w:proofErr w:type="spellStart"/>
      <w:r w:rsidR="004D1DD4" w:rsidRPr="00BF76C2">
        <w:rPr>
          <w:rFonts w:ascii="Times New Roman" w:hAnsi="Times New Roman"/>
        </w:rPr>
        <w:t>mens</w:t>
      </w:r>
      <w:proofErr w:type="spellEnd"/>
      <w:r w:rsidR="004D1DD4" w:rsidRPr="00BF76C2">
        <w:rPr>
          <w:rFonts w:ascii="Times New Roman" w:hAnsi="Times New Roman"/>
        </w:rPr>
        <w:t xml:space="preserve"> rea (intention </w:t>
      </w:r>
      <w:r w:rsidR="004D1DD4" w:rsidRPr="009C0627">
        <w:rPr>
          <w:rFonts w:ascii="Times New Roman" w:hAnsi="Times New Roman"/>
          <w:i/>
        </w:rPr>
        <w:t>or</w:t>
      </w:r>
      <w:r w:rsidR="004D1DD4" w:rsidRPr="00BF76C2">
        <w:rPr>
          <w:rFonts w:ascii="Times New Roman" w:hAnsi="Times New Roman"/>
        </w:rPr>
        <w:t xml:space="preserve"> recklessness</w:t>
      </w:r>
      <w:r w:rsidR="001636F8">
        <w:rPr>
          <w:rFonts w:ascii="Times New Roman" w:hAnsi="Times New Roman"/>
        </w:rPr>
        <w:t xml:space="preserve"> as to causing injury</w:t>
      </w:r>
      <w:r w:rsidR="004D1DD4" w:rsidRPr="00BF76C2">
        <w:rPr>
          <w:rFonts w:ascii="Times New Roman" w:hAnsi="Times New Roman"/>
        </w:rPr>
        <w:t xml:space="preserve">). </w:t>
      </w:r>
      <w:r w:rsidR="00651392">
        <w:rPr>
          <w:rFonts w:ascii="Times New Roman" w:hAnsi="Times New Roman"/>
        </w:rPr>
        <w:t xml:space="preserve">As </w:t>
      </w:r>
      <w:proofErr w:type="spellStart"/>
      <w:r w:rsidR="00651392">
        <w:rPr>
          <w:rFonts w:ascii="Times New Roman" w:hAnsi="Times New Roman"/>
        </w:rPr>
        <w:t>Eriera</w:t>
      </w:r>
      <w:proofErr w:type="spellEnd"/>
      <w:r w:rsidR="00651392">
        <w:rPr>
          <w:rFonts w:ascii="Times New Roman" w:hAnsi="Times New Roman"/>
        </w:rPr>
        <w:t xml:space="preserve"> comments:</w:t>
      </w:r>
    </w:p>
    <w:p w:rsidR="00651392" w:rsidRDefault="00651392" w:rsidP="00BF76C2">
      <w:pPr>
        <w:autoSpaceDE w:val="0"/>
        <w:autoSpaceDN w:val="0"/>
        <w:adjustRightInd w:val="0"/>
        <w:spacing w:line="480" w:lineRule="auto"/>
        <w:jc w:val="both"/>
        <w:rPr>
          <w:rFonts w:ascii="Times New Roman" w:hAnsi="Times New Roman"/>
        </w:rPr>
      </w:pPr>
    </w:p>
    <w:p w:rsidR="00651392" w:rsidRDefault="00651392" w:rsidP="00651392">
      <w:pPr>
        <w:autoSpaceDE w:val="0"/>
        <w:autoSpaceDN w:val="0"/>
        <w:adjustRightInd w:val="0"/>
        <w:spacing w:line="480" w:lineRule="auto"/>
        <w:ind w:left="720"/>
        <w:jc w:val="both"/>
        <w:rPr>
          <w:rFonts w:ascii="Times New Roman" w:hAnsi="Times New Roman"/>
        </w:rPr>
      </w:pPr>
      <w:r>
        <w:rPr>
          <w:rFonts w:ascii="Times New Roman" w:hAnsi="Times New Roman"/>
        </w:rPr>
        <w:t>“T</w:t>
      </w:r>
      <w:r w:rsidR="002E606B" w:rsidRPr="00BF76C2">
        <w:rPr>
          <w:rFonts w:ascii="Times New Roman" w:hAnsi="Times New Roman"/>
        </w:rPr>
        <w:t>his is not obviously rational. The greater seriousness of intentionally caused injury as compared with recklessly caused injury ought to be reflected in a difference in the maximum sentence available</w:t>
      </w:r>
      <w:r>
        <w:rPr>
          <w:rFonts w:ascii="Times New Roman" w:hAnsi="Times New Roman"/>
        </w:rPr>
        <w:t>.”</w:t>
      </w:r>
      <w:r w:rsidR="002E606B" w:rsidRPr="00BF76C2">
        <w:rPr>
          <w:rStyle w:val="FootnoteReference"/>
          <w:rFonts w:ascii="Times New Roman" w:hAnsi="Times New Roman"/>
        </w:rPr>
        <w:footnoteReference w:id="115"/>
      </w:r>
      <w:r w:rsidR="002E606B" w:rsidRPr="00BF76C2">
        <w:rPr>
          <w:rFonts w:ascii="Times New Roman" w:hAnsi="Times New Roman"/>
        </w:rPr>
        <w:t xml:space="preserve"> </w:t>
      </w:r>
    </w:p>
    <w:p w:rsidR="00651392" w:rsidRDefault="00651392" w:rsidP="00BF76C2">
      <w:pPr>
        <w:autoSpaceDE w:val="0"/>
        <w:autoSpaceDN w:val="0"/>
        <w:adjustRightInd w:val="0"/>
        <w:spacing w:line="480" w:lineRule="auto"/>
        <w:jc w:val="both"/>
        <w:rPr>
          <w:rFonts w:ascii="Times New Roman" w:hAnsi="Times New Roman"/>
        </w:rPr>
      </w:pPr>
    </w:p>
    <w:p w:rsidR="00351331" w:rsidRDefault="00871294" w:rsidP="00BF76C2">
      <w:pPr>
        <w:autoSpaceDE w:val="0"/>
        <w:autoSpaceDN w:val="0"/>
        <w:adjustRightInd w:val="0"/>
        <w:spacing w:line="480" w:lineRule="auto"/>
        <w:jc w:val="both"/>
        <w:rPr>
          <w:rFonts w:ascii="Times New Roman" w:hAnsi="Times New Roman"/>
        </w:rPr>
      </w:pPr>
      <w:r>
        <w:rPr>
          <w:rFonts w:ascii="Times New Roman" w:hAnsi="Times New Roman"/>
        </w:rPr>
        <w:t>Consequently, i</w:t>
      </w:r>
      <w:r w:rsidR="009418C3">
        <w:rPr>
          <w:rFonts w:ascii="Times New Roman" w:hAnsi="Times New Roman"/>
        </w:rPr>
        <w:t xml:space="preserve">t might be </w:t>
      </w:r>
      <w:r>
        <w:rPr>
          <w:rFonts w:ascii="Times New Roman" w:hAnsi="Times New Roman"/>
        </w:rPr>
        <w:t>doubted</w:t>
      </w:r>
      <w:r w:rsidR="009418C3">
        <w:rPr>
          <w:rFonts w:ascii="Times New Roman" w:hAnsi="Times New Roman"/>
        </w:rPr>
        <w:t xml:space="preserve"> whether convicting intentional and reckless wrongdoers under the same offence </w:t>
      </w:r>
      <w:r w:rsidR="00703DAC">
        <w:rPr>
          <w:rFonts w:ascii="Times New Roman" w:hAnsi="Times New Roman"/>
        </w:rPr>
        <w:t>amounts to fair</w:t>
      </w:r>
      <w:r w:rsidR="009418C3">
        <w:rPr>
          <w:rFonts w:ascii="Times New Roman" w:hAnsi="Times New Roman"/>
        </w:rPr>
        <w:t xml:space="preserve"> labelling. </w:t>
      </w:r>
      <w:r w:rsidR="00703DAC">
        <w:rPr>
          <w:rFonts w:ascii="Times New Roman" w:hAnsi="Times New Roman"/>
        </w:rPr>
        <w:t xml:space="preserve">Offence 3 </w:t>
      </w:r>
      <w:r w:rsidR="001D7E89">
        <w:rPr>
          <w:rFonts w:ascii="Times New Roman" w:hAnsi="Times New Roman"/>
        </w:rPr>
        <w:t xml:space="preserve">now </w:t>
      </w:r>
      <w:r w:rsidR="001D7E89" w:rsidRPr="00E26125">
        <w:rPr>
          <w:rFonts w:ascii="Times New Roman" w:hAnsi="Times New Roman"/>
          <w:i/>
        </w:rPr>
        <w:t>also</w:t>
      </w:r>
      <w:r w:rsidR="001D7E89">
        <w:rPr>
          <w:rFonts w:ascii="Times New Roman" w:hAnsi="Times New Roman"/>
        </w:rPr>
        <w:t xml:space="preserve"> houses</w:t>
      </w:r>
      <w:r w:rsidR="00703DAC">
        <w:rPr>
          <w:rFonts w:ascii="Times New Roman" w:hAnsi="Times New Roman"/>
        </w:rPr>
        <w:t xml:space="preserve"> those individuals who cause serious harm which is ne</w:t>
      </w:r>
      <w:r w:rsidR="00872A32">
        <w:rPr>
          <w:rFonts w:ascii="Times New Roman" w:hAnsi="Times New Roman"/>
        </w:rPr>
        <w:t>ither intended nor foreseen – under the OAPA</w:t>
      </w:r>
      <w:r w:rsidR="00703DAC">
        <w:rPr>
          <w:rFonts w:ascii="Times New Roman" w:hAnsi="Times New Roman"/>
        </w:rPr>
        <w:t xml:space="preserve"> such situations are governed by s.20 due to the imposition of constructive liability. </w:t>
      </w:r>
      <w:r w:rsidR="004147C6">
        <w:rPr>
          <w:rFonts w:ascii="Times New Roman" w:hAnsi="Times New Roman"/>
        </w:rPr>
        <w:t xml:space="preserve">The scoping report reveals that the CPS argued in its response to the SCP that serious injuries, however caused, ought to </w:t>
      </w:r>
      <w:r w:rsidR="002270A6">
        <w:rPr>
          <w:rFonts w:ascii="Times New Roman" w:hAnsi="Times New Roman"/>
        </w:rPr>
        <w:t>be labelled as such under</w:t>
      </w:r>
      <w:r w:rsidR="004147C6">
        <w:rPr>
          <w:rFonts w:ascii="Times New Roman" w:hAnsi="Times New Roman"/>
        </w:rPr>
        <w:t xml:space="preserve"> offence 2 – and not </w:t>
      </w:r>
      <w:r w:rsidR="002270A6">
        <w:rPr>
          <w:rFonts w:ascii="Times New Roman" w:hAnsi="Times New Roman"/>
        </w:rPr>
        <w:t>offence 3.</w:t>
      </w:r>
      <w:r w:rsidR="00491384">
        <w:rPr>
          <w:rStyle w:val="FootnoteReference"/>
          <w:rFonts w:ascii="Times New Roman" w:hAnsi="Times New Roman"/>
        </w:rPr>
        <w:footnoteReference w:id="116"/>
      </w:r>
      <w:r w:rsidR="002270A6">
        <w:rPr>
          <w:rFonts w:ascii="Times New Roman" w:hAnsi="Times New Roman"/>
        </w:rPr>
        <w:t xml:space="preserve"> </w:t>
      </w:r>
      <w:r w:rsidR="00491384">
        <w:rPr>
          <w:rFonts w:ascii="Times New Roman" w:hAnsi="Times New Roman"/>
        </w:rPr>
        <w:t xml:space="preserve">However, the Commission submits that this view presupposes that offence 3 is </w:t>
      </w:r>
      <w:r w:rsidR="004B0ED3">
        <w:rPr>
          <w:rFonts w:ascii="Times New Roman" w:hAnsi="Times New Roman"/>
        </w:rPr>
        <w:t>the “new”</w:t>
      </w:r>
      <w:r w:rsidR="00491384">
        <w:rPr>
          <w:rFonts w:ascii="Times New Roman" w:hAnsi="Times New Roman"/>
        </w:rPr>
        <w:t xml:space="preserve"> s.47 –</w:t>
      </w:r>
      <w:r w:rsidR="004B0ED3">
        <w:rPr>
          <w:rFonts w:ascii="Times New Roman" w:hAnsi="Times New Roman"/>
        </w:rPr>
        <w:t xml:space="preserve"> </w:t>
      </w:r>
      <w:r w:rsidR="00D87A18">
        <w:rPr>
          <w:rFonts w:ascii="Times New Roman" w:hAnsi="Times New Roman"/>
        </w:rPr>
        <w:t xml:space="preserve">effectively, </w:t>
      </w:r>
      <w:r w:rsidR="004B0ED3">
        <w:rPr>
          <w:rFonts w:ascii="Times New Roman" w:hAnsi="Times New Roman"/>
        </w:rPr>
        <w:t>a minor</w:t>
      </w:r>
      <w:r w:rsidR="00491384">
        <w:rPr>
          <w:rFonts w:ascii="Times New Roman" w:hAnsi="Times New Roman"/>
        </w:rPr>
        <w:t xml:space="preserve"> </w:t>
      </w:r>
      <w:r w:rsidR="00C14CC5">
        <w:rPr>
          <w:rFonts w:ascii="Times New Roman" w:hAnsi="Times New Roman"/>
        </w:rPr>
        <w:t>provision</w:t>
      </w:r>
      <w:r w:rsidR="00491384">
        <w:rPr>
          <w:rFonts w:ascii="Times New Roman" w:hAnsi="Times New Roman"/>
        </w:rPr>
        <w:t xml:space="preserve"> which theoretically deals with all injuries, however </w:t>
      </w:r>
      <w:r w:rsidR="00271DFE">
        <w:rPr>
          <w:rFonts w:ascii="Times New Roman" w:hAnsi="Times New Roman"/>
        </w:rPr>
        <w:t>insignificant.</w:t>
      </w:r>
      <w:r w:rsidR="00491384">
        <w:rPr>
          <w:rFonts w:ascii="Times New Roman" w:hAnsi="Times New Roman"/>
        </w:rPr>
        <w:t xml:space="preserve"> In fact, </w:t>
      </w:r>
      <w:r w:rsidR="004B0ED3">
        <w:rPr>
          <w:rFonts w:ascii="Times New Roman" w:hAnsi="Times New Roman"/>
        </w:rPr>
        <w:t xml:space="preserve">as explained </w:t>
      </w:r>
      <w:r w:rsidR="00875699">
        <w:rPr>
          <w:rFonts w:ascii="Times New Roman" w:hAnsi="Times New Roman"/>
        </w:rPr>
        <w:t>in</w:t>
      </w:r>
      <w:r w:rsidR="004B0ED3">
        <w:rPr>
          <w:rFonts w:ascii="Times New Roman" w:hAnsi="Times New Roman"/>
        </w:rPr>
        <w:t xml:space="preserve"> the </w:t>
      </w:r>
      <w:r w:rsidR="00875699">
        <w:rPr>
          <w:rFonts w:ascii="Times New Roman" w:hAnsi="Times New Roman"/>
        </w:rPr>
        <w:t>scoping report</w:t>
      </w:r>
      <w:r w:rsidR="004B0ED3">
        <w:rPr>
          <w:rFonts w:ascii="Times New Roman" w:hAnsi="Times New Roman"/>
        </w:rPr>
        <w:t>, offence 3 will only cover the more serious injuries falling within s.47 due to the proposed creation of a new assault-based crime (“aggravated assault”) which will deal with s.47’s less serious injury cases.</w:t>
      </w:r>
      <w:r w:rsidR="004B0ED3">
        <w:rPr>
          <w:rStyle w:val="FootnoteReference"/>
          <w:rFonts w:ascii="Times New Roman" w:hAnsi="Times New Roman"/>
        </w:rPr>
        <w:footnoteReference w:id="117"/>
      </w:r>
    </w:p>
    <w:p w:rsidR="00A806FA" w:rsidRPr="00BF76C2" w:rsidRDefault="00A806FA" w:rsidP="00BF76C2">
      <w:pPr>
        <w:autoSpaceDE w:val="0"/>
        <w:autoSpaceDN w:val="0"/>
        <w:adjustRightInd w:val="0"/>
        <w:spacing w:line="480" w:lineRule="auto"/>
        <w:jc w:val="both"/>
        <w:rPr>
          <w:rFonts w:ascii="Times New Roman" w:hAnsi="Times New Roman"/>
        </w:rPr>
      </w:pPr>
    </w:p>
    <w:p w:rsidR="00C44BD5" w:rsidRPr="00BF76C2" w:rsidRDefault="00E22B01" w:rsidP="00BF76C2">
      <w:pPr>
        <w:spacing w:line="480" w:lineRule="auto"/>
        <w:jc w:val="both"/>
        <w:rPr>
          <w:rFonts w:ascii="Times New Roman" w:hAnsi="Times New Roman"/>
        </w:rPr>
      </w:pPr>
      <w:r w:rsidRPr="00BF76C2">
        <w:rPr>
          <w:rFonts w:ascii="Times New Roman" w:hAnsi="Times New Roman"/>
        </w:rPr>
        <w:t xml:space="preserve">b) </w:t>
      </w:r>
      <w:r w:rsidR="00660305" w:rsidRPr="00BF76C2">
        <w:rPr>
          <w:rFonts w:ascii="Times New Roman" w:hAnsi="Times New Roman"/>
        </w:rPr>
        <w:t>Reflecting wrongdoing</w:t>
      </w:r>
      <w:r w:rsidR="008C19AD" w:rsidRPr="00BF76C2">
        <w:rPr>
          <w:rFonts w:ascii="Times New Roman" w:hAnsi="Times New Roman"/>
        </w:rPr>
        <w:t xml:space="preserve"> #2</w:t>
      </w:r>
      <w:r w:rsidR="007C79C4" w:rsidRPr="00BF76C2">
        <w:rPr>
          <w:rFonts w:ascii="Times New Roman" w:hAnsi="Times New Roman"/>
        </w:rPr>
        <w:t>: aggravated assault, physical assault and threatened assault</w:t>
      </w:r>
    </w:p>
    <w:p w:rsidR="00507D4C" w:rsidRDefault="00E26125" w:rsidP="00334BF3">
      <w:pPr>
        <w:spacing w:line="480" w:lineRule="auto"/>
        <w:jc w:val="both"/>
        <w:rPr>
          <w:rFonts w:ascii="Times New Roman" w:hAnsi="Times New Roman"/>
        </w:rPr>
      </w:pPr>
      <w:r>
        <w:rPr>
          <w:rFonts w:ascii="Times New Roman" w:hAnsi="Times New Roman"/>
        </w:rPr>
        <w:t>The</w:t>
      </w:r>
      <w:r w:rsidR="00321FB3" w:rsidRPr="00BF76C2">
        <w:rPr>
          <w:rFonts w:ascii="Times New Roman" w:hAnsi="Times New Roman"/>
        </w:rPr>
        <w:t xml:space="preserve"> scoping report maintains </w:t>
      </w:r>
      <w:r w:rsidR="00BC71C0" w:rsidRPr="00BF76C2">
        <w:rPr>
          <w:rFonts w:ascii="Times New Roman" w:hAnsi="Times New Roman"/>
        </w:rPr>
        <w:t>assault and battery as separate offences,</w:t>
      </w:r>
      <w:r w:rsidR="00321FB3" w:rsidRPr="00BF76C2">
        <w:rPr>
          <w:rFonts w:ascii="Times New Roman" w:hAnsi="Times New Roman"/>
        </w:rPr>
        <w:t xml:space="preserve"> </w:t>
      </w:r>
      <w:r w:rsidR="002635FB" w:rsidRPr="00BF76C2">
        <w:rPr>
          <w:rFonts w:ascii="Times New Roman" w:hAnsi="Times New Roman"/>
        </w:rPr>
        <w:t xml:space="preserve">albeit relabelled </w:t>
      </w:r>
      <w:r w:rsidR="00BC71C0" w:rsidRPr="00BF76C2">
        <w:rPr>
          <w:rFonts w:ascii="Times New Roman" w:hAnsi="Times New Roman"/>
        </w:rPr>
        <w:t xml:space="preserve">as </w:t>
      </w:r>
      <w:r w:rsidR="002635FB" w:rsidRPr="00BF76C2">
        <w:rPr>
          <w:rFonts w:ascii="Times New Roman" w:hAnsi="Times New Roman"/>
        </w:rPr>
        <w:t xml:space="preserve">“threatened assault” and “physical assault”, respectively. </w:t>
      </w:r>
      <w:r w:rsidR="00AC57DF" w:rsidRPr="00BF76C2">
        <w:rPr>
          <w:rFonts w:ascii="Times New Roman" w:hAnsi="Times New Roman"/>
        </w:rPr>
        <w:t xml:space="preserve">The actus </w:t>
      </w:r>
      <w:r w:rsidR="006826E1">
        <w:rPr>
          <w:rFonts w:ascii="Times New Roman" w:hAnsi="Times New Roman"/>
        </w:rPr>
        <w:t>rei</w:t>
      </w:r>
      <w:r w:rsidR="00AC57DF" w:rsidRPr="00BF76C2">
        <w:rPr>
          <w:rFonts w:ascii="Times New Roman" w:hAnsi="Times New Roman"/>
        </w:rPr>
        <w:t xml:space="preserve"> of </w:t>
      </w:r>
      <w:r w:rsidR="007C4E32" w:rsidRPr="00BF76C2">
        <w:rPr>
          <w:rFonts w:ascii="Times New Roman" w:hAnsi="Times New Roman"/>
        </w:rPr>
        <w:t>these crimes</w:t>
      </w:r>
      <w:r w:rsidR="00AC57DF" w:rsidRPr="00BF76C2">
        <w:rPr>
          <w:rFonts w:ascii="Times New Roman" w:hAnsi="Times New Roman"/>
        </w:rPr>
        <w:t xml:space="preserve"> reflect </w:t>
      </w:r>
      <w:r w:rsidR="00AC57DF" w:rsidRPr="00BF76C2">
        <w:rPr>
          <w:rFonts w:ascii="Times New Roman" w:hAnsi="Times New Roman"/>
        </w:rPr>
        <w:lastRenderedPageBreak/>
        <w:t xml:space="preserve">their common law </w:t>
      </w:r>
      <w:r w:rsidR="005873C3" w:rsidRPr="00BF76C2">
        <w:rPr>
          <w:rFonts w:ascii="Times New Roman" w:hAnsi="Times New Roman"/>
        </w:rPr>
        <w:t>roots</w:t>
      </w:r>
      <w:r w:rsidR="00AC57DF" w:rsidRPr="00BF76C2">
        <w:rPr>
          <w:rFonts w:ascii="Times New Roman" w:hAnsi="Times New Roman"/>
        </w:rPr>
        <w:t xml:space="preserve">: </w:t>
      </w:r>
      <w:r w:rsidR="00227BB4" w:rsidRPr="00BF76C2">
        <w:rPr>
          <w:rFonts w:ascii="Times New Roman" w:hAnsi="Times New Roman"/>
        </w:rPr>
        <w:t>applying force to, or causing an impact on, the body or another (physical assault); and causing</w:t>
      </w:r>
      <w:r w:rsidR="00227BB4">
        <w:rPr>
          <w:rFonts w:ascii="Times New Roman" w:hAnsi="Times New Roman"/>
        </w:rPr>
        <w:t xml:space="preserve"> another to think that any such force or impact is or may be imminent (threatened assault).</w:t>
      </w:r>
      <w:r w:rsidR="00227BB4">
        <w:rPr>
          <w:rStyle w:val="FootnoteReference"/>
          <w:rFonts w:ascii="Times New Roman" w:hAnsi="Times New Roman"/>
        </w:rPr>
        <w:footnoteReference w:id="118"/>
      </w:r>
      <w:r w:rsidR="00227BB4">
        <w:rPr>
          <w:rFonts w:ascii="Times New Roman" w:hAnsi="Times New Roman"/>
        </w:rPr>
        <w:t xml:space="preserve"> </w:t>
      </w:r>
      <w:r w:rsidR="00196672">
        <w:rPr>
          <w:rFonts w:ascii="Times New Roman" w:hAnsi="Times New Roman"/>
        </w:rPr>
        <w:t>Interestingly</w:t>
      </w:r>
      <w:r w:rsidR="00E22FE9">
        <w:rPr>
          <w:rFonts w:ascii="Times New Roman" w:hAnsi="Times New Roman"/>
        </w:rPr>
        <w:t xml:space="preserve">, “assault” </w:t>
      </w:r>
      <w:r w:rsidR="00E865AC">
        <w:rPr>
          <w:rFonts w:ascii="Times New Roman" w:hAnsi="Times New Roman"/>
        </w:rPr>
        <w:t>conjures</w:t>
      </w:r>
      <w:r w:rsidR="00FB00B6">
        <w:rPr>
          <w:rFonts w:ascii="Times New Roman" w:hAnsi="Times New Roman"/>
        </w:rPr>
        <w:t xml:space="preserve"> up</w:t>
      </w:r>
      <w:r w:rsidR="00E22FE9">
        <w:rPr>
          <w:rFonts w:ascii="Times New Roman" w:hAnsi="Times New Roman"/>
        </w:rPr>
        <w:t xml:space="preserve"> a particular </w:t>
      </w:r>
      <w:r w:rsidR="00E22FE9" w:rsidRPr="00C84B64">
        <w:rPr>
          <w:rFonts w:ascii="Times New Roman" w:hAnsi="Times New Roman"/>
          <w:i/>
        </w:rPr>
        <w:t>mode</w:t>
      </w:r>
      <w:r w:rsidR="00E22FE9">
        <w:rPr>
          <w:rFonts w:ascii="Times New Roman" w:hAnsi="Times New Roman"/>
        </w:rPr>
        <w:t xml:space="preserve"> of responsibility which, when combined with the adjectives “physical” or “threatened”, </w:t>
      </w:r>
      <w:r w:rsidR="00196672" w:rsidRPr="007C4E32">
        <w:rPr>
          <w:rFonts w:ascii="Times New Roman" w:hAnsi="Times New Roman"/>
        </w:rPr>
        <w:t>implies</w:t>
      </w:r>
      <w:r w:rsidR="00196672">
        <w:rPr>
          <w:rFonts w:ascii="Times New Roman" w:hAnsi="Times New Roman"/>
        </w:rPr>
        <w:t xml:space="preserve"> the harm</w:t>
      </w:r>
      <w:r w:rsidR="00507D4C">
        <w:rPr>
          <w:rFonts w:ascii="Times New Roman" w:hAnsi="Times New Roman"/>
        </w:rPr>
        <w:t>ful outcome</w:t>
      </w:r>
      <w:r w:rsidR="00196672">
        <w:rPr>
          <w:rFonts w:ascii="Times New Roman" w:hAnsi="Times New Roman"/>
        </w:rPr>
        <w:t xml:space="preserve"> with which </w:t>
      </w:r>
      <w:r w:rsidR="007C4E32">
        <w:rPr>
          <w:rFonts w:ascii="Times New Roman" w:hAnsi="Times New Roman"/>
        </w:rPr>
        <w:t>these offences are</w:t>
      </w:r>
      <w:r w:rsidR="00E865AC">
        <w:rPr>
          <w:rFonts w:ascii="Times New Roman" w:hAnsi="Times New Roman"/>
        </w:rPr>
        <w:t xml:space="preserve"> concerned. This sharpens</w:t>
      </w:r>
      <w:r w:rsidR="006826E1">
        <w:rPr>
          <w:rFonts w:ascii="Times New Roman" w:hAnsi="Times New Roman"/>
        </w:rPr>
        <w:t xml:space="preserve"> understanding of</w:t>
      </w:r>
      <w:r w:rsidR="00E865AC">
        <w:rPr>
          <w:rFonts w:ascii="Times New Roman" w:hAnsi="Times New Roman"/>
        </w:rPr>
        <w:t xml:space="preserve"> the requisite outcomes more clearly than </w:t>
      </w:r>
      <w:r w:rsidR="00227BB4">
        <w:rPr>
          <w:rFonts w:ascii="Times New Roman" w:hAnsi="Times New Roman"/>
        </w:rPr>
        <w:t xml:space="preserve">the </w:t>
      </w:r>
      <w:r w:rsidR="005873C3">
        <w:rPr>
          <w:rFonts w:ascii="Times New Roman" w:hAnsi="Times New Roman"/>
        </w:rPr>
        <w:t xml:space="preserve">singular </w:t>
      </w:r>
      <w:r w:rsidR="00227BB4">
        <w:rPr>
          <w:rFonts w:ascii="Times New Roman" w:hAnsi="Times New Roman"/>
        </w:rPr>
        <w:t>labels “assault” and “battery”</w:t>
      </w:r>
      <w:r w:rsidR="00E22FE9">
        <w:rPr>
          <w:rFonts w:ascii="Times New Roman" w:hAnsi="Times New Roman"/>
        </w:rPr>
        <w:t xml:space="preserve">. Moreover, continued use of “assault” </w:t>
      </w:r>
      <w:r w:rsidR="00C56113">
        <w:rPr>
          <w:rFonts w:ascii="Times New Roman" w:hAnsi="Times New Roman"/>
        </w:rPr>
        <w:t>retains</w:t>
      </w:r>
      <w:r w:rsidR="00E22FE9">
        <w:rPr>
          <w:rFonts w:ascii="Times New Roman" w:hAnsi="Times New Roman"/>
        </w:rPr>
        <w:t xml:space="preserve"> a moral as well as factual </w:t>
      </w:r>
      <w:r w:rsidR="00196672">
        <w:rPr>
          <w:rFonts w:ascii="Times New Roman" w:hAnsi="Times New Roman"/>
        </w:rPr>
        <w:t>sense</w:t>
      </w:r>
      <w:r w:rsidR="00E22FE9">
        <w:rPr>
          <w:rFonts w:ascii="Times New Roman" w:hAnsi="Times New Roman"/>
        </w:rPr>
        <w:t xml:space="preserve"> of </w:t>
      </w:r>
      <w:r w:rsidR="00196672">
        <w:rPr>
          <w:rFonts w:ascii="Times New Roman" w:hAnsi="Times New Roman"/>
        </w:rPr>
        <w:t xml:space="preserve">the </w:t>
      </w:r>
      <w:r w:rsidR="00E22FE9">
        <w:rPr>
          <w:rFonts w:ascii="Times New Roman" w:hAnsi="Times New Roman"/>
        </w:rPr>
        <w:t>harms involved</w:t>
      </w:r>
      <w:r w:rsidR="00E22FE9" w:rsidRPr="00C84B64">
        <w:rPr>
          <w:rFonts w:ascii="Times New Roman" w:hAnsi="Times New Roman"/>
        </w:rPr>
        <w:t xml:space="preserve"> </w:t>
      </w:r>
      <w:r w:rsidR="00196672">
        <w:rPr>
          <w:rFonts w:ascii="Times New Roman" w:hAnsi="Times New Roman"/>
        </w:rPr>
        <w:t>in the</w:t>
      </w:r>
      <w:r w:rsidR="00C56113">
        <w:rPr>
          <w:rFonts w:ascii="Times New Roman" w:hAnsi="Times New Roman"/>
        </w:rPr>
        <w:t>se</w:t>
      </w:r>
      <w:r w:rsidR="00196672">
        <w:rPr>
          <w:rFonts w:ascii="Times New Roman" w:hAnsi="Times New Roman"/>
        </w:rPr>
        <w:t xml:space="preserve"> revised </w:t>
      </w:r>
      <w:r w:rsidR="00E22FE9">
        <w:rPr>
          <w:rFonts w:ascii="Times New Roman" w:hAnsi="Times New Roman"/>
        </w:rPr>
        <w:t xml:space="preserve">crimes. </w:t>
      </w:r>
      <w:r w:rsidR="00416658">
        <w:rPr>
          <w:rFonts w:ascii="Times New Roman" w:hAnsi="Times New Roman"/>
        </w:rPr>
        <w:t>These r</w:t>
      </w:r>
      <w:r w:rsidR="006826E1">
        <w:rPr>
          <w:rFonts w:ascii="Times New Roman" w:hAnsi="Times New Roman"/>
        </w:rPr>
        <w:t xml:space="preserve">eferences to mode of responsibility </w:t>
      </w:r>
      <w:r w:rsidR="00416658">
        <w:rPr>
          <w:rFonts w:ascii="Times New Roman" w:hAnsi="Times New Roman"/>
        </w:rPr>
        <w:t>and</w:t>
      </w:r>
      <w:r w:rsidR="006826E1">
        <w:rPr>
          <w:rFonts w:ascii="Times New Roman" w:hAnsi="Times New Roman"/>
        </w:rPr>
        <w:t xml:space="preserve"> moral </w:t>
      </w:r>
      <w:r w:rsidR="00416658">
        <w:rPr>
          <w:rFonts w:ascii="Times New Roman" w:hAnsi="Times New Roman"/>
        </w:rPr>
        <w:t>character stand</w:t>
      </w:r>
      <w:r w:rsidR="00E22FE9">
        <w:rPr>
          <w:rFonts w:ascii="Times New Roman" w:hAnsi="Times New Roman"/>
        </w:rPr>
        <w:t xml:space="preserve"> in </w:t>
      </w:r>
      <w:r w:rsidR="00416658">
        <w:rPr>
          <w:rFonts w:ascii="Times New Roman" w:hAnsi="Times New Roman"/>
        </w:rPr>
        <w:t xml:space="preserve">stark </w:t>
      </w:r>
      <w:r w:rsidR="00E22FE9">
        <w:rPr>
          <w:rFonts w:ascii="Times New Roman" w:hAnsi="Times New Roman"/>
        </w:rPr>
        <w:t>contrast to</w:t>
      </w:r>
      <w:r w:rsidR="00416658">
        <w:rPr>
          <w:rFonts w:ascii="Times New Roman" w:hAnsi="Times New Roman"/>
        </w:rPr>
        <w:t xml:space="preserve"> their absence</w:t>
      </w:r>
      <w:r w:rsidR="00FB00B6">
        <w:rPr>
          <w:rFonts w:ascii="Times New Roman" w:hAnsi="Times New Roman"/>
        </w:rPr>
        <w:t>s</w:t>
      </w:r>
      <w:r w:rsidR="00416658">
        <w:rPr>
          <w:rFonts w:ascii="Times New Roman" w:hAnsi="Times New Roman"/>
        </w:rPr>
        <w:t xml:space="preserve"> in offences 1, 2 and 3. Such</w:t>
      </w:r>
      <w:r w:rsidR="00DF1D8B">
        <w:rPr>
          <w:rFonts w:ascii="Times New Roman" w:hAnsi="Times New Roman"/>
        </w:rPr>
        <w:t xml:space="preserve"> observations confirm that </w:t>
      </w:r>
      <w:r w:rsidR="00BC71C0">
        <w:rPr>
          <w:rFonts w:ascii="Times New Roman" w:hAnsi="Times New Roman"/>
        </w:rPr>
        <w:t xml:space="preserve">the </w:t>
      </w:r>
      <w:r w:rsidR="002A0466">
        <w:rPr>
          <w:rFonts w:ascii="Times New Roman" w:hAnsi="Times New Roman"/>
        </w:rPr>
        <w:t xml:space="preserve">different </w:t>
      </w:r>
      <w:r w:rsidR="00364804">
        <w:rPr>
          <w:rFonts w:ascii="Times New Roman" w:hAnsi="Times New Roman"/>
        </w:rPr>
        <w:t>harms</w:t>
      </w:r>
      <w:r w:rsidR="002A0466">
        <w:rPr>
          <w:rFonts w:ascii="Times New Roman" w:hAnsi="Times New Roman"/>
        </w:rPr>
        <w:t xml:space="preserve"> </w:t>
      </w:r>
      <w:r w:rsidR="00364804">
        <w:rPr>
          <w:rFonts w:ascii="Times New Roman" w:hAnsi="Times New Roman"/>
        </w:rPr>
        <w:t>prohibited by</w:t>
      </w:r>
      <w:r w:rsidR="00BC71C0">
        <w:rPr>
          <w:rFonts w:ascii="Times New Roman" w:hAnsi="Times New Roman"/>
        </w:rPr>
        <w:t xml:space="preserve"> assault and battery will </w:t>
      </w:r>
      <w:r w:rsidR="007A607F">
        <w:rPr>
          <w:rFonts w:ascii="Times New Roman" w:hAnsi="Times New Roman"/>
        </w:rPr>
        <w:t xml:space="preserve">now be more accurately </w:t>
      </w:r>
      <w:r w:rsidR="00DF1D8B">
        <w:rPr>
          <w:rFonts w:ascii="Times New Roman" w:hAnsi="Times New Roman"/>
        </w:rPr>
        <w:t xml:space="preserve">conveyed </w:t>
      </w:r>
      <w:r w:rsidR="007C4E32">
        <w:rPr>
          <w:rFonts w:ascii="Times New Roman" w:hAnsi="Times New Roman"/>
        </w:rPr>
        <w:t>to the public as matters of fair warning</w:t>
      </w:r>
      <w:r w:rsidR="007A607F">
        <w:rPr>
          <w:rFonts w:ascii="Times New Roman" w:hAnsi="Times New Roman"/>
        </w:rPr>
        <w:t xml:space="preserve">. </w:t>
      </w:r>
      <w:r w:rsidR="00DF1D8B">
        <w:rPr>
          <w:rFonts w:ascii="Times New Roman" w:hAnsi="Times New Roman"/>
        </w:rPr>
        <w:t>They</w:t>
      </w:r>
      <w:r w:rsidR="007A607F">
        <w:rPr>
          <w:rFonts w:ascii="Times New Roman" w:hAnsi="Times New Roman"/>
        </w:rPr>
        <w:t xml:space="preserve"> will also be more </w:t>
      </w:r>
      <w:r w:rsidR="003A3A01">
        <w:rPr>
          <w:rFonts w:ascii="Times New Roman" w:hAnsi="Times New Roman"/>
        </w:rPr>
        <w:t>fully</w:t>
      </w:r>
      <w:r w:rsidR="007A607F">
        <w:rPr>
          <w:rFonts w:ascii="Times New Roman" w:hAnsi="Times New Roman"/>
        </w:rPr>
        <w:t xml:space="preserve"> </w:t>
      </w:r>
      <w:r w:rsidR="00DF1D8B">
        <w:rPr>
          <w:rFonts w:ascii="Times New Roman" w:hAnsi="Times New Roman"/>
        </w:rPr>
        <w:t xml:space="preserve">captured </w:t>
      </w:r>
      <w:r w:rsidR="001F6D6C">
        <w:rPr>
          <w:rFonts w:ascii="Times New Roman" w:hAnsi="Times New Roman"/>
        </w:rPr>
        <w:t>on conviction</w:t>
      </w:r>
      <w:r w:rsidR="00BC71C0">
        <w:rPr>
          <w:rFonts w:ascii="Times New Roman" w:hAnsi="Times New Roman"/>
        </w:rPr>
        <w:t xml:space="preserve">. </w:t>
      </w:r>
      <w:r w:rsidR="00D87A18">
        <w:rPr>
          <w:rFonts w:ascii="Times New Roman" w:hAnsi="Times New Roman"/>
        </w:rPr>
        <w:t>Both crimes can be committed intentionally or recklessly,</w:t>
      </w:r>
      <w:r w:rsidR="00D87A18">
        <w:rPr>
          <w:rStyle w:val="FootnoteReference"/>
          <w:rFonts w:ascii="Times New Roman" w:hAnsi="Times New Roman"/>
        </w:rPr>
        <w:footnoteReference w:id="119"/>
      </w:r>
      <w:r w:rsidR="00D87A18">
        <w:rPr>
          <w:rFonts w:ascii="Times New Roman" w:hAnsi="Times New Roman"/>
        </w:rPr>
        <w:t xml:space="preserve"> </w:t>
      </w:r>
      <w:r w:rsidR="006F0176">
        <w:rPr>
          <w:rFonts w:ascii="Times New Roman" w:hAnsi="Times New Roman"/>
        </w:rPr>
        <w:t xml:space="preserve">with conviction for either resulting </w:t>
      </w:r>
      <w:r w:rsidR="00D87A18">
        <w:rPr>
          <w:rFonts w:ascii="Times New Roman" w:hAnsi="Times New Roman"/>
        </w:rPr>
        <w:t xml:space="preserve">in </w:t>
      </w:r>
      <w:r w:rsidR="006F0176">
        <w:rPr>
          <w:rFonts w:ascii="Times New Roman" w:hAnsi="Times New Roman"/>
        </w:rPr>
        <w:t xml:space="preserve">a maximum sentence of six months’ imprisonment. Whilst these sentencing arrangements </w:t>
      </w:r>
      <w:r w:rsidR="00FB00B6">
        <w:rPr>
          <w:rFonts w:ascii="Times New Roman" w:hAnsi="Times New Roman"/>
        </w:rPr>
        <w:t>are</w:t>
      </w:r>
      <w:r w:rsidR="006F0176">
        <w:rPr>
          <w:rFonts w:ascii="Times New Roman" w:hAnsi="Times New Roman"/>
        </w:rPr>
        <w:t xml:space="preserve"> the same as under current law, the fairness of drawing parity of punishment between physical and threatened assault has been questioned.</w:t>
      </w:r>
      <w:r w:rsidR="006F0176">
        <w:rPr>
          <w:rStyle w:val="FootnoteReference"/>
          <w:rFonts w:ascii="Times New Roman" w:hAnsi="Times New Roman"/>
        </w:rPr>
        <w:footnoteReference w:id="120"/>
      </w:r>
    </w:p>
    <w:p w:rsidR="006F0176" w:rsidRDefault="006F0176" w:rsidP="00334BF3">
      <w:pPr>
        <w:spacing w:line="480" w:lineRule="auto"/>
        <w:jc w:val="both"/>
        <w:rPr>
          <w:rFonts w:ascii="Times New Roman" w:hAnsi="Times New Roman"/>
        </w:rPr>
      </w:pPr>
    </w:p>
    <w:p w:rsidR="00134DF4" w:rsidRDefault="00507D4C" w:rsidP="00134DF4">
      <w:pPr>
        <w:spacing w:line="480" w:lineRule="auto"/>
        <w:jc w:val="both"/>
        <w:rPr>
          <w:rFonts w:ascii="Times New Roman" w:hAnsi="Times New Roman"/>
        </w:rPr>
      </w:pPr>
      <w:r>
        <w:rPr>
          <w:rFonts w:ascii="Times New Roman" w:hAnsi="Times New Roman"/>
        </w:rPr>
        <w:t xml:space="preserve">Meanwhile, above the two assault offences, but below offence 3, the scoping report introduces a brand new </w:t>
      </w:r>
      <w:r w:rsidR="004A0C15">
        <w:rPr>
          <w:rFonts w:ascii="Times New Roman" w:hAnsi="Times New Roman"/>
        </w:rPr>
        <w:t>crime</w:t>
      </w:r>
      <w:r>
        <w:rPr>
          <w:rFonts w:ascii="Times New Roman" w:hAnsi="Times New Roman"/>
        </w:rPr>
        <w:t>: aggravated assault.</w:t>
      </w:r>
      <w:r w:rsidR="00E93A06">
        <w:rPr>
          <w:rFonts w:ascii="Times New Roman" w:hAnsi="Times New Roman"/>
        </w:rPr>
        <w:t xml:space="preserve"> </w:t>
      </w:r>
      <w:r w:rsidR="00B31D9C">
        <w:rPr>
          <w:rFonts w:ascii="Times New Roman" w:hAnsi="Times New Roman"/>
        </w:rPr>
        <w:t xml:space="preserve">Unlike the </w:t>
      </w:r>
      <w:r w:rsidR="007C615B">
        <w:rPr>
          <w:rFonts w:ascii="Times New Roman" w:hAnsi="Times New Roman"/>
        </w:rPr>
        <w:t xml:space="preserve">continuation of the </w:t>
      </w:r>
      <w:r w:rsidR="00524F47">
        <w:rPr>
          <w:rFonts w:ascii="Times New Roman" w:hAnsi="Times New Roman"/>
        </w:rPr>
        <w:t xml:space="preserve">blurred </w:t>
      </w:r>
      <w:r w:rsidR="002454B2">
        <w:rPr>
          <w:rFonts w:ascii="Times New Roman" w:hAnsi="Times New Roman"/>
        </w:rPr>
        <w:t>boundary</w:t>
      </w:r>
      <w:r w:rsidR="00B31D9C">
        <w:rPr>
          <w:rFonts w:ascii="Times New Roman" w:hAnsi="Times New Roman"/>
        </w:rPr>
        <w:t xml:space="preserve"> between </w:t>
      </w:r>
      <w:r w:rsidR="00524F47">
        <w:rPr>
          <w:rFonts w:ascii="Times New Roman" w:hAnsi="Times New Roman"/>
        </w:rPr>
        <w:t>“serious injury” and “injury”</w:t>
      </w:r>
      <w:r w:rsidR="00B31D9C">
        <w:rPr>
          <w:rFonts w:ascii="Times New Roman" w:hAnsi="Times New Roman"/>
        </w:rPr>
        <w:t xml:space="preserve">, </w:t>
      </w:r>
      <w:r w:rsidR="006F0176">
        <w:rPr>
          <w:rFonts w:ascii="Times New Roman" w:hAnsi="Times New Roman"/>
        </w:rPr>
        <w:t>this</w:t>
      </w:r>
      <w:r w:rsidR="00B31D9C">
        <w:rPr>
          <w:rFonts w:ascii="Times New Roman" w:hAnsi="Times New Roman"/>
        </w:rPr>
        <w:t xml:space="preserve"> substantially minimise</w:t>
      </w:r>
      <w:r w:rsidR="00A72B2E">
        <w:rPr>
          <w:rFonts w:ascii="Times New Roman" w:hAnsi="Times New Roman"/>
        </w:rPr>
        <w:t>s</w:t>
      </w:r>
      <w:r w:rsidR="00B31D9C">
        <w:rPr>
          <w:rFonts w:ascii="Times New Roman" w:hAnsi="Times New Roman"/>
        </w:rPr>
        <w:t xml:space="preserve"> any overlap between </w:t>
      </w:r>
      <w:r w:rsidR="00524F47">
        <w:rPr>
          <w:rFonts w:ascii="Times New Roman" w:hAnsi="Times New Roman"/>
        </w:rPr>
        <w:t xml:space="preserve">“injury” </w:t>
      </w:r>
      <w:r w:rsidR="00B31D9C">
        <w:rPr>
          <w:rFonts w:ascii="Times New Roman" w:hAnsi="Times New Roman"/>
        </w:rPr>
        <w:t xml:space="preserve">and </w:t>
      </w:r>
      <w:r w:rsidR="00524F47">
        <w:rPr>
          <w:rFonts w:ascii="Times New Roman" w:hAnsi="Times New Roman"/>
        </w:rPr>
        <w:t>“</w:t>
      </w:r>
      <w:r w:rsidR="00B31D9C">
        <w:rPr>
          <w:rFonts w:ascii="Times New Roman" w:hAnsi="Times New Roman"/>
        </w:rPr>
        <w:t>physical assault</w:t>
      </w:r>
      <w:r w:rsidR="001473D4">
        <w:rPr>
          <w:rFonts w:ascii="Times New Roman" w:hAnsi="Times New Roman"/>
        </w:rPr>
        <w:t xml:space="preserve">” – a problem which affects the parallel offences of s.47 and battery. </w:t>
      </w:r>
      <w:r w:rsidR="00AC57DF">
        <w:rPr>
          <w:rFonts w:ascii="Times New Roman" w:hAnsi="Times New Roman"/>
        </w:rPr>
        <w:t xml:space="preserve">The </w:t>
      </w:r>
      <w:r w:rsidR="004A0C15">
        <w:rPr>
          <w:rFonts w:ascii="Times New Roman" w:hAnsi="Times New Roman"/>
        </w:rPr>
        <w:t>offence</w:t>
      </w:r>
      <w:r w:rsidR="00AC57DF">
        <w:rPr>
          <w:rFonts w:ascii="Times New Roman" w:hAnsi="Times New Roman"/>
        </w:rPr>
        <w:t xml:space="preserve"> require</w:t>
      </w:r>
      <w:r w:rsidR="00A72B2E">
        <w:rPr>
          <w:rFonts w:ascii="Times New Roman" w:hAnsi="Times New Roman"/>
        </w:rPr>
        <w:t>s</w:t>
      </w:r>
      <w:r w:rsidR="00AC57DF">
        <w:rPr>
          <w:rFonts w:ascii="Times New Roman" w:hAnsi="Times New Roman"/>
        </w:rPr>
        <w:t xml:space="preserve"> </w:t>
      </w:r>
      <w:r w:rsidR="004A0C15">
        <w:rPr>
          <w:rFonts w:ascii="Times New Roman" w:hAnsi="Times New Roman"/>
        </w:rPr>
        <w:t>intention or recklessness as to an</w:t>
      </w:r>
      <w:r w:rsidR="00AC57DF">
        <w:rPr>
          <w:rFonts w:ascii="Times New Roman" w:hAnsi="Times New Roman"/>
        </w:rPr>
        <w:t xml:space="preserve"> initial physical or threatened assault which </w:t>
      </w:r>
      <w:r w:rsidR="00A72B2E">
        <w:rPr>
          <w:rFonts w:ascii="Times New Roman" w:hAnsi="Times New Roman"/>
        </w:rPr>
        <w:t>goes</w:t>
      </w:r>
      <w:r w:rsidR="004A0C15">
        <w:rPr>
          <w:rFonts w:ascii="Times New Roman" w:hAnsi="Times New Roman"/>
        </w:rPr>
        <w:t xml:space="preserve"> onto cause</w:t>
      </w:r>
      <w:r w:rsidR="00AC57DF">
        <w:rPr>
          <w:rFonts w:ascii="Times New Roman" w:hAnsi="Times New Roman"/>
        </w:rPr>
        <w:t xml:space="preserve"> “some injury”.</w:t>
      </w:r>
      <w:r w:rsidR="00AC57DF">
        <w:rPr>
          <w:rStyle w:val="FootnoteReference"/>
          <w:rFonts w:ascii="Times New Roman" w:hAnsi="Times New Roman"/>
        </w:rPr>
        <w:footnoteReference w:id="121"/>
      </w:r>
      <w:r w:rsidR="00BA7FD3">
        <w:rPr>
          <w:rFonts w:ascii="Times New Roman" w:hAnsi="Times New Roman"/>
        </w:rPr>
        <w:t xml:space="preserve"> </w:t>
      </w:r>
      <w:r w:rsidR="005873C3">
        <w:rPr>
          <w:rFonts w:ascii="Times New Roman" w:hAnsi="Times New Roman"/>
        </w:rPr>
        <w:t>In existing law</w:t>
      </w:r>
      <w:r w:rsidR="004A34C0">
        <w:rPr>
          <w:rFonts w:ascii="Times New Roman" w:hAnsi="Times New Roman"/>
        </w:rPr>
        <w:t>, harm amounting</w:t>
      </w:r>
      <w:r w:rsidR="00271DFE">
        <w:rPr>
          <w:rFonts w:ascii="Times New Roman" w:hAnsi="Times New Roman"/>
        </w:rPr>
        <w:t xml:space="preserve"> to “some injury” – that is, minor</w:t>
      </w:r>
      <w:r w:rsidR="004A34C0">
        <w:rPr>
          <w:rFonts w:ascii="Times New Roman" w:hAnsi="Times New Roman"/>
        </w:rPr>
        <w:t xml:space="preserve"> injury – is often </w:t>
      </w:r>
      <w:proofErr w:type="spellStart"/>
      <w:r w:rsidR="004A34C0">
        <w:rPr>
          <w:rFonts w:ascii="Times New Roman" w:hAnsi="Times New Roman"/>
        </w:rPr>
        <w:t>mis</w:t>
      </w:r>
      <w:proofErr w:type="spellEnd"/>
      <w:r w:rsidR="004A34C0">
        <w:rPr>
          <w:rFonts w:ascii="Times New Roman" w:hAnsi="Times New Roman"/>
        </w:rPr>
        <w:t xml:space="preserve">-labelled: it can be under-charged as </w:t>
      </w:r>
      <w:r w:rsidR="004A34C0">
        <w:rPr>
          <w:rFonts w:ascii="Times New Roman" w:hAnsi="Times New Roman"/>
        </w:rPr>
        <w:lastRenderedPageBreak/>
        <w:t xml:space="preserve">common assault </w:t>
      </w:r>
      <w:r w:rsidR="007072CB">
        <w:rPr>
          <w:rFonts w:ascii="Times New Roman" w:hAnsi="Times New Roman"/>
        </w:rPr>
        <w:t xml:space="preserve">(which does not recognise that </w:t>
      </w:r>
      <w:r w:rsidR="007072CB" w:rsidRPr="007072CB">
        <w:rPr>
          <w:rFonts w:ascii="Times New Roman" w:hAnsi="Times New Roman"/>
          <w:i/>
        </w:rPr>
        <w:t>any</w:t>
      </w:r>
      <w:r w:rsidR="007072CB">
        <w:rPr>
          <w:rFonts w:ascii="Times New Roman" w:hAnsi="Times New Roman"/>
        </w:rPr>
        <w:t xml:space="preserve"> injury has been caused) </w:t>
      </w:r>
      <w:r w:rsidR="004A34C0">
        <w:rPr>
          <w:rFonts w:ascii="Times New Roman" w:hAnsi="Times New Roman"/>
        </w:rPr>
        <w:t>or over-charged as ABH</w:t>
      </w:r>
      <w:r w:rsidR="00F96CAF">
        <w:rPr>
          <w:rFonts w:ascii="Times New Roman" w:hAnsi="Times New Roman"/>
        </w:rPr>
        <w:t xml:space="preserve"> (which</w:t>
      </w:r>
      <w:r w:rsidR="005873C3">
        <w:rPr>
          <w:rFonts w:ascii="Times New Roman" w:hAnsi="Times New Roman"/>
        </w:rPr>
        <w:t xml:space="preserve"> </w:t>
      </w:r>
      <w:r w:rsidR="009D01CD">
        <w:rPr>
          <w:rFonts w:ascii="Times New Roman" w:hAnsi="Times New Roman"/>
        </w:rPr>
        <w:t xml:space="preserve">technically </w:t>
      </w:r>
      <w:r w:rsidR="007072CB">
        <w:rPr>
          <w:rFonts w:ascii="Times New Roman" w:hAnsi="Times New Roman"/>
        </w:rPr>
        <w:t>include</w:t>
      </w:r>
      <w:r w:rsidR="00F96CAF">
        <w:rPr>
          <w:rFonts w:ascii="Times New Roman" w:hAnsi="Times New Roman"/>
        </w:rPr>
        <w:t xml:space="preserve">s </w:t>
      </w:r>
      <w:r w:rsidR="00F96CAF" w:rsidRPr="00F96CAF">
        <w:rPr>
          <w:rFonts w:ascii="Times New Roman" w:hAnsi="Times New Roman"/>
          <w:i/>
        </w:rPr>
        <w:t>all</w:t>
      </w:r>
      <w:r w:rsidR="00F96CAF">
        <w:rPr>
          <w:rFonts w:ascii="Times New Roman" w:hAnsi="Times New Roman"/>
        </w:rPr>
        <w:t xml:space="preserve"> minor injuries)</w:t>
      </w:r>
      <w:r w:rsidR="004A34C0">
        <w:rPr>
          <w:rFonts w:ascii="Times New Roman" w:hAnsi="Times New Roman"/>
        </w:rPr>
        <w:t xml:space="preserve">. </w:t>
      </w:r>
      <w:r w:rsidR="00271DFE">
        <w:rPr>
          <w:rFonts w:ascii="Times New Roman" w:hAnsi="Times New Roman"/>
        </w:rPr>
        <w:t>If minor</w:t>
      </w:r>
      <w:r w:rsidR="00EF0A1E">
        <w:rPr>
          <w:rFonts w:ascii="Times New Roman" w:hAnsi="Times New Roman"/>
        </w:rPr>
        <w:t xml:space="preserve"> harms were </w:t>
      </w:r>
      <w:r w:rsidR="00C04E10">
        <w:rPr>
          <w:rFonts w:ascii="Times New Roman" w:hAnsi="Times New Roman"/>
        </w:rPr>
        <w:t xml:space="preserve">to be </w:t>
      </w:r>
      <w:r w:rsidR="009D01CD">
        <w:rPr>
          <w:rFonts w:ascii="Times New Roman" w:hAnsi="Times New Roman"/>
        </w:rPr>
        <w:t>charged</w:t>
      </w:r>
      <w:r w:rsidR="00EF0A1E">
        <w:rPr>
          <w:rFonts w:ascii="Times New Roman" w:hAnsi="Times New Roman"/>
        </w:rPr>
        <w:t xml:space="preserve"> under</w:t>
      </w:r>
      <w:r w:rsidR="004A34C0">
        <w:rPr>
          <w:rFonts w:ascii="Times New Roman" w:hAnsi="Times New Roman"/>
        </w:rPr>
        <w:t xml:space="preserve"> a crime of “aggravated assault”</w:t>
      </w:r>
      <w:r w:rsidR="00EF0A1E">
        <w:rPr>
          <w:rFonts w:ascii="Times New Roman" w:hAnsi="Times New Roman"/>
        </w:rPr>
        <w:t xml:space="preserve">, the offence description would more precisely </w:t>
      </w:r>
      <w:r w:rsidR="009D01CD">
        <w:rPr>
          <w:rFonts w:ascii="Times New Roman" w:hAnsi="Times New Roman"/>
        </w:rPr>
        <w:t>criminalise</w:t>
      </w:r>
      <w:r w:rsidR="00EF0A1E">
        <w:rPr>
          <w:rFonts w:ascii="Times New Roman" w:hAnsi="Times New Roman"/>
        </w:rPr>
        <w:t xml:space="preserve"> </w:t>
      </w:r>
      <w:r w:rsidR="009D01CD">
        <w:rPr>
          <w:rFonts w:ascii="Times New Roman" w:hAnsi="Times New Roman"/>
        </w:rPr>
        <w:t xml:space="preserve">D according to </w:t>
      </w:r>
      <w:r w:rsidR="00EF0A1E">
        <w:rPr>
          <w:rFonts w:ascii="Times New Roman" w:hAnsi="Times New Roman"/>
        </w:rPr>
        <w:t>the harm caused</w:t>
      </w:r>
      <w:r w:rsidR="009D01CD">
        <w:rPr>
          <w:rFonts w:ascii="Times New Roman" w:hAnsi="Times New Roman"/>
        </w:rPr>
        <w:t xml:space="preserve"> – there would be no under- or over-charging</w:t>
      </w:r>
      <w:r w:rsidR="00B936B6">
        <w:rPr>
          <w:rFonts w:ascii="Times New Roman" w:hAnsi="Times New Roman"/>
        </w:rPr>
        <w:t>.</w:t>
      </w:r>
      <w:r w:rsidR="00F61458">
        <w:rPr>
          <w:rStyle w:val="FootnoteReference"/>
          <w:rFonts w:ascii="Times New Roman" w:hAnsi="Times New Roman"/>
        </w:rPr>
        <w:footnoteReference w:id="122"/>
      </w:r>
      <w:r w:rsidR="004F4723">
        <w:rPr>
          <w:rFonts w:ascii="Times New Roman" w:hAnsi="Times New Roman"/>
        </w:rPr>
        <w:t xml:space="preserve"> O</w:t>
      </w:r>
      <w:r w:rsidR="001F30B7">
        <w:rPr>
          <w:rFonts w:ascii="Times New Roman" w:hAnsi="Times New Roman"/>
        </w:rPr>
        <w:t xml:space="preserve">ne type of harm that </w:t>
      </w:r>
      <w:r w:rsidR="00134DF4">
        <w:rPr>
          <w:rFonts w:ascii="Times New Roman" w:hAnsi="Times New Roman"/>
        </w:rPr>
        <w:t xml:space="preserve">will </w:t>
      </w:r>
      <w:r w:rsidR="00A72B2E">
        <w:rPr>
          <w:rFonts w:ascii="Times New Roman" w:hAnsi="Times New Roman"/>
        </w:rPr>
        <w:t>be difficult to</w:t>
      </w:r>
      <w:r w:rsidR="00134DF4">
        <w:rPr>
          <w:rFonts w:ascii="Times New Roman" w:hAnsi="Times New Roman"/>
        </w:rPr>
        <w:t xml:space="preserve"> fit under aggravated assault </w:t>
      </w:r>
      <w:r w:rsidR="004F4723">
        <w:rPr>
          <w:rFonts w:ascii="Times New Roman" w:hAnsi="Times New Roman"/>
        </w:rPr>
        <w:t>is disease transmission.</w:t>
      </w:r>
      <w:r w:rsidR="008D4898">
        <w:rPr>
          <w:rStyle w:val="FootnoteReference"/>
          <w:rFonts w:ascii="Times New Roman" w:hAnsi="Times New Roman"/>
        </w:rPr>
        <w:footnoteReference w:id="123"/>
      </w:r>
      <w:r w:rsidR="004F4723">
        <w:rPr>
          <w:rFonts w:ascii="Times New Roman" w:hAnsi="Times New Roman"/>
        </w:rPr>
        <w:t xml:space="preserve"> As with s.47, this difficulty arises </w:t>
      </w:r>
      <w:r w:rsidR="001F30B7">
        <w:rPr>
          <w:rFonts w:ascii="Times New Roman" w:hAnsi="Times New Roman"/>
        </w:rPr>
        <w:t>because of</w:t>
      </w:r>
      <w:r w:rsidR="00134DF4">
        <w:rPr>
          <w:rFonts w:ascii="Times New Roman" w:hAnsi="Times New Roman"/>
        </w:rPr>
        <w:t xml:space="preserve"> the need for a base offence of </w:t>
      </w:r>
      <w:r w:rsidR="00A72B2E">
        <w:rPr>
          <w:rFonts w:ascii="Times New Roman" w:hAnsi="Times New Roman"/>
        </w:rPr>
        <w:t>physical or threatened assault</w:t>
      </w:r>
      <w:r w:rsidR="00134DF4">
        <w:rPr>
          <w:rFonts w:ascii="Times New Roman" w:hAnsi="Times New Roman"/>
        </w:rPr>
        <w:t>. I</w:t>
      </w:r>
      <w:r w:rsidR="00134DF4" w:rsidRPr="007858D8">
        <w:rPr>
          <w:rFonts w:ascii="Times New Roman" w:hAnsi="Times New Roman"/>
        </w:rPr>
        <w:t xml:space="preserve">nfection is not normally passed on via </w:t>
      </w:r>
      <w:r w:rsidR="00134DF4">
        <w:rPr>
          <w:rFonts w:ascii="Times New Roman" w:hAnsi="Times New Roman"/>
        </w:rPr>
        <w:t xml:space="preserve">these </w:t>
      </w:r>
      <w:r w:rsidR="001F30B7">
        <w:rPr>
          <w:rFonts w:ascii="Times New Roman" w:hAnsi="Times New Roman"/>
        </w:rPr>
        <w:t>forms</w:t>
      </w:r>
      <w:r w:rsidR="00134DF4">
        <w:rPr>
          <w:rFonts w:ascii="Times New Roman" w:hAnsi="Times New Roman"/>
        </w:rPr>
        <w:t xml:space="preserve"> of conduct</w:t>
      </w:r>
      <w:r w:rsidR="00134DF4" w:rsidRPr="007858D8">
        <w:rPr>
          <w:rFonts w:ascii="Times New Roman" w:hAnsi="Times New Roman"/>
        </w:rPr>
        <w:t xml:space="preserve">. </w:t>
      </w:r>
    </w:p>
    <w:p w:rsidR="00134DF4" w:rsidRDefault="00134DF4" w:rsidP="00134DF4">
      <w:pPr>
        <w:spacing w:line="480" w:lineRule="auto"/>
        <w:jc w:val="both"/>
        <w:rPr>
          <w:rFonts w:ascii="Times New Roman" w:hAnsi="Times New Roman"/>
        </w:rPr>
      </w:pPr>
    </w:p>
    <w:p w:rsidR="00A1202C" w:rsidRDefault="00467539" w:rsidP="00334BF3">
      <w:pPr>
        <w:spacing w:line="480" w:lineRule="auto"/>
        <w:jc w:val="both"/>
        <w:rPr>
          <w:rFonts w:ascii="Times New Roman" w:hAnsi="Times New Roman"/>
        </w:rPr>
      </w:pPr>
      <w:r>
        <w:rPr>
          <w:rFonts w:ascii="Times New Roman" w:hAnsi="Times New Roman"/>
        </w:rPr>
        <w:t xml:space="preserve">A particularly </w:t>
      </w:r>
      <w:r w:rsidR="00C04E10">
        <w:rPr>
          <w:rFonts w:ascii="Times New Roman" w:hAnsi="Times New Roman"/>
        </w:rPr>
        <w:t>noteworthy</w:t>
      </w:r>
      <w:r>
        <w:rPr>
          <w:rFonts w:ascii="Times New Roman" w:hAnsi="Times New Roman"/>
        </w:rPr>
        <w:t xml:space="preserve"> feature of aggravated assault is </w:t>
      </w:r>
      <w:r w:rsidR="00C04E10">
        <w:rPr>
          <w:rFonts w:ascii="Times New Roman" w:hAnsi="Times New Roman"/>
        </w:rPr>
        <w:t xml:space="preserve">its imposition of </w:t>
      </w:r>
      <w:r w:rsidR="004A0C15">
        <w:rPr>
          <w:rFonts w:ascii="Times New Roman" w:hAnsi="Times New Roman"/>
        </w:rPr>
        <w:t xml:space="preserve">constructive liability: </w:t>
      </w:r>
      <w:proofErr w:type="spellStart"/>
      <w:r w:rsidR="004A0C15">
        <w:rPr>
          <w:rFonts w:ascii="Times New Roman" w:hAnsi="Times New Roman"/>
        </w:rPr>
        <w:t>mens</w:t>
      </w:r>
      <w:proofErr w:type="spellEnd"/>
      <w:r w:rsidR="004A0C15">
        <w:rPr>
          <w:rFonts w:ascii="Times New Roman" w:hAnsi="Times New Roman"/>
        </w:rPr>
        <w:t xml:space="preserve"> rea is </w:t>
      </w:r>
      <w:r w:rsidR="00872A32">
        <w:rPr>
          <w:rFonts w:ascii="Times New Roman" w:hAnsi="Times New Roman"/>
        </w:rPr>
        <w:t xml:space="preserve">not </w:t>
      </w:r>
      <w:r w:rsidR="004A0C15">
        <w:rPr>
          <w:rFonts w:ascii="Times New Roman" w:hAnsi="Times New Roman"/>
        </w:rPr>
        <w:t xml:space="preserve">needed in relation to causing “some injury”. </w:t>
      </w:r>
      <w:r w:rsidR="00BA6E2F">
        <w:rPr>
          <w:rFonts w:ascii="Times New Roman" w:hAnsi="Times New Roman"/>
        </w:rPr>
        <w:t>Nonetheless, the scoping report defends this breach of the correspondence principle.</w:t>
      </w:r>
      <w:r w:rsidR="00BA6E2F">
        <w:rPr>
          <w:rStyle w:val="FootnoteReference"/>
          <w:rFonts w:ascii="Times New Roman" w:hAnsi="Times New Roman"/>
        </w:rPr>
        <w:footnoteReference w:id="124"/>
      </w:r>
      <w:r w:rsidR="00BA6E2F">
        <w:rPr>
          <w:rFonts w:ascii="Times New Roman" w:hAnsi="Times New Roman"/>
        </w:rPr>
        <w:t xml:space="preserve"> Unlike ss.47 and 20, the base offence remains the </w:t>
      </w:r>
      <w:r w:rsidR="00BA6E2F" w:rsidRPr="00CE3DE3">
        <w:rPr>
          <w:rFonts w:ascii="Times New Roman" w:hAnsi="Times New Roman"/>
          <w:i/>
        </w:rPr>
        <w:t>central</w:t>
      </w:r>
      <w:r w:rsidR="00BA6E2F">
        <w:rPr>
          <w:rFonts w:ascii="Times New Roman" w:hAnsi="Times New Roman"/>
        </w:rPr>
        <w:t xml:space="preserve"> </w:t>
      </w:r>
      <w:r>
        <w:rPr>
          <w:rFonts w:ascii="Times New Roman" w:hAnsi="Times New Roman"/>
        </w:rPr>
        <w:t>focus</w:t>
      </w:r>
      <w:r w:rsidR="00BA6E2F">
        <w:rPr>
          <w:rFonts w:ascii="Times New Roman" w:hAnsi="Times New Roman"/>
        </w:rPr>
        <w:t xml:space="preserve"> of D’s conduct, with the subsequent injury acting only as an </w:t>
      </w:r>
      <w:r w:rsidR="00BA6E2F" w:rsidRPr="00CE3DE3">
        <w:rPr>
          <w:rFonts w:ascii="Times New Roman" w:hAnsi="Times New Roman"/>
          <w:i/>
        </w:rPr>
        <w:t>aggravating</w:t>
      </w:r>
      <w:r w:rsidR="00BA6E2F">
        <w:rPr>
          <w:rFonts w:ascii="Times New Roman" w:hAnsi="Times New Roman"/>
        </w:rPr>
        <w:t xml:space="preserve"> </w:t>
      </w:r>
      <w:r>
        <w:rPr>
          <w:rFonts w:ascii="Times New Roman" w:hAnsi="Times New Roman"/>
        </w:rPr>
        <w:t>characteristic</w:t>
      </w:r>
      <w:r w:rsidR="00BA6E2F">
        <w:rPr>
          <w:rFonts w:ascii="Times New Roman" w:hAnsi="Times New Roman"/>
        </w:rPr>
        <w:t xml:space="preserve">. That </w:t>
      </w:r>
      <w:r>
        <w:rPr>
          <w:rFonts w:ascii="Times New Roman" w:hAnsi="Times New Roman"/>
        </w:rPr>
        <w:t>characteristic</w:t>
      </w:r>
      <w:r w:rsidR="00BA6E2F">
        <w:rPr>
          <w:rFonts w:ascii="Times New Roman" w:hAnsi="Times New Roman"/>
        </w:rPr>
        <w:t xml:space="preserve"> is labelled on conviction and represented through a </w:t>
      </w:r>
      <w:r w:rsidR="00BA6E2F" w:rsidRPr="00BA6E2F">
        <w:rPr>
          <w:rFonts w:ascii="Times New Roman" w:hAnsi="Times New Roman"/>
          <w:i/>
        </w:rPr>
        <w:t>proportionate</w:t>
      </w:r>
      <w:r w:rsidR="00BA6E2F">
        <w:rPr>
          <w:rFonts w:ascii="Times New Roman" w:hAnsi="Times New Roman"/>
        </w:rPr>
        <w:t xml:space="preserve"> rise in </w:t>
      </w:r>
      <w:r>
        <w:rPr>
          <w:rFonts w:ascii="Times New Roman" w:hAnsi="Times New Roman"/>
        </w:rPr>
        <w:t xml:space="preserve">maximum </w:t>
      </w:r>
      <w:r w:rsidR="00BA6E2F">
        <w:rPr>
          <w:rFonts w:ascii="Times New Roman" w:hAnsi="Times New Roman"/>
        </w:rPr>
        <w:t xml:space="preserve">sentence – from six months for the base crime to twelve months </w:t>
      </w:r>
      <w:r w:rsidR="00B82F83">
        <w:rPr>
          <w:rFonts w:ascii="Times New Roman" w:hAnsi="Times New Roman"/>
        </w:rPr>
        <w:t>in</w:t>
      </w:r>
      <w:r w:rsidR="00BA6E2F">
        <w:rPr>
          <w:rFonts w:ascii="Times New Roman" w:hAnsi="Times New Roman"/>
        </w:rPr>
        <w:t xml:space="preserve"> its aggravated form. </w:t>
      </w:r>
      <w:r w:rsidR="00C14CC5">
        <w:rPr>
          <w:rFonts w:ascii="Times New Roman" w:hAnsi="Times New Roman"/>
        </w:rPr>
        <w:t xml:space="preserve">The offence </w:t>
      </w:r>
      <w:r w:rsidR="00872A32">
        <w:rPr>
          <w:rFonts w:ascii="Times New Roman" w:hAnsi="Times New Roman"/>
        </w:rPr>
        <w:t>is</w:t>
      </w:r>
      <w:r w:rsidR="001E347F">
        <w:rPr>
          <w:rFonts w:ascii="Times New Roman" w:hAnsi="Times New Roman"/>
        </w:rPr>
        <w:t xml:space="preserve"> triable summarily only, a factor which would save inordinate time and money. This is because</w:t>
      </w:r>
      <w:r w:rsidR="00C14CC5">
        <w:rPr>
          <w:rFonts w:ascii="Times New Roman" w:hAnsi="Times New Roman"/>
        </w:rPr>
        <w:t xml:space="preserve"> many of the </w:t>
      </w:r>
      <w:r w:rsidR="00B82F83">
        <w:rPr>
          <w:rFonts w:ascii="Times New Roman" w:hAnsi="Times New Roman"/>
        </w:rPr>
        <w:t>minor</w:t>
      </w:r>
      <w:r w:rsidR="00C14CC5">
        <w:rPr>
          <w:rFonts w:ascii="Times New Roman" w:hAnsi="Times New Roman"/>
        </w:rPr>
        <w:t xml:space="preserve"> harms </w:t>
      </w:r>
      <w:r>
        <w:rPr>
          <w:rFonts w:ascii="Times New Roman" w:hAnsi="Times New Roman"/>
        </w:rPr>
        <w:t xml:space="preserve">currently </w:t>
      </w:r>
      <w:r w:rsidR="00891CF3">
        <w:rPr>
          <w:rFonts w:ascii="Times New Roman" w:hAnsi="Times New Roman"/>
        </w:rPr>
        <w:t>charged under</w:t>
      </w:r>
      <w:r w:rsidR="00C14CC5">
        <w:rPr>
          <w:rFonts w:ascii="Times New Roman" w:hAnsi="Times New Roman"/>
        </w:rPr>
        <w:t xml:space="preserve"> s.47</w:t>
      </w:r>
      <w:r w:rsidR="001E347F">
        <w:rPr>
          <w:rFonts w:ascii="Times New Roman" w:hAnsi="Times New Roman"/>
        </w:rPr>
        <w:t xml:space="preserve"> </w:t>
      </w:r>
      <w:r w:rsidR="00CE3DE3">
        <w:rPr>
          <w:rFonts w:ascii="Times New Roman" w:hAnsi="Times New Roman"/>
        </w:rPr>
        <w:t xml:space="preserve">would </w:t>
      </w:r>
      <w:r>
        <w:rPr>
          <w:rFonts w:ascii="Times New Roman" w:hAnsi="Times New Roman"/>
        </w:rPr>
        <w:t xml:space="preserve">instead </w:t>
      </w:r>
      <w:r w:rsidR="00CE3DE3">
        <w:rPr>
          <w:rFonts w:ascii="Times New Roman" w:hAnsi="Times New Roman"/>
        </w:rPr>
        <w:t xml:space="preserve">be tried in the magistrates’ courts. </w:t>
      </w:r>
      <w:r w:rsidR="00872A32">
        <w:rPr>
          <w:rFonts w:ascii="Times New Roman" w:hAnsi="Times New Roman"/>
        </w:rPr>
        <w:t>At present, s</w:t>
      </w:r>
      <w:r w:rsidR="00134DF4">
        <w:rPr>
          <w:rFonts w:ascii="Times New Roman" w:hAnsi="Times New Roman"/>
        </w:rPr>
        <w:t>uch</w:t>
      </w:r>
      <w:r w:rsidR="00CE3DE3">
        <w:rPr>
          <w:rFonts w:ascii="Times New Roman" w:hAnsi="Times New Roman"/>
        </w:rPr>
        <w:t xml:space="preserve"> </w:t>
      </w:r>
      <w:r w:rsidR="00891CF3">
        <w:rPr>
          <w:rFonts w:ascii="Times New Roman" w:hAnsi="Times New Roman"/>
        </w:rPr>
        <w:t>cases</w:t>
      </w:r>
      <w:r w:rsidR="00CE3DE3">
        <w:rPr>
          <w:rFonts w:ascii="Times New Roman" w:hAnsi="Times New Roman"/>
        </w:rPr>
        <w:t xml:space="preserve"> are often </w:t>
      </w:r>
      <w:r w:rsidR="00134DF4">
        <w:rPr>
          <w:rFonts w:ascii="Times New Roman" w:hAnsi="Times New Roman"/>
        </w:rPr>
        <w:t>tried</w:t>
      </w:r>
      <w:r w:rsidR="00CE3DE3">
        <w:rPr>
          <w:rFonts w:ascii="Times New Roman" w:hAnsi="Times New Roman"/>
        </w:rPr>
        <w:t xml:space="preserve"> in the Crown Court despite </w:t>
      </w:r>
      <w:r w:rsidR="00134DF4">
        <w:rPr>
          <w:rFonts w:ascii="Times New Roman" w:hAnsi="Times New Roman"/>
        </w:rPr>
        <w:t xml:space="preserve">the eventual punishment being one which would have come </w:t>
      </w:r>
      <w:r w:rsidR="00CE3DE3">
        <w:rPr>
          <w:rFonts w:ascii="Times New Roman" w:hAnsi="Times New Roman"/>
        </w:rPr>
        <w:t>within the power</w:t>
      </w:r>
      <w:r w:rsidR="00134DF4">
        <w:rPr>
          <w:rFonts w:ascii="Times New Roman" w:hAnsi="Times New Roman"/>
        </w:rPr>
        <w:t>s of</w:t>
      </w:r>
      <w:r w:rsidR="00CE3DE3">
        <w:rPr>
          <w:rFonts w:ascii="Times New Roman" w:hAnsi="Times New Roman"/>
        </w:rPr>
        <w:t xml:space="preserve"> the magistrates’</w:t>
      </w:r>
      <w:r w:rsidR="00134DF4">
        <w:rPr>
          <w:rFonts w:ascii="Times New Roman" w:hAnsi="Times New Roman"/>
        </w:rPr>
        <w:t xml:space="preserve"> courts.</w:t>
      </w:r>
      <w:r w:rsidR="00134DF4">
        <w:rPr>
          <w:rStyle w:val="FootnoteReference"/>
          <w:rFonts w:ascii="Times New Roman" w:hAnsi="Times New Roman"/>
        </w:rPr>
        <w:footnoteReference w:id="125"/>
      </w:r>
      <w:r w:rsidR="00E55092">
        <w:rPr>
          <w:rFonts w:ascii="Times New Roman" w:hAnsi="Times New Roman"/>
        </w:rPr>
        <w:t xml:space="preserve"> Whilst</w:t>
      </w:r>
      <w:r w:rsidR="00C718AE">
        <w:rPr>
          <w:rFonts w:ascii="Times New Roman" w:hAnsi="Times New Roman"/>
        </w:rPr>
        <w:t xml:space="preserve"> s.78(1) of the Powers of Criminal Courts (Sentencing) Act 2000 (the 2000 Act) limits</w:t>
      </w:r>
      <w:r w:rsidR="00E55092">
        <w:rPr>
          <w:rFonts w:ascii="Times New Roman" w:hAnsi="Times New Roman"/>
        </w:rPr>
        <w:t xml:space="preserve"> the sentencing powers of magistrates</w:t>
      </w:r>
      <w:r w:rsidR="00C718AE">
        <w:rPr>
          <w:rFonts w:ascii="Times New Roman" w:hAnsi="Times New Roman"/>
        </w:rPr>
        <w:t xml:space="preserve"> </w:t>
      </w:r>
      <w:r w:rsidR="00E55092">
        <w:rPr>
          <w:rFonts w:ascii="Times New Roman" w:hAnsi="Times New Roman"/>
        </w:rPr>
        <w:t>to six months</w:t>
      </w:r>
      <w:r>
        <w:rPr>
          <w:rFonts w:ascii="Times New Roman" w:hAnsi="Times New Roman"/>
        </w:rPr>
        <w:t xml:space="preserve">’ imprisonment, </w:t>
      </w:r>
      <w:r w:rsidR="00C718AE">
        <w:rPr>
          <w:rFonts w:ascii="Times New Roman" w:hAnsi="Times New Roman"/>
        </w:rPr>
        <w:t xml:space="preserve">the scoping report recommends an increase in that limit of up to twelve months – as permitted, but not yet commenced, by s.154 of the Criminal Justice Act 2003. In any event, higher sentencing limits for </w:t>
      </w:r>
      <w:r w:rsidR="00C718AE" w:rsidRPr="00C718AE">
        <w:rPr>
          <w:rFonts w:ascii="Times New Roman" w:hAnsi="Times New Roman"/>
          <w:i/>
        </w:rPr>
        <w:t>individual</w:t>
      </w:r>
      <w:r w:rsidR="00C718AE">
        <w:rPr>
          <w:rFonts w:ascii="Times New Roman" w:hAnsi="Times New Roman"/>
        </w:rPr>
        <w:t xml:space="preserve"> </w:t>
      </w:r>
      <w:r w:rsidR="00C718AE">
        <w:rPr>
          <w:rFonts w:ascii="Times New Roman" w:hAnsi="Times New Roman"/>
        </w:rPr>
        <w:lastRenderedPageBreak/>
        <w:t xml:space="preserve">offences are allowed under </w:t>
      </w:r>
      <w:proofErr w:type="gramStart"/>
      <w:r w:rsidR="00C718AE">
        <w:rPr>
          <w:rFonts w:ascii="Times New Roman" w:hAnsi="Times New Roman"/>
        </w:rPr>
        <w:t>s.78(</w:t>
      </w:r>
      <w:proofErr w:type="gramEnd"/>
      <w:r w:rsidR="00C718AE">
        <w:rPr>
          <w:rFonts w:ascii="Times New Roman" w:hAnsi="Times New Roman"/>
        </w:rPr>
        <w:t xml:space="preserve">2) of the 2000 Act. Assuming an extension of magistrates’ sentencing powers for aggravated assault, 73.5% </w:t>
      </w:r>
      <w:r w:rsidR="00A83D92">
        <w:rPr>
          <w:rFonts w:ascii="Times New Roman" w:hAnsi="Times New Roman"/>
        </w:rPr>
        <w:t xml:space="preserve">of ABH cases now tried in the Crown Court would be tried in a magistrates’ court. </w:t>
      </w:r>
      <w:r w:rsidR="00271DFE">
        <w:rPr>
          <w:rFonts w:ascii="Times New Roman" w:hAnsi="Times New Roman"/>
        </w:rPr>
        <w:t>I</w:t>
      </w:r>
      <w:r w:rsidR="00A83D92">
        <w:rPr>
          <w:rFonts w:ascii="Times New Roman" w:hAnsi="Times New Roman"/>
        </w:rPr>
        <w:t xml:space="preserve">f those powers </w:t>
      </w:r>
      <w:r w:rsidR="00271DFE">
        <w:rPr>
          <w:rFonts w:ascii="Times New Roman" w:hAnsi="Times New Roman"/>
        </w:rPr>
        <w:t>were</w:t>
      </w:r>
      <w:r w:rsidR="00A83D92">
        <w:rPr>
          <w:rFonts w:ascii="Times New Roman" w:hAnsi="Times New Roman"/>
        </w:rPr>
        <w:t xml:space="preserve"> not extended, the proportion of ABH </w:t>
      </w:r>
      <w:r w:rsidR="0075277A">
        <w:rPr>
          <w:rFonts w:ascii="Times New Roman" w:hAnsi="Times New Roman"/>
        </w:rPr>
        <w:t>proceedings</w:t>
      </w:r>
      <w:r w:rsidR="00A83D92">
        <w:rPr>
          <w:rFonts w:ascii="Times New Roman" w:hAnsi="Times New Roman"/>
        </w:rPr>
        <w:t xml:space="preserve"> tried in a magistrates’ court would still be 34.5%.</w:t>
      </w:r>
      <w:r w:rsidR="00A83D92">
        <w:rPr>
          <w:rStyle w:val="FootnoteReference"/>
          <w:rFonts w:ascii="Times New Roman" w:hAnsi="Times New Roman"/>
        </w:rPr>
        <w:footnoteReference w:id="126"/>
      </w:r>
      <w:r w:rsidR="00A83D92">
        <w:rPr>
          <w:rFonts w:ascii="Times New Roman" w:hAnsi="Times New Roman"/>
        </w:rPr>
        <w:t xml:space="preserve"> Procedurally</w:t>
      </w:r>
      <w:r w:rsidR="00191586">
        <w:rPr>
          <w:rFonts w:ascii="Times New Roman" w:hAnsi="Times New Roman"/>
        </w:rPr>
        <w:t xml:space="preserve">, aggravated assault </w:t>
      </w:r>
      <w:r w:rsidR="00B36098">
        <w:rPr>
          <w:rFonts w:ascii="Times New Roman" w:hAnsi="Times New Roman"/>
        </w:rPr>
        <w:t xml:space="preserve">would be available as an alternative </w:t>
      </w:r>
      <w:r w:rsidR="00191586">
        <w:rPr>
          <w:rFonts w:ascii="Times New Roman" w:hAnsi="Times New Roman"/>
        </w:rPr>
        <w:t xml:space="preserve">charge </w:t>
      </w:r>
      <w:r w:rsidR="00B36098">
        <w:rPr>
          <w:rFonts w:ascii="Times New Roman" w:hAnsi="Times New Roman"/>
        </w:rPr>
        <w:t xml:space="preserve">to offences 1, 2 and 3, whilst the two basic assault offences would, in turn, </w:t>
      </w:r>
      <w:r w:rsidR="006F0176">
        <w:rPr>
          <w:rFonts w:ascii="Times New Roman" w:hAnsi="Times New Roman"/>
        </w:rPr>
        <w:t>provide</w:t>
      </w:r>
      <w:r w:rsidR="00B36098">
        <w:rPr>
          <w:rFonts w:ascii="Times New Roman" w:hAnsi="Times New Roman"/>
        </w:rPr>
        <w:t xml:space="preserve"> alte</w:t>
      </w:r>
      <w:r w:rsidR="00191586">
        <w:rPr>
          <w:rFonts w:ascii="Times New Roman" w:hAnsi="Times New Roman"/>
        </w:rPr>
        <w:t>rnative charges</w:t>
      </w:r>
      <w:r w:rsidR="00B36098">
        <w:rPr>
          <w:rFonts w:ascii="Times New Roman" w:hAnsi="Times New Roman"/>
        </w:rPr>
        <w:t xml:space="preserve"> to aggravated assault itself.</w:t>
      </w:r>
      <w:r w:rsidR="00B36098">
        <w:rPr>
          <w:rStyle w:val="FootnoteReference"/>
          <w:rFonts w:ascii="Times New Roman" w:hAnsi="Times New Roman"/>
        </w:rPr>
        <w:footnoteReference w:id="127"/>
      </w:r>
      <w:r w:rsidR="00B36098">
        <w:rPr>
          <w:rFonts w:ascii="Times New Roman" w:hAnsi="Times New Roman"/>
        </w:rPr>
        <w:t xml:space="preserve"> </w:t>
      </w:r>
    </w:p>
    <w:p w:rsidR="00A1202C" w:rsidRDefault="00A1202C" w:rsidP="00334BF3">
      <w:pPr>
        <w:spacing w:line="480" w:lineRule="auto"/>
        <w:jc w:val="both"/>
        <w:rPr>
          <w:rFonts w:ascii="Times New Roman" w:hAnsi="Times New Roman"/>
        </w:rPr>
      </w:pPr>
    </w:p>
    <w:p w:rsidR="0064291F" w:rsidRDefault="00EB3253" w:rsidP="00334BF3">
      <w:pPr>
        <w:spacing w:line="480" w:lineRule="auto"/>
        <w:jc w:val="both"/>
        <w:rPr>
          <w:rFonts w:ascii="Times New Roman" w:hAnsi="Times New Roman"/>
          <w:b/>
        </w:rPr>
      </w:pPr>
      <w:r w:rsidRPr="00EB3253">
        <w:rPr>
          <w:rFonts w:ascii="Times New Roman" w:hAnsi="Times New Roman"/>
          <w:i/>
        </w:rPr>
        <w:t xml:space="preserve">Disease </w:t>
      </w:r>
      <w:r>
        <w:rPr>
          <w:rFonts w:ascii="Times New Roman" w:hAnsi="Times New Roman"/>
          <w:i/>
        </w:rPr>
        <w:t>t</w:t>
      </w:r>
      <w:r w:rsidRPr="00EB3253">
        <w:rPr>
          <w:rFonts w:ascii="Times New Roman" w:hAnsi="Times New Roman"/>
          <w:i/>
        </w:rPr>
        <w:t>ransmission</w:t>
      </w:r>
      <w:r w:rsidR="00321C7F">
        <w:rPr>
          <w:rFonts w:ascii="Times New Roman" w:hAnsi="Times New Roman"/>
          <w:b/>
        </w:rPr>
        <w:t xml:space="preserve"> </w:t>
      </w:r>
    </w:p>
    <w:p w:rsidR="003C2B55" w:rsidRDefault="00F9160D" w:rsidP="00334BF3">
      <w:pPr>
        <w:spacing w:line="480" w:lineRule="auto"/>
        <w:jc w:val="both"/>
        <w:rPr>
          <w:rFonts w:ascii="Times New Roman" w:hAnsi="Times New Roman"/>
        </w:rPr>
      </w:pPr>
      <w:r>
        <w:rPr>
          <w:rFonts w:ascii="Times New Roman" w:hAnsi="Times New Roman"/>
        </w:rPr>
        <w:t>D</w:t>
      </w:r>
      <w:r w:rsidR="00B22EB2">
        <w:rPr>
          <w:rFonts w:ascii="Times New Roman" w:hAnsi="Times New Roman"/>
        </w:rPr>
        <w:t xml:space="preserve">isease transmission </w:t>
      </w:r>
      <w:r w:rsidR="00300A1F">
        <w:rPr>
          <w:rFonts w:ascii="Times New Roman" w:hAnsi="Times New Roman"/>
        </w:rPr>
        <w:t>is a</w:t>
      </w:r>
      <w:r w:rsidR="00F65E28">
        <w:rPr>
          <w:rFonts w:ascii="Times New Roman" w:hAnsi="Times New Roman"/>
        </w:rPr>
        <w:t>rguably</w:t>
      </w:r>
      <w:r w:rsidR="005E0FE6">
        <w:rPr>
          <w:rFonts w:ascii="Times New Roman" w:hAnsi="Times New Roman"/>
        </w:rPr>
        <w:t xml:space="preserve"> the most </w:t>
      </w:r>
      <w:r w:rsidR="00604B78">
        <w:rPr>
          <w:rFonts w:ascii="Times New Roman" w:hAnsi="Times New Roman"/>
        </w:rPr>
        <w:t>controversial</w:t>
      </w:r>
      <w:r w:rsidR="005E0FE6">
        <w:rPr>
          <w:rFonts w:ascii="Times New Roman" w:hAnsi="Times New Roman"/>
        </w:rPr>
        <w:t xml:space="preserve"> </w:t>
      </w:r>
      <w:r w:rsidR="005E0FE6" w:rsidRPr="005E0FE6">
        <w:rPr>
          <w:rFonts w:ascii="Times New Roman" w:hAnsi="Times New Roman"/>
          <w:i/>
        </w:rPr>
        <w:t>type</w:t>
      </w:r>
      <w:r w:rsidR="005E0FE6">
        <w:rPr>
          <w:rFonts w:ascii="Times New Roman" w:hAnsi="Times New Roman"/>
        </w:rPr>
        <w:t xml:space="preserve"> </w:t>
      </w:r>
      <w:r w:rsidR="00F418EB">
        <w:rPr>
          <w:rFonts w:ascii="Times New Roman" w:hAnsi="Times New Roman"/>
        </w:rPr>
        <w:t xml:space="preserve">of </w:t>
      </w:r>
      <w:r w:rsidR="00EA6A5C">
        <w:rPr>
          <w:rFonts w:ascii="Times New Roman" w:hAnsi="Times New Roman"/>
        </w:rPr>
        <w:t>harm criminalised</w:t>
      </w:r>
      <w:r w:rsidR="00F65E28">
        <w:rPr>
          <w:rFonts w:ascii="Times New Roman" w:hAnsi="Times New Roman"/>
        </w:rPr>
        <w:t xml:space="preserve"> </w:t>
      </w:r>
      <w:r w:rsidR="005E0FE6">
        <w:rPr>
          <w:rFonts w:ascii="Times New Roman" w:hAnsi="Times New Roman"/>
        </w:rPr>
        <w:t>under the OAPA</w:t>
      </w:r>
      <w:r w:rsidR="00F418EB">
        <w:rPr>
          <w:rFonts w:ascii="Times New Roman" w:hAnsi="Times New Roman"/>
        </w:rPr>
        <w:t xml:space="preserve">. </w:t>
      </w:r>
      <w:r w:rsidR="00A17813">
        <w:rPr>
          <w:rFonts w:ascii="Times New Roman" w:hAnsi="Times New Roman"/>
        </w:rPr>
        <w:t xml:space="preserve">Indeed, it gives rise to awkward issues of conduct and fault. </w:t>
      </w:r>
      <w:r w:rsidR="00F418EB">
        <w:rPr>
          <w:rFonts w:ascii="Times New Roman" w:hAnsi="Times New Roman"/>
        </w:rPr>
        <w:t xml:space="preserve">As seen above, </w:t>
      </w:r>
      <w:r w:rsidR="009A2F83">
        <w:rPr>
          <w:rFonts w:ascii="Times New Roman" w:hAnsi="Times New Roman"/>
        </w:rPr>
        <w:t xml:space="preserve">the scoping report </w:t>
      </w:r>
      <w:r w:rsidR="00C874AA">
        <w:rPr>
          <w:rFonts w:ascii="Times New Roman" w:hAnsi="Times New Roman"/>
        </w:rPr>
        <w:t>suggests</w:t>
      </w:r>
      <w:r w:rsidR="009A2F83">
        <w:rPr>
          <w:rFonts w:ascii="Times New Roman" w:hAnsi="Times New Roman"/>
        </w:rPr>
        <w:t xml:space="preserve"> that transmission </w:t>
      </w:r>
      <w:r w:rsidR="00C04E10">
        <w:rPr>
          <w:rFonts w:ascii="Times New Roman" w:hAnsi="Times New Roman"/>
        </w:rPr>
        <w:t xml:space="preserve">of serious disease </w:t>
      </w:r>
      <w:r w:rsidR="009A2F83">
        <w:rPr>
          <w:rFonts w:ascii="Times New Roman" w:hAnsi="Times New Roman"/>
        </w:rPr>
        <w:t>remain</w:t>
      </w:r>
      <w:r w:rsidR="008315FE">
        <w:rPr>
          <w:rFonts w:ascii="Times New Roman" w:hAnsi="Times New Roman"/>
        </w:rPr>
        <w:t>s</w:t>
      </w:r>
      <w:r w:rsidR="009A2F83">
        <w:rPr>
          <w:rFonts w:ascii="Times New Roman" w:hAnsi="Times New Roman"/>
        </w:rPr>
        <w:t xml:space="preserve"> a crime under offences 1 and 2, thereby preserving the position under ss.18 and 20.</w:t>
      </w:r>
      <w:r w:rsidR="00C874AA">
        <w:rPr>
          <w:rFonts w:ascii="Times New Roman" w:hAnsi="Times New Roman"/>
        </w:rPr>
        <w:t xml:space="preserve"> However, given the </w:t>
      </w:r>
      <w:r w:rsidR="00B737A2">
        <w:rPr>
          <w:rFonts w:ascii="Times New Roman" w:hAnsi="Times New Roman"/>
        </w:rPr>
        <w:t>contentious</w:t>
      </w:r>
      <w:r w:rsidR="00C874AA">
        <w:rPr>
          <w:rFonts w:ascii="Times New Roman" w:hAnsi="Times New Roman"/>
        </w:rPr>
        <w:t xml:space="preserve"> nature of this liability, it recommends this as an </w:t>
      </w:r>
      <w:r w:rsidR="00C874AA" w:rsidRPr="00C874AA">
        <w:rPr>
          <w:rFonts w:ascii="Times New Roman" w:hAnsi="Times New Roman"/>
          <w:i/>
        </w:rPr>
        <w:t>interim</w:t>
      </w:r>
      <w:r w:rsidR="00C874AA">
        <w:rPr>
          <w:rFonts w:ascii="Times New Roman" w:hAnsi="Times New Roman"/>
        </w:rPr>
        <w:t xml:space="preserve"> measure</w:t>
      </w:r>
      <w:r w:rsidR="00DC313A">
        <w:rPr>
          <w:rFonts w:ascii="Times New Roman" w:hAnsi="Times New Roman"/>
        </w:rPr>
        <w:t>,</w:t>
      </w:r>
      <w:r w:rsidR="00C874AA">
        <w:rPr>
          <w:rFonts w:ascii="Times New Roman" w:hAnsi="Times New Roman"/>
        </w:rPr>
        <w:t xml:space="preserve"> pending a wider review of the criminal law’s role in regulating </w:t>
      </w:r>
      <w:r w:rsidR="00557515">
        <w:rPr>
          <w:rFonts w:ascii="Times New Roman" w:hAnsi="Times New Roman"/>
        </w:rPr>
        <w:t>this</w:t>
      </w:r>
      <w:r w:rsidR="00C874AA">
        <w:rPr>
          <w:rFonts w:ascii="Times New Roman" w:hAnsi="Times New Roman"/>
        </w:rPr>
        <w:t xml:space="preserve"> conduct.</w:t>
      </w:r>
      <w:r w:rsidR="00C874AA">
        <w:rPr>
          <w:rStyle w:val="FootnoteReference"/>
          <w:rFonts w:ascii="Times New Roman" w:hAnsi="Times New Roman"/>
        </w:rPr>
        <w:footnoteReference w:id="128"/>
      </w:r>
      <w:r w:rsidR="00C874AA">
        <w:rPr>
          <w:rFonts w:ascii="Times New Roman" w:hAnsi="Times New Roman"/>
        </w:rPr>
        <w:t xml:space="preserve"> </w:t>
      </w:r>
      <w:r w:rsidR="007D323C">
        <w:rPr>
          <w:rFonts w:ascii="Times New Roman" w:hAnsi="Times New Roman"/>
        </w:rPr>
        <w:t>Under t</w:t>
      </w:r>
      <w:r w:rsidR="00BB22BD">
        <w:rPr>
          <w:rFonts w:ascii="Times New Roman" w:hAnsi="Times New Roman"/>
        </w:rPr>
        <w:t>his arrangement</w:t>
      </w:r>
      <w:r w:rsidR="007D323C">
        <w:rPr>
          <w:rFonts w:ascii="Times New Roman" w:hAnsi="Times New Roman"/>
        </w:rPr>
        <w:t>, a</w:t>
      </w:r>
      <w:r w:rsidR="00A8334E">
        <w:rPr>
          <w:rFonts w:ascii="Times New Roman" w:hAnsi="Times New Roman"/>
        </w:rPr>
        <w:t xml:space="preserve">nd like s.18, offence 1 will hardly be </w:t>
      </w:r>
      <w:r w:rsidR="007D323C">
        <w:rPr>
          <w:rFonts w:ascii="Times New Roman" w:hAnsi="Times New Roman"/>
        </w:rPr>
        <w:t>use</w:t>
      </w:r>
      <w:r w:rsidR="00BB22BD">
        <w:rPr>
          <w:rFonts w:ascii="Times New Roman" w:hAnsi="Times New Roman"/>
        </w:rPr>
        <w:t>d given the rarity of</w:t>
      </w:r>
      <w:r w:rsidR="007713F6">
        <w:rPr>
          <w:rFonts w:ascii="Times New Roman" w:hAnsi="Times New Roman"/>
        </w:rPr>
        <w:t xml:space="preserve"> </w:t>
      </w:r>
      <w:r w:rsidR="007713F6" w:rsidRPr="007713F6">
        <w:rPr>
          <w:rFonts w:ascii="Times New Roman" w:hAnsi="Times New Roman"/>
          <w:i/>
        </w:rPr>
        <w:t>intentional</w:t>
      </w:r>
      <w:r w:rsidR="007713F6">
        <w:rPr>
          <w:rFonts w:ascii="Times New Roman" w:hAnsi="Times New Roman"/>
        </w:rPr>
        <w:t xml:space="preserve"> </w:t>
      </w:r>
      <w:r w:rsidR="00EC6E83">
        <w:rPr>
          <w:rFonts w:ascii="Times New Roman" w:hAnsi="Times New Roman"/>
        </w:rPr>
        <w:t xml:space="preserve">serious disease </w:t>
      </w:r>
      <w:r w:rsidR="007713F6">
        <w:rPr>
          <w:rFonts w:ascii="Times New Roman" w:hAnsi="Times New Roman"/>
        </w:rPr>
        <w:t xml:space="preserve">transmission. </w:t>
      </w:r>
      <w:r w:rsidR="007D323C">
        <w:rPr>
          <w:rFonts w:ascii="Times New Roman" w:hAnsi="Times New Roman"/>
        </w:rPr>
        <w:t xml:space="preserve">Rather, such transmission will </w:t>
      </w:r>
      <w:r w:rsidR="00A8334E">
        <w:rPr>
          <w:rFonts w:ascii="Times New Roman" w:hAnsi="Times New Roman"/>
        </w:rPr>
        <w:t xml:space="preserve">usually </w:t>
      </w:r>
      <w:r w:rsidR="007D323C">
        <w:rPr>
          <w:rFonts w:ascii="Times New Roman" w:hAnsi="Times New Roman"/>
        </w:rPr>
        <w:t xml:space="preserve">be charged </w:t>
      </w:r>
      <w:r w:rsidR="00A8334E">
        <w:rPr>
          <w:rFonts w:ascii="Times New Roman" w:hAnsi="Times New Roman"/>
        </w:rPr>
        <w:t xml:space="preserve">as reckless </w:t>
      </w:r>
      <w:r w:rsidR="007D323C">
        <w:rPr>
          <w:rFonts w:ascii="Times New Roman" w:hAnsi="Times New Roman"/>
        </w:rPr>
        <w:t>under offence 2</w:t>
      </w:r>
      <w:r w:rsidR="00664FEB">
        <w:rPr>
          <w:rFonts w:ascii="Times New Roman" w:hAnsi="Times New Roman"/>
        </w:rPr>
        <w:t>.</w:t>
      </w:r>
      <w:r w:rsidR="007713F6">
        <w:rPr>
          <w:rFonts w:ascii="Times New Roman" w:hAnsi="Times New Roman"/>
        </w:rPr>
        <w:t xml:space="preserve"> </w:t>
      </w:r>
      <w:r w:rsidR="00DC313A">
        <w:rPr>
          <w:rFonts w:ascii="Times New Roman" w:hAnsi="Times New Roman"/>
        </w:rPr>
        <w:t>Seven con</w:t>
      </w:r>
      <w:r w:rsidR="00700711">
        <w:rPr>
          <w:rFonts w:ascii="Times New Roman" w:hAnsi="Times New Roman"/>
        </w:rPr>
        <w:t>sultees favoured this as an ongoing</w:t>
      </w:r>
      <w:r w:rsidR="00DC313A">
        <w:rPr>
          <w:rFonts w:ascii="Times New Roman" w:hAnsi="Times New Roman"/>
        </w:rPr>
        <w:t xml:space="preserve"> policy.</w:t>
      </w:r>
      <w:r w:rsidR="00DC313A">
        <w:rPr>
          <w:rStyle w:val="FootnoteReference"/>
          <w:rFonts w:ascii="Times New Roman" w:hAnsi="Times New Roman"/>
        </w:rPr>
        <w:footnoteReference w:id="129"/>
      </w:r>
      <w:r w:rsidR="00DC313A">
        <w:rPr>
          <w:rFonts w:ascii="Times New Roman" w:hAnsi="Times New Roman"/>
        </w:rPr>
        <w:t xml:space="preserve"> </w:t>
      </w:r>
    </w:p>
    <w:p w:rsidR="00F9160D" w:rsidRDefault="00F9160D" w:rsidP="00334BF3">
      <w:pPr>
        <w:spacing w:line="480" w:lineRule="auto"/>
        <w:jc w:val="both"/>
        <w:rPr>
          <w:rFonts w:ascii="Times New Roman" w:hAnsi="Times New Roman"/>
        </w:rPr>
      </w:pPr>
    </w:p>
    <w:p w:rsidR="00DC313A" w:rsidRDefault="00664FEB" w:rsidP="00334BF3">
      <w:pPr>
        <w:spacing w:line="480" w:lineRule="auto"/>
        <w:jc w:val="both"/>
        <w:rPr>
          <w:rFonts w:ascii="Times New Roman" w:hAnsi="Times New Roman"/>
        </w:rPr>
      </w:pPr>
      <w:r>
        <w:rPr>
          <w:rFonts w:ascii="Times New Roman" w:hAnsi="Times New Roman"/>
        </w:rPr>
        <w:t xml:space="preserve">Evidently, many </w:t>
      </w:r>
      <w:r w:rsidR="004F7963">
        <w:rPr>
          <w:rFonts w:ascii="Times New Roman" w:hAnsi="Times New Roman"/>
        </w:rPr>
        <w:t>occurrences</w:t>
      </w:r>
      <w:r w:rsidR="00C2305B">
        <w:rPr>
          <w:rFonts w:ascii="Times New Roman" w:hAnsi="Times New Roman"/>
        </w:rPr>
        <w:t xml:space="preserve"> of </w:t>
      </w:r>
      <w:r>
        <w:rPr>
          <w:rFonts w:ascii="Times New Roman" w:hAnsi="Times New Roman"/>
        </w:rPr>
        <w:t xml:space="preserve">serious disease transmission will continue to involve sexual </w:t>
      </w:r>
      <w:r w:rsidR="0075277A">
        <w:rPr>
          <w:rFonts w:ascii="Times New Roman" w:hAnsi="Times New Roman"/>
        </w:rPr>
        <w:t xml:space="preserve">illnesses. To date, </w:t>
      </w:r>
      <w:r w:rsidR="00715EA8">
        <w:rPr>
          <w:rFonts w:ascii="Times New Roman" w:hAnsi="Times New Roman"/>
        </w:rPr>
        <w:t xml:space="preserve">recklessness has only been found </w:t>
      </w:r>
      <w:r w:rsidR="0075277A">
        <w:rPr>
          <w:rFonts w:ascii="Times New Roman" w:hAnsi="Times New Roman"/>
        </w:rPr>
        <w:t xml:space="preserve">in these </w:t>
      </w:r>
      <w:r w:rsidR="003C2B55">
        <w:rPr>
          <w:rFonts w:ascii="Times New Roman" w:hAnsi="Times New Roman"/>
        </w:rPr>
        <w:t>situations</w:t>
      </w:r>
      <w:r w:rsidR="0075277A">
        <w:rPr>
          <w:rFonts w:ascii="Times New Roman" w:hAnsi="Times New Roman"/>
        </w:rPr>
        <w:t xml:space="preserve"> </w:t>
      </w:r>
      <w:r w:rsidR="00715EA8">
        <w:rPr>
          <w:rFonts w:ascii="Times New Roman" w:hAnsi="Times New Roman"/>
        </w:rPr>
        <w:t xml:space="preserve">where there is proof that D had </w:t>
      </w:r>
      <w:r w:rsidR="00715EA8" w:rsidRPr="00AC3B47">
        <w:rPr>
          <w:rFonts w:ascii="Times New Roman" w:hAnsi="Times New Roman"/>
          <w:i/>
        </w:rPr>
        <w:t>actual</w:t>
      </w:r>
      <w:r w:rsidR="00715EA8">
        <w:rPr>
          <w:rFonts w:ascii="Times New Roman" w:hAnsi="Times New Roman"/>
        </w:rPr>
        <w:t xml:space="preserve"> knowledge of his or her infected status (for </w:t>
      </w:r>
      <w:r w:rsidR="001E5B19">
        <w:rPr>
          <w:rFonts w:ascii="Times New Roman" w:hAnsi="Times New Roman"/>
        </w:rPr>
        <w:t>example</w:t>
      </w:r>
      <w:r w:rsidR="00715EA8">
        <w:rPr>
          <w:rFonts w:ascii="Times New Roman" w:hAnsi="Times New Roman"/>
        </w:rPr>
        <w:t>, a full diagnosis).</w:t>
      </w:r>
      <w:r w:rsidR="00E50B29">
        <w:rPr>
          <w:rStyle w:val="FootnoteReference"/>
          <w:rFonts w:ascii="Times New Roman" w:hAnsi="Times New Roman"/>
        </w:rPr>
        <w:footnoteReference w:id="130"/>
      </w:r>
      <w:r w:rsidR="00715EA8">
        <w:rPr>
          <w:rFonts w:ascii="Times New Roman" w:hAnsi="Times New Roman"/>
        </w:rPr>
        <w:t xml:space="preserve"> </w:t>
      </w:r>
      <w:r w:rsidR="00DC313A">
        <w:rPr>
          <w:rFonts w:ascii="Times New Roman" w:hAnsi="Times New Roman"/>
        </w:rPr>
        <w:t xml:space="preserve">The scoping report leaves open the possibility that </w:t>
      </w:r>
      <w:r w:rsidR="00DC313A" w:rsidRPr="00321C7F">
        <w:rPr>
          <w:rFonts w:ascii="Times New Roman" w:hAnsi="Times New Roman"/>
          <w:i/>
        </w:rPr>
        <w:t>suspicion</w:t>
      </w:r>
      <w:r w:rsidR="00477D5C">
        <w:rPr>
          <w:rFonts w:ascii="Times New Roman" w:hAnsi="Times New Roman"/>
        </w:rPr>
        <w:t xml:space="preserve"> </w:t>
      </w:r>
      <w:r w:rsidR="00DC313A">
        <w:rPr>
          <w:rFonts w:ascii="Times New Roman" w:hAnsi="Times New Roman"/>
        </w:rPr>
        <w:t>may be</w:t>
      </w:r>
      <w:r w:rsidR="00715EA8">
        <w:rPr>
          <w:rFonts w:ascii="Times New Roman" w:hAnsi="Times New Roman"/>
        </w:rPr>
        <w:t xml:space="preserve"> enough to </w:t>
      </w:r>
      <w:r w:rsidR="00A60006">
        <w:rPr>
          <w:rFonts w:ascii="Times New Roman" w:hAnsi="Times New Roman"/>
        </w:rPr>
        <w:t>ground</w:t>
      </w:r>
      <w:r w:rsidR="00715EA8">
        <w:rPr>
          <w:rFonts w:ascii="Times New Roman" w:hAnsi="Times New Roman"/>
        </w:rPr>
        <w:t xml:space="preserve"> </w:t>
      </w:r>
      <w:r w:rsidR="00715EA8">
        <w:rPr>
          <w:rFonts w:ascii="Times New Roman" w:hAnsi="Times New Roman"/>
        </w:rPr>
        <w:lastRenderedPageBreak/>
        <w:t>recklessness</w:t>
      </w:r>
      <w:r w:rsidR="00DC313A">
        <w:rPr>
          <w:rFonts w:ascii="Times New Roman" w:hAnsi="Times New Roman"/>
        </w:rPr>
        <w:t xml:space="preserve"> in future cases</w:t>
      </w:r>
      <w:r w:rsidR="00715EA8">
        <w:rPr>
          <w:rFonts w:ascii="Times New Roman" w:hAnsi="Times New Roman"/>
        </w:rPr>
        <w:t xml:space="preserve">. </w:t>
      </w:r>
      <w:r w:rsidR="00DC313A">
        <w:rPr>
          <w:rFonts w:ascii="Times New Roman" w:hAnsi="Times New Roman"/>
        </w:rPr>
        <w:t xml:space="preserve">However, the report states that this should only work where D </w:t>
      </w:r>
      <w:r w:rsidR="00477D5C">
        <w:rPr>
          <w:rFonts w:ascii="Times New Roman" w:hAnsi="Times New Roman"/>
        </w:rPr>
        <w:t xml:space="preserve">is </w:t>
      </w:r>
      <w:r w:rsidR="00084B43">
        <w:rPr>
          <w:rFonts w:ascii="Times New Roman" w:hAnsi="Times New Roman"/>
        </w:rPr>
        <w:t>personally</w:t>
      </w:r>
      <w:r w:rsidR="00477D5C">
        <w:rPr>
          <w:rFonts w:ascii="Times New Roman" w:hAnsi="Times New Roman"/>
        </w:rPr>
        <w:t xml:space="preserve"> aware of </w:t>
      </w:r>
      <w:r w:rsidR="00DC313A" w:rsidRPr="00DC313A">
        <w:rPr>
          <w:rFonts w:ascii="Times New Roman" w:hAnsi="Times New Roman"/>
          <w:i/>
        </w:rPr>
        <w:t>specific</w:t>
      </w:r>
      <w:r w:rsidR="00DC313A">
        <w:rPr>
          <w:rFonts w:ascii="Times New Roman" w:hAnsi="Times New Roman"/>
        </w:rPr>
        <w:t xml:space="preserve"> information that indicates a high probability of infection (for </w:t>
      </w:r>
      <w:r w:rsidR="004F7963">
        <w:rPr>
          <w:rFonts w:ascii="Times New Roman" w:hAnsi="Times New Roman"/>
        </w:rPr>
        <w:t>instance</w:t>
      </w:r>
      <w:r w:rsidR="00DC313A">
        <w:rPr>
          <w:rFonts w:ascii="Times New Roman" w:hAnsi="Times New Roman"/>
        </w:rPr>
        <w:t xml:space="preserve">, a preliminary diagnosis). D’s membership of </w:t>
      </w:r>
      <w:r w:rsidR="000078C2">
        <w:rPr>
          <w:rFonts w:ascii="Times New Roman" w:hAnsi="Times New Roman"/>
        </w:rPr>
        <w:t xml:space="preserve">a </w:t>
      </w:r>
      <w:r w:rsidR="00DC313A">
        <w:rPr>
          <w:rFonts w:ascii="Times New Roman" w:hAnsi="Times New Roman"/>
        </w:rPr>
        <w:t>high-risk group should not be sufficient.</w:t>
      </w:r>
      <w:r w:rsidR="00DC313A">
        <w:rPr>
          <w:rStyle w:val="FootnoteReference"/>
          <w:rFonts w:ascii="Times New Roman" w:hAnsi="Times New Roman"/>
        </w:rPr>
        <w:footnoteReference w:id="131"/>
      </w:r>
      <w:r w:rsidR="00DC313A">
        <w:rPr>
          <w:rFonts w:ascii="Times New Roman" w:hAnsi="Times New Roman"/>
        </w:rPr>
        <w:t xml:space="preserve"> </w:t>
      </w:r>
      <w:r w:rsidR="00EE12D8">
        <w:rPr>
          <w:rFonts w:ascii="Times New Roman" w:hAnsi="Times New Roman"/>
        </w:rPr>
        <w:t xml:space="preserve">Usefully, the report also </w:t>
      </w:r>
      <w:r w:rsidR="00B92422">
        <w:rPr>
          <w:rFonts w:ascii="Times New Roman" w:hAnsi="Times New Roman"/>
        </w:rPr>
        <w:t>speculates</w:t>
      </w:r>
      <w:r w:rsidR="00EE12D8">
        <w:rPr>
          <w:rFonts w:ascii="Times New Roman" w:hAnsi="Times New Roman"/>
        </w:rPr>
        <w:t xml:space="preserve"> that those who take precautions – such as using a condom or taking treatment which reduces viral load to an undetectable level – </w:t>
      </w:r>
      <w:r w:rsidR="00557515">
        <w:rPr>
          <w:rFonts w:ascii="Times New Roman" w:hAnsi="Times New Roman"/>
        </w:rPr>
        <w:t>might</w:t>
      </w:r>
      <w:r w:rsidR="00EE12D8">
        <w:rPr>
          <w:rFonts w:ascii="Times New Roman" w:hAnsi="Times New Roman"/>
        </w:rPr>
        <w:t xml:space="preserve"> avoid liability</w:t>
      </w:r>
      <w:r w:rsidR="00FF4419">
        <w:rPr>
          <w:rFonts w:ascii="Times New Roman" w:hAnsi="Times New Roman"/>
        </w:rPr>
        <w:t xml:space="preserve"> should these scenarios come before the courts </w:t>
      </w:r>
      <w:r w:rsidR="003C2B55">
        <w:rPr>
          <w:rFonts w:ascii="Times New Roman" w:hAnsi="Times New Roman"/>
        </w:rPr>
        <w:t>at a later date</w:t>
      </w:r>
      <w:r w:rsidR="00EE12D8">
        <w:rPr>
          <w:rFonts w:ascii="Times New Roman" w:hAnsi="Times New Roman"/>
        </w:rPr>
        <w:t>.</w:t>
      </w:r>
      <w:r w:rsidR="00FF4419">
        <w:rPr>
          <w:rStyle w:val="FootnoteReference"/>
          <w:rFonts w:ascii="Times New Roman" w:hAnsi="Times New Roman"/>
        </w:rPr>
        <w:footnoteReference w:id="132"/>
      </w:r>
      <w:r w:rsidR="00EE12D8">
        <w:rPr>
          <w:rFonts w:ascii="Times New Roman" w:hAnsi="Times New Roman"/>
        </w:rPr>
        <w:t xml:space="preserve"> </w:t>
      </w:r>
      <w:r w:rsidR="00F0660B">
        <w:rPr>
          <w:rFonts w:ascii="Times New Roman" w:hAnsi="Times New Roman"/>
        </w:rPr>
        <w:t xml:space="preserve">This is because D cannot be reckless where the risk assumed was </w:t>
      </w:r>
      <w:r w:rsidR="00F0660B" w:rsidRPr="00C04E10">
        <w:rPr>
          <w:rFonts w:ascii="Times New Roman" w:hAnsi="Times New Roman"/>
        </w:rPr>
        <w:t>a</w:t>
      </w:r>
      <w:r w:rsidR="00F0660B" w:rsidRPr="00C04E10">
        <w:rPr>
          <w:rFonts w:ascii="Times New Roman" w:hAnsi="Times New Roman"/>
          <w:i/>
        </w:rPr>
        <w:t xml:space="preserve"> reasonable one</w:t>
      </w:r>
      <w:r w:rsidR="00F0660B">
        <w:rPr>
          <w:rFonts w:ascii="Times New Roman" w:hAnsi="Times New Roman"/>
        </w:rPr>
        <w:t xml:space="preserve"> </w:t>
      </w:r>
      <w:r w:rsidR="00F0660B" w:rsidRPr="00EA6A5C">
        <w:rPr>
          <w:rFonts w:ascii="Times New Roman" w:hAnsi="Times New Roman"/>
          <w:i/>
        </w:rPr>
        <w:t>in the circumstances</w:t>
      </w:r>
      <w:r w:rsidR="00F0660B">
        <w:rPr>
          <w:rFonts w:ascii="Times New Roman" w:hAnsi="Times New Roman"/>
        </w:rPr>
        <w:t>.</w:t>
      </w:r>
      <w:r w:rsidR="00F0660B">
        <w:rPr>
          <w:rStyle w:val="FootnoteReference"/>
          <w:rFonts w:ascii="Times New Roman" w:hAnsi="Times New Roman"/>
        </w:rPr>
        <w:footnoteReference w:id="133"/>
      </w:r>
      <w:r w:rsidR="00E50B29">
        <w:rPr>
          <w:rFonts w:ascii="Times New Roman" w:hAnsi="Times New Roman"/>
        </w:rPr>
        <w:t xml:space="preserve"> </w:t>
      </w:r>
      <w:r w:rsidR="00B737A2">
        <w:rPr>
          <w:rFonts w:ascii="Times New Roman" w:hAnsi="Times New Roman"/>
        </w:rPr>
        <w:t xml:space="preserve">However, this </w:t>
      </w:r>
      <w:r w:rsidR="00557515">
        <w:rPr>
          <w:rFonts w:ascii="Times New Roman" w:hAnsi="Times New Roman"/>
        </w:rPr>
        <w:t xml:space="preserve">could remove the </w:t>
      </w:r>
      <w:r w:rsidR="00796998">
        <w:rPr>
          <w:rFonts w:ascii="Times New Roman" w:hAnsi="Times New Roman"/>
        </w:rPr>
        <w:t>requirement</w:t>
      </w:r>
      <w:r w:rsidR="00557515">
        <w:rPr>
          <w:rFonts w:ascii="Times New Roman" w:hAnsi="Times New Roman"/>
        </w:rPr>
        <w:t xml:space="preserve"> for D to</w:t>
      </w:r>
      <w:r w:rsidR="00B737A2">
        <w:rPr>
          <w:rFonts w:ascii="Times New Roman" w:hAnsi="Times New Roman"/>
        </w:rPr>
        <w:t xml:space="preserve"> disclose his or her infected status to </w:t>
      </w:r>
      <w:r w:rsidR="004F7963">
        <w:rPr>
          <w:rFonts w:ascii="Times New Roman" w:hAnsi="Times New Roman"/>
        </w:rPr>
        <w:t>V</w:t>
      </w:r>
      <w:r w:rsidR="00EA6A5C">
        <w:rPr>
          <w:rFonts w:ascii="Times New Roman" w:hAnsi="Times New Roman"/>
        </w:rPr>
        <w:t>. One reason for</w:t>
      </w:r>
      <w:r w:rsidR="00AA421F">
        <w:rPr>
          <w:rFonts w:ascii="Times New Roman" w:hAnsi="Times New Roman"/>
        </w:rPr>
        <w:t xml:space="preserve"> having</w:t>
      </w:r>
      <w:r w:rsidR="00EA6A5C">
        <w:rPr>
          <w:rFonts w:ascii="Times New Roman" w:hAnsi="Times New Roman"/>
        </w:rPr>
        <w:t xml:space="preserve"> this </w:t>
      </w:r>
      <w:r w:rsidR="00796998">
        <w:rPr>
          <w:rFonts w:ascii="Times New Roman" w:hAnsi="Times New Roman"/>
        </w:rPr>
        <w:t>requirement</w:t>
      </w:r>
      <w:r w:rsidR="00EA6A5C">
        <w:rPr>
          <w:rFonts w:ascii="Times New Roman" w:hAnsi="Times New Roman"/>
        </w:rPr>
        <w:t xml:space="preserve"> is that it gives V an opportunity to provide </w:t>
      </w:r>
      <w:r w:rsidR="00581673">
        <w:rPr>
          <w:rFonts w:ascii="Times New Roman" w:hAnsi="Times New Roman"/>
        </w:rPr>
        <w:t xml:space="preserve">informed consent to the </w:t>
      </w:r>
      <w:r w:rsidR="00581673" w:rsidRPr="00EA6A5C">
        <w:rPr>
          <w:rFonts w:ascii="Times New Roman" w:hAnsi="Times New Roman"/>
          <w:i/>
        </w:rPr>
        <w:t>risk</w:t>
      </w:r>
      <w:r w:rsidR="00581673">
        <w:rPr>
          <w:rFonts w:ascii="Times New Roman" w:hAnsi="Times New Roman"/>
        </w:rPr>
        <w:t xml:space="preserve"> of transmission. The </w:t>
      </w:r>
      <w:r w:rsidR="00796998">
        <w:rPr>
          <w:rFonts w:ascii="Times New Roman" w:hAnsi="Times New Roman"/>
        </w:rPr>
        <w:t xml:space="preserve">need for </w:t>
      </w:r>
      <w:r w:rsidR="00557515">
        <w:rPr>
          <w:rFonts w:ascii="Times New Roman" w:hAnsi="Times New Roman"/>
        </w:rPr>
        <w:t xml:space="preserve">this </w:t>
      </w:r>
      <w:r w:rsidR="00581673">
        <w:rPr>
          <w:rFonts w:ascii="Times New Roman" w:hAnsi="Times New Roman"/>
        </w:rPr>
        <w:t>disclosure</w:t>
      </w:r>
      <w:r w:rsidR="00557515">
        <w:rPr>
          <w:rFonts w:ascii="Times New Roman" w:hAnsi="Times New Roman"/>
        </w:rPr>
        <w:t xml:space="preserve"> </w:t>
      </w:r>
      <w:r w:rsidR="00581673">
        <w:rPr>
          <w:rFonts w:ascii="Times New Roman" w:hAnsi="Times New Roman"/>
        </w:rPr>
        <w:t>– which</w:t>
      </w:r>
      <w:r w:rsidR="00557515">
        <w:rPr>
          <w:rFonts w:ascii="Times New Roman" w:hAnsi="Times New Roman"/>
        </w:rPr>
        <w:t xml:space="preserve">, if successful in securing </w:t>
      </w:r>
      <w:r w:rsidR="004A6B04">
        <w:rPr>
          <w:rFonts w:ascii="Times New Roman" w:hAnsi="Times New Roman"/>
        </w:rPr>
        <w:t>that</w:t>
      </w:r>
      <w:r w:rsidR="00557515">
        <w:rPr>
          <w:rFonts w:ascii="Times New Roman" w:hAnsi="Times New Roman"/>
        </w:rPr>
        <w:t xml:space="preserve"> consent,</w:t>
      </w:r>
      <w:r w:rsidR="00581673">
        <w:rPr>
          <w:rFonts w:ascii="Times New Roman" w:hAnsi="Times New Roman"/>
        </w:rPr>
        <w:t xml:space="preserve"> absolves D of liability – </w:t>
      </w:r>
      <w:r w:rsidR="004F7963">
        <w:rPr>
          <w:rFonts w:ascii="Times New Roman" w:hAnsi="Times New Roman"/>
        </w:rPr>
        <w:t>is</w:t>
      </w:r>
      <w:r w:rsidR="00581673">
        <w:rPr>
          <w:rFonts w:ascii="Times New Roman" w:hAnsi="Times New Roman"/>
        </w:rPr>
        <w:t xml:space="preserve"> strong in existing law, even if this does place a weighty burden on D. </w:t>
      </w:r>
      <w:r w:rsidR="00F65E28">
        <w:rPr>
          <w:rFonts w:ascii="Times New Roman" w:hAnsi="Times New Roman"/>
        </w:rPr>
        <w:t>Nonetheless, t</w:t>
      </w:r>
      <w:r w:rsidR="00581673">
        <w:rPr>
          <w:rFonts w:ascii="Times New Roman" w:hAnsi="Times New Roman"/>
        </w:rPr>
        <w:t xml:space="preserve">he scoping report </w:t>
      </w:r>
      <w:r>
        <w:rPr>
          <w:rFonts w:ascii="Times New Roman" w:hAnsi="Times New Roman"/>
        </w:rPr>
        <w:t>argues</w:t>
      </w:r>
      <w:r w:rsidR="00581673">
        <w:rPr>
          <w:rFonts w:ascii="Times New Roman" w:hAnsi="Times New Roman"/>
        </w:rPr>
        <w:t xml:space="preserve"> that</w:t>
      </w:r>
      <w:r w:rsidR="00E50B29">
        <w:rPr>
          <w:rFonts w:ascii="Times New Roman" w:hAnsi="Times New Roman"/>
        </w:rPr>
        <w:t xml:space="preserve"> informed cons</w:t>
      </w:r>
      <w:r w:rsidR="00581673">
        <w:rPr>
          <w:rFonts w:ascii="Times New Roman" w:hAnsi="Times New Roman"/>
        </w:rPr>
        <w:t xml:space="preserve">ent </w:t>
      </w:r>
      <w:r>
        <w:rPr>
          <w:rFonts w:ascii="Times New Roman" w:hAnsi="Times New Roman"/>
        </w:rPr>
        <w:t>need</w:t>
      </w:r>
      <w:r w:rsidR="00B92422">
        <w:rPr>
          <w:rFonts w:ascii="Times New Roman" w:hAnsi="Times New Roman"/>
        </w:rPr>
        <w:t xml:space="preserve"> not necessarily originate from information </w:t>
      </w:r>
      <w:r w:rsidR="00BB22BD">
        <w:rPr>
          <w:rFonts w:ascii="Times New Roman" w:hAnsi="Times New Roman"/>
        </w:rPr>
        <w:t>disclosed by</w:t>
      </w:r>
      <w:r w:rsidR="00B92422">
        <w:rPr>
          <w:rFonts w:ascii="Times New Roman" w:hAnsi="Times New Roman"/>
        </w:rPr>
        <w:t xml:space="preserve"> D</w:t>
      </w:r>
      <w:r w:rsidR="00BB22BD">
        <w:rPr>
          <w:rFonts w:ascii="Times New Roman" w:hAnsi="Times New Roman"/>
        </w:rPr>
        <w:t xml:space="preserve"> to V</w:t>
      </w:r>
      <w:r w:rsidR="00B92422">
        <w:rPr>
          <w:rFonts w:ascii="Times New Roman" w:hAnsi="Times New Roman"/>
        </w:rPr>
        <w:t xml:space="preserve">. </w:t>
      </w:r>
      <w:r>
        <w:rPr>
          <w:rFonts w:ascii="Times New Roman" w:hAnsi="Times New Roman"/>
        </w:rPr>
        <w:t>It may come from other means</w:t>
      </w:r>
      <w:r w:rsidR="00BB22BD">
        <w:rPr>
          <w:rFonts w:ascii="Times New Roman" w:hAnsi="Times New Roman"/>
        </w:rPr>
        <w:t>,</w:t>
      </w:r>
      <w:r>
        <w:rPr>
          <w:rFonts w:ascii="Times New Roman" w:hAnsi="Times New Roman"/>
        </w:rPr>
        <w:t xml:space="preserve"> such as </w:t>
      </w:r>
      <w:r w:rsidR="00BB22BD">
        <w:rPr>
          <w:rFonts w:ascii="Times New Roman" w:hAnsi="Times New Roman"/>
        </w:rPr>
        <w:t xml:space="preserve">V </w:t>
      </w:r>
      <w:r>
        <w:rPr>
          <w:rFonts w:ascii="Times New Roman" w:hAnsi="Times New Roman"/>
        </w:rPr>
        <w:t>hearing from third parties that D has been positively tested for infection.</w:t>
      </w:r>
      <w:r w:rsidR="003C2B55">
        <w:rPr>
          <w:rStyle w:val="FootnoteReference"/>
          <w:rFonts w:ascii="Times New Roman" w:hAnsi="Times New Roman"/>
        </w:rPr>
        <w:footnoteReference w:id="134"/>
      </w:r>
      <w:r>
        <w:rPr>
          <w:rFonts w:ascii="Times New Roman" w:hAnsi="Times New Roman"/>
        </w:rPr>
        <w:t xml:space="preserve"> </w:t>
      </w:r>
      <w:r w:rsidR="00BB22BD">
        <w:rPr>
          <w:rFonts w:ascii="Times New Roman" w:hAnsi="Times New Roman"/>
        </w:rPr>
        <w:t xml:space="preserve">Given the myriad contexts in which (non-)disclosure can operate, it may be preferable for this issue to be treated as a question of fact in each case, rather than laying down any firm rule that D either disclose in all </w:t>
      </w:r>
      <w:r w:rsidR="00795544">
        <w:rPr>
          <w:rFonts w:ascii="Times New Roman" w:hAnsi="Times New Roman"/>
        </w:rPr>
        <w:t>instances</w:t>
      </w:r>
      <w:r w:rsidR="00BB22BD">
        <w:rPr>
          <w:rFonts w:ascii="Times New Roman" w:hAnsi="Times New Roman"/>
        </w:rPr>
        <w:t xml:space="preserve"> or only some.</w:t>
      </w:r>
      <w:r w:rsidR="00BB22BD">
        <w:rPr>
          <w:rStyle w:val="FootnoteReference"/>
          <w:rFonts w:ascii="Times New Roman" w:hAnsi="Times New Roman"/>
        </w:rPr>
        <w:footnoteReference w:id="135"/>
      </w:r>
      <w:r w:rsidR="00BB22BD">
        <w:rPr>
          <w:rFonts w:ascii="Times New Roman" w:hAnsi="Times New Roman"/>
        </w:rPr>
        <w:t xml:space="preserve"> </w:t>
      </w:r>
    </w:p>
    <w:p w:rsidR="00DC313A" w:rsidRDefault="00DC313A" w:rsidP="00334BF3">
      <w:pPr>
        <w:spacing w:line="480" w:lineRule="auto"/>
        <w:jc w:val="both"/>
        <w:rPr>
          <w:rFonts w:ascii="Times New Roman" w:hAnsi="Times New Roman"/>
        </w:rPr>
      </w:pPr>
    </w:p>
    <w:p w:rsidR="003B0B26" w:rsidRDefault="00604B78" w:rsidP="00334BF3">
      <w:pPr>
        <w:spacing w:line="480" w:lineRule="auto"/>
        <w:jc w:val="both"/>
        <w:rPr>
          <w:rFonts w:ascii="Times New Roman" w:hAnsi="Times New Roman"/>
        </w:rPr>
      </w:pPr>
      <w:r>
        <w:rPr>
          <w:rFonts w:ascii="Times New Roman" w:hAnsi="Times New Roman"/>
        </w:rPr>
        <w:t xml:space="preserve">Unsurprisingly, numerous consultees objected to the continued criminalisation of disease transmission. </w:t>
      </w:r>
      <w:r w:rsidR="00E476D0">
        <w:rPr>
          <w:rFonts w:ascii="Times New Roman" w:hAnsi="Times New Roman"/>
        </w:rPr>
        <w:t>In total, n</w:t>
      </w:r>
      <w:r>
        <w:rPr>
          <w:rFonts w:ascii="Times New Roman" w:hAnsi="Times New Roman"/>
        </w:rPr>
        <w:t xml:space="preserve">ine respondents </w:t>
      </w:r>
      <w:r w:rsidR="00246464">
        <w:rPr>
          <w:rFonts w:ascii="Times New Roman" w:hAnsi="Times New Roman"/>
        </w:rPr>
        <w:t>supported</w:t>
      </w:r>
      <w:r w:rsidR="00CB6121">
        <w:rPr>
          <w:rFonts w:ascii="Times New Roman" w:hAnsi="Times New Roman"/>
        </w:rPr>
        <w:t xml:space="preserve"> decriminalisation</w:t>
      </w:r>
      <w:r w:rsidR="00E476D0">
        <w:rPr>
          <w:rFonts w:ascii="Times New Roman" w:hAnsi="Times New Roman"/>
        </w:rPr>
        <w:t>.</w:t>
      </w:r>
      <w:r w:rsidR="00177850">
        <w:rPr>
          <w:rStyle w:val="FootnoteReference"/>
          <w:rFonts w:ascii="Times New Roman" w:hAnsi="Times New Roman"/>
        </w:rPr>
        <w:footnoteReference w:id="136"/>
      </w:r>
      <w:r w:rsidR="00177850">
        <w:rPr>
          <w:rFonts w:ascii="Times New Roman" w:hAnsi="Times New Roman"/>
        </w:rPr>
        <w:t xml:space="preserve"> </w:t>
      </w:r>
      <w:r w:rsidR="00796998">
        <w:rPr>
          <w:rFonts w:ascii="Times New Roman" w:hAnsi="Times New Roman"/>
        </w:rPr>
        <w:t xml:space="preserve">This recognises that such </w:t>
      </w:r>
      <w:r w:rsidR="00177850">
        <w:rPr>
          <w:rFonts w:ascii="Times New Roman" w:hAnsi="Times New Roman"/>
        </w:rPr>
        <w:t>liability</w:t>
      </w:r>
      <w:r w:rsidR="002A6D31">
        <w:rPr>
          <w:rFonts w:ascii="Times New Roman" w:hAnsi="Times New Roman"/>
        </w:rPr>
        <w:t>:</w:t>
      </w:r>
      <w:r w:rsidR="00D92B6A">
        <w:rPr>
          <w:rFonts w:ascii="Times New Roman" w:hAnsi="Times New Roman"/>
        </w:rPr>
        <w:t xml:space="preserve"> </w:t>
      </w:r>
      <w:r w:rsidR="003928EA">
        <w:rPr>
          <w:rFonts w:ascii="Times New Roman" w:hAnsi="Times New Roman"/>
        </w:rPr>
        <w:t xml:space="preserve">discourages individuals from choosing to get tested (so as not to have the </w:t>
      </w:r>
      <w:r w:rsidR="003928EA">
        <w:rPr>
          <w:rFonts w:ascii="Times New Roman" w:hAnsi="Times New Roman"/>
        </w:rPr>
        <w:lastRenderedPageBreak/>
        <w:t>necess</w:t>
      </w:r>
      <w:r w:rsidR="002A6D31">
        <w:rPr>
          <w:rFonts w:ascii="Times New Roman" w:hAnsi="Times New Roman"/>
        </w:rPr>
        <w:t>ary knowledge for recklessness);</w:t>
      </w:r>
      <w:r w:rsidR="003928EA">
        <w:rPr>
          <w:rFonts w:ascii="Times New Roman" w:hAnsi="Times New Roman"/>
        </w:rPr>
        <w:t xml:space="preserve"> and makes V excessi</w:t>
      </w:r>
      <w:r w:rsidR="00D92B6A">
        <w:rPr>
          <w:rFonts w:ascii="Times New Roman" w:hAnsi="Times New Roman"/>
        </w:rPr>
        <w:t>vely reliant on D’s disclosure (</w:t>
      </w:r>
      <w:r w:rsidR="003928EA">
        <w:rPr>
          <w:rFonts w:ascii="Times New Roman" w:hAnsi="Times New Roman"/>
        </w:rPr>
        <w:t>in that where D does not disclose</w:t>
      </w:r>
      <w:r w:rsidR="00D92B6A">
        <w:rPr>
          <w:rFonts w:ascii="Times New Roman" w:hAnsi="Times New Roman"/>
        </w:rPr>
        <w:t>,</w:t>
      </w:r>
      <w:r w:rsidR="003928EA">
        <w:rPr>
          <w:rFonts w:ascii="Times New Roman" w:hAnsi="Times New Roman"/>
        </w:rPr>
        <w:t xml:space="preserve"> V will assume D is not infected – con</w:t>
      </w:r>
      <w:r w:rsidR="00D92B6A">
        <w:rPr>
          <w:rFonts w:ascii="Times New Roman" w:hAnsi="Times New Roman"/>
        </w:rPr>
        <w:t>sequently, dis-incentivising V</w:t>
      </w:r>
      <w:r w:rsidR="003928EA">
        <w:rPr>
          <w:rFonts w:ascii="Times New Roman" w:hAnsi="Times New Roman"/>
        </w:rPr>
        <w:t xml:space="preserve"> from asking D about his or her infected status or from taking precautions</w:t>
      </w:r>
      <w:r w:rsidR="00D92B6A">
        <w:rPr>
          <w:rFonts w:ascii="Times New Roman" w:hAnsi="Times New Roman"/>
        </w:rPr>
        <w:t>)</w:t>
      </w:r>
      <w:r w:rsidR="003928EA">
        <w:rPr>
          <w:rFonts w:ascii="Times New Roman" w:hAnsi="Times New Roman"/>
        </w:rPr>
        <w:t xml:space="preserve">. </w:t>
      </w:r>
      <w:r w:rsidR="005F6342">
        <w:rPr>
          <w:rFonts w:ascii="Times New Roman" w:hAnsi="Times New Roman"/>
        </w:rPr>
        <w:t xml:space="preserve">However, the Commission doubted the validity of both these arguments. </w:t>
      </w:r>
      <w:r w:rsidR="00DF2843">
        <w:rPr>
          <w:rFonts w:ascii="Times New Roman" w:hAnsi="Times New Roman"/>
        </w:rPr>
        <w:t>In relation to the former, i</w:t>
      </w:r>
      <w:r w:rsidR="005F6342">
        <w:rPr>
          <w:rFonts w:ascii="Times New Roman" w:hAnsi="Times New Roman"/>
        </w:rPr>
        <w:t xml:space="preserve">t argued that it would take exceptional legal knowledge </w:t>
      </w:r>
      <w:r w:rsidR="00AF3700">
        <w:rPr>
          <w:rFonts w:ascii="Times New Roman" w:hAnsi="Times New Roman"/>
        </w:rPr>
        <w:t>on D’s part</w:t>
      </w:r>
      <w:r w:rsidR="005F6342">
        <w:rPr>
          <w:rFonts w:ascii="Times New Roman" w:hAnsi="Times New Roman"/>
        </w:rPr>
        <w:t xml:space="preserve"> to refrain from getting tested so as to avoid being found reckless, whilst simultaneously </w:t>
      </w:r>
      <w:r w:rsidR="00AF3700">
        <w:rPr>
          <w:rFonts w:ascii="Times New Roman" w:hAnsi="Times New Roman"/>
        </w:rPr>
        <w:t>showing</w:t>
      </w:r>
      <w:r w:rsidR="005F6342">
        <w:rPr>
          <w:rFonts w:ascii="Times New Roman" w:hAnsi="Times New Roman"/>
        </w:rPr>
        <w:t xml:space="preserve"> remarkable indifference</w:t>
      </w:r>
      <w:r w:rsidR="00D92B6A">
        <w:rPr>
          <w:rFonts w:ascii="Times New Roman" w:hAnsi="Times New Roman"/>
        </w:rPr>
        <w:t xml:space="preserve"> </w:t>
      </w:r>
      <w:r w:rsidR="005F6342">
        <w:rPr>
          <w:rFonts w:ascii="Times New Roman" w:hAnsi="Times New Roman"/>
        </w:rPr>
        <w:t xml:space="preserve">to personal health and safety. </w:t>
      </w:r>
      <w:r w:rsidR="001762AB">
        <w:rPr>
          <w:rFonts w:ascii="Times New Roman" w:hAnsi="Times New Roman"/>
        </w:rPr>
        <w:t>In any case</w:t>
      </w:r>
      <w:r w:rsidR="005F6342">
        <w:rPr>
          <w:rFonts w:ascii="Times New Roman" w:hAnsi="Times New Roman"/>
        </w:rPr>
        <w:t xml:space="preserve">, </w:t>
      </w:r>
      <w:r w:rsidR="00796998">
        <w:rPr>
          <w:rFonts w:ascii="Times New Roman" w:hAnsi="Times New Roman"/>
        </w:rPr>
        <w:t>if</w:t>
      </w:r>
      <w:r w:rsidR="0051571E">
        <w:rPr>
          <w:rFonts w:ascii="Times New Roman" w:hAnsi="Times New Roman"/>
        </w:rPr>
        <w:t xml:space="preserve"> liability</w:t>
      </w:r>
      <w:r w:rsidR="00796998">
        <w:rPr>
          <w:rFonts w:ascii="Times New Roman" w:hAnsi="Times New Roman"/>
        </w:rPr>
        <w:t xml:space="preserve"> were</w:t>
      </w:r>
      <w:r w:rsidR="0051571E">
        <w:rPr>
          <w:rFonts w:ascii="Times New Roman" w:hAnsi="Times New Roman"/>
        </w:rPr>
        <w:t xml:space="preserve"> extended to include suspicion, </w:t>
      </w:r>
      <w:r w:rsidR="005F6342">
        <w:rPr>
          <w:rFonts w:ascii="Times New Roman" w:hAnsi="Times New Roman"/>
        </w:rPr>
        <w:t xml:space="preserve">such conduct would be </w:t>
      </w:r>
      <w:r w:rsidR="0051571E">
        <w:rPr>
          <w:rFonts w:ascii="Times New Roman" w:hAnsi="Times New Roman"/>
        </w:rPr>
        <w:t xml:space="preserve">deemed </w:t>
      </w:r>
      <w:r w:rsidR="005F6342">
        <w:rPr>
          <w:rFonts w:ascii="Times New Roman" w:hAnsi="Times New Roman"/>
        </w:rPr>
        <w:t>reckless.</w:t>
      </w:r>
      <w:r w:rsidR="00B86AE4">
        <w:rPr>
          <w:rStyle w:val="FootnoteReference"/>
          <w:rFonts w:ascii="Times New Roman" w:hAnsi="Times New Roman"/>
        </w:rPr>
        <w:footnoteReference w:id="137"/>
      </w:r>
      <w:r w:rsidR="0051571E">
        <w:rPr>
          <w:rFonts w:ascii="Times New Roman" w:hAnsi="Times New Roman"/>
        </w:rPr>
        <w:t xml:space="preserve"> </w:t>
      </w:r>
      <w:r w:rsidR="00DF2843">
        <w:rPr>
          <w:rFonts w:ascii="Times New Roman" w:hAnsi="Times New Roman"/>
        </w:rPr>
        <w:t>Concerning the latter, it contended that decriminalisation would not distribute responsibility evenly between the two parties:</w:t>
      </w:r>
    </w:p>
    <w:p w:rsidR="003B0B26" w:rsidRDefault="003B0B26" w:rsidP="00334BF3">
      <w:pPr>
        <w:spacing w:line="480" w:lineRule="auto"/>
        <w:jc w:val="both"/>
        <w:rPr>
          <w:rFonts w:ascii="Times New Roman" w:hAnsi="Times New Roman"/>
        </w:rPr>
      </w:pPr>
    </w:p>
    <w:p w:rsidR="003B0B26" w:rsidRDefault="003B0B26" w:rsidP="003B0B26">
      <w:pPr>
        <w:spacing w:line="480" w:lineRule="auto"/>
        <w:ind w:left="720"/>
        <w:jc w:val="both"/>
        <w:rPr>
          <w:rFonts w:ascii="Times New Roman" w:hAnsi="Times New Roman"/>
        </w:rPr>
      </w:pPr>
      <w:r>
        <w:rPr>
          <w:rFonts w:ascii="Times New Roman" w:hAnsi="Times New Roman"/>
        </w:rPr>
        <w:t>“I</w:t>
      </w:r>
      <w:r w:rsidR="00DF2843">
        <w:rPr>
          <w:rFonts w:ascii="Times New Roman" w:hAnsi="Times New Roman"/>
        </w:rPr>
        <w:t>f two people are confronting the same danger, and one of them is aware of it and the other is not, the primary blame for failing to avoid it must be that of the person who was aware. This must be all the more true when the danger is only to the party who was not aware</w:t>
      </w:r>
      <w:r>
        <w:rPr>
          <w:rFonts w:ascii="Times New Roman" w:hAnsi="Times New Roman"/>
        </w:rPr>
        <w:t>.”</w:t>
      </w:r>
      <w:r w:rsidR="00DF2843">
        <w:rPr>
          <w:rStyle w:val="FootnoteReference"/>
          <w:rFonts w:ascii="Times New Roman" w:hAnsi="Times New Roman"/>
        </w:rPr>
        <w:footnoteReference w:id="138"/>
      </w:r>
      <w:r w:rsidR="00DF2843">
        <w:rPr>
          <w:rFonts w:ascii="Times New Roman" w:hAnsi="Times New Roman"/>
        </w:rPr>
        <w:t xml:space="preserve"> </w:t>
      </w:r>
    </w:p>
    <w:p w:rsidR="0050548F" w:rsidRDefault="0050548F" w:rsidP="003B0B26">
      <w:pPr>
        <w:spacing w:line="480" w:lineRule="auto"/>
        <w:ind w:left="720"/>
        <w:jc w:val="both"/>
        <w:rPr>
          <w:rFonts w:ascii="Times New Roman" w:hAnsi="Times New Roman"/>
        </w:rPr>
      </w:pPr>
    </w:p>
    <w:p w:rsidR="00351B21" w:rsidRDefault="00DF2843" w:rsidP="00334BF3">
      <w:pPr>
        <w:spacing w:line="480" w:lineRule="auto"/>
        <w:jc w:val="both"/>
        <w:rPr>
          <w:rFonts w:ascii="Times New Roman" w:hAnsi="Times New Roman"/>
        </w:rPr>
      </w:pPr>
      <w:r>
        <w:rPr>
          <w:rFonts w:ascii="Times New Roman" w:hAnsi="Times New Roman"/>
        </w:rPr>
        <w:t xml:space="preserve">Nevertheless, the Commission did accept </w:t>
      </w:r>
      <w:r w:rsidR="005C16B7">
        <w:rPr>
          <w:rFonts w:ascii="Times New Roman" w:hAnsi="Times New Roman"/>
        </w:rPr>
        <w:t>other arguments against</w:t>
      </w:r>
      <w:r>
        <w:rPr>
          <w:rFonts w:ascii="Times New Roman" w:hAnsi="Times New Roman"/>
        </w:rPr>
        <w:t xml:space="preserve"> crimina</w:t>
      </w:r>
      <w:r w:rsidR="005C16B7">
        <w:rPr>
          <w:rFonts w:ascii="Times New Roman" w:hAnsi="Times New Roman"/>
        </w:rPr>
        <w:t xml:space="preserve">lisation of disease transmission. In </w:t>
      </w:r>
      <w:r w:rsidR="00E476D0">
        <w:rPr>
          <w:rFonts w:ascii="Times New Roman" w:hAnsi="Times New Roman"/>
        </w:rPr>
        <w:t>particular, it thought there was merit in the views that liability</w:t>
      </w:r>
      <w:r>
        <w:rPr>
          <w:rFonts w:ascii="Times New Roman" w:hAnsi="Times New Roman"/>
        </w:rPr>
        <w:t xml:space="preserve">: discourages openness with (and by) medical </w:t>
      </w:r>
      <w:r w:rsidR="00335B9D">
        <w:rPr>
          <w:rFonts w:ascii="Times New Roman" w:hAnsi="Times New Roman"/>
        </w:rPr>
        <w:t>professionals</w:t>
      </w:r>
      <w:r>
        <w:rPr>
          <w:rFonts w:ascii="Times New Roman" w:hAnsi="Times New Roman"/>
        </w:rPr>
        <w:t xml:space="preserve"> because they may have to give evidence against their patients</w:t>
      </w:r>
      <w:r w:rsidR="00BD7BE0">
        <w:rPr>
          <w:rFonts w:ascii="Times New Roman" w:hAnsi="Times New Roman"/>
        </w:rPr>
        <w:t xml:space="preserve">; </w:t>
      </w:r>
      <w:r w:rsidR="00E476D0">
        <w:rPr>
          <w:rFonts w:ascii="Times New Roman" w:hAnsi="Times New Roman"/>
        </w:rPr>
        <w:t>creates</w:t>
      </w:r>
      <w:r w:rsidR="00BD7BE0">
        <w:rPr>
          <w:rFonts w:ascii="Times New Roman" w:hAnsi="Times New Roman"/>
        </w:rPr>
        <w:t xml:space="preserve"> evidential difficulties in proving transmission which can be intrusive and disproportionate to the small number</w:t>
      </w:r>
      <w:r w:rsidR="00A30105">
        <w:rPr>
          <w:rFonts w:ascii="Times New Roman" w:hAnsi="Times New Roman"/>
        </w:rPr>
        <w:t xml:space="preserve"> of individuals</w:t>
      </w:r>
      <w:r w:rsidR="00BD7BE0">
        <w:rPr>
          <w:rFonts w:ascii="Times New Roman" w:hAnsi="Times New Roman"/>
        </w:rPr>
        <w:t xml:space="preserve"> found deserving of prosecution; and exacerbates an atmosphere of (irrational) fear and prejudice against people infected with serious sexual disease.</w:t>
      </w:r>
      <w:r w:rsidR="000C08C8">
        <w:rPr>
          <w:rStyle w:val="FootnoteReference"/>
          <w:rFonts w:ascii="Times New Roman" w:hAnsi="Times New Roman"/>
        </w:rPr>
        <w:footnoteReference w:id="139"/>
      </w:r>
      <w:r w:rsidR="00BD7BE0">
        <w:rPr>
          <w:rFonts w:ascii="Times New Roman" w:hAnsi="Times New Roman"/>
        </w:rPr>
        <w:t xml:space="preserve"> </w:t>
      </w:r>
      <w:r w:rsidR="000C08C8">
        <w:rPr>
          <w:rFonts w:ascii="Times New Roman" w:hAnsi="Times New Roman"/>
        </w:rPr>
        <w:t xml:space="preserve">It also noted how criminalisation might </w:t>
      </w:r>
      <w:r w:rsidR="00AF3700">
        <w:rPr>
          <w:rFonts w:ascii="Times New Roman" w:hAnsi="Times New Roman"/>
        </w:rPr>
        <w:t xml:space="preserve">thwart </w:t>
      </w:r>
      <w:r w:rsidR="00AF3700">
        <w:rPr>
          <w:rFonts w:ascii="Times New Roman" w:hAnsi="Times New Roman"/>
        </w:rPr>
        <w:lastRenderedPageBreak/>
        <w:t>attempts to improve</w:t>
      </w:r>
      <w:r w:rsidR="000C08C8">
        <w:rPr>
          <w:rFonts w:ascii="Times New Roman" w:hAnsi="Times New Roman"/>
        </w:rPr>
        <w:t xml:space="preserve"> public health in this area.</w:t>
      </w:r>
      <w:r w:rsidR="00AF3700">
        <w:rPr>
          <w:rStyle w:val="FootnoteReference"/>
          <w:rFonts w:ascii="Times New Roman" w:hAnsi="Times New Roman"/>
        </w:rPr>
        <w:footnoteReference w:id="140"/>
      </w:r>
      <w:r w:rsidR="002A6D31">
        <w:rPr>
          <w:rFonts w:ascii="Times New Roman" w:hAnsi="Times New Roman"/>
        </w:rPr>
        <w:t xml:space="preserve"> As a result, the option to decriminalise remains live in any forthcoming review</w:t>
      </w:r>
      <w:r w:rsidR="00351B21">
        <w:rPr>
          <w:rFonts w:ascii="Times New Roman" w:hAnsi="Times New Roman"/>
        </w:rPr>
        <w:t xml:space="preserve">. </w:t>
      </w:r>
    </w:p>
    <w:p w:rsidR="0050548F" w:rsidRDefault="0050548F" w:rsidP="00334BF3">
      <w:pPr>
        <w:spacing w:line="480" w:lineRule="auto"/>
        <w:jc w:val="both"/>
        <w:rPr>
          <w:rFonts w:ascii="Times New Roman" w:hAnsi="Times New Roman"/>
        </w:rPr>
      </w:pPr>
    </w:p>
    <w:p w:rsidR="00373A10" w:rsidRDefault="00351B21" w:rsidP="00334BF3">
      <w:pPr>
        <w:spacing w:line="480" w:lineRule="auto"/>
        <w:jc w:val="both"/>
        <w:rPr>
          <w:rFonts w:ascii="Times New Roman" w:hAnsi="Times New Roman"/>
          <w:b/>
        </w:rPr>
      </w:pPr>
      <w:r>
        <w:rPr>
          <w:rFonts w:ascii="Times New Roman" w:hAnsi="Times New Roman"/>
        </w:rPr>
        <w:t xml:space="preserve">The </w:t>
      </w:r>
      <w:r w:rsidR="00875699">
        <w:rPr>
          <w:rFonts w:ascii="Times New Roman" w:hAnsi="Times New Roman"/>
        </w:rPr>
        <w:t>scoping report</w:t>
      </w:r>
      <w:r>
        <w:rPr>
          <w:rFonts w:ascii="Times New Roman" w:hAnsi="Times New Roman"/>
        </w:rPr>
        <w:t xml:space="preserve"> did not rule out a final choice – the crafting of</w:t>
      </w:r>
      <w:r w:rsidR="002A6D31">
        <w:rPr>
          <w:rFonts w:ascii="Times New Roman" w:hAnsi="Times New Roman"/>
        </w:rPr>
        <w:t xml:space="preserve"> a </w:t>
      </w:r>
      <w:r w:rsidR="002A6D31" w:rsidRPr="002A6D31">
        <w:rPr>
          <w:rFonts w:ascii="Times New Roman" w:hAnsi="Times New Roman"/>
          <w:i/>
        </w:rPr>
        <w:t>specific</w:t>
      </w:r>
      <w:r w:rsidR="002A6D31">
        <w:rPr>
          <w:rFonts w:ascii="Times New Roman" w:hAnsi="Times New Roman"/>
        </w:rPr>
        <w:t xml:space="preserve"> OAPA offence </w:t>
      </w:r>
      <w:r w:rsidR="0077533A">
        <w:rPr>
          <w:rFonts w:ascii="Times New Roman" w:hAnsi="Times New Roman"/>
        </w:rPr>
        <w:t>to deal with</w:t>
      </w:r>
      <w:r w:rsidR="002A6D31">
        <w:rPr>
          <w:rFonts w:ascii="Times New Roman" w:hAnsi="Times New Roman"/>
        </w:rPr>
        <w:t xml:space="preserve"> disease transmission. </w:t>
      </w:r>
      <w:r w:rsidR="00636804">
        <w:rPr>
          <w:rFonts w:ascii="Times New Roman" w:hAnsi="Times New Roman"/>
        </w:rPr>
        <w:t>This was favoured by nine consultees,</w:t>
      </w:r>
      <w:r w:rsidR="00E476D0">
        <w:rPr>
          <w:rStyle w:val="FootnoteReference"/>
          <w:rFonts w:ascii="Times New Roman" w:hAnsi="Times New Roman"/>
        </w:rPr>
        <w:footnoteReference w:id="141"/>
      </w:r>
      <w:r w:rsidR="00E476D0">
        <w:rPr>
          <w:rFonts w:ascii="Times New Roman" w:hAnsi="Times New Roman"/>
        </w:rPr>
        <w:t xml:space="preserve"> a key reason being that the crime would recognise </w:t>
      </w:r>
      <w:r w:rsidR="000C27EF">
        <w:rPr>
          <w:rFonts w:ascii="Times New Roman" w:hAnsi="Times New Roman"/>
        </w:rPr>
        <w:t xml:space="preserve">the distinct wrongfulness of causing this special </w:t>
      </w:r>
      <w:r w:rsidR="000C27EF" w:rsidRPr="000C27EF">
        <w:rPr>
          <w:rFonts w:ascii="Times New Roman" w:hAnsi="Times New Roman"/>
          <w:i/>
        </w:rPr>
        <w:t>type</w:t>
      </w:r>
      <w:r w:rsidR="000C27EF">
        <w:rPr>
          <w:rFonts w:ascii="Times New Roman" w:hAnsi="Times New Roman"/>
        </w:rPr>
        <w:t xml:space="preserve"> of bodily harm (infection through otherwise consensual sexual intercourse).</w:t>
      </w:r>
      <w:r w:rsidR="00B05807">
        <w:rPr>
          <w:rStyle w:val="FootnoteReference"/>
          <w:rFonts w:ascii="Times New Roman" w:hAnsi="Times New Roman"/>
        </w:rPr>
        <w:footnoteReference w:id="142"/>
      </w:r>
      <w:r w:rsidR="000C27EF">
        <w:rPr>
          <w:rFonts w:ascii="Times New Roman" w:hAnsi="Times New Roman"/>
        </w:rPr>
        <w:t xml:space="preserve"> That wrongfulness </w:t>
      </w:r>
      <w:r w:rsidR="007E1322">
        <w:rPr>
          <w:rFonts w:ascii="Times New Roman" w:hAnsi="Times New Roman"/>
        </w:rPr>
        <w:t>may</w:t>
      </w:r>
      <w:r w:rsidR="000C27EF">
        <w:rPr>
          <w:rFonts w:ascii="Times New Roman" w:hAnsi="Times New Roman"/>
        </w:rPr>
        <w:t xml:space="preserve"> not be accurately conveyed (as either a matter of fair warning or fair labelling) via </w:t>
      </w:r>
      <w:r w:rsidR="00E476D0">
        <w:rPr>
          <w:rFonts w:ascii="Times New Roman" w:hAnsi="Times New Roman"/>
        </w:rPr>
        <w:t xml:space="preserve">general offences against the person </w:t>
      </w:r>
      <w:r w:rsidR="000C27EF">
        <w:rPr>
          <w:rFonts w:ascii="Times New Roman" w:hAnsi="Times New Roman"/>
        </w:rPr>
        <w:t xml:space="preserve">– </w:t>
      </w:r>
      <w:r w:rsidR="00E476D0">
        <w:rPr>
          <w:rFonts w:ascii="Times New Roman" w:hAnsi="Times New Roman"/>
        </w:rPr>
        <w:t xml:space="preserve">which are mainly concerned with </w:t>
      </w:r>
      <w:r w:rsidR="000C27EF">
        <w:rPr>
          <w:rFonts w:ascii="Times New Roman" w:hAnsi="Times New Roman"/>
        </w:rPr>
        <w:t xml:space="preserve">acts of </w:t>
      </w:r>
      <w:r w:rsidR="007E1322">
        <w:rPr>
          <w:rFonts w:ascii="Times New Roman" w:hAnsi="Times New Roman"/>
        </w:rPr>
        <w:t>violence.</w:t>
      </w:r>
      <w:r w:rsidR="009F01CB">
        <w:rPr>
          <w:rFonts w:ascii="Times New Roman" w:hAnsi="Times New Roman"/>
        </w:rPr>
        <w:t xml:space="preserve"> Ultimately, whether falling unde</w:t>
      </w:r>
      <w:r w:rsidR="00A8334E">
        <w:rPr>
          <w:rFonts w:ascii="Times New Roman" w:hAnsi="Times New Roman"/>
        </w:rPr>
        <w:t>r a bespoke crime or offence</w:t>
      </w:r>
      <w:r w:rsidR="00FB03FA">
        <w:rPr>
          <w:rFonts w:ascii="Times New Roman" w:hAnsi="Times New Roman"/>
        </w:rPr>
        <w:t>s 1 and</w:t>
      </w:r>
      <w:r w:rsidR="00A8334E">
        <w:rPr>
          <w:rFonts w:ascii="Times New Roman" w:hAnsi="Times New Roman"/>
        </w:rPr>
        <w:t xml:space="preserve"> </w:t>
      </w:r>
      <w:r w:rsidR="009F01CB">
        <w:rPr>
          <w:rFonts w:ascii="Times New Roman" w:hAnsi="Times New Roman"/>
        </w:rPr>
        <w:t xml:space="preserve">2, </w:t>
      </w:r>
      <w:r w:rsidR="00FB03FA">
        <w:rPr>
          <w:rFonts w:ascii="Times New Roman" w:hAnsi="Times New Roman"/>
        </w:rPr>
        <w:t xml:space="preserve">this </w:t>
      </w:r>
      <w:r w:rsidR="009F01CB">
        <w:rPr>
          <w:rFonts w:ascii="Times New Roman" w:hAnsi="Times New Roman"/>
        </w:rPr>
        <w:t xml:space="preserve">liability </w:t>
      </w:r>
      <w:r w:rsidR="00795544">
        <w:rPr>
          <w:rFonts w:ascii="Times New Roman" w:hAnsi="Times New Roman"/>
        </w:rPr>
        <w:t>envisages situations of</w:t>
      </w:r>
      <w:r w:rsidR="009F01CB">
        <w:rPr>
          <w:rFonts w:ascii="Times New Roman" w:hAnsi="Times New Roman"/>
        </w:rPr>
        <w:t xml:space="preserve"> </w:t>
      </w:r>
      <w:r w:rsidR="009F01CB" w:rsidRPr="009F01CB">
        <w:rPr>
          <w:rFonts w:ascii="Times New Roman" w:hAnsi="Times New Roman"/>
          <w:i/>
        </w:rPr>
        <w:t>non</w:t>
      </w:r>
      <w:r w:rsidR="00446A65">
        <w:rPr>
          <w:rFonts w:ascii="Times New Roman" w:hAnsi="Times New Roman"/>
        </w:rPr>
        <w:t>-disclosure: V does not ask and D does not tell. Criminalisation</w:t>
      </w:r>
      <w:r w:rsidR="009F01CB">
        <w:rPr>
          <w:rFonts w:ascii="Times New Roman" w:hAnsi="Times New Roman"/>
        </w:rPr>
        <w:t xml:space="preserve"> might </w:t>
      </w:r>
      <w:r w:rsidR="00446A65">
        <w:rPr>
          <w:rFonts w:ascii="Times New Roman" w:hAnsi="Times New Roman"/>
        </w:rPr>
        <w:t>operate</w:t>
      </w:r>
      <w:r w:rsidR="009F01CB">
        <w:rPr>
          <w:rFonts w:ascii="Times New Roman" w:hAnsi="Times New Roman"/>
        </w:rPr>
        <w:t xml:space="preserve"> different</w:t>
      </w:r>
      <w:r w:rsidR="00446A65">
        <w:rPr>
          <w:rFonts w:ascii="Times New Roman" w:hAnsi="Times New Roman"/>
        </w:rPr>
        <w:t>ly</w:t>
      </w:r>
      <w:r w:rsidR="009F01CB">
        <w:rPr>
          <w:rFonts w:ascii="Times New Roman" w:hAnsi="Times New Roman"/>
        </w:rPr>
        <w:t xml:space="preserve"> </w:t>
      </w:r>
      <w:r w:rsidR="00D50907">
        <w:rPr>
          <w:rFonts w:ascii="Times New Roman" w:hAnsi="Times New Roman"/>
        </w:rPr>
        <w:t>where</w:t>
      </w:r>
      <w:r w:rsidR="007E1322">
        <w:rPr>
          <w:rFonts w:ascii="Times New Roman" w:hAnsi="Times New Roman"/>
        </w:rPr>
        <w:t xml:space="preserve"> D </w:t>
      </w:r>
      <w:r w:rsidR="00B2783A" w:rsidRPr="00DB305C">
        <w:rPr>
          <w:rFonts w:ascii="Times New Roman" w:hAnsi="Times New Roman"/>
          <w:i/>
        </w:rPr>
        <w:t>actively deceive</w:t>
      </w:r>
      <w:r w:rsidR="00D50907">
        <w:rPr>
          <w:rFonts w:ascii="Times New Roman" w:hAnsi="Times New Roman"/>
          <w:i/>
        </w:rPr>
        <w:t>s</w:t>
      </w:r>
      <w:r w:rsidR="00B2783A">
        <w:rPr>
          <w:rFonts w:ascii="Times New Roman" w:hAnsi="Times New Roman"/>
        </w:rPr>
        <w:t xml:space="preserve"> V about</w:t>
      </w:r>
      <w:r w:rsidR="009C6C1D">
        <w:rPr>
          <w:rFonts w:ascii="Times New Roman" w:hAnsi="Times New Roman"/>
        </w:rPr>
        <w:t xml:space="preserve"> D’s</w:t>
      </w:r>
      <w:r w:rsidR="00B2783A">
        <w:rPr>
          <w:rFonts w:ascii="Times New Roman" w:hAnsi="Times New Roman"/>
        </w:rPr>
        <w:t xml:space="preserve"> infected status </w:t>
      </w:r>
      <w:r w:rsidR="00D50907">
        <w:rPr>
          <w:rFonts w:ascii="Times New Roman" w:hAnsi="Times New Roman"/>
        </w:rPr>
        <w:t>– and</w:t>
      </w:r>
      <w:r w:rsidR="00532C6A">
        <w:rPr>
          <w:rFonts w:ascii="Times New Roman" w:hAnsi="Times New Roman"/>
        </w:rPr>
        <w:t xml:space="preserve"> </w:t>
      </w:r>
      <w:r w:rsidR="00B2783A">
        <w:rPr>
          <w:rFonts w:ascii="Times New Roman" w:hAnsi="Times New Roman"/>
        </w:rPr>
        <w:t xml:space="preserve">V has </w:t>
      </w:r>
      <w:r w:rsidR="007E1322">
        <w:rPr>
          <w:rFonts w:ascii="Times New Roman" w:hAnsi="Times New Roman"/>
        </w:rPr>
        <w:t xml:space="preserve">expressly </w:t>
      </w:r>
      <w:r w:rsidR="00B2783A">
        <w:rPr>
          <w:rFonts w:ascii="Times New Roman" w:hAnsi="Times New Roman"/>
        </w:rPr>
        <w:t>made</w:t>
      </w:r>
      <w:r w:rsidR="007E1322">
        <w:rPr>
          <w:rFonts w:ascii="Times New Roman" w:hAnsi="Times New Roman"/>
        </w:rPr>
        <w:t xml:space="preserve"> consent </w:t>
      </w:r>
      <w:r w:rsidR="00B2783A">
        <w:rPr>
          <w:rFonts w:ascii="Times New Roman" w:hAnsi="Times New Roman"/>
        </w:rPr>
        <w:t xml:space="preserve">to sex </w:t>
      </w:r>
      <w:r w:rsidR="007E1322">
        <w:rPr>
          <w:rFonts w:ascii="Times New Roman" w:hAnsi="Times New Roman"/>
        </w:rPr>
        <w:t xml:space="preserve">conditional on </w:t>
      </w:r>
      <w:r w:rsidR="00B05807">
        <w:rPr>
          <w:rFonts w:ascii="Times New Roman" w:hAnsi="Times New Roman"/>
        </w:rPr>
        <w:t xml:space="preserve">D not being </w:t>
      </w:r>
      <w:r w:rsidR="007E1322">
        <w:rPr>
          <w:rFonts w:ascii="Times New Roman" w:hAnsi="Times New Roman"/>
        </w:rPr>
        <w:t>infected</w:t>
      </w:r>
      <w:r w:rsidR="009F01CB">
        <w:rPr>
          <w:rFonts w:ascii="Times New Roman" w:hAnsi="Times New Roman"/>
        </w:rPr>
        <w:t>.</w:t>
      </w:r>
      <w:r w:rsidR="00B2783A">
        <w:rPr>
          <w:rFonts w:ascii="Times New Roman" w:hAnsi="Times New Roman"/>
        </w:rPr>
        <w:t xml:space="preserve"> In the wake of </w:t>
      </w:r>
      <w:r w:rsidR="00446A65" w:rsidRPr="00446A65">
        <w:rPr>
          <w:rFonts w:ascii="Times New Roman" w:hAnsi="Times New Roman"/>
        </w:rPr>
        <w:t>other</w:t>
      </w:r>
      <w:r w:rsidR="00446A65">
        <w:rPr>
          <w:rFonts w:ascii="Times New Roman" w:hAnsi="Times New Roman"/>
        </w:rPr>
        <w:t xml:space="preserve"> active deception </w:t>
      </w:r>
      <w:r w:rsidR="00DB305C">
        <w:rPr>
          <w:rFonts w:ascii="Times New Roman" w:hAnsi="Times New Roman"/>
        </w:rPr>
        <w:t xml:space="preserve">cases </w:t>
      </w:r>
      <w:r w:rsidR="00532C6A">
        <w:rPr>
          <w:rFonts w:ascii="Times New Roman" w:hAnsi="Times New Roman"/>
        </w:rPr>
        <w:t>concerning</w:t>
      </w:r>
      <w:r w:rsidR="00DB305C">
        <w:rPr>
          <w:rFonts w:ascii="Times New Roman" w:hAnsi="Times New Roman"/>
        </w:rPr>
        <w:t xml:space="preserve"> </w:t>
      </w:r>
      <w:r w:rsidR="00446A65">
        <w:rPr>
          <w:rFonts w:ascii="Times New Roman" w:hAnsi="Times New Roman"/>
        </w:rPr>
        <w:t>conditional consent to sex (</w:t>
      </w:r>
      <w:r w:rsidR="00532C6A">
        <w:rPr>
          <w:rFonts w:ascii="Times New Roman" w:hAnsi="Times New Roman"/>
        </w:rPr>
        <w:t>conditions including</w:t>
      </w:r>
      <w:r w:rsidR="00446A65">
        <w:rPr>
          <w:rFonts w:ascii="Times New Roman" w:hAnsi="Times New Roman"/>
        </w:rPr>
        <w:t>, for example, condom use or ejaculation</w:t>
      </w:r>
      <w:r w:rsidR="00B2783A">
        <w:rPr>
          <w:rStyle w:val="FootnoteReference"/>
          <w:rFonts w:ascii="Times New Roman" w:hAnsi="Times New Roman"/>
        </w:rPr>
        <w:footnoteReference w:id="143"/>
      </w:r>
      <w:r w:rsidR="00446A65">
        <w:rPr>
          <w:rFonts w:ascii="Times New Roman" w:hAnsi="Times New Roman"/>
        </w:rPr>
        <w:t>),</w:t>
      </w:r>
      <w:r w:rsidR="00B2783A">
        <w:rPr>
          <w:rFonts w:ascii="Times New Roman" w:hAnsi="Times New Roman"/>
        </w:rPr>
        <w:t xml:space="preserve"> </w:t>
      </w:r>
      <w:r w:rsidR="009F01CB">
        <w:rPr>
          <w:rFonts w:ascii="Times New Roman" w:hAnsi="Times New Roman"/>
        </w:rPr>
        <w:t xml:space="preserve">it </w:t>
      </w:r>
      <w:r w:rsidR="003F23C2">
        <w:rPr>
          <w:rFonts w:ascii="Times New Roman" w:hAnsi="Times New Roman"/>
        </w:rPr>
        <w:t xml:space="preserve">is likely </w:t>
      </w:r>
      <w:r w:rsidR="009F01CB">
        <w:rPr>
          <w:rFonts w:ascii="Times New Roman" w:hAnsi="Times New Roman"/>
        </w:rPr>
        <w:t>this would</w:t>
      </w:r>
      <w:r w:rsidR="003F23C2">
        <w:rPr>
          <w:rFonts w:ascii="Times New Roman" w:hAnsi="Times New Roman"/>
        </w:rPr>
        <w:t xml:space="preserve"> be rape</w:t>
      </w:r>
      <w:r w:rsidR="00DB305C">
        <w:rPr>
          <w:rFonts w:ascii="Times New Roman" w:hAnsi="Times New Roman"/>
        </w:rPr>
        <w:t>:</w:t>
      </w:r>
      <w:r w:rsidR="003F23C2">
        <w:rPr>
          <w:rFonts w:ascii="Times New Roman" w:hAnsi="Times New Roman"/>
        </w:rPr>
        <w:t xml:space="preserve"> the deception </w:t>
      </w:r>
      <w:r w:rsidR="0007660E">
        <w:rPr>
          <w:rFonts w:ascii="Times New Roman" w:hAnsi="Times New Roman"/>
        </w:rPr>
        <w:t>would</w:t>
      </w:r>
      <w:r w:rsidR="003F23C2">
        <w:rPr>
          <w:rFonts w:ascii="Times New Roman" w:hAnsi="Times New Roman"/>
        </w:rPr>
        <w:t xml:space="preserve"> vitiate V’s freedom </w:t>
      </w:r>
      <w:r w:rsidR="00B91384">
        <w:rPr>
          <w:rFonts w:ascii="Times New Roman" w:hAnsi="Times New Roman"/>
        </w:rPr>
        <w:t>in choosing to consent</w:t>
      </w:r>
      <w:r w:rsidR="0007660E">
        <w:rPr>
          <w:rFonts w:ascii="Times New Roman" w:hAnsi="Times New Roman"/>
        </w:rPr>
        <w:t xml:space="preserve"> to sex</w:t>
      </w:r>
      <w:r w:rsidR="0007660E">
        <w:rPr>
          <w:rStyle w:val="FootnoteReference"/>
          <w:rFonts w:ascii="Times New Roman" w:hAnsi="Times New Roman"/>
        </w:rPr>
        <w:footnoteReference w:id="144"/>
      </w:r>
      <w:r w:rsidR="0007660E">
        <w:rPr>
          <w:rFonts w:ascii="Times New Roman" w:hAnsi="Times New Roman"/>
        </w:rPr>
        <w:t xml:space="preserve"> and D </w:t>
      </w:r>
      <w:r w:rsidR="00DB305C">
        <w:rPr>
          <w:rFonts w:ascii="Times New Roman" w:hAnsi="Times New Roman"/>
        </w:rPr>
        <w:t>would</w:t>
      </w:r>
      <w:r w:rsidR="0007660E">
        <w:rPr>
          <w:rFonts w:ascii="Times New Roman" w:hAnsi="Times New Roman"/>
        </w:rPr>
        <w:t xml:space="preserve"> have no reasonable belief in consent.</w:t>
      </w:r>
      <w:r w:rsidR="00DB305C">
        <w:rPr>
          <w:rStyle w:val="FootnoteReference"/>
          <w:rFonts w:ascii="Times New Roman" w:hAnsi="Times New Roman"/>
        </w:rPr>
        <w:footnoteReference w:id="145"/>
      </w:r>
      <w:r w:rsidR="003A57FA">
        <w:rPr>
          <w:rFonts w:ascii="Times New Roman" w:hAnsi="Times New Roman"/>
        </w:rPr>
        <w:t xml:space="preserve"> </w:t>
      </w:r>
      <w:r w:rsidR="003F23C2">
        <w:rPr>
          <w:rFonts w:ascii="Times New Roman" w:hAnsi="Times New Roman"/>
        </w:rPr>
        <w:t xml:space="preserve">However, </w:t>
      </w:r>
      <w:r w:rsidR="00437EB9">
        <w:rPr>
          <w:rFonts w:ascii="Times New Roman" w:hAnsi="Times New Roman"/>
        </w:rPr>
        <w:t>difficult</w:t>
      </w:r>
      <w:r w:rsidR="0007660E">
        <w:rPr>
          <w:rFonts w:ascii="Times New Roman" w:hAnsi="Times New Roman"/>
        </w:rPr>
        <w:t xml:space="preserve"> questions remain. </w:t>
      </w:r>
      <w:r w:rsidR="00437EB9">
        <w:rPr>
          <w:rFonts w:ascii="Times New Roman" w:hAnsi="Times New Roman"/>
        </w:rPr>
        <w:t>Is it legitimate to</w:t>
      </w:r>
      <w:r w:rsidR="00532C6A">
        <w:rPr>
          <w:rFonts w:ascii="Times New Roman" w:hAnsi="Times New Roman"/>
        </w:rPr>
        <w:t xml:space="preserve"> distinguish such </w:t>
      </w:r>
      <w:r w:rsidR="00C6442C">
        <w:rPr>
          <w:rFonts w:ascii="Times New Roman" w:hAnsi="Times New Roman"/>
        </w:rPr>
        <w:t xml:space="preserve">liability </w:t>
      </w:r>
      <w:r w:rsidR="00B73B31">
        <w:rPr>
          <w:rFonts w:ascii="Times New Roman" w:hAnsi="Times New Roman"/>
        </w:rPr>
        <w:t xml:space="preserve">on grounds of </w:t>
      </w:r>
      <w:r w:rsidR="00D22B50">
        <w:rPr>
          <w:rFonts w:ascii="Times New Roman" w:hAnsi="Times New Roman"/>
        </w:rPr>
        <w:t>non-</w:t>
      </w:r>
      <w:r w:rsidR="00B73B31">
        <w:rPr>
          <w:rFonts w:ascii="Times New Roman" w:hAnsi="Times New Roman"/>
        </w:rPr>
        <w:t>disclosure</w:t>
      </w:r>
      <w:r w:rsidR="00D22B50">
        <w:rPr>
          <w:rFonts w:ascii="Times New Roman" w:hAnsi="Times New Roman"/>
        </w:rPr>
        <w:t xml:space="preserve"> and active deception</w:t>
      </w:r>
      <w:r w:rsidR="003F23C2">
        <w:rPr>
          <w:rFonts w:ascii="Times New Roman" w:hAnsi="Times New Roman"/>
        </w:rPr>
        <w:t xml:space="preserve">? </w:t>
      </w:r>
      <w:r w:rsidR="00D50907">
        <w:rPr>
          <w:rFonts w:ascii="Times New Roman" w:hAnsi="Times New Roman"/>
        </w:rPr>
        <w:t>Do not both have the effect of vitiating V’s consent to sex</w:t>
      </w:r>
      <w:r w:rsidR="005703A8">
        <w:rPr>
          <w:rFonts w:ascii="Times New Roman" w:hAnsi="Times New Roman"/>
        </w:rPr>
        <w:t xml:space="preserve"> </w:t>
      </w:r>
      <w:r w:rsidR="00D50907">
        <w:rPr>
          <w:rFonts w:ascii="Times New Roman" w:hAnsi="Times New Roman"/>
        </w:rPr>
        <w:t>o</w:t>
      </w:r>
      <w:r w:rsidR="0087222E">
        <w:rPr>
          <w:rFonts w:ascii="Times New Roman" w:hAnsi="Times New Roman"/>
        </w:rPr>
        <w:t xml:space="preserve">nce V discovers </w:t>
      </w:r>
      <w:r w:rsidR="00B73B31">
        <w:rPr>
          <w:rFonts w:ascii="Times New Roman" w:hAnsi="Times New Roman"/>
        </w:rPr>
        <w:t xml:space="preserve">s/he has been infected by </w:t>
      </w:r>
      <w:r w:rsidR="00D50907">
        <w:rPr>
          <w:rFonts w:ascii="Times New Roman" w:hAnsi="Times New Roman"/>
        </w:rPr>
        <w:t>D</w:t>
      </w:r>
      <w:r w:rsidR="00D22B50">
        <w:rPr>
          <w:rFonts w:ascii="Times New Roman" w:hAnsi="Times New Roman"/>
        </w:rPr>
        <w:t>?</w:t>
      </w:r>
      <w:r w:rsidR="00984709">
        <w:rPr>
          <w:rStyle w:val="FootnoteReference"/>
          <w:rFonts w:ascii="Times New Roman" w:hAnsi="Times New Roman"/>
        </w:rPr>
        <w:footnoteReference w:id="146"/>
      </w:r>
      <w:r w:rsidR="00984709">
        <w:rPr>
          <w:rFonts w:ascii="Times New Roman" w:hAnsi="Times New Roman"/>
        </w:rPr>
        <w:t xml:space="preserve"> </w:t>
      </w:r>
      <w:r w:rsidR="00265B07">
        <w:rPr>
          <w:rFonts w:ascii="Times New Roman" w:hAnsi="Times New Roman"/>
        </w:rPr>
        <w:t xml:space="preserve">Or </w:t>
      </w:r>
      <w:r w:rsidR="00246464">
        <w:rPr>
          <w:rFonts w:ascii="Times New Roman" w:hAnsi="Times New Roman"/>
        </w:rPr>
        <w:t>are these</w:t>
      </w:r>
      <w:r w:rsidR="00795544">
        <w:rPr>
          <w:rFonts w:ascii="Times New Roman" w:hAnsi="Times New Roman"/>
        </w:rPr>
        <w:t xml:space="preserve"> scenario</w:t>
      </w:r>
      <w:r w:rsidR="00246464">
        <w:rPr>
          <w:rFonts w:ascii="Times New Roman" w:hAnsi="Times New Roman"/>
        </w:rPr>
        <w:t>s</w:t>
      </w:r>
      <w:r w:rsidR="00265B07">
        <w:rPr>
          <w:rFonts w:ascii="Times New Roman" w:hAnsi="Times New Roman"/>
        </w:rPr>
        <w:t xml:space="preserve"> </w:t>
      </w:r>
      <w:r w:rsidR="00795544" w:rsidRPr="00A2469B">
        <w:rPr>
          <w:rFonts w:ascii="Times New Roman" w:hAnsi="Times New Roman"/>
          <w:i/>
        </w:rPr>
        <w:t>differently</w:t>
      </w:r>
      <w:r w:rsidR="00795544">
        <w:rPr>
          <w:rFonts w:ascii="Times New Roman" w:hAnsi="Times New Roman"/>
        </w:rPr>
        <w:t xml:space="preserve"> wrongful</w:t>
      </w:r>
      <w:r w:rsidR="00265B07">
        <w:rPr>
          <w:rFonts w:ascii="Times New Roman" w:hAnsi="Times New Roman"/>
        </w:rPr>
        <w:t xml:space="preserve">? Perhaps non-disclosure </w:t>
      </w:r>
      <w:r w:rsidR="00795544">
        <w:rPr>
          <w:rFonts w:ascii="Times New Roman" w:hAnsi="Times New Roman"/>
        </w:rPr>
        <w:t>is</w:t>
      </w:r>
      <w:r w:rsidR="009F6BD3">
        <w:rPr>
          <w:rFonts w:ascii="Times New Roman" w:hAnsi="Times New Roman"/>
        </w:rPr>
        <w:t xml:space="preserve"> an OAPA matter because it </w:t>
      </w:r>
      <w:r w:rsidR="00265B07">
        <w:rPr>
          <w:rFonts w:ascii="Times New Roman" w:hAnsi="Times New Roman"/>
        </w:rPr>
        <w:t xml:space="preserve">primarily </w:t>
      </w:r>
      <w:r w:rsidR="009F6BD3">
        <w:rPr>
          <w:rFonts w:ascii="Times New Roman" w:hAnsi="Times New Roman"/>
        </w:rPr>
        <w:t>harm</w:t>
      </w:r>
      <w:r w:rsidR="00A2469B">
        <w:rPr>
          <w:rFonts w:ascii="Times New Roman" w:hAnsi="Times New Roman"/>
        </w:rPr>
        <w:t>s</w:t>
      </w:r>
      <w:r w:rsidR="009F6BD3">
        <w:rPr>
          <w:rFonts w:ascii="Times New Roman" w:hAnsi="Times New Roman"/>
        </w:rPr>
        <w:t xml:space="preserve"> </w:t>
      </w:r>
      <w:r w:rsidR="0087222E">
        <w:rPr>
          <w:rFonts w:ascii="Times New Roman" w:hAnsi="Times New Roman"/>
        </w:rPr>
        <w:t xml:space="preserve">V’s </w:t>
      </w:r>
      <w:r w:rsidR="009F6BD3">
        <w:rPr>
          <w:rFonts w:ascii="Times New Roman" w:hAnsi="Times New Roman"/>
        </w:rPr>
        <w:t xml:space="preserve">bodily integrity, </w:t>
      </w:r>
      <w:r w:rsidR="00A2469B">
        <w:rPr>
          <w:rFonts w:ascii="Times New Roman" w:hAnsi="Times New Roman"/>
        </w:rPr>
        <w:lastRenderedPageBreak/>
        <w:t>whereas</w:t>
      </w:r>
      <w:r w:rsidR="009F6BD3">
        <w:rPr>
          <w:rFonts w:ascii="Times New Roman" w:hAnsi="Times New Roman"/>
        </w:rPr>
        <w:t xml:space="preserve"> </w:t>
      </w:r>
      <w:r w:rsidR="00265B07">
        <w:rPr>
          <w:rFonts w:ascii="Times New Roman" w:hAnsi="Times New Roman"/>
        </w:rPr>
        <w:t xml:space="preserve">active deception </w:t>
      </w:r>
      <w:r w:rsidR="00795544">
        <w:rPr>
          <w:rFonts w:ascii="Times New Roman" w:hAnsi="Times New Roman"/>
        </w:rPr>
        <w:t>is</w:t>
      </w:r>
      <w:r w:rsidR="00AC6F5D">
        <w:rPr>
          <w:rFonts w:ascii="Times New Roman" w:hAnsi="Times New Roman"/>
        </w:rPr>
        <w:t xml:space="preserve"> a sexual offence (currently rape) </w:t>
      </w:r>
      <w:r w:rsidR="009F6BD3">
        <w:rPr>
          <w:rFonts w:ascii="Times New Roman" w:hAnsi="Times New Roman"/>
        </w:rPr>
        <w:t xml:space="preserve">because it </w:t>
      </w:r>
      <w:r w:rsidR="0087222E">
        <w:rPr>
          <w:rFonts w:ascii="Times New Roman" w:hAnsi="Times New Roman"/>
        </w:rPr>
        <w:t xml:space="preserve">more clearly </w:t>
      </w:r>
      <w:r w:rsidR="00A2469B">
        <w:rPr>
          <w:rFonts w:ascii="Times New Roman" w:hAnsi="Times New Roman"/>
        </w:rPr>
        <w:t>contravenes</w:t>
      </w:r>
      <w:r w:rsidR="00265B07">
        <w:rPr>
          <w:rFonts w:ascii="Times New Roman" w:hAnsi="Times New Roman"/>
        </w:rPr>
        <w:t xml:space="preserve"> </w:t>
      </w:r>
      <w:r w:rsidR="0087222E">
        <w:rPr>
          <w:rFonts w:ascii="Times New Roman" w:hAnsi="Times New Roman"/>
        </w:rPr>
        <w:t xml:space="preserve">V’s </w:t>
      </w:r>
      <w:r w:rsidR="00265B07">
        <w:rPr>
          <w:rFonts w:ascii="Times New Roman" w:hAnsi="Times New Roman"/>
        </w:rPr>
        <w:t>sexual autonomy</w:t>
      </w:r>
      <w:r w:rsidR="00B91384">
        <w:rPr>
          <w:rFonts w:ascii="Times New Roman" w:hAnsi="Times New Roman"/>
        </w:rPr>
        <w:t>?</w:t>
      </w:r>
      <w:r w:rsidR="00795544">
        <w:rPr>
          <w:rFonts w:ascii="Times New Roman" w:hAnsi="Times New Roman"/>
        </w:rPr>
        <w:t xml:space="preserve"> </w:t>
      </w:r>
      <w:r w:rsidR="00136B9D">
        <w:rPr>
          <w:rFonts w:ascii="Times New Roman" w:hAnsi="Times New Roman"/>
        </w:rPr>
        <w:t>Away</w:t>
      </w:r>
      <w:r w:rsidR="00875699">
        <w:rPr>
          <w:rFonts w:ascii="Times New Roman" w:hAnsi="Times New Roman"/>
        </w:rPr>
        <w:t xml:space="preserve"> from these </w:t>
      </w:r>
      <w:r w:rsidR="00136B9D">
        <w:rPr>
          <w:rFonts w:ascii="Times New Roman" w:hAnsi="Times New Roman"/>
        </w:rPr>
        <w:t>uncertainties</w:t>
      </w:r>
      <w:r w:rsidR="00875699">
        <w:rPr>
          <w:rFonts w:ascii="Times New Roman" w:hAnsi="Times New Roman"/>
        </w:rPr>
        <w:t xml:space="preserve">, the scoping report </w:t>
      </w:r>
      <w:r w:rsidR="007424A4">
        <w:rPr>
          <w:rFonts w:ascii="Times New Roman" w:hAnsi="Times New Roman"/>
        </w:rPr>
        <w:t>noted</w:t>
      </w:r>
      <w:r w:rsidR="0073191C">
        <w:rPr>
          <w:rFonts w:ascii="Times New Roman" w:hAnsi="Times New Roman"/>
        </w:rPr>
        <w:t xml:space="preserve"> that</w:t>
      </w:r>
      <w:r w:rsidR="00136B9D">
        <w:rPr>
          <w:rFonts w:ascii="Times New Roman" w:hAnsi="Times New Roman"/>
        </w:rPr>
        <w:t xml:space="preserve"> </w:t>
      </w:r>
      <w:r w:rsidR="00875699">
        <w:rPr>
          <w:rFonts w:ascii="Times New Roman" w:hAnsi="Times New Roman"/>
        </w:rPr>
        <w:t xml:space="preserve">a tailored </w:t>
      </w:r>
      <w:r w:rsidR="00136B9D">
        <w:rPr>
          <w:rFonts w:ascii="Times New Roman" w:hAnsi="Times New Roman"/>
        </w:rPr>
        <w:t xml:space="preserve">OAPA </w:t>
      </w:r>
      <w:r w:rsidR="0073191C">
        <w:rPr>
          <w:rFonts w:ascii="Times New Roman" w:hAnsi="Times New Roman"/>
        </w:rPr>
        <w:t xml:space="preserve">offence might be problematic </w:t>
      </w:r>
      <w:r w:rsidR="005D65F0">
        <w:rPr>
          <w:rFonts w:ascii="Times New Roman" w:hAnsi="Times New Roman"/>
        </w:rPr>
        <w:t xml:space="preserve">in other ways. For example, it </w:t>
      </w:r>
      <w:r w:rsidR="00246464">
        <w:rPr>
          <w:rFonts w:ascii="Times New Roman" w:hAnsi="Times New Roman"/>
        </w:rPr>
        <w:t>contended</w:t>
      </w:r>
      <w:r w:rsidR="007424A4">
        <w:rPr>
          <w:rFonts w:ascii="Times New Roman" w:hAnsi="Times New Roman"/>
        </w:rPr>
        <w:t xml:space="preserve"> that</w:t>
      </w:r>
      <w:r w:rsidR="005D65F0">
        <w:rPr>
          <w:rFonts w:ascii="Times New Roman" w:hAnsi="Times New Roman"/>
        </w:rPr>
        <w:t xml:space="preserve">: the law ought not to discriminate between different injuries caused by different means; there were practical difficulties in selecting the diseases and modes of transmission to be protected against; </w:t>
      </w:r>
      <w:r w:rsidR="007424A4">
        <w:rPr>
          <w:rFonts w:ascii="Times New Roman" w:hAnsi="Times New Roman"/>
        </w:rPr>
        <w:t xml:space="preserve">and </w:t>
      </w:r>
      <w:r w:rsidR="005D65F0">
        <w:rPr>
          <w:rFonts w:ascii="Times New Roman" w:hAnsi="Times New Roman"/>
        </w:rPr>
        <w:t>stigmatisation of infected people would increase</w:t>
      </w:r>
      <w:r w:rsidR="007424A4">
        <w:rPr>
          <w:rFonts w:ascii="Times New Roman" w:hAnsi="Times New Roman"/>
        </w:rPr>
        <w:t>.</w:t>
      </w:r>
      <w:r w:rsidR="005D65F0">
        <w:rPr>
          <w:rStyle w:val="FootnoteReference"/>
          <w:rFonts w:ascii="Times New Roman" w:hAnsi="Times New Roman"/>
        </w:rPr>
        <w:footnoteReference w:id="147"/>
      </w:r>
      <w:r w:rsidR="005D65F0">
        <w:rPr>
          <w:rFonts w:ascii="Times New Roman" w:hAnsi="Times New Roman"/>
        </w:rPr>
        <w:t xml:space="preserve"> </w:t>
      </w:r>
      <w:r w:rsidR="007424A4">
        <w:rPr>
          <w:rFonts w:ascii="Times New Roman" w:hAnsi="Times New Roman"/>
        </w:rPr>
        <w:t>In the end,</w:t>
      </w:r>
      <w:r w:rsidR="00A37D11">
        <w:rPr>
          <w:rFonts w:ascii="Times New Roman" w:hAnsi="Times New Roman"/>
        </w:rPr>
        <w:t xml:space="preserve"> and despite problems with existing law on disease transmission,</w:t>
      </w:r>
      <w:r w:rsidR="007424A4">
        <w:rPr>
          <w:rFonts w:ascii="Times New Roman" w:hAnsi="Times New Roman"/>
        </w:rPr>
        <w:t xml:space="preserve"> </w:t>
      </w:r>
      <w:r w:rsidR="00246464">
        <w:rPr>
          <w:rFonts w:ascii="Times New Roman" w:hAnsi="Times New Roman"/>
        </w:rPr>
        <w:t>the Commission</w:t>
      </w:r>
      <w:r w:rsidR="007424A4">
        <w:rPr>
          <w:rFonts w:ascii="Times New Roman" w:hAnsi="Times New Roman"/>
        </w:rPr>
        <w:t xml:space="preserve"> felt that these shortcomings militated against </w:t>
      </w:r>
      <w:r w:rsidR="00A37D11">
        <w:rPr>
          <w:rFonts w:ascii="Times New Roman" w:hAnsi="Times New Roman"/>
        </w:rPr>
        <w:t xml:space="preserve">recommending </w:t>
      </w:r>
      <w:r w:rsidR="007424A4">
        <w:rPr>
          <w:rFonts w:ascii="Times New Roman" w:hAnsi="Times New Roman"/>
        </w:rPr>
        <w:t xml:space="preserve">a specific offence. </w:t>
      </w:r>
    </w:p>
    <w:p w:rsidR="00373A10" w:rsidRDefault="00373A10" w:rsidP="00334BF3">
      <w:pPr>
        <w:spacing w:line="480" w:lineRule="auto"/>
        <w:jc w:val="both"/>
        <w:rPr>
          <w:rFonts w:ascii="Times New Roman" w:hAnsi="Times New Roman"/>
          <w:b/>
        </w:rPr>
      </w:pPr>
    </w:p>
    <w:p w:rsidR="0064291F" w:rsidRDefault="00EB3253" w:rsidP="00334BF3">
      <w:pPr>
        <w:spacing w:line="480" w:lineRule="auto"/>
        <w:jc w:val="both"/>
        <w:rPr>
          <w:rFonts w:ascii="Times New Roman" w:hAnsi="Times New Roman"/>
          <w:b/>
        </w:rPr>
      </w:pPr>
      <w:r w:rsidRPr="00EB3253">
        <w:rPr>
          <w:rFonts w:ascii="Times New Roman" w:hAnsi="Times New Roman"/>
          <w:i/>
        </w:rPr>
        <w:t>The role of consent</w:t>
      </w:r>
    </w:p>
    <w:p w:rsidR="0051571E" w:rsidRDefault="00AD727E" w:rsidP="00334BF3">
      <w:pPr>
        <w:spacing w:line="480" w:lineRule="auto"/>
        <w:jc w:val="both"/>
        <w:rPr>
          <w:rFonts w:ascii="Times New Roman" w:hAnsi="Times New Roman"/>
        </w:rPr>
      </w:pPr>
      <w:r>
        <w:rPr>
          <w:rFonts w:ascii="Times New Roman" w:hAnsi="Times New Roman"/>
        </w:rPr>
        <w:t xml:space="preserve">The scoping report confirms that consent will remain a factor which negates D’s </w:t>
      </w:r>
      <w:r w:rsidR="00C00461">
        <w:rPr>
          <w:rFonts w:ascii="Times New Roman" w:hAnsi="Times New Roman"/>
        </w:rPr>
        <w:t>liability for physical or threatened assault. Moreover, it clarifies that consent in these crimes is an ingredient of the offence – it is not a defence.</w:t>
      </w:r>
      <w:r w:rsidR="00C00461">
        <w:rPr>
          <w:rStyle w:val="FootnoteReference"/>
          <w:rFonts w:ascii="Times New Roman" w:hAnsi="Times New Roman"/>
        </w:rPr>
        <w:footnoteReference w:id="148"/>
      </w:r>
      <w:r w:rsidR="00C00461">
        <w:rPr>
          <w:rFonts w:ascii="Times New Roman" w:hAnsi="Times New Roman"/>
        </w:rPr>
        <w:t xml:space="preserve"> Thus, it is a </w:t>
      </w:r>
      <w:r w:rsidR="00C00461" w:rsidRPr="004A2490">
        <w:rPr>
          <w:rFonts w:ascii="Times New Roman" w:hAnsi="Times New Roman"/>
        </w:rPr>
        <w:t>condition</w:t>
      </w:r>
      <w:r w:rsidR="00C00461">
        <w:rPr>
          <w:rFonts w:ascii="Times New Roman" w:hAnsi="Times New Roman"/>
        </w:rPr>
        <w:t xml:space="preserve"> of the actus rei of physical and threatened assault that V does not consent. This</w:t>
      </w:r>
      <w:r w:rsidR="00C24291">
        <w:rPr>
          <w:rFonts w:ascii="Times New Roman" w:hAnsi="Times New Roman"/>
        </w:rPr>
        <w:t xml:space="preserve"> resolves previous judicial uncertainty</w:t>
      </w:r>
      <w:r w:rsidR="00C24291">
        <w:rPr>
          <w:rStyle w:val="FootnoteReference"/>
          <w:rFonts w:ascii="Times New Roman" w:hAnsi="Times New Roman"/>
        </w:rPr>
        <w:footnoteReference w:id="149"/>
      </w:r>
      <w:r w:rsidR="00C00461">
        <w:rPr>
          <w:rFonts w:ascii="Times New Roman" w:hAnsi="Times New Roman"/>
        </w:rPr>
        <w:t xml:space="preserve"> </w:t>
      </w:r>
      <w:r w:rsidR="000817ED">
        <w:rPr>
          <w:rFonts w:ascii="Times New Roman" w:hAnsi="Times New Roman"/>
        </w:rPr>
        <w:t xml:space="preserve">and </w:t>
      </w:r>
      <w:r w:rsidR="00C00461">
        <w:rPr>
          <w:rFonts w:ascii="Times New Roman" w:hAnsi="Times New Roman"/>
        </w:rPr>
        <w:t xml:space="preserve">is surely correct: in </w:t>
      </w:r>
      <w:r w:rsidR="00666B7C">
        <w:rPr>
          <w:rFonts w:ascii="Times New Roman" w:hAnsi="Times New Roman"/>
        </w:rPr>
        <w:t>these crimes</w:t>
      </w:r>
      <w:r w:rsidR="00C00461">
        <w:rPr>
          <w:rFonts w:ascii="Times New Roman" w:hAnsi="Times New Roman"/>
        </w:rPr>
        <w:t xml:space="preserve">, V’s non-consent is an essential part of the wrongfulness of D’s </w:t>
      </w:r>
      <w:r w:rsidR="007654AE">
        <w:rPr>
          <w:rFonts w:ascii="Times New Roman" w:hAnsi="Times New Roman"/>
        </w:rPr>
        <w:t>conduct</w:t>
      </w:r>
      <w:r w:rsidR="00C00461">
        <w:rPr>
          <w:rFonts w:ascii="Times New Roman" w:hAnsi="Times New Roman"/>
        </w:rPr>
        <w:t>.</w:t>
      </w:r>
      <w:r w:rsidR="00B617C5">
        <w:rPr>
          <w:rFonts w:ascii="Times New Roman" w:hAnsi="Times New Roman"/>
        </w:rPr>
        <w:t xml:space="preserve"> </w:t>
      </w:r>
      <w:r w:rsidR="00775062">
        <w:rPr>
          <w:rFonts w:ascii="Times New Roman" w:hAnsi="Times New Roman"/>
        </w:rPr>
        <w:t xml:space="preserve">Where V consents to either type of assault, but </w:t>
      </w:r>
      <w:r w:rsidR="00B617C5">
        <w:rPr>
          <w:rFonts w:ascii="Times New Roman" w:hAnsi="Times New Roman"/>
        </w:rPr>
        <w:t xml:space="preserve">injury occurs </w:t>
      </w:r>
      <w:r w:rsidR="00775062">
        <w:rPr>
          <w:rFonts w:ascii="Times New Roman" w:hAnsi="Times New Roman"/>
        </w:rPr>
        <w:t>which</w:t>
      </w:r>
      <w:r w:rsidR="00B617C5">
        <w:rPr>
          <w:rFonts w:ascii="Times New Roman" w:hAnsi="Times New Roman"/>
        </w:rPr>
        <w:t xml:space="preserve"> is neither intended nor foreseen</w:t>
      </w:r>
      <w:r w:rsidR="00051143">
        <w:rPr>
          <w:rFonts w:ascii="Times New Roman" w:hAnsi="Times New Roman"/>
        </w:rPr>
        <w:t>,</w:t>
      </w:r>
      <w:r w:rsidR="00B617C5">
        <w:rPr>
          <w:rFonts w:ascii="Times New Roman" w:hAnsi="Times New Roman"/>
        </w:rPr>
        <w:t xml:space="preserve"> D will not be guilty of an offence.</w:t>
      </w:r>
      <w:r w:rsidR="00775062">
        <w:rPr>
          <w:rStyle w:val="FootnoteReference"/>
          <w:rFonts w:ascii="Times New Roman" w:hAnsi="Times New Roman"/>
        </w:rPr>
        <w:footnoteReference w:id="150"/>
      </w:r>
      <w:r w:rsidR="00B617C5">
        <w:rPr>
          <w:rFonts w:ascii="Times New Roman" w:hAnsi="Times New Roman"/>
        </w:rPr>
        <w:t xml:space="preserve"> This </w:t>
      </w:r>
      <w:r w:rsidR="00051143">
        <w:rPr>
          <w:rFonts w:ascii="Times New Roman" w:hAnsi="Times New Roman"/>
        </w:rPr>
        <w:t>replicates</w:t>
      </w:r>
      <w:r w:rsidR="00B617C5">
        <w:rPr>
          <w:rFonts w:ascii="Times New Roman" w:hAnsi="Times New Roman"/>
        </w:rPr>
        <w:t xml:space="preserve"> the current legal position.</w:t>
      </w:r>
      <w:r w:rsidR="00B617C5">
        <w:rPr>
          <w:rStyle w:val="FootnoteReference"/>
          <w:rFonts w:ascii="Times New Roman" w:hAnsi="Times New Roman"/>
        </w:rPr>
        <w:footnoteReference w:id="151"/>
      </w:r>
      <w:r w:rsidR="00B617C5">
        <w:rPr>
          <w:rFonts w:ascii="Times New Roman" w:hAnsi="Times New Roman"/>
        </w:rPr>
        <w:t xml:space="preserve"> </w:t>
      </w:r>
      <w:r w:rsidR="000817ED">
        <w:rPr>
          <w:rFonts w:ascii="Times New Roman" w:hAnsi="Times New Roman"/>
        </w:rPr>
        <w:t xml:space="preserve">In relation to aggravated assault, the </w:t>
      </w:r>
      <w:r w:rsidR="00134A07">
        <w:rPr>
          <w:rFonts w:ascii="Times New Roman" w:hAnsi="Times New Roman"/>
        </w:rPr>
        <w:t>scoping report</w:t>
      </w:r>
      <w:r w:rsidR="0051571E">
        <w:rPr>
          <w:rFonts w:ascii="Times New Roman" w:hAnsi="Times New Roman"/>
        </w:rPr>
        <w:t xml:space="preserve">’s </w:t>
      </w:r>
      <w:r w:rsidR="000817ED">
        <w:rPr>
          <w:rFonts w:ascii="Times New Roman" w:hAnsi="Times New Roman"/>
        </w:rPr>
        <w:t xml:space="preserve">provisional view is that consent </w:t>
      </w:r>
      <w:r w:rsidR="0051571E">
        <w:rPr>
          <w:rFonts w:ascii="Times New Roman" w:hAnsi="Times New Roman"/>
        </w:rPr>
        <w:t>should</w:t>
      </w:r>
      <w:r w:rsidR="000817ED">
        <w:rPr>
          <w:rFonts w:ascii="Times New Roman" w:hAnsi="Times New Roman"/>
        </w:rPr>
        <w:t xml:space="preserve"> always be an answer to that charge, whether or not any injury was intended or foreseen.</w:t>
      </w:r>
      <w:r w:rsidR="000817ED">
        <w:rPr>
          <w:rStyle w:val="FootnoteReference"/>
          <w:rFonts w:ascii="Times New Roman" w:hAnsi="Times New Roman"/>
        </w:rPr>
        <w:footnoteReference w:id="152"/>
      </w:r>
      <w:r w:rsidR="000817ED">
        <w:rPr>
          <w:rFonts w:ascii="Times New Roman" w:hAnsi="Times New Roman"/>
        </w:rPr>
        <w:t xml:space="preserve"> Meanwhile, in offences 1, 2 and 3, </w:t>
      </w:r>
      <w:r w:rsidR="00134A07">
        <w:rPr>
          <w:rFonts w:ascii="Times New Roman" w:hAnsi="Times New Roman"/>
        </w:rPr>
        <w:t xml:space="preserve">the report announces that consent only exempts D from liability for causing injury to V in the context of certain accepted </w:t>
      </w:r>
      <w:r w:rsidR="00134A07">
        <w:rPr>
          <w:rFonts w:ascii="Times New Roman" w:hAnsi="Times New Roman"/>
        </w:rPr>
        <w:lastRenderedPageBreak/>
        <w:t>activities.</w:t>
      </w:r>
      <w:r w:rsidR="00250419">
        <w:rPr>
          <w:rStyle w:val="FootnoteReference"/>
          <w:rFonts w:ascii="Times New Roman" w:hAnsi="Times New Roman"/>
        </w:rPr>
        <w:footnoteReference w:id="153"/>
      </w:r>
      <w:r w:rsidR="00134A07">
        <w:rPr>
          <w:rFonts w:ascii="Times New Roman" w:hAnsi="Times New Roman"/>
        </w:rPr>
        <w:t xml:space="preserve"> This preserves </w:t>
      </w:r>
      <w:r w:rsidR="00250419">
        <w:rPr>
          <w:rFonts w:ascii="Times New Roman" w:hAnsi="Times New Roman"/>
        </w:rPr>
        <w:t xml:space="preserve">the </w:t>
      </w:r>
      <w:r w:rsidR="00B22905">
        <w:rPr>
          <w:rFonts w:ascii="Times New Roman" w:hAnsi="Times New Roman"/>
        </w:rPr>
        <w:t>status quo: those activities include</w:t>
      </w:r>
      <w:r w:rsidR="00B228A7">
        <w:rPr>
          <w:rFonts w:ascii="Times New Roman" w:hAnsi="Times New Roman"/>
        </w:rPr>
        <w:t xml:space="preserve"> ritual male circumcision; tattooing;</w:t>
      </w:r>
      <w:r w:rsidR="00B22905">
        <w:rPr>
          <w:rFonts w:ascii="Times New Roman" w:hAnsi="Times New Roman"/>
        </w:rPr>
        <w:t xml:space="preserve"> ear-</w:t>
      </w:r>
      <w:r w:rsidR="00B228A7">
        <w:rPr>
          <w:rFonts w:ascii="Times New Roman" w:hAnsi="Times New Roman"/>
        </w:rPr>
        <w:t>piercing;</w:t>
      </w:r>
      <w:r w:rsidR="00B22905">
        <w:rPr>
          <w:rFonts w:ascii="Times New Roman" w:hAnsi="Times New Roman"/>
        </w:rPr>
        <w:t xml:space="preserve"> violent sports</w:t>
      </w:r>
      <w:r w:rsidR="00B228A7">
        <w:rPr>
          <w:rFonts w:ascii="Times New Roman" w:hAnsi="Times New Roman"/>
        </w:rPr>
        <w:t>;</w:t>
      </w:r>
      <w:r w:rsidR="00B22905">
        <w:rPr>
          <w:rFonts w:ascii="Times New Roman" w:hAnsi="Times New Roman"/>
        </w:rPr>
        <w:t xml:space="preserve"> and surgery.</w:t>
      </w:r>
      <w:r w:rsidR="00B22905">
        <w:rPr>
          <w:rStyle w:val="FootnoteReference"/>
          <w:rFonts w:ascii="Times New Roman" w:hAnsi="Times New Roman"/>
        </w:rPr>
        <w:footnoteReference w:id="154"/>
      </w:r>
      <w:r w:rsidR="00B22905">
        <w:rPr>
          <w:rFonts w:ascii="Times New Roman" w:hAnsi="Times New Roman"/>
        </w:rPr>
        <w:t xml:space="preserve"> The maintenance of this </w:t>
      </w:r>
      <w:r w:rsidR="0051571E">
        <w:rPr>
          <w:rFonts w:ascii="Times New Roman" w:hAnsi="Times New Roman"/>
        </w:rPr>
        <w:t>category-</w:t>
      </w:r>
      <w:r w:rsidR="00B22905">
        <w:rPr>
          <w:rFonts w:ascii="Times New Roman" w:hAnsi="Times New Roman"/>
        </w:rPr>
        <w:t xml:space="preserve">based approach to consent may be unfortunate. </w:t>
      </w:r>
      <w:r w:rsidR="00A85D60">
        <w:rPr>
          <w:rFonts w:ascii="Times New Roman" w:hAnsi="Times New Roman"/>
        </w:rPr>
        <w:t xml:space="preserve">In future, </w:t>
      </w:r>
      <w:r w:rsidR="008B4050">
        <w:rPr>
          <w:rFonts w:ascii="Times New Roman" w:hAnsi="Times New Roman"/>
        </w:rPr>
        <w:t xml:space="preserve">instead of relying on ‘accepted activities’, </w:t>
      </w:r>
      <w:r w:rsidR="00A85D60">
        <w:rPr>
          <w:rFonts w:ascii="Times New Roman" w:hAnsi="Times New Roman"/>
        </w:rPr>
        <w:t>a</w:t>
      </w:r>
      <w:r w:rsidR="00B22905">
        <w:rPr>
          <w:rFonts w:ascii="Times New Roman" w:hAnsi="Times New Roman"/>
        </w:rPr>
        <w:t xml:space="preserve"> more progressive and nuanced strategy </w:t>
      </w:r>
      <w:r w:rsidR="00A04EBA">
        <w:rPr>
          <w:rFonts w:ascii="Times New Roman" w:hAnsi="Times New Roman"/>
        </w:rPr>
        <w:t>might</w:t>
      </w:r>
      <w:r w:rsidR="00B22905">
        <w:rPr>
          <w:rFonts w:ascii="Times New Roman" w:hAnsi="Times New Roman"/>
        </w:rPr>
        <w:t xml:space="preserve"> be to allow consent to injury on a case-by-case </w:t>
      </w:r>
      <w:r w:rsidR="00A04EBA">
        <w:rPr>
          <w:rFonts w:ascii="Times New Roman" w:hAnsi="Times New Roman"/>
        </w:rPr>
        <w:t>basis</w:t>
      </w:r>
      <w:r w:rsidR="007654AE">
        <w:rPr>
          <w:rFonts w:ascii="Times New Roman" w:hAnsi="Times New Roman"/>
        </w:rPr>
        <w:t>,</w:t>
      </w:r>
      <w:r w:rsidR="00A04EBA">
        <w:rPr>
          <w:rFonts w:ascii="Times New Roman" w:hAnsi="Times New Roman"/>
        </w:rPr>
        <w:t xml:space="preserve"> considering factors such as </w:t>
      </w:r>
      <w:r w:rsidR="00C113F5">
        <w:rPr>
          <w:rFonts w:ascii="Times New Roman" w:hAnsi="Times New Roman"/>
        </w:rPr>
        <w:t xml:space="preserve">personal autonomy, </w:t>
      </w:r>
      <w:r w:rsidR="00A04EBA">
        <w:rPr>
          <w:rFonts w:ascii="Times New Roman" w:hAnsi="Times New Roman"/>
        </w:rPr>
        <w:t xml:space="preserve">V’s vulnerability, </w:t>
      </w:r>
      <w:r w:rsidR="00C113F5">
        <w:rPr>
          <w:rFonts w:ascii="Times New Roman" w:hAnsi="Times New Roman"/>
        </w:rPr>
        <w:t>the act’s social utility</w:t>
      </w:r>
      <w:r w:rsidR="00587C7C">
        <w:rPr>
          <w:rFonts w:ascii="Times New Roman" w:hAnsi="Times New Roman"/>
        </w:rPr>
        <w:t xml:space="preserve"> and</w:t>
      </w:r>
      <w:r w:rsidR="00C113F5">
        <w:rPr>
          <w:rFonts w:ascii="Times New Roman" w:hAnsi="Times New Roman"/>
        </w:rPr>
        <w:t xml:space="preserve"> </w:t>
      </w:r>
      <w:r w:rsidR="00587C7C">
        <w:rPr>
          <w:rFonts w:ascii="Times New Roman" w:hAnsi="Times New Roman"/>
        </w:rPr>
        <w:t>the severity of injury.</w:t>
      </w:r>
      <w:r w:rsidR="00587C7C">
        <w:rPr>
          <w:rStyle w:val="FootnoteReference"/>
          <w:rFonts w:ascii="Times New Roman" w:hAnsi="Times New Roman"/>
        </w:rPr>
        <w:footnoteReference w:id="155"/>
      </w:r>
      <w:r w:rsidR="00C113F5">
        <w:rPr>
          <w:rFonts w:ascii="Times New Roman" w:hAnsi="Times New Roman"/>
        </w:rPr>
        <w:t xml:space="preserve"> </w:t>
      </w:r>
    </w:p>
    <w:p w:rsidR="0051571E" w:rsidRDefault="0051571E" w:rsidP="00334BF3">
      <w:pPr>
        <w:spacing w:line="480" w:lineRule="auto"/>
        <w:jc w:val="both"/>
        <w:rPr>
          <w:rFonts w:ascii="Times New Roman" w:hAnsi="Times New Roman"/>
        </w:rPr>
      </w:pPr>
    </w:p>
    <w:p w:rsidR="0064291F" w:rsidRDefault="00747A13" w:rsidP="00F41EAB">
      <w:pPr>
        <w:spacing w:line="480" w:lineRule="auto"/>
        <w:jc w:val="both"/>
        <w:rPr>
          <w:rFonts w:ascii="Times New Roman" w:hAnsi="Times New Roman"/>
        </w:rPr>
      </w:pPr>
      <w:r>
        <w:rPr>
          <w:rFonts w:ascii="Times New Roman" w:hAnsi="Times New Roman"/>
        </w:rPr>
        <w:t xml:space="preserve">In the SCP, the Commission made it clear that it was not </w:t>
      </w:r>
      <w:r w:rsidR="00A85D60">
        <w:rPr>
          <w:rFonts w:ascii="Times New Roman" w:hAnsi="Times New Roman"/>
        </w:rPr>
        <w:t>examining</w:t>
      </w:r>
      <w:r>
        <w:rPr>
          <w:rFonts w:ascii="Times New Roman" w:hAnsi="Times New Roman"/>
        </w:rPr>
        <w:t xml:space="preserve"> the definition or implications of consent as a factor affecting liability for offences of violence.</w:t>
      </w:r>
      <w:r>
        <w:rPr>
          <w:rStyle w:val="FootnoteReference"/>
          <w:rFonts w:ascii="Times New Roman" w:hAnsi="Times New Roman"/>
        </w:rPr>
        <w:footnoteReference w:id="156"/>
      </w:r>
      <w:r>
        <w:rPr>
          <w:rFonts w:ascii="Times New Roman" w:hAnsi="Times New Roman"/>
        </w:rPr>
        <w:t xml:space="preserve"> Given the scale of its offences against the person reform project, its desire merely to clarify the existing law on consent </w:t>
      </w:r>
      <w:r w:rsidR="00A26D57">
        <w:rPr>
          <w:rFonts w:ascii="Times New Roman" w:hAnsi="Times New Roman"/>
        </w:rPr>
        <w:t xml:space="preserve">– rather than embark upon a wholesale review of it – </w:t>
      </w:r>
      <w:r>
        <w:rPr>
          <w:rFonts w:ascii="Times New Roman" w:hAnsi="Times New Roman"/>
        </w:rPr>
        <w:t xml:space="preserve">is understandable. </w:t>
      </w:r>
      <w:r w:rsidR="00BA223C">
        <w:rPr>
          <w:rFonts w:ascii="Times New Roman" w:hAnsi="Times New Roman"/>
        </w:rPr>
        <w:t>Nevertheless, one wider incongruity concerning consent endures.</w:t>
      </w:r>
      <w:r w:rsidR="00596153">
        <w:rPr>
          <w:rFonts w:ascii="Times New Roman" w:hAnsi="Times New Roman"/>
        </w:rPr>
        <w:t xml:space="preserve"> </w:t>
      </w:r>
      <w:r w:rsidR="0051571E">
        <w:rPr>
          <w:rFonts w:ascii="Times New Roman" w:hAnsi="Times New Roman"/>
        </w:rPr>
        <w:t>In cases of disease transmission,</w:t>
      </w:r>
      <w:r w:rsidR="00596153">
        <w:rPr>
          <w:rFonts w:ascii="Times New Roman" w:hAnsi="Times New Roman"/>
        </w:rPr>
        <w:t xml:space="preserve"> where V does not ask D about </w:t>
      </w:r>
      <w:r w:rsidR="004A2490">
        <w:rPr>
          <w:rFonts w:ascii="Times New Roman" w:hAnsi="Times New Roman"/>
        </w:rPr>
        <w:t xml:space="preserve">D’s </w:t>
      </w:r>
      <w:r w:rsidR="00596153">
        <w:rPr>
          <w:rFonts w:ascii="Times New Roman" w:hAnsi="Times New Roman"/>
        </w:rPr>
        <w:t xml:space="preserve">infected status and D omits to disclose that status, informed consent – by definition – is inoperative. </w:t>
      </w:r>
      <w:r w:rsidR="0051571E">
        <w:rPr>
          <w:rFonts w:ascii="Times New Roman" w:hAnsi="Times New Roman"/>
        </w:rPr>
        <w:t xml:space="preserve">D </w:t>
      </w:r>
      <w:r w:rsidR="003E1A88">
        <w:rPr>
          <w:rFonts w:ascii="Times New Roman" w:hAnsi="Times New Roman"/>
        </w:rPr>
        <w:t xml:space="preserve">will </w:t>
      </w:r>
      <w:r w:rsidR="00511276">
        <w:rPr>
          <w:rFonts w:ascii="Times New Roman" w:hAnsi="Times New Roman"/>
        </w:rPr>
        <w:t xml:space="preserve">potentially </w:t>
      </w:r>
      <w:r w:rsidR="003E1A88">
        <w:rPr>
          <w:rFonts w:ascii="Times New Roman" w:hAnsi="Times New Roman"/>
        </w:rPr>
        <w:t>be</w:t>
      </w:r>
      <w:r w:rsidR="0051571E">
        <w:rPr>
          <w:rFonts w:ascii="Times New Roman" w:hAnsi="Times New Roman"/>
        </w:rPr>
        <w:t xml:space="preserve"> liable for </w:t>
      </w:r>
      <w:r w:rsidR="004D2E41">
        <w:rPr>
          <w:rFonts w:ascii="Times New Roman" w:hAnsi="Times New Roman"/>
        </w:rPr>
        <w:t>reckless transmission under</w:t>
      </w:r>
      <w:r w:rsidR="0051571E">
        <w:rPr>
          <w:rFonts w:ascii="Times New Roman" w:hAnsi="Times New Roman"/>
        </w:rPr>
        <w:t xml:space="preserve"> s.20 </w:t>
      </w:r>
      <w:r w:rsidR="003E1A88">
        <w:rPr>
          <w:rFonts w:ascii="Times New Roman" w:hAnsi="Times New Roman"/>
        </w:rPr>
        <w:t xml:space="preserve">(or offence 2 </w:t>
      </w:r>
      <w:r w:rsidR="0051571E">
        <w:rPr>
          <w:rFonts w:ascii="Times New Roman" w:hAnsi="Times New Roman"/>
        </w:rPr>
        <w:t>und</w:t>
      </w:r>
      <w:r w:rsidR="003E1A88">
        <w:rPr>
          <w:rFonts w:ascii="Times New Roman" w:hAnsi="Times New Roman"/>
        </w:rPr>
        <w:t>er the revised scheme)</w:t>
      </w:r>
      <w:r w:rsidR="00511276">
        <w:rPr>
          <w:rFonts w:ascii="Times New Roman" w:hAnsi="Times New Roman"/>
        </w:rPr>
        <w:t>,</w:t>
      </w:r>
      <w:r w:rsidR="00393CDB">
        <w:rPr>
          <w:rFonts w:ascii="Times New Roman" w:hAnsi="Times New Roman"/>
        </w:rPr>
        <w:t xml:space="preserve"> having not satisfied the burden of disclosure. This approach conflicts with consent and active deception </w:t>
      </w:r>
      <w:r w:rsidR="00073D5A">
        <w:rPr>
          <w:rFonts w:ascii="Times New Roman" w:hAnsi="Times New Roman"/>
        </w:rPr>
        <w:t>as to</w:t>
      </w:r>
      <w:r w:rsidR="00393CDB">
        <w:rPr>
          <w:rFonts w:ascii="Times New Roman" w:hAnsi="Times New Roman"/>
        </w:rPr>
        <w:t xml:space="preserve"> infection in sexual offences. Here, the burden is on </w:t>
      </w:r>
      <w:r w:rsidR="00BA0A11">
        <w:rPr>
          <w:rFonts w:ascii="Times New Roman" w:hAnsi="Times New Roman"/>
        </w:rPr>
        <w:t>V</w:t>
      </w:r>
      <w:r w:rsidR="00393CDB">
        <w:rPr>
          <w:rFonts w:ascii="Times New Roman" w:hAnsi="Times New Roman"/>
        </w:rPr>
        <w:t xml:space="preserve"> to ask whether </w:t>
      </w:r>
      <w:r w:rsidR="00BA0A11">
        <w:rPr>
          <w:rFonts w:ascii="Times New Roman" w:hAnsi="Times New Roman"/>
        </w:rPr>
        <w:t>D</w:t>
      </w:r>
      <w:r w:rsidR="00393CDB">
        <w:rPr>
          <w:rFonts w:ascii="Times New Roman" w:hAnsi="Times New Roman"/>
        </w:rPr>
        <w:t xml:space="preserve"> is infected. Only if D then </w:t>
      </w:r>
      <w:r w:rsidR="00511276">
        <w:rPr>
          <w:rFonts w:ascii="Times New Roman" w:hAnsi="Times New Roman"/>
        </w:rPr>
        <w:t>proceeds to deceive</w:t>
      </w:r>
      <w:r w:rsidR="00393CDB">
        <w:rPr>
          <w:rFonts w:ascii="Times New Roman" w:hAnsi="Times New Roman"/>
        </w:rPr>
        <w:t xml:space="preserve"> V about that status will V’</w:t>
      </w:r>
      <w:r w:rsidR="00511276">
        <w:rPr>
          <w:rFonts w:ascii="Times New Roman" w:hAnsi="Times New Roman"/>
        </w:rPr>
        <w:t>s consent to sex be invalidated, resulting i</w:t>
      </w:r>
      <w:r w:rsidR="00BA0A11">
        <w:rPr>
          <w:rFonts w:ascii="Times New Roman" w:hAnsi="Times New Roman"/>
        </w:rPr>
        <w:t>n a possible rape charge for D.</w:t>
      </w:r>
      <w:r w:rsidR="00393CDB">
        <w:rPr>
          <w:rStyle w:val="FootnoteReference"/>
          <w:rFonts w:ascii="Times New Roman" w:hAnsi="Times New Roman"/>
        </w:rPr>
        <w:footnoteReference w:id="157"/>
      </w:r>
      <w:r w:rsidR="00393CDB">
        <w:rPr>
          <w:rFonts w:ascii="Times New Roman" w:hAnsi="Times New Roman"/>
        </w:rPr>
        <w:t xml:space="preserve"> </w:t>
      </w:r>
      <w:r w:rsidR="00024B48">
        <w:rPr>
          <w:rFonts w:ascii="Times New Roman" w:hAnsi="Times New Roman"/>
        </w:rPr>
        <w:t>This</w:t>
      </w:r>
      <w:r w:rsidR="00073D5A">
        <w:rPr>
          <w:rFonts w:ascii="Times New Roman" w:hAnsi="Times New Roman"/>
        </w:rPr>
        <w:t xml:space="preserve"> </w:t>
      </w:r>
      <w:r w:rsidR="005F2372">
        <w:rPr>
          <w:rFonts w:ascii="Times New Roman" w:hAnsi="Times New Roman"/>
        </w:rPr>
        <w:t>imba</w:t>
      </w:r>
      <w:r w:rsidR="00F41EAB">
        <w:rPr>
          <w:rFonts w:ascii="Times New Roman" w:hAnsi="Times New Roman"/>
        </w:rPr>
        <w:t>lance</w:t>
      </w:r>
      <w:r w:rsidR="005F2372">
        <w:rPr>
          <w:rFonts w:ascii="Times New Roman" w:hAnsi="Times New Roman"/>
        </w:rPr>
        <w:t xml:space="preserve"> between disclosure and consent</w:t>
      </w:r>
      <w:r w:rsidR="00BA0A11">
        <w:rPr>
          <w:rFonts w:ascii="Times New Roman" w:hAnsi="Times New Roman"/>
        </w:rPr>
        <w:t xml:space="preserve"> across sexual offences and offences against the person</w:t>
      </w:r>
      <w:r w:rsidR="005F2372">
        <w:rPr>
          <w:rFonts w:ascii="Times New Roman" w:hAnsi="Times New Roman"/>
        </w:rPr>
        <w:t xml:space="preserve"> </w:t>
      </w:r>
      <w:r w:rsidR="007654AE">
        <w:rPr>
          <w:rFonts w:ascii="Times New Roman" w:hAnsi="Times New Roman"/>
        </w:rPr>
        <w:t xml:space="preserve">requires further attention. It </w:t>
      </w:r>
      <w:r w:rsidR="003B7C85">
        <w:rPr>
          <w:rFonts w:ascii="Times New Roman" w:hAnsi="Times New Roman"/>
        </w:rPr>
        <w:t>doubtless</w:t>
      </w:r>
      <w:r w:rsidR="005F2372">
        <w:rPr>
          <w:rFonts w:ascii="Times New Roman" w:hAnsi="Times New Roman"/>
        </w:rPr>
        <w:t xml:space="preserve"> has its roots in debates about the proper scope of these offence</w:t>
      </w:r>
      <w:r w:rsidR="003B7C85">
        <w:rPr>
          <w:rFonts w:ascii="Times New Roman" w:hAnsi="Times New Roman"/>
        </w:rPr>
        <w:t xml:space="preserve">s and how best to criminalise deceptions affecting bodily integrity and sexual autonomy. </w:t>
      </w:r>
      <w:r w:rsidR="005F2372">
        <w:rPr>
          <w:rFonts w:ascii="Times New Roman" w:hAnsi="Times New Roman"/>
        </w:rPr>
        <w:t xml:space="preserve"> </w:t>
      </w:r>
    </w:p>
    <w:p w:rsidR="00747A13" w:rsidRDefault="00FF70D5" w:rsidP="00F41EAB">
      <w:pPr>
        <w:spacing w:line="480" w:lineRule="auto"/>
        <w:jc w:val="both"/>
        <w:rPr>
          <w:rFonts w:ascii="Times New Roman" w:hAnsi="Times New Roman"/>
          <w:b/>
        </w:rPr>
      </w:pPr>
      <w:r>
        <w:rPr>
          <w:rFonts w:ascii="Times New Roman" w:hAnsi="Times New Roman"/>
          <w:b/>
        </w:rPr>
        <w:lastRenderedPageBreak/>
        <w:t>4</w:t>
      </w:r>
      <w:r w:rsidR="00EE1EE7">
        <w:rPr>
          <w:rFonts w:ascii="Times New Roman" w:hAnsi="Times New Roman"/>
          <w:b/>
        </w:rPr>
        <w:t xml:space="preserve">. </w:t>
      </w:r>
      <w:r w:rsidR="006A0113">
        <w:rPr>
          <w:rFonts w:ascii="Times New Roman" w:hAnsi="Times New Roman"/>
          <w:b/>
        </w:rPr>
        <w:t>Conclusion</w:t>
      </w:r>
    </w:p>
    <w:p w:rsidR="00747A13" w:rsidRPr="00747A13" w:rsidRDefault="00747A13" w:rsidP="00F41EAB">
      <w:pPr>
        <w:spacing w:line="480" w:lineRule="auto"/>
        <w:jc w:val="both"/>
        <w:rPr>
          <w:rFonts w:ascii="Times New Roman" w:hAnsi="Times New Roman"/>
        </w:rPr>
      </w:pPr>
    </w:p>
    <w:p w:rsidR="00F257EC" w:rsidRPr="00747A13" w:rsidRDefault="00F41EAB" w:rsidP="00945D87">
      <w:pPr>
        <w:spacing w:line="480" w:lineRule="auto"/>
        <w:jc w:val="both"/>
        <w:rPr>
          <w:rFonts w:ascii="Times New Roman" w:hAnsi="Times New Roman"/>
        </w:rPr>
      </w:pPr>
      <w:r>
        <w:rPr>
          <w:rFonts w:ascii="Times New Roman" w:hAnsi="Times New Roman"/>
        </w:rPr>
        <w:t xml:space="preserve">The Commission’s reformulated offences against the person are the products of an extensive consultation and reform exercise. </w:t>
      </w:r>
      <w:r w:rsidR="007654AE">
        <w:rPr>
          <w:rFonts w:ascii="Times New Roman" w:hAnsi="Times New Roman"/>
        </w:rPr>
        <w:t>That</w:t>
      </w:r>
      <w:r>
        <w:rPr>
          <w:rFonts w:ascii="Times New Roman" w:hAnsi="Times New Roman"/>
        </w:rPr>
        <w:t xml:space="preserve"> exercise builds on decades of earlier work which laid the foundations for the scheme of crimes </w:t>
      </w:r>
      <w:r w:rsidR="008B4050">
        <w:rPr>
          <w:rFonts w:ascii="Times New Roman" w:hAnsi="Times New Roman"/>
        </w:rPr>
        <w:t xml:space="preserve">which </w:t>
      </w:r>
      <w:r>
        <w:rPr>
          <w:rFonts w:ascii="Times New Roman" w:hAnsi="Times New Roman"/>
        </w:rPr>
        <w:t xml:space="preserve">the Commission now </w:t>
      </w:r>
      <w:r w:rsidR="00817992">
        <w:rPr>
          <w:rFonts w:ascii="Times New Roman" w:hAnsi="Times New Roman"/>
        </w:rPr>
        <w:t>proposes</w:t>
      </w:r>
      <w:r>
        <w:rPr>
          <w:rFonts w:ascii="Times New Roman" w:hAnsi="Times New Roman"/>
        </w:rPr>
        <w:t>. Both the SCP and scoping report provide thorough critiques of the current law</w:t>
      </w:r>
      <w:r w:rsidR="00191FAC">
        <w:rPr>
          <w:rFonts w:ascii="Times New Roman" w:hAnsi="Times New Roman"/>
        </w:rPr>
        <w:t xml:space="preserve">, with very detailed consideration given to how the new hierarchy of offences should be </w:t>
      </w:r>
      <w:r w:rsidR="00540FE2">
        <w:rPr>
          <w:rFonts w:ascii="Times New Roman" w:hAnsi="Times New Roman"/>
        </w:rPr>
        <w:t>framed</w:t>
      </w:r>
      <w:r w:rsidR="00191FAC">
        <w:rPr>
          <w:rFonts w:ascii="Times New Roman" w:hAnsi="Times New Roman"/>
        </w:rPr>
        <w:t xml:space="preserve">. </w:t>
      </w:r>
      <w:r w:rsidR="00540FE2">
        <w:rPr>
          <w:rFonts w:ascii="Times New Roman" w:hAnsi="Times New Roman"/>
        </w:rPr>
        <w:t xml:space="preserve">In turn, </w:t>
      </w:r>
      <w:r w:rsidR="00454F51">
        <w:rPr>
          <w:rFonts w:ascii="Times New Roman" w:hAnsi="Times New Roman"/>
        </w:rPr>
        <w:t>that</w:t>
      </w:r>
      <w:r w:rsidR="00191FAC">
        <w:rPr>
          <w:rFonts w:ascii="Times New Roman" w:hAnsi="Times New Roman"/>
        </w:rPr>
        <w:t xml:space="preserve"> hierarchy is </w:t>
      </w:r>
      <w:r w:rsidR="00ED3B6D">
        <w:rPr>
          <w:rFonts w:ascii="Times New Roman" w:hAnsi="Times New Roman"/>
        </w:rPr>
        <w:t xml:space="preserve">logically </w:t>
      </w:r>
      <w:r>
        <w:rPr>
          <w:rFonts w:ascii="Times New Roman" w:hAnsi="Times New Roman"/>
        </w:rPr>
        <w:t xml:space="preserve">structured. </w:t>
      </w:r>
      <w:r w:rsidR="00191FAC">
        <w:rPr>
          <w:rFonts w:ascii="Times New Roman" w:hAnsi="Times New Roman"/>
        </w:rPr>
        <w:t xml:space="preserve">The crimes </w:t>
      </w:r>
      <w:r w:rsidR="00454F51">
        <w:rPr>
          <w:rFonts w:ascii="Times New Roman" w:hAnsi="Times New Roman"/>
        </w:rPr>
        <w:t>contained in it</w:t>
      </w:r>
      <w:r w:rsidR="00ED3B6D">
        <w:rPr>
          <w:rFonts w:ascii="Times New Roman" w:hAnsi="Times New Roman"/>
        </w:rPr>
        <w:t xml:space="preserve"> are coherent and sufficiently modernised</w:t>
      </w:r>
      <w:r w:rsidR="00ED1E82">
        <w:rPr>
          <w:rFonts w:ascii="Times New Roman" w:hAnsi="Times New Roman"/>
        </w:rPr>
        <w:t xml:space="preserve">, with the new </w:t>
      </w:r>
      <w:r w:rsidR="00454F51">
        <w:rPr>
          <w:rFonts w:ascii="Times New Roman" w:hAnsi="Times New Roman"/>
        </w:rPr>
        <w:t>offence</w:t>
      </w:r>
      <w:r w:rsidR="00ED1E82">
        <w:rPr>
          <w:rFonts w:ascii="Times New Roman" w:hAnsi="Times New Roman"/>
        </w:rPr>
        <w:t xml:space="preserve"> of aggravated assault </w:t>
      </w:r>
      <w:r w:rsidR="007654AE">
        <w:rPr>
          <w:rFonts w:ascii="Times New Roman" w:hAnsi="Times New Roman"/>
        </w:rPr>
        <w:t>designed</w:t>
      </w:r>
      <w:r w:rsidR="00ED1E82">
        <w:rPr>
          <w:rFonts w:ascii="Times New Roman" w:hAnsi="Times New Roman"/>
        </w:rPr>
        <w:t xml:space="preserve"> to criminalise minor harm more accurately. In doing so, it should also free the criminal justice system of expensive and time-consuming Crown Court trials in these cases.</w:t>
      </w:r>
      <w:r w:rsidR="00ED3B6D">
        <w:rPr>
          <w:rFonts w:ascii="Times New Roman" w:hAnsi="Times New Roman"/>
        </w:rPr>
        <w:t xml:space="preserve"> </w:t>
      </w:r>
      <w:r w:rsidR="0082093A">
        <w:rPr>
          <w:rFonts w:ascii="Times New Roman" w:hAnsi="Times New Roman"/>
        </w:rPr>
        <w:t xml:space="preserve">Inevitably, not all will be satisfied with </w:t>
      </w:r>
      <w:r w:rsidR="00ED1E82">
        <w:rPr>
          <w:rFonts w:ascii="Times New Roman" w:hAnsi="Times New Roman"/>
        </w:rPr>
        <w:t xml:space="preserve">the </w:t>
      </w:r>
      <w:r w:rsidR="00D76422">
        <w:rPr>
          <w:rFonts w:ascii="Times New Roman" w:hAnsi="Times New Roman"/>
        </w:rPr>
        <w:t xml:space="preserve">final recommendations. </w:t>
      </w:r>
      <w:r w:rsidR="0082093A">
        <w:rPr>
          <w:rFonts w:ascii="Times New Roman" w:hAnsi="Times New Roman"/>
        </w:rPr>
        <w:t xml:space="preserve">Overlaps between the more serious offences </w:t>
      </w:r>
      <w:r w:rsidR="00454F51">
        <w:rPr>
          <w:rFonts w:ascii="Times New Roman" w:hAnsi="Times New Roman"/>
        </w:rPr>
        <w:t>continue</w:t>
      </w:r>
      <w:r w:rsidR="0082093A">
        <w:rPr>
          <w:rFonts w:ascii="Times New Roman" w:hAnsi="Times New Roman"/>
        </w:rPr>
        <w:t xml:space="preserve">, whilst supporters and </w:t>
      </w:r>
      <w:r w:rsidR="007654AE">
        <w:rPr>
          <w:rFonts w:ascii="Times New Roman" w:hAnsi="Times New Roman"/>
        </w:rPr>
        <w:t>critics</w:t>
      </w:r>
      <w:r w:rsidR="0082093A">
        <w:rPr>
          <w:rFonts w:ascii="Times New Roman" w:hAnsi="Times New Roman"/>
        </w:rPr>
        <w:t xml:space="preserve"> of constructive liability will be unhappy </w:t>
      </w:r>
      <w:r w:rsidR="00AD7AA8">
        <w:rPr>
          <w:rFonts w:ascii="Times New Roman" w:hAnsi="Times New Roman"/>
        </w:rPr>
        <w:t>about</w:t>
      </w:r>
      <w:r w:rsidR="0082093A">
        <w:rPr>
          <w:rFonts w:ascii="Times New Roman" w:hAnsi="Times New Roman"/>
        </w:rPr>
        <w:t xml:space="preserve"> the extent of its role in the new framework of liability. </w:t>
      </w:r>
      <w:r w:rsidR="00ED1E82">
        <w:rPr>
          <w:rFonts w:ascii="Times New Roman" w:hAnsi="Times New Roman"/>
        </w:rPr>
        <w:t xml:space="preserve">In the meantime, controversial issues like </w:t>
      </w:r>
      <w:r w:rsidR="0082093A">
        <w:rPr>
          <w:rFonts w:ascii="Times New Roman" w:hAnsi="Times New Roman"/>
        </w:rPr>
        <w:t>disease transmission and</w:t>
      </w:r>
      <w:r w:rsidR="00ED1E82">
        <w:rPr>
          <w:rFonts w:ascii="Times New Roman" w:hAnsi="Times New Roman"/>
        </w:rPr>
        <w:t xml:space="preserve"> the role of</w:t>
      </w:r>
      <w:r w:rsidR="0082093A">
        <w:rPr>
          <w:rFonts w:ascii="Times New Roman" w:hAnsi="Times New Roman"/>
        </w:rPr>
        <w:t xml:space="preserve"> consent </w:t>
      </w:r>
      <w:r w:rsidR="007654AE">
        <w:rPr>
          <w:rFonts w:ascii="Times New Roman" w:hAnsi="Times New Roman"/>
        </w:rPr>
        <w:t>await fuller attention</w:t>
      </w:r>
      <w:r w:rsidR="00540FE2">
        <w:rPr>
          <w:rFonts w:ascii="Times New Roman" w:hAnsi="Times New Roman"/>
        </w:rPr>
        <w:t xml:space="preserve"> at</w:t>
      </w:r>
      <w:r w:rsidR="00ED1E82">
        <w:rPr>
          <w:rFonts w:ascii="Times New Roman" w:hAnsi="Times New Roman"/>
        </w:rPr>
        <w:t xml:space="preserve"> a later date. </w:t>
      </w:r>
      <w:r w:rsidR="00D76422">
        <w:rPr>
          <w:rFonts w:ascii="Times New Roman" w:hAnsi="Times New Roman"/>
        </w:rPr>
        <w:t>A</w:t>
      </w:r>
      <w:r w:rsidR="007654AE">
        <w:rPr>
          <w:rFonts w:ascii="Times New Roman" w:hAnsi="Times New Roman"/>
        </w:rPr>
        <w:t>side from all this, the changes – if enacted – will</w:t>
      </w:r>
      <w:r w:rsidR="00D76422">
        <w:rPr>
          <w:rFonts w:ascii="Times New Roman" w:hAnsi="Times New Roman"/>
        </w:rPr>
        <w:t xml:space="preserve"> usher in a brand new </w:t>
      </w:r>
      <w:r w:rsidR="00454F51">
        <w:rPr>
          <w:rFonts w:ascii="Times New Roman" w:hAnsi="Times New Roman"/>
        </w:rPr>
        <w:t>set</w:t>
      </w:r>
      <w:r w:rsidR="00D76422">
        <w:rPr>
          <w:rFonts w:ascii="Times New Roman" w:hAnsi="Times New Roman"/>
        </w:rPr>
        <w:t xml:space="preserve"> of offence</w:t>
      </w:r>
      <w:r w:rsidR="006044AE">
        <w:rPr>
          <w:rFonts w:ascii="Times New Roman" w:hAnsi="Times New Roman"/>
        </w:rPr>
        <w:t>s</w:t>
      </w:r>
      <w:r w:rsidR="00D76422">
        <w:rPr>
          <w:rFonts w:ascii="Times New Roman" w:hAnsi="Times New Roman"/>
        </w:rPr>
        <w:t xml:space="preserve">, consigning morally evocative and resonant descriptions like “grievous bodily harm” and “actual bodily harm” to </w:t>
      </w:r>
      <w:r w:rsidR="00454F51">
        <w:rPr>
          <w:rFonts w:ascii="Times New Roman" w:hAnsi="Times New Roman"/>
        </w:rPr>
        <w:t xml:space="preserve">legal </w:t>
      </w:r>
      <w:r w:rsidR="00D76422">
        <w:rPr>
          <w:rFonts w:ascii="Times New Roman" w:hAnsi="Times New Roman"/>
        </w:rPr>
        <w:t>history. A</w:t>
      </w:r>
      <w:r w:rsidR="00153C03">
        <w:rPr>
          <w:rFonts w:ascii="Times New Roman" w:hAnsi="Times New Roman"/>
        </w:rPr>
        <w:t>t</w:t>
      </w:r>
      <w:r w:rsidR="00D76422">
        <w:rPr>
          <w:rFonts w:ascii="Times New Roman" w:hAnsi="Times New Roman"/>
        </w:rPr>
        <w:t xml:space="preserve"> a practical level, this may</w:t>
      </w:r>
      <w:r w:rsidR="007654AE">
        <w:rPr>
          <w:rFonts w:ascii="Times New Roman" w:hAnsi="Times New Roman"/>
        </w:rPr>
        <w:t xml:space="preserve"> be unremarkable</w:t>
      </w:r>
      <w:r w:rsidR="00D76422">
        <w:rPr>
          <w:rFonts w:ascii="Times New Roman" w:hAnsi="Times New Roman"/>
        </w:rPr>
        <w:t xml:space="preserve">. </w:t>
      </w:r>
      <w:r w:rsidR="006044AE">
        <w:rPr>
          <w:rFonts w:ascii="Times New Roman" w:hAnsi="Times New Roman"/>
        </w:rPr>
        <w:t>Yet</w:t>
      </w:r>
      <w:r w:rsidR="00D76422">
        <w:rPr>
          <w:rFonts w:ascii="Times New Roman" w:hAnsi="Times New Roman"/>
        </w:rPr>
        <w:t xml:space="preserve"> as a feature of law reform </w:t>
      </w:r>
      <w:r w:rsidR="006A0113">
        <w:rPr>
          <w:rFonts w:ascii="Times New Roman" w:hAnsi="Times New Roman"/>
        </w:rPr>
        <w:t>it feels significant</w:t>
      </w:r>
      <w:r w:rsidR="00540FE2">
        <w:rPr>
          <w:rFonts w:ascii="Times New Roman" w:hAnsi="Times New Roman"/>
        </w:rPr>
        <w:t xml:space="preserve"> beyond the sentimental. This is perhaps due to the </w:t>
      </w:r>
      <w:r w:rsidR="007320B0">
        <w:rPr>
          <w:rFonts w:ascii="Times New Roman" w:hAnsi="Times New Roman"/>
        </w:rPr>
        <w:t xml:space="preserve">long-established </w:t>
      </w:r>
      <w:r w:rsidR="00504143">
        <w:rPr>
          <w:rFonts w:ascii="Times New Roman" w:hAnsi="Times New Roman"/>
        </w:rPr>
        <w:t xml:space="preserve">nature of </w:t>
      </w:r>
      <w:r w:rsidR="008B3136">
        <w:rPr>
          <w:rFonts w:ascii="Times New Roman" w:hAnsi="Times New Roman"/>
        </w:rPr>
        <w:t>these</w:t>
      </w:r>
      <w:r w:rsidR="00540FE2">
        <w:rPr>
          <w:rFonts w:ascii="Times New Roman" w:hAnsi="Times New Roman"/>
        </w:rPr>
        <w:t xml:space="preserve"> </w:t>
      </w:r>
      <w:r w:rsidR="006044AE">
        <w:rPr>
          <w:rFonts w:ascii="Times New Roman" w:hAnsi="Times New Roman"/>
        </w:rPr>
        <w:t>expressive labels</w:t>
      </w:r>
      <w:r w:rsidR="00DC2FE1">
        <w:rPr>
          <w:rFonts w:ascii="Times New Roman" w:hAnsi="Times New Roman"/>
        </w:rPr>
        <w:t xml:space="preserve"> </w:t>
      </w:r>
      <w:r w:rsidR="00540FE2">
        <w:rPr>
          <w:rFonts w:ascii="Times New Roman" w:hAnsi="Times New Roman"/>
        </w:rPr>
        <w:t xml:space="preserve">and the reticence of </w:t>
      </w:r>
      <w:r w:rsidR="006044AE" w:rsidRPr="0023779F">
        <w:rPr>
          <w:rFonts w:ascii="Times New Roman" w:hAnsi="Times New Roman"/>
        </w:rPr>
        <w:t>recent</w:t>
      </w:r>
      <w:r w:rsidR="006044AE">
        <w:rPr>
          <w:rFonts w:ascii="Times New Roman" w:hAnsi="Times New Roman"/>
        </w:rPr>
        <w:t xml:space="preserve"> </w:t>
      </w:r>
      <w:r w:rsidR="00540FE2">
        <w:rPr>
          <w:rFonts w:ascii="Times New Roman" w:hAnsi="Times New Roman"/>
        </w:rPr>
        <w:t xml:space="preserve">reform </w:t>
      </w:r>
      <w:r w:rsidR="008B3136">
        <w:rPr>
          <w:rFonts w:ascii="Times New Roman" w:hAnsi="Times New Roman"/>
        </w:rPr>
        <w:t>efforts</w:t>
      </w:r>
      <w:r w:rsidR="00DC2FE1">
        <w:rPr>
          <w:rFonts w:ascii="Times New Roman" w:hAnsi="Times New Roman"/>
        </w:rPr>
        <w:t xml:space="preserve"> </w:t>
      </w:r>
      <w:r w:rsidR="00153C03">
        <w:rPr>
          <w:rFonts w:ascii="Times New Roman" w:hAnsi="Times New Roman"/>
        </w:rPr>
        <w:t xml:space="preserve">elsewhere </w:t>
      </w:r>
      <w:r w:rsidR="008B3136">
        <w:rPr>
          <w:rFonts w:ascii="Times New Roman" w:hAnsi="Times New Roman"/>
        </w:rPr>
        <w:t xml:space="preserve">– </w:t>
      </w:r>
      <w:r w:rsidR="00DC2FE1">
        <w:rPr>
          <w:rFonts w:ascii="Times New Roman" w:hAnsi="Times New Roman"/>
        </w:rPr>
        <w:t>notably</w:t>
      </w:r>
      <w:r w:rsidR="008B3136">
        <w:rPr>
          <w:rFonts w:ascii="Times New Roman" w:hAnsi="Times New Roman"/>
        </w:rPr>
        <w:t xml:space="preserve"> those in</w:t>
      </w:r>
      <w:r w:rsidR="00DC2FE1">
        <w:rPr>
          <w:rFonts w:ascii="Times New Roman" w:hAnsi="Times New Roman"/>
        </w:rPr>
        <w:t xml:space="preserve"> other </w:t>
      </w:r>
      <w:r w:rsidR="00DC2FE1" w:rsidRPr="008B4050">
        <w:rPr>
          <w:rFonts w:ascii="Times New Roman" w:hAnsi="Times New Roman"/>
        </w:rPr>
        <w:t>serious</w:t>
      </w:r>
      <w:r w:rsidR="00DC2FE1">
        <w:rPr>
          <w:rFonts w:ascii="Times New Roman" w:hAnsi="Times New Roman"/>
        </w:rPr>
        <w:t xml:space="preserve"> areas, such as</w:t>
      </w:r>
      <w:r w:rsidR="008B3136">
        <w:rPr>
          <w:rFonts w:ascii="Times New Roman" w:hAnsi="Times New Roman"/>
        </w:rPr>
        <w:t xml:space="preserve"> homicide and sexual offences – </w:t>
      </w:r>
      <w:r w:rsidR="00540FE2">
        <w:rPr>
          <w:rFonts w:ascii="Times New Roman" w:hAnsi="Times New Roman"/>
        </w:rPr>
        <w:t xml:space="preserve">to </w:t>
      </w:r>
      <w:r w:rsidR="00DC2FE1">
        <w:rPr>
          <w:rFonts w:ascii="Times New Roman" w:hAnsi="Times New Roman"/>
        </w:rPr>
        <w:t>remove familiar offence names</w:t>
      </w:r>
      <w:r w:rsidR="008B3136">
        <w:rPr>
          <w:rFonts w:ascii="Times New Roman" w:hAnsi="Times New Roman"/>
        </w:rPr>
        <w:t xml:space="preserve"> from the criminal law lexicon.</w:t>
      </w:r>
      <w:r w:rsidR="00454F51">
        <w:rPr>
          <w:rFonts w:ascii="Times New Roman" w:hAnsi="Times New Roman"/>
        </w:rPr>
        <w:t xml:space="preserve"> </w:t>
      </w:r>
      <w:r w:rsidR="00ED058B">
        <w:rPr>
          <w:rFonts w:ascii="Times New Roman" w:hAnsi="Times New Roman"/>
        </w:rPr>
        <w:t>However, notwithstanding this</w:t>
      </w:r>
      <w:r w:rsidR="00454F51">
        <w:rPr>
          <w:rFonts w:ascii="Times New Roman" w:hAnsi="Times New Roman"/>
        </w:rPr>
        <w:t xml:space="preserve">, </w:t>
      </w:r>
      <w:r w:rsidR="00153C03">
        <w:rPr>
          <w:rFonts w:ascii="Times New Roman" w:hAnsi="Times New Roman"/>
        </w:rPr>
        <w:t xml:space="preserve">the </w:t>
      </w:r>
      <w:r w:rsidR="00945D87">
        <w:rPr>
          <w:rFonts w:ascii="Times New Roman" w:hAnsi="Times New Roman"/>
        </w:rPr>
        <w:t>scoping report’s</w:t>
      </w:r>
      <w:r w:rsidR="00153C03">
        <w:rPr>
          <w:rFonts w:ascii="Times New Roman" w:hAnsi="Times New Roman"/>
        </w:rPr>
        <w:t xml:space="preserve"> </w:t>
      </w:r>
      <w:r w:rsidR="007654AE">
        <w:rPr>
          <w:rFonts w:ascii="Times New Roman" w:hAnsi="Times New Roman"/>
        </w:rPr>
        <w:t>recast</w:t>
      </w:r>
      <w:r w:rsidR="00153C03">
        <w:rPr>
          <w:rFonts w:ascii="Times New Roman" w:hAnsi="Times New Roman"/>
        </w:rPr>
        <w:t xml:space="preserve"> offences meet </w:t>
      </w:r>
      <w:r w:rsidR="007654AE">
        <w:rPr>
          <w:rFonts w:ascii="Times New Roman" w:hAnsi="Times New Roman"/>
        </w:rPr>
        <w:t xml:space="preserve">the demands </w:t>
      </w:r>
      <w:r w:rsidR="00153C03">
        <w:rPr>
          <w:rFonts w:ascii="Times New Roman" w:hAnsi="Times New Roman"/>
        </w:rPr>
        <w:t xml:space="preserve">for a </w:t>
      </w:r>
      <w:r w:rsidR="00454F51">
        <w:rPr>
          <w:rFonts w:ascii="Times New Roman" w:hAnsi="Times New Roman"/>
        </w:rPr>
        <w:t>fairer</w:t>
      </w:r>
      <w:r w:rsidR="00153C03">
        <w:rPr>
          <w:rFonts w:ascii="Times New Roman" w:hAnsi="Times New Roman"/>
        </w:rPr>
        <w:t xml:space="preserve">, clearer and </w:t>
      </w:r>
      <w:r w:rsidR="00454F51">
        <w:rPr>
          <w:rFonts w:ascii="Times New Roman" w:hAnsi="Times New Roman"/>
        </w:rPr>
        <w:t xml:space="preserve">more understandable </w:t>
      </w:r>
      <w:r w:rsidR="00BA0A11">
        <w:rPr>
          <w:rFonts w:ascii="Times New Roman" w:hAnsi="Times New Roman"/>
        </w:rPr>
        <w:t>set of</w:t>
      </w:r>
      <w:r w:rsidR="00454F51">
        <w:rPr>
          <w:rFonts w:ascii="Times New Roman" w:hAnsi="Times New Roman"/>
        </w:rPr>
        <w:t xml:space="preserve"> offences against the person. </w:t>
      </w:r>
      <w:r w:rsidR="00945D87">
        <w:rPr>
          <w:rFonts w:ascii="Times New Roman" w:hAnsi="Times New Roman"/>
        </w:rPr>
        <w:t xml:space="preserve">On balance, qualities like these should be applauded as the Commission </w:t>
      </w:r>
      <w:r w:rsidR="007654AE">
        <w:rPr>
          <w:rFonts w:ascii="Times New Roman" w:hAnsi="Times New Roman"/>
        </w:rPr>
        <w:t>seeks</w:t>
      </w:r>
      <w:r w:rsidR="00945D87">
        <w:rPr>
          <w:rFonts w:ascii="Times New Roman" w:hAnsi="Times New Roman"/>
        </w:rPr>
        <w:t xml:space="preserve"> to turn its proposals into law. </w:t>
      </w:r>
    </w:p>
    <w:sectPr w:rsidR="00F257EC" w:rsidRPr="00747A13" w:rsidSect="006A4F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37" w:rsidRDefault="00CC1337" w:rsidP="004B40A2">
      <w:r>
        <w:separator/>
      </w:r>
    </w:p>
  </w:endnote>
  <w:endnote w:type="continuationSeparator" w:id="0">
    <w:p w:rsidR="00CC1337" w:rsidRDefault="00CC1337" w:rsidP="004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50446367"/>
      <w:docPartObj>
        <w:docPartGallery w:val="Page Numbers (Bottom of Page)"/>
        <w:docPartUnique/>
      </w:docPartObj>
    </w:sdtPr>
    <w:sdtEndPr>
      <w:rPr>
        <w:noProof/>
      </w:rPr>
    </w:sdtEndPr>
    <w:sdtContent>
      <w:p w:rsidR="00C04E10" w:rsidRPr="004B40A2" w:rsidRDefault="00F10464">
        <w:pPr>
          <w:pStyle w:val="Footer"/>
          <w:jc w:val="center"/>
          <w:rPr>
            <w:rFonts w:ascii="Times New Roman" w:hAnsi="Times New Roman"/>
          </w:rPr>
        </w:pPr>
        <w:r w:rsidRPr="004B40A2">
          <w:rPr>
            <w:rFonts w:ascii="Times New Roman" w:hAnsi="Times New Roman"/>
          </w:rPr>
          <w:fldChar w:fldCharType="begin"/>
        </w:r>
        <w:r w:rsidR="00C04E10" w:rsidRPr="004B40A2">
          <w:rPr>
            <w:rFonts w:ascii="Times New Roman" w:hAnsi="Times New Roman"/>
          </w:rPr>
          <w:instrText xml:space="preserve"> PAGE   \* MERGEFORMAT </w:instrText>
        </w:r>
        <w:r w:rsidRPr="004B40A2">
          <w:rPr>
            <w:rFonts w:ascii="Times New Roman" w:hAnsi="Times New Roman"/>
          </w:rPr>
          <w:fldChar w:fldCharType="separate"/>
        </w:r>
        <w:r w:rsidR="008340D2">
          <w:rPr>
            <w:rFonts w:ascii="Times New Roman" w:hAnsi="Times New Roman"/>
            <w:noProof/>
          </w:rPr>
          <w:t>3</w:t>
        </w:r>
        <w:r w:rsidRPr="004B40A2">
          <w:rPr>
            <w:rFonts w:ascii="Times New Roman" w:hAnsi="Times New Roman"/>
            <w:noProof/>
          </w:rPr>
          <w:fldChar w:fldCharType="end"/>
        </w:r>
      </w:p>
    </w:sdtContent>
  </w:sdt>
  <w:p w:rsidR="00C04E10" w:rsidRPr="004B40A2" w:rsidRDefault="00C04E1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37" w:rsidRDefault="00CC1337" w:rsidP="004B40A2">
      <w:r>
        <w:separator/>
      </w:r>
    </w:p>
  </w:footnote>
  <w:footnote w:type="continuationSeparator" w:id="0">
    <w:p w:rsidR="00CC1337" w:rsidRDefault="00CC1337" w:rsidP="004B40A2">
      <w:r>
        <w:continuationSeparator/>
      </w:r>
    </w:p>
  </w:footnote>
  <w:footnote w:id="1">
    <w:p w:rsidR="00C04E10" w:rsidRPr="009601FD" w:rsidRDefault="00C04E10" w:rsidP="00706C32">
      <w:pPr>
        <w:autoSpaceDE w:val="0"/>
        <w:autoSpaceDN w:val="0"/>
        <w:adjustRightInd w:val="0"/>
        <w:jc w:val="both"/>
        <w:rPr>
          <w:rFonts w:ascii="Times New Roman" w:hAnsi="Times New Roman"/>
          <w:sz w:val="20"/>
          <w:szCs w:val="20"/>
        </w:rPr>
      </w:pPr>
      <w:r w:rsidRPr="009601FD">
        <w:rPr>
          <w:rStyle w:val="FootnoteReference"/>
          <w:rFonts w:ascii="Times New Roman" w:hAnsi="Times New Roman"/>
          <w:sz w:val="20"/>
          <w:szCs w:val="20"/>
        </w:rPr>
        <w:sym w:font="Symbol" w:char="F02A"/>
      </w:r>
      <w:r w:rsidRPr="009601FD">
        <w:rPr>
          <w:rFonts w:ascii="Times New Roman" w:hAnsi="Times New Roman"/>
          <w:sz w:val="20"/>
          <w:szCs w:val="20"/>
        </w:rPr>
        <w:t xml:space="preserve"> Lecturer in Law, Liverpool Law School, University of Liverpool: </w:t>
      </w:r>
      <w:hyperlink r:id="rId1" w:history="1">
        <w:r w:rsidRPr="009601FD">
          <w:rPr>
            <w:rStyle w:val="Hyperlink"/>
            <w:rFonts w:ascii="Times New Roman" w:hAnsi="Times New Roman"/>
            <w:color w:val="auto"/>
            <w:sz w:val="20"/>
            <w:szCs w:val="20"/>
          </w:rPr>
          <w:t>m.j.r.gibson@liverpool.ac.uk</w:t>
        </w:r>
      </w:hyperlink>
      <w:r w:rsidRPr="009601FD">
        <w:rPr>
          <w:rFonts w:ascii="Times New Roman" w:hAnsi="Times New Roman"/>
          <w:sz w:val="20"/>
          <w:szCs w:val="20"/>
        </w:rPr>
        <w:t xml:space="preserve">. </w:t>
      </w:r>
      <w:r w:rsidR="002F4DB8">
        <w:rPr>
          <w:rFonts w:ascii="Times New Roman" w:hAnsi="Times New Roman"/>
          <w:sz w:val="20"/>
          <w:szCs w:val="20"/>
        </w:rPr>
        <w:t xml:space="preserve">I should like to thank Thomas Horsley and the anonymous reviewer for their </w:t>
      </w:r>
      <w:r w:rsidR="003F3EA3">
        <w:rPr>
          <w:rFonts w:ascii="Times New Roman" w:hAnsi="Times New Roman"/>
          <w:sz w:val="20"/>
          <w:szCs w:val="20"/>
        </w:rPr>
        <w:t xml:space="preserve">helpful </w:t>
      </w:r>
      <w:r w:rsidR="002F4DB8">
        <w:rPr>
          <w:rFonts w:ascii="Times New Roman" w:hAnsi="Times New Roman"/>
          <w:sz w:val="20"/>
          <w:szCs w:val="20"/>
        </w:rPr>
        <w:t xml:space="preserve">comments on an earlier draft of this article. The usual proviso applies. </w:t>
      </w:r>
    </w:p>
  </w:footnote>
  <w:footnote w:id="2">
    <w:p w:rsidR="00C04E10" w:rsidRPr="009601FD" w:rsidRDefault="00C04E10" w:rsidP="00706C32">
      <w:pPr>
        <w:pStyle w:val="FootnoteText"/>
        <w:jc w:val="both"/>
        <w:rPr>
          <w:rFonts w:ascii="Times New Roman" w:hAnsi="Times New Roman"/>
        </w:rPr>
      </w:pPr>
      <w:r w:rsidRPr="009601FD">
        <w:rPr>
          <w:rStyle w:val="FootnoteReference"/>
          <w:rFonts w:ascii="Times New Roman" w:hAnsi="Times New Roman"/>
        </w:rPr>
        <w:footnoteRef/>
      </w:r>
      <w:r w:rsidRPr="009601FD">
        <w:rPr>
          <w:rFonts w:ascii="Times New Roman" w:hAnsi="Times New Roman"/>
        </w:rPr>
        <w:t xml:space="preserve"> 14</w:t>
      </w:r>
      <w:r w:rsidRPr="009601FD">
        <w:rPr>
          <w:rFonts w:ascii="Times New Roman" w:hAnsi="Times New Roman"/>
          <w:vertAlign w:val="superscript"/>
        </w:rPr>
        <w:t>th</w:t>
      </w:r>
      <w:r w:rsidRPr="009601FD">
        <w:rPr>
          <w:rFonts w:ascii="Times New Roman" w:hAnsi="Times New Roman"/>
        </w:rPr>
        <w:t xml:space="preserve"> Report, Offences against the Person: (1980) </w:t>
      </w:r>
      <w:proofErr w:type="spellStart"/>
      <w:r w:rsidRPr="009601FD">
        <w:rPr>
          <w:rFonts w:ascii="Times New Roman" w:hAnsi="Times New Roman"/>
        </w:rPr>
        <w:t>Cmnd</w:t>
      </w:r>
      <w:proofErr w:type="spellEnd"/>
      <w:r w:rsidRPr="009601FD">
        <w:rPr>
          <w:rFonts w:ascii="Times New Roman" w:hAnsi="Times New Roman"/>
        </w:rPr>
        <w:t xml:space="preserve"> 7844.</w:t>
      </w:r>
    </w:p>
  </w:footnote>
  <w:footnote w:id="3">
    <w:p w:rsidR="00C04E10" w:rsidRPr="009601FD" w:rsidRDefault="00C04E10" w:rsidP="00EC09F1">
      <w:pPr>
        <w:pStyle w:val="FootnoteText"/>
        <w:jc w:val="both"/>
        <w:rPr>
          <w:rFonts w:ascii="Times New Roman" w:hAnsi="Times New Roman"/>
        </w:rPr>
      </w:pPr>
      <w:r w:rsidRPr="009601FD">
        <w:rPr>
          <w:rStyle w:val="FootnoteReference"/>
          <w:rFonts w:ascii="Times New Roman" w:hAnsi="Times New Roman"/>
        </w:rPr>
        <w:footnoteRef/>
      </w:r>
      <w:r w:rsidRPr="009601FD">
        <w:rPr>
          <w:rFonts w:ascii="Times New Roman" w:hAnsi="Times New Roman"/>
        </w:rPr>
        <w:t xml:space="preserve"> Law Commission, </w:t>
      </w:r>
      <w:r w:rsidRPr="009601FD">
        <w:rPr>
          <w:rFonts w:ascii="Times New Roman" w:hAnsi="Times New Roman"/>
          <w:i/>
        </w:rPr>
        <w:t>Codification of the Criminal Law: A Report to the Law Commission</w:t>
      </w:r>
      <w:r w:rsidRPr="009601FD">
        <w:rPr>
          <w:rFonts w:ascii="Times New Roman" w:hAnsi="Times New Roman"/>
        </w:rPr>
        <w:t xml:space="preserve">: (1985) Law Com. No.143; Law Commission, </w:t>
      </w:r>
      <w:r w:rsidRPr="009601FD">
        <w:rPr>
          <w:rFonts w:ascii="Times New Roman" w:hAnsi="Times New Roman"/>
          <w:i/>
        </w:rPr>
        <w:t>A Criminal Code for England and Wales</w:t>
      </w:r>
      <w:r w:rsidRPr="009601FD">
        <w:rPr>
          <w:rFonts w:ascii="Times New Roman" w:hAnsi="Times New Roman"/>
        </w:rPr>
        <w:t xml:space="preserve"> (2 </w:t>
      </w:r>
      <w:proofErr w:type="spellStart"/>
      <w:r w:rsidRPr="009601FD">
        <w:rPr>
          <w:rFonts w:ascii="Times New Roman" w:hAnsi="Times New Roman"/>
        </w:rPr>
        <w:t>vols</w:t>
      </w:r>
      <w:proofErr w:type="spellEnd"/>
      <w:r w:rsidRPr="009601FD">
        <w:rPr>
          <w:rFonts w:ascii="Times New Roman" w:hAnsi="Times New Roman"/>
        </w:rPr>
        <w:t xml:space="preserve">): (1989) Law Com. No.177; Law Commission, </w:t>
      </w:r>
      <w:r w:rsidRPr="009601FD">
        <w:rPr>
          <w:rFonts w:ascii="Times New Roman" w:hAnsi="Times New Roman"/>
          <w:i/>
        </w:rPr>
        <w:t>Legislating the Criminal Code: Offences against the Person and General Principles</w:t>
      </w:r>
      <w:r w:rsidRPr="009601FD">
        <w:rPr>
          <w:rFonts w:ascii="Times New Roman" w:hAnsi="Times New Roman"/>
        </w:rPr>
        <w:t xml:space="preserve">: (1992) Law Com. C.P.122; Law Commission, </w:t>
      </w:r>
      <w:r w:rsidRPr="009601FD">
        <w:rPr>
          <w:rFonts w:ascii="Times New Roman" w:hAnsi="Times New Roman"/>
          <w:i/>
        </w:rPr>
        <w:t>Offences against the Person and General Principles</w:t>
      </w:r>
      <w:r w:rsidR="00622918">
        <w:rPr>
          <w:rFonts w:ascii="Times New Roman" w:hAnsi="Times New Roman"/>
        </w:rPr>
        <w:t xml:space="preserve">: (1993) Law Com. No.218; Law Commission, </w:t>
      </w:r>
      <w:r w:rsidR="0004491F" w:rsidRPr="0004491F">
        <w:rPr>
          <w:rFonts w:ascii="Times New Roman" w:hAnsi="Times New Roman"/>
          <w:i/>
        </w:rPr>
        <w:t>Consent and Offences against the Person</w:t>
      </w:r>
      <w:r w:rsidR="0004491F">
        <w:rPr>
          <w:rFonts w:ascii="Times New Roman" w:hAnsi="Times New Roman"/>
        </w:rPr>
        <w:t>: (1994) Law Com. C.P.134.</w:t>
      </w:r>
    </w:p>
  </w:footnote>
  <w:footnote w:id="4">
    <w:p w:rsidR="00C04E10" w:rsidRPr="00607963" w:rsidRDefault="00C04E10" w:rsidP="00706C32">
      <w:pPr>
        <w:pStyle w:val="FootnoteText"/>
        <w:jc w:val="both"/>
        <w:rPr>
          <w:rFonts w:ascii="Times New Roman" w:hAnsi="Times New Roman"/>
        </w:rPr>
      </w:pPr>
      <w:r w:rsidRPr="009601FD">
        <w:rPr>
          <w:rStyle w:val="FootnoteReference"/>
          <w:rFonts w:ascii="Times New Roman" w:hAnsi="Times New Roman"/>
        </w:rPr>
        <w:footnoteRef/>
      </w:r>
      <w:r w:rsidRPr="009601FD">
        <w:rPr>
          <w:rFonts w:ascii="Times New Roman" w:hAnsi="Times New Roman"/>
        </w:rPr>
        <w:t xml:space="preserve"> (1998) Home Office, </w:t>
      </w:r>
      <w:r w:rsidRPr="009601FD">
        <w:rPr>
          <w:rFonts w:ascii="Times New Roman" w:hAnsi="Times New Roman"/>
          <w:i/>
        </w:rPr>
        <w:t>Violence: Reforming the Offences against the Person Act 1861</w:t>
      </w:r>
      <w:r w:rsidRPr="009601FD">
        <w:rPr>
          <w:rFonts w:ascii="Times New Roman" w:hAnsi="Times New Roman"/>
        </w:rPr>
        <w:t>.</w:t>
      </w:r>
      <w:r w:rsidRPr="00607963">
        <w:rPr>
          <w:rFonts w:ascii="Times New Roman" w:hAnsi="Times New Roman"/>
        </w:rPr>
        <w:t xml:space="preserve"> </w:t>
      </w:r>
    </w:p>
  </w:footnote>
  <w:footnote w:id="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sidR="002849E7" w:rsidRPr="002849E7">
        <w:rPr>
          <w:rFonts w:ascii="Times New Roman" w:hAnsi="Times New Roman"/>
          <w:i/>
        </w:rPr>
        <w:t>Eleventh Programme of Law Reform</w:t>
      </w:r>
      <w:r w:rsidR="002849E7">
        <w:rPr>
          <w:rFonts w:ascii="Times New Roman" w:hAnsi="Times New Roman"/>
        </w:rPr>
        <w:t xml:space="preserve">: </w:t>
      </w:r>
      <w:r w:rsidRPr="00607963">
        <w:rPr>
          <w:rFonts w:ascii="Times New Roman" w:hAnsi="Times New Roman"/>
        </w:rPr>
        <w:t xml:space="preserve">(2011) Law Com. No.330, paras 2.61–2.64. </w:t>
      </w:r>
    </w:p>
  </w:footnote>
  <w:footnote w:id="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Law Commission, </w:t>
      </w:r>
      <w:r w:rsidRPr="00607963">
        <w:rPr>
          <w:rFonts w:ascii="Times New Roman" w:hAnsi="Times New Roman"/>
          <w:i/>
        </w:rPr>
        <w:t>Reform of Offences against the Person: A Scoping Consultation Paper</w:t>
      </w:r>
      <w:r w:rsidRPr="00607963">
        <w:rPr>
          <w:rFonts w:ascii="Times New Roman" w:hAnsi="Times New Roman"/>
        </w:rPr>
        <w:t>: (2014) Law Com</w:t>
      </w:r>
      <w:r w:rsidR="003D230C">
        <w:rPr>
          <w:rFonts w:ascii="Times New Roman" w:hAnsi="Times New Roman"/>
        </w:rPr>
        <w:t>.</w:t>
      </w:r>
      <w:r w:rsidRPr="00607963">
        <w:rPr>
          <w:rFonts w:ascii="Times New Roman" w:hAnsi="Times New Roman"/>
        </w:rPr>
        <w:t xml:space="preserve"> C.P.217. </w:t>
      </w:r>
    </w:p>
  </w:footnote>
  <w:footnote w:id="7">
    <w:p w:rsidR="00C04E10" w:rsidRPr="00607963" w:rsidRDefault="00C04E10" w:rsidP="00BB3581">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(2014) Law Com</w:t>
      </w:r>
      <w:r w:rsidR="003D230C">
        <w:rPr>
          <w:rFonts w:ascii="Times New Roman" w:hAnsi="Times New Roman"/>
        </w:rPr>
        <w:t>.</w:t>
      </w:r>
      <w:r w:rsidRPr="00607963">
        <w:rPr>
          <w:rFonts w:ascii="Times New Roman" w:hAnsi="Times New Roman"/>
        </w:rPr>
        <w:t xml:space="preserve"> C.P.217, Ch.5. </w:t>
      </w:r>
    </w:p>
  </w:footnote>
  <w:footnote w:id="8">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Law Commission, </w:t>
      </w:r>
      <w:r w:rsidRPr="00607963">
        <w:rPr>
          <w:rFonts w:ascii="Times New Roman" w:hAnsi="Times New Roman"/>
          <w:i/>
        </w:rPr>
        <w:t>Reform of Offences against the Person</w:t>
      </w:r>
      <w:r w:rsidRPr="00607963">
        <w:rPr>
          <w:rFonts w:ascii="Times New Roman" w:hAnsi="Times New Roman"/>
        </w:rPr>
        <w:t xml:space="preserve">: (2015) Law Com. No.361. </w:t>
      </w:r>
    </w:p>
  </w:footnote>
  <w:footnote w:id="9">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(2015) Law Com. No.361, para.3.9. </w:t>
      </w:r>
    </w:p>
  </w:footnote>
  <w:footnote w:id="10">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(2015) Law Com. No.361, Appendix A. </w:t>
      </w:r>
    </w:p>
  </w:footnote>
  <w:footnote w:id="11">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(2015) Law Com. No.361, para.3.10.</w:t>
      </w:r>
    </w:p>
  </w:footnote>
  <w:footnote w:id="12">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(2015) Law Com. No.361, paras 4.33 and 9.2.</w:t>
      </w:r>
      <w:proofErr w:type="gramEnd"/>
      <w:r w:rsidRPr="00607963">
        <w:rPr>
          <w:rFonts w:ascii="Times New Roman" w:hAnsi="Times New Roman"/>
        </w:rPr>
        <w:t xml:space="preserve"> See also generally Ch.4. </w:t>
      </w:r>
    </w:p>
  </w:footnote>
  <w:footnote w:id="13">
    <w:p w:rsidR="00C04E10" w:rsidRPr="00607963" w:rsidRDefault="00C04E10" w:rsidP="005C3A0A">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Of the 28 respondents in favour of a new statute, 19 explicitly preferred using the 1998 draft Bill as a reform model: (2015) Law Com. No.361, para.4. 5. More generally, see also paras 4.6-4.8. </w:t>
      </w:r>
    </w:p>
  </w:footnote>
  <w:footnote w:id="14">
    <w:p w:rsidR="00C04E10" w:rsidRPr="00607963" w:rsidRDefault="00C04E10" w:rsidP="006435EC">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Pr>
          <w:rFonts w:ascii="Times New Roman" w:hAnsi="Times New Roman"/>
        </w:rPr>
        <w:t xml:space="preserve">See also: A. </w:t>
      </w:r>
      <w:r w:rsidRPr="00607963">
        <w:rPr>
          <w:rFonts w:ascii="Times New Roman" w:hAnsi="Times New Roman"/>
        </w:rPr>
        <w:t xml:space="preserve">Jackson and </w:t>
      </w:r>
      <w:r>
        <w:rPr>
          <w:rFonts w:ascii="Times New Roman" w:hAnsi="Times New Roman"/>
        </w:rPr>
        <w:t xml:space="preserve">T. </w:t>
      </w:r>
      <w:r w:rsidRPr="00607963">
        <w:rPr>
          <w:rFonts w:ascii="Times New Roman" w:hAnsi="Times New Roman"/>
        </w:rPr>
        <w:t xml:space="preserve">Storey, “Reforming Offences against the Person: In Defence of ‘Moderate’ Constructivism” (2015) 79 J. Crim. L. 437, 446. </w:t>
      </w:r>
    </w:p>
  </w:footnote>
  <w:footnote w:id="15">
    <w:p w:rsidR="00C04E10" w:rsidRPr="00281CFC" w:rsidRDefault="00C04E10" w:rsidP="00281CFC">
      <w:pPr>
        <w:pStyle w:val="FootnoteText"/>
        <w:jc w:val="both"/>
        <w:rPr>
          <w:rFonts w:ascii="Times New Roman" w:hAnsi="Times New Roman"/>
        </w:rPr>
      </w:pPr>
      <w:r w:rsidRPr="00281CFC">
        <w:rPr>
          <w:rStyle w:val="FootnoteReference"/>
          <w:rFonts w:ascii="Times New Roman" w:hAnsi="Times New Roman"/>
        </w:rPr>
        <w:footnoteRef/>
      </w:r>
      <w:r w:rsidRPr="00281CFC">
        <w:rPr>
          <w:rFonts w:ascii="Times New Roman" w:hAnsi="Times New Roman"/>
        </w:rPr>
        <w:t xml:space="preserve"> </w:t>
      </w:r>
      <w:r>
        <w:rPr>
          <w:rFonts w:ascii="Times New Roman" w:hAnsi="Times New Roman"/>
        </w:rPr>
        <w:t>Both offences are contained in s</w:t>
      </w:r>
      <w:r w:rsidRPr="00281CFC">
        <w:rPr>
          <w:rFonts w:ascii="Times New Roman" w:hAnsi="Times New Roman"/>
        </w:rPr>
        <w:t>.39 o</w:t>
      </w:r>
      <w:r>
        <w:rPr>
          <w:rFonts w:ascii="Times New Roman" w:hAnsi="Times New Roman"/>
        </w:rPr>
        <w:t xml:space="preserve">f the Criminal Justice Act 1988, although they are still defined at common law: see “Assault and Battery” below. </w:t>
      </w:r>
    </w:p>
  </w:footnote>
  <w:footnote w:id="16">
    <w:p w:rsidR="00C04E10" w:rsidRPr="00281CFC" w:rsidRDefault="00C04E10" w:rsidP="00281CFC">
      <w:pPr>
        <w:pStyle w:val="FootnoteText"/>
        <w:jc w:val="both"/>
        <w:rPr>
          <w:rFonts w:ascii="Times New Roman" w:hAnsi="Times New Roman"/>
        </w:rPr>
      </w:pPr>
      <w:r w:rsidRPr="00281CFC">
        <w:rPr>
          <w:rStyle w:val="FootnoteReference"/>
          <w:rFonts w:ascii="Times New Roman" w:hAnsi="Times New Roman"/>
        </w:rPr>
        <w:footnoteRef/>
      </w:r>
      <w:r w:rsidRPr="00281CFC">
        <w:rPr>
          <w:rFonts w:ascii="Times New Roman" w:hAnsi="Times New Roman"/>
        </w:rPr>
        <w:t xml:space="preserve"> Se</w:t>
      </w:r>
      <w:r w:rsidR="003D230C">
        <w:rPr>
          <w:rFonts w:ascii="Times New Roman" w:hAnsi="Times New Roman"/>
        </w:rPr>
        <w:t>e (2015) Law Com. No.361, Ch.5 (</w:t>
      </w:r>
      <w:r w:rsidRPr="00281CFC">
        <w:rPr>
          <w:rFonts w:ascii="Times New Roman" w:hAnsi="Times New Roman"/>
        </w:rPr>
        <w:t>paras 5.69-5.118</w:t>
      </w:r>
      <w:r w:rsidR="003D230C">
        <w:rPr>
          <w:rFonts w:ascii="Times New Roman" w:hAnsi="Times New Roman"/>
        </w:rPr>
        <w:t>)</w:t>
      </w:r>
      <w:r w:rsidRPr="00281CFC">
        <w:rPr>
          <w:rFonts w:ascii="Times New Roman" w:hAnsi="Times New Roman"/>
        </w:rPr>
        <w:t xml:space="preserve">, Ch.7 and Ch.8. </w:t>
      </w:r>
    </w:p>
  </w:footnote>
  <w:footnote w:id="17">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The offences under ss.18, 20 and 47 generate at least 26,000 prosecutions a year. Assault and battery produce over 100,000 annual prosecutions: (2014) Law Com C.P.217, para.1.3. </w:t>
      </w:r>
      <w:proofErr w:type="gramStart"/>
      <w:r w:rsidRPr="00607963">
        <w:rPr>
          <w:rFonts w:ascii="Times New Roman" w:hAnsi="Times New Roman"/>
        </w:rPr>
        <w:t xml:space="preserve">See also paras </w:t>
      </w:r>
      <w:r>
        <w:rPr>
          <w:rFonts w:ascii="Times New Roman" w:hAnsi="Times New Roman"/>
        </w:rPr>
        <w:t xml:space="preserve">2.133 (s.18); 2.111 (s.20); </w:t>
      </w:r>
      <w:r w:rsidRPr="00607963">
        <w:rPr>
          <w:rFonts w:ascii="Times New Roman" w:hAnsi="Times New Roman"/>
        </w:rPr>
        <w:t>2.72 (s</w:t>
      </w:r>
      <w:r>
        <w:rPr>
          <w:rFonts w:ascii="Times New Roman" w:hAnsi="Times New Roman"/>
        </w:rPr>
        <w:t>.47)</w:t>
      </w:r>
      <w:r w:rsidRPr="00607963">
        <w:rPr>
          <w:rFonts w:ascii="Times New Roman" w:hAnsi="Times New Roman"/>
        </w:rPr>
        <w:t>; and 2.41 (assault and battery).</w:t>
      </w:r>
      <w:proofErr w:type="gramEnd"/>
      <w:r w:rsidRPr="00607963">
        <w:rPr>
          <w:rFonts w:ascii="Times New Roman" w:hAnsi="Times New Roman"/>
        </w:rPr>
        <w:t xml:space="preserve"> In comparison, the non-core crimes </w:t>
      </w:r>
      <w:r>
        <w:rPr>
          <w:rFonts w:ascii="Times New Roman" w:hAnsi="Times New Roman"/>
        </w:rPr>
        <w:t>result in</w:t>
      </w:r>
      <w:r w:rsidRPr="00607963">
        <w:rPr>
          <w:rFonts w:ascii="Times New Roman" w:hAnsi="Times New Roman"/>
        </w:rPr>
        <w:t xml:space="preserve"> only a few prosecutions each year, with some of these offences never encountered in practice: (2014) Law Com</w:t>
      </w:r>
      <w:r w:rsidR="003D230C">
        <w:rPr>
          <w:rFonts w:ascii="Times New Roman" w:hAnsi="Times New Roman"/>
        </w:rPr>
        <w:t>.</w:t>
      </w:r>
      <w:r w:rsidRPr="00607963">
        <w:rPr>
          <w:rFonts w:ascii="Times New Roman" w:hAnsi="Times New Roman"/>
        </w:rPr>
        <w:t xml:space="preserve"> C.P.217, para.1.3. </w:t>
      </w:r>
    </w:p>
  </w:footnote>
  <w:footnote w:id="18">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Pr>
          <w:rFonts w:ascii="Times New Roman" w:hAnsi="Times New Roman"/>
        </w:rPr>
        <w:t>See (2014) C.P. 217, paras 3.16–</w:t>
      </w:r>
      <w:r w:rsidRPr="00607963">
        <w:rPr>
          <w:rFonts w:ascii="Times New Roman" w:hAnsi="Times New Roman"/>
        </w:rPr>
        <w:t>3.2</w:t>
      </w:r>
      <w:r>
        <w:rPr>
          <w:rFonts w:ascii="Times New Roman" w:hAnsi="Times New Roman"/>
        </w:rPr>
        <w:t>1; 3.69-3.78; 3.86-3.90.</w:t>
      </w:r>
    </w:p>
  </w:footnote>
  <w:footnote w:id="19">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[1961] A.C. 290 HL.</w:t>
      </w:r>
      <w:proofErr w:type="gramEnd"/>
    </w:p>
  </w:footnote>
  <w:footnote w:id="20">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per</w:t>
      </w:r>
      <w:proofErr w:type="gramEnd"/>
      <w:r w:rsidRPr="00607963">
        <w:rPr>
          <w:rFonts w:ascii="Times New Roman" w:hAnsi="Times New Roman"/>
        </w:rPr>
        <w:t xml:space="preserve"> Viscount </w:t>
      </w:r>
      <w:proofErr w:type="spellStart"/>
      <w:r w:rsidRPr="00607963">
        <w:rPr>
          <w:rFonts w:ascii="Times New Roman" w:hAnsi="Times New Roman"/>
        </w:rPr>
        <w:t>Kilmuir</w:t>
      </w:r>
      <w:proofErr w:type="spellEnd"/>
      <w:r w:rsidRPr="00607963">
        <w:rPr>
          <w:rFonts w:ascii="Times New Roman" w:hAnsi="Times New Roman"/>
        </w:rPr>
        <w:t xml:space="preserve"> L.C. at 334. </w:t>
      </w:r>
    </w:p>
  </w:footnote>
  <w:footnote w:id="21">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[1999] 1 Cr. App. R. 91 CA.</w:t>
      </w:r>
      <w:proofErr w:type="gramEnd"/>
      <w:r w:rsidRPr="00607963">
        <w:rPr>
          <w:rFonts w:ascii="Times New Roman" w:hAnsi="Times New Roman"/>
        </w:rPr>
        <w:t xml:space="preserve"> </w:t>
      </w:r>
    </w:p>
  </w:footnote>
  <w:footnote w:id="22">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per</w:t>
      </w:r>
      <w:proofErr w:type="gramEnd"/>
      <w:r w:rsidRPr="00607963">
        <w:rPr>
          <w:rFonts w:ascii="Times New Roman" w:hAnsi="Times New Roman"/>
        </w:rPr>
        <w:t xml:space="preserve"> Curtis J. at 97. </w:t>
      </w:r>
    </w:p>
  </w:footnote>
  <w:footnote w:id="23">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[2014] EWCA Crim 889.</w:t>
      </w:r>
      <w:proofErr w:type="gramEnd"/>
      <w:r w:rsidRPr="00607963">
        <w:rPr>
          <w:rFonts w:ascii="Times New Roman" w:hAnsi="Times New Roman"/>
        </w:rPr>
        <w:t xml:space="preserve"> </w:t>
      </w:r>
    </w:p>
  </w:footnote>
  <w:footnote w:id="2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See K. Laird, “R v Golding” [2014] Crim L.R. 686, 689. </w:t>
      </w:r>
    </w:p>
  </w:footnote>
  <w:footnote w:id="2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Hicks</w:t>
      </w:r>
      <w:r w:rsidRPr="00607963">
        <w:rPr>
          <w:rFonts w:ascii="Times New Roman" w:hAnsi="Times New Roman"/>
        </w:rPr>
        <w:t xml:space="preserve"> [2007] EWCA Crim 1500, per </w:t>
      </w:r>
      <w:proofErr w:type="spellStart"/>
      <w:r w:rsidRPr="00607963">
        <w:rPr>
          <w:rFonts w:ascii="Times New Roman" w:hAnsi="Times New Roman"/>
        </w:rPr>
        <w:t>Toulson</w:t>
      </w:r>
      <w:proofErr w:type="spellEnd"/>
      <w:r w:rsidRPr="00607963">
        <w:rPr>
          <w:rFonts w:ascii="Times New Roman" w:hAnsi="Times New Roman"/>
        </w:rPr>
        <w:t xml:space="preserve"> L.J. at [33]–[34].</w:t>
      </w:r>
      <w:proofErr w:type="gramEnd"/>
    </w:p>
  </w:footnote>
  <w:footnote w:id="2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Wood</w:t>
      </w:r>
      <w:r w:rsidRPr="00607963">
        <w:rPr>
          <w:rFonts w:ascii="Times New Roman" w:hAnsi="Times New Roman"/>
        </w:rPr>
        <w:t xml:space="preserve"> (1830) 168 E.R. 1271.</w:t>
      </w:r>
      <w:proofErr w:type="gramEnd"/>
    </w:p>
  </w:footnote>
  <w:footnote w:id="27">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Pr>
          <w:rFonts w:ascii="Times New Roman" w:hAnsi="Times New Roman"/>
        </w:rPr>
        <w:t xml:space="preserve"> This includes transmission of</w:t>
      </w:r>
      <w:r w:rsidRPr="00607963">
        <w:rPr>
          <w:rFonts w:ascii="Times New Roman" w:hAnsi="Times New Roman"/>
        </w:rPr>
        <w:t xml:space="preserve"> HIV (</w:t>
      </w:r>
      <w:proofErr w:type="spellStart"/>
      <w:r w:rsidRPr="00607963">
        <w:rPr>
          <w:rFonts w:ascii="Times New Roman" w:hAnsi="Times New Roman"/>
          <w:i/>
        </w:rPr>
        <w:t>Dica</w:t>
      </w:r>
      <w:proofErr w:type="spellEnd"/>
      <w:r w:rsidRPr="00607963">
        <w:rPr>
          <w:rFonts w:ascii="Times New Roman" w:hAnsi="Times New Roman"/>
        </w:rPr>
        <w:t xml:space="preserve"> [2004] EWCA Crim 1103, (2004) 2 Cr. App. R 28; </w:t>
      </w:r>
      <w:proofErr w:type="spellStart"/>
      <w:r w:rsidRPr="00607963">
        <w:rPr>
          <w:rFonts w:ascii="Times New Roman" w:hAnsi="Times New Roman"/>
          <w:i/>
        </w:rPr>
        <w:t>Konzani</w:t>
      </w:r>
      <w:proofErr w:type="spellEnd"/>
      <w:r w:rsidRPr="00607963">
        <w:rPr>
          <w:rFonts w:ascii="Times New Roman" w:hAnsi="Times New Roman"/>
        </w:rPr>
        <w:t xml:space="preserve"> [2005] EWCA Cri</w:t>
      </w:r>
      <w:r>
        <w:rPr>
          <w:rFonts w:ascii="Times New Roman" w:hAnsi="Times New Roman"/>
        </w:rPr>
        <w:t>m 706, (2005) 2 Cr. App. R 14) and</w:t>
      </w:r>
      <w:r w:rsidRPr="00607963">
        <w:rPr>
          <w:rFonts w:ascii="Times New Roman" w:hAnsi="Times New Roman"/>
        </w:rPr>
        <w:t xml:space="preserve"> genital herpes (</w:t>
      </w:r>
      <w:r w:rsidRPr="00607963">
        <w:rPr>
          <w:rFonts w:ascii="Times New Roman" w:hAnsi="Times New Roman"/>
          <w:i/>
        </w:rPr>
        <w:t>Golding</w:t>
      </w:r>
      <w:r w:rsidRPr="00607963">
        <w:rPr>
          <w:rFonts w:ascii="Times New Roman" w:hAnsi="Times New Roman"/>
        </w:rPr>
        <w:t xml:space="preserve">). </w:t>
      </w:r>
      <w:r>
        <w:rPr>
          <w:rFonts w:ascii="Times New Roman" w:hAnsi="Times New Roman"/>
        </w:rPr>
        <w:t>Such l</w:t>
      </w:r>
      <w:r w:rsidRPr="00607963">
        <w:rPr>
          <w:rFonts w:ascii="Times New Roman" w:hAnsi="Times New Roman"/>
        </w:rPr>
        <w:t>iability is considered in more detail below: see “</w:t>
      </w:r>
      <w:r>
        <w:rPr>
          <w:rFonts w:ascii="Times New Roman" w:hAnsi="Times New Roman"/>
        </w:rPr>
        <w:t>Reflecting Wrongdoing #1</w:t>
      </w:r>
      <w:r w:rsidRPr="00607963">
        <w:rPr>
          <w:rFonts w:ascii="Times New Roman" w:hAnsi="Times New Roman"/>
        </w:rPr>
        <w:t>”</w:t>
      </w:r>
      <w:r>
        <w:rPr>
          <w:rFonts w:ascii="Times New Roman" w:hAnsi="Times New Roman"/>
        </w:rPr>
        <w:t>, “Reflecting Wrongdoing #2”</w:t>
      </w:r>
      <w:r w:rsidRPr="00607963">
        <w:rPr>
          <w:rFonts w:ascii="Times New Roman" w:hAnsi="Times New Roman"/>
        </w:rPr>
        <w:t xml:space="preserve"> and “Disease Transmission”. </w:t>
      </w:r>
    </w:p>
  </w:footnote>
  <w:footnote w:id="28">
    <w:p w:rsidR="00C04E10" w:rsidRPr="00607963" w:rsidRDefault="00C04E10" w:rsidP="00010366">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See </w:t>
      </w:r>
      <w:r w:rsidRPr="00607963">
        <w:rPr>
          <w:rFonts w:ascii="Times New Roman" w:hAnsi="Times New Roman"/>
          <w:i/>
        </w:rPr>
        <w:t>Clarence</w:t>
      </w:r>
      <w:r w:rsidRPr="00607963">
        <w:rPr>
          <w:rFonts w:ascii="Times New Roman" w:hAnsi="Times New Roman"/>
        </w:rPr>
        <w:t xml:space="preserve"> (1888) 22 Q.B.D. 23 HC. </w:t>
      </w:r>
    </w:p>
  </w:footnote>
  <w:footnote w:id="29">
    <w:p w:rsidR="00C04E10" w:rsidRPr="00607963" w:rsidRDefault="00C04E10" w:rsidP="00010366">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The difference in </w:t>
      </w:r>
      <w:proofErr w:type="spellStart"/>
      <w:r w:rsidRPr="00607963">
        <w:rPr>
          <w:rFonts w:ascii="Times New Roman" w:hAnsi="Times New Roman"/>
        </w:rPr>
        <w:t>mens</w:t>
      </w:r>
      <w:proofErr w:type="spellEnd"/>
      <w:r w:rsidRPr="00607963">
        <w:rPr>
          <w:rFonts w:ascii="Times New Roman" w:hAnsi="Times New Roman"/>
        </w:rPr>
        <w:t xml:space="preserve"> rea between ss.18 and 20 is outlined below. See “Framing Fault” and “Framing Punishment”.  </w:t>
      </w:r>
    </w:p>
  </w:footnote>
  <w:footnote w:id="30">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[1998] A.C. 147 HL.</w:t>
      </w:r>
      <w:proofErr w:type="gramEnd"/>
    </w:p>
  </w:footnote>
  <w:footnote w:id="31">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per</w:t>
      </w:r>
      <w:proofErr w:type="gramEnd"/>
      <w:r w:rsidRPr="00607963">
        <w:rPr>
          <w:rFonts w:ascii="Times New Roman" w:hAnsi="Times New Roman"/>
        </w:rPr>
        <w:t xml:space="preserve"> Lord Hope at 164. </w:t>
      </w:r>
    </w:p>
  </w:footnote>
  <w:footnote w:id="32">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sidR="00953FD3">
        <w:rPr>
          <w:rFonts w:ascii="Times New Roman" w:hAnsi="Times New Roman"/>
        </w:rPr>
        <w:t xml:space="preserve">See </w:t>
      </w:r>
      <w:r>
        <w:rPr>
          <w:rFonts w:ascii="Times New Roman" w:hAnsi="Times New Roman"/>
        </w:rPr>
        <w:t xml:space="preserve">M. </w:t>
      </w:r>
      <w:r w:rsidRPr="00607963">
        <w:rPr>
          <w:rFonts w:ascii="Times New Roman" w:hAnsi="Times New Roman"/>
        </w:rPr>
        <w:t>Jefferson, “Offences against the Person: Into the 21</w:t>
      </w:r>
      <w:r w:rsidRPr="00607963">
        <w:rPr>
          <w:rFonts w:ascii="Times New Roman" w:hAnsi="Times New Roman"/>
          <w:vertAlign w:val="superscript"/>
        </w:rPr>
        <w:t>st</w:t>
      </w:r>
      <w:r w:rsidRPr="00607963">
        <w:rPr>
          <w:rFonts w:ascii="Times New Roman" w:hAnsi="Times New Roman"/>
        </w:rPr>
        <w:t xml:space="preserve"> Century” (2012) 76 J. Crim. L. 472, 483. </w:t>
      </w:r>
    </w:p>
  </w:footnote>
  <w:footnote w:id="33">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C v Eisenhower</w:t>
      </w:r>
      <w:r w:rsidRPr="00607963">
        <w:rPr>
          <w:rFonts w:ascii="Times New Roman" w:hAnsi="Times New Roman"/>
        </w:rPr>
        <w:t xml:space="preserve"> [1984] Q.B. 331 HC, per Robert Goff L.J. at 340.</w:t>
      </w:r>
      <w:proofErr w:type="gramEnd"/>
      <w:r w:rsidRPr="00607963">
        <w:rPr>
          <w:rFonts w:ascii="Times New Roman" w:hAnsi="Times New Roman"/>
        </w:rPr>
        <w:t xml:space="preserve"> </w:t>
      </w:r>
    </w:p>
  </w:footnote>
  <w:footnote w:id="3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This also creates sentencing controversies. See discussion below: “Framing Punishment”. </w:t>
      </w:r>
    </w:p>
  </w:footnote>
  <w:footnote w:id="3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Miller</w:t>
      </w:r>
      <w:r w:rsidRPr="00607963">
        <w:rPr>
          <w:rFonts w:ascii="Times New Roman" w:hAnsi="Times New Roman"/>
        </w:rPr>
        <w:t xml:space="preserve"> (1954) 38 Cr. App. R. 1 (Assizes, Winchester), per </w:t>
      </w:r>
      <w:proofErr w:type="spellStart"/>
      <w:r w:rsidRPr="00607963">
        <w:rPr>
          <w:rFonts w:ascii="Times New Roman" w:hAnsi="Times New Roman"/>
        </w:rPr>
        <w:t>Lynskey</w:t>
      </w:r>
      <w:proofErr w:type="spellEnd"/>
      <w:r w:rsidRPr="00607963">
        <w:rPr>
          <w:rFonts w:ascii="Times New Roman" w:hAnsi="Times New Roman"/>
        </w:rPr>
        <w:t xml:space="preserve"> J. at 10.</w:t>
      </w:r>
      <w:proofErr w:type="gramEnd"/>
      <w:r w:rsidRPr="00607963">
        <w:rPr>
          <w:rFonts w:ascii="Times New Roman" w:hAnsi="Times New Roman"/>
        </w:rPr>
        <w:t xml:space="preserve"> </w:t>
      </w:r>
    </w:p>
  </w:footnote>
  <w:footnote w:id="3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Donovan</w:t>
      </w:r>
      <w:r w:rsidRPr="00607963">
        <w:rPr>
          <w:rFonts w:ascii="Times New Roman" w:hAnsi="Times New Roman"/>
        </w:rPr>
        <w:t xml:space="preserve"> (1936) 25 Cr. App. R. 1 CA, per Swift J. at 13.</w:t>
      </w:r>
      <w:proofErr w:type="gramEnd"/>
      <w:r w:rsidRPr="00607963">
        <w:rPr>
          <w:rFonts w:ascii="Times New Roman" w:hAnsi="Times New Roman"/>
        </w:rPr>
        <w:t xml:space="preserve"> </w:t>
      </w:r>
    </w:p>
  </w:footnote>
  <w:footnote w:id="37">
    <w:p w:rsidR="00C04E10" w:rsidRPr="0028359F"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w:t>
      </w:r>
      <w:proofErr w:type="gramStart"/>
      <w:r w:rsidRPr="0028359F">
        <w:rPr>
          <w:rFonts w:ascii="Times New Roman" w:hAnsi="Times New Roman"/>
          <w:i/>
        </w:rPr>
        <w:t>DPP v Smith</w:t>
      </w:r>
      <w:r w:rsidRPr="0028359F">
        <w:rPr>
          <w:rFonts w:ascii="Times New Roman" w:hAnsi="Times New Roman"/>
        </w:rPr>
        <w:t xml:space="preserve"> [2006] EWHC 94 (Admin); [2006] 2 Cr. App. R. 1, per Sir Igor Judge P. at 4.</w:t>
      </w:r>
      <w:proofErr w:type="gramEnd"/>
      <w:r w:rsidRPr="0028359F">
        <w:rPr>
          <w:rFonts w:ascii="Times New Roman" w:hAnsi="Times New Roman"/>
        </w:rPr>
        <w:t xml:space="preserve">  </w:t>
      </w:r>
    </w:p>
  </w:footnote>
  <w:footnote w:id="38">
    <w:p w:rsidR="00C04E10" w:rsidRPr="0028359F"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w:t>
      </w:r>
      <w:proofErr w:type="gramStart"/>
      <w:r w:rsidRPr="0028359F">
        <w:rPr>
          <w:rFonts w:ascii="Times New Roman" w:hAnsi="Times New Roman"/>
          <w:i/>
        </w:rPr>
        <w:t>T v DPP</w:t>
      </w:r>
      <w:r w:rsidRPr="0028359F">
        <w:rPr>
          <w:rFonts w:ascii="Times New Roman" w:hAnsi="Times New Roman"/>
        </w:rPr>
        <w:t xml:space="preserve"> [2003] EWHC 266 (Admin); [2003] Crim L.R. 622.</w:t>
      </w:r>
      <w:proofErr w:type="gramEnd"/>
    </w:p>
  </w:footnote>
  <w:footnote w:id="39">
    <w:p w:rsidR="00C04E10" w:rsidRPr="0028359F"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(2014) Law Com</w:t>
      </w:r>
      <w:r w:rsidR="004B7575">
        <w:rPr>
          <w:rFonts w:ascii="Times New Roman" w:hAnsi="Times New Roman"/>
        </w:rPr>
        <w:t>.</w:t>
      </w:r>
      <w:r w:rsidRPr="0028359F">
        <w:rPr>
          <w:rFonts w:ascii="Times New Roman" w:hAnsi="Times New Roman"/>
        </w:rPr>
        <w:t xml:space="preserve"> C.P.217, para.2.103. </w:t>
      </w:r>
    </w:p>
  </w:footnote>
  <w:footnote w:id="40">
    <w:p w:rsidR="00C04E10" w:rsidRPr="0028359F"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The Crown Prosecution Service (CPS) states that s.47 may be used where “injuries are serious”: CPS, </w:t>
      </w:r>
      <w:r w:rsidRPr="0028359F">
        <w:rPr>
          <w:rFonts w:ascii="Times New Roman" w:hAnsi="Times New Roman"/>
          <w:i/>
        </w:rPr>
        <w:t xml:space="preserve">Legal Guidance: Offences against the Person, Incorporating </w:t>
      </w:r>
      <w:r w:rsidR="004B6BF2">
        <w:rPr>
          <w:rFonts w:ascii="Times New Roman" w:hAnsi="Times New Roman"/>
          <w:i/>
        </w:rPr>
        <w:t xml:space="preserve">the </w:t>
      </w:r>
      <w:r w:rsidRPr="0028359F">
        <w:rPr>
          <w:rFonts w:ascii="Times New Roman" w:hAnsi="Times New Roman"/>
          <w:i/>
        </w:rPr>
        <w:t>Charging Standard</w:t>
      </w:r>
      <w:r w:rsidRPr="0028359F">
        <w:rPr>
          <w:rFonts w:ascii="Times New Roman" w:hAnsi="Times New Roman"/>
        </w:rPr>
        <w:t>: http://www.cps.gov.uk/legal/l_to_o/offences_against_the_person/#a15 [accessed March 14, 2016]. However, the Commission makes clear that under s.47 the CPS is using “serious” to mean “significant”, as distinguished from “of exceptional gravity” in the context of GBH: (2014) Law Com C.P.217, para.2.34.</w:t>
      </w:r>
      <w:r>
        <w:rPr>
          <w:rFonts w:ascii="Times New Roman" w:hAnsi="Times New Roman"/>
        </w:rPr>
        <w:t xml:space="preserve"> </w:t>
      </w:r>
    </w:p>
  </w:footnote>
  <w:footnote w:id="41">
    <w:p w:rsidR="00C04E10" w:rsidRPr="0028359F"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Admittedly, as between ss.20 and 47, this pragmatism makes no difference at sentencing. See below: “Framing Punishment”.  </w:t>
      </w:r>
    </w:p>
  </w:footnote>
  <w:footnote w:id="42">
    <w:p w:rsidR="00C04E10" w:rsidRPr="0028359F"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The s.18 offence includes both the ss.20 and 47 offences: </w:t>
      </w:r>
      <w:proofErr w:type="spellStart"/>
      <w:r w:rsidRPr="0028359F">
        <w:rPr>
          <w:rFonts w:ascii="Times New Roman" w:hAnsi="Times New Roman"/>
          <w:i/>
        </w:rPr>
        <w:t>Mandair</w:t>
      </w:r>
      <w:proofErr w:type="spellEnd"/>
      <w:r w:rsidRPr="0028359F">
        <w:rPr>
          <w:rFonts w:ascii="Times New Roman" w:hAnsi="Times New Roman"/>
        </w:rPr>
        <w:t xml:space="preserve"> (1994) 99 Cr. App. R. 55 CA.</w:t>
      </w:r>
    </w:p>
  </w:footnote>
  <w:footnote w:id="43">
    <w:p w:rsidR="00C04E10" w:rsidRPr="00607963" w:rsidRDefault="00C04E10" w:rsidP="0028359F">
      <w:pPr>
        <w:pStyle w:val="FootnoteText"/>
        <w:jc w:val="both"/>
        <w:rPr>
          <w:rFonts w:ascii="Times New Roman" w:hAnsi="Times New Roman"/>
        </w:rPr>
      </w:pPr>
      <w:r w:rsidRPr="0028359F">
        <w:rPr>
          <w:rStyle w:val="FootnoteReference"/>
          <w:rFonts w:ascii="Times New Roman" w:hAnsi="Times New Roman"/>
        </w:rPr>
        <w:footnoteRef/>
      </w:r>
      <w:r w:rsidRPr="0028359F">
        <w:rPr>
          <w:rFonts w:ascii="Times New Roman" w:hAnsi="Times New Roman"/>
        </w:rPr>
        <w:t xml:space="preserve"> (2014) Law Com C.P.217, para.2.105. The s.20 offence also includes the s.47 offence: </w:t>
      </w:r>
      <w:r w:rsidRPr="0028359F">
        <w:rPr>
          <w:rFonts w:ascii="Times New Roman" w:hAnsi="Times New Roman"/>
          <w:i/>
        </w:rPr>
        <w:t>Wilson and Jenkins</w:t>
      </w:r>
      <w:r w:rsidRPr="0028359F">
        <w:rPr>
          <w:rFonts w:ascii="Times New Roman" w:hAnsi="Times New Roman"/>
        </w:rPr>
        <w:t xml:space="preserve"> [1984] A.C. 242 HL, per Lord Roskill at 261.</w:t>
      </w:r>
      <w:r w:rsidRPr="00607963">
        <w:rPr>
          <w:rFonts w:ascii="Times New Roman" w:hAnsi="Times New Roman"/>
        </w:rPr>
        <w:t xml:space="preserve"> </w:t>
      </w:r>
    </w:p>
  </w:footnote>
  <w:footnote w:id="4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per</w:t>
      </w:r>
      <w:proofErr w:type="gramEnd"/>
      <w:r w:rsidRPr="00607963">
        <w:rPr>
          <w:rFonts w:ascii="Times New Roman" w:hAnsi="Times New Roman"/>
        </w:rPr>
        <w:t xml:space="preserve"> Lord Steyn at 159. </w:t>
      </w:r>
      <w:r w:rsidRPr="00607963">
        <w:rPr>
          <w:rFonts w:ascii="Times New Roman" w:hAnsi="Times New Roman"/>
          <w:i/>
        </w:rPr>
        <w:t>Dhaliwal</w:t>
      </w:r>
      <w:r w:rsidRPr="00607963">
        <w:rPr>
          <w:rFonts w:ascii="Times New Roman" w:hAnsi="Times New Roman"/>
        </w:rPr>
        <w:t xml:space="preserve"> [2006] EWCA Crim 1139; [2006] 2 Cr. App. R. 24 rules that psychological injury, not amounting to a recognised psychiatric condition, cannot amount to “bodily harm”: per Sir Igor Judge P. at [31]. </w:t>
      </w:r>
    </w:p>
  </w:footnote>
  <w:footnote w:id="4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sidRPr="00607963">
        <w:rPr>
          <w:rFonts w:ascii="Times New Roman" w:hAnsi="Times New Roman"/>
          <w:i/>
        </w:rPr>
        <w:t>Roberts</w:t>
      </w:r>
      <w:r w:rsidRPr="00607963">
        <w:rPr>
          <w:rFonts w:ascii="Times New Roman" w:hAnsi="Times New Roman"/>
        </w:rPr>
        <w:t xml:space="preserve"> (1972) 56 Cr. App. R. 95 CA, per Stephenson L.J. at 99–100. </w:t>
      </w:r>
    </w:p>
  </w:footnote>
  <w:footnote w:id="46">
    <w:p w:rsidR="00C04E10" w:rsidRPr="00F1287F" w:rsidRDefault="00C04E10" w:rsidP="00F1287F">
      <w:pPr>
        <w:pStyle w:val="FootnoteText"/>
        <w:jc w:val="both"/>
        <w:rPr>
          <w:rFonts w:ascii="Times New Roman" w:hAnsi="Times New Roman"/>
        </w:rPr>
      </w:pPr>
      <w:r w:rsidRPr="00F1287F">
        <w:rPr>
          <w:rStyle w:val="FootnoteReference"/>
          <w:rFonts w:ascii="Times New Roman" w:hAnsi="Times New Roman"/>
        </w:rPr>
        <w:footnoteRef/>
      </w:r>
      <w:r w:rsidRPr="00F1287F">
        <w:rPr>
          <w:rFonts w:ascii="Times New Roman" w:hAnsi="Times New Roman"/>
        </w:rPr>
        <w:t xml:space="preserve"> In s.47, the word “assault” is taken to include both assault and battery: (2014) Law Com</w:t>
      </w:r>
      <w:r w:rsidR="004B7575">
        <w:rPr>
          <w:rFonts w:ascii="Times New Roman" w:hAnsi="Times New Roman"/>
        </w:rPr>
        <w:t>.</w:t>
      </w:r>
      <w:r w:rsidRPr="00F1287F">
        <w:rPr>
          <w:rFonts w:ascii="Times New Roman" w:hAnsi="Times New Roman"/>
        </w:rPr>
        <w:t xml:space="preserve"> C.P.217, para.2.50. </w:t>
      </w:r>
    </w:p>
  </w:footnote>
  <w:footnote w:id="47">
    <w:p w:rsidR="00C04E10" w:rsidRPr="00F1287F" w:rsidRDefault="00C04E10" w:rsidP="00F1287F">
      <w:pPr>
        <w:pStyle w:val="FootnoteText"/>
        <w:jc w:val="both"/>
        <w:rPr>
          <w:rFonts w:ascii="Times New Roman" w:hAnsi="Times New Roman"/>
        </w:rPr>
      </w:pPr>
      <w:r w:rsidRPr="00F1287F">
        <w:rPr>
          <w:rStyle w:val="FootnoteReference"/>
          <w:rFonts w:ascii="Times New Roman" w:hAnsi="Times New Roman"/>
        </w:rPr>
        <w:footnoteRef/>
      </w:r>
      <w:r w:rsidRPr="00F1287F">
        <w:rPr>
          <w:rFonts w:ascii="Times New Roman" w:hAnsi="Times New Roman"/>
        </w:rPr>
        <w:t xml:space="preserve"> (2014) Law Com</w:t>
      </w:r>
      <w:r w:rsidR="004B7575">
        <w:rPr>
          <w:rFonts w:ascii="Times New Roman" w:hAnsi="Times New Roman"/>
        </w:rPr>
        <w:t>.</w:t>
      </w:r>
      <w:r w:rsidRPr="00F1287F">
        <w:rPr>
          <w:rFonts w:ascii="Times New Roman" w:hAnsi="Times New Roman"/>
        </w:rPr>
        <w:t xml:space="preserve"> C.P.217, para.2.54.</w:t>
      </w:r>
    </w:p>
  </w:footnote>
  <w:footnote w:id="48">
    <w:p w:rsidR="00C04E10" w:rsidRPr="00607963" w:rsidRDefault="00C04E10" w:rsidP="00F1287F">
      <w:pPr>
        <w:pStyle w:val="FootnoteText"/>
        <w:jc w:val="both"/>
        <w:rPr>
          <w:rFonts w:ascii="Times New Roman" w:hAnsi="Times New Roman"/>
        </w:rPr>
      </w:pPr>
      <w:r w:rsidRPr="00F1287F">
        <w:rPr>
          <w:rStyle w:val="FootnoteReference"/>
          <w:rFonts w:ascii="Times New Roman" w:hAnsi="Times New Roman"/>
        </w:rPr>
        <w:footnoteRef/>
      </w:r>
      <w:r w:rsidRPr="00F1287F">
        <w:rPr>
          <w:rFonts w:ascii="Times New Roman" w:hAnsi="Times New Roman"/>
        </w:rPr>
        <w:t xml:space="preserve"> </w:t>
      </w:r>
      <w:proofErr w:type="gramStart"/>
      <w:r w:rsidRPr="00F1287F">
        <w:rPr>
          <w:rFonts w:ascii="Times New Roman" w:hAnsi="Times New Roman"/>
          <w:i/>
        </w:rPr>
        <w:t xml:space="preserve">Collins v Wilcock </w:t>
      </w:r>
      <w:r w:rsidRPr="00F1287F">
        <w:rPr>
          <w:rFonts w:ascii="Times New Roman" w:hAnsi="Times New Roman"/>
        </w:rPr>
        <w:t>[1984</w:t>
      </w:r>
      <w:r w:rsidRPr="00607963">
        <w:rPr>
          <w:rFonts w:ascii="Times New Roman" w:hAnsi="Times New Roman"/>
        </w:rPr>
        <w:t>] 1 W.L.R. 1172 HC, per Robert Goff L.J. at 1177.</w:t>
      </w:r>
      <w:proofErr w:type="gramEnd"/>
    </w:p>
  </w:footnote>
  <w:footnote w:id="49">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CPS, </w:t>
      </w:r>
      <w:r w:rsidRPr="00607963">
        <w:rPr>
          <w:rFonts w:ascii="Times New Roman" w:hAnsi="Times New Roman"/>
          <w:i/>
        </w:rPr>
        <w:t>Legal Guidance: Offences against the Person, Incorporating Charging Standard</w:t>
      </w:r>
      <w:r w:rsidRPr="00607963">
        <w:rPr>
          <w:rFonts w:ascii="Times New Roman" w:hAnsi="Times New Roman"/>
        </w:rPr>
        <w:t>: http://www.cps.gov.uk/legal/l_to_o/offences_against_the_person/#a15 [accessed March 17, 2016]. See also (2014) Law Com</w:t>
      </w:r>
      <w:r w:rsidR="005B75D8">
        <w:rPr>
          <w:rFonts w:ascii="Times New Roman" w:hAnsi="Times New Roman"/>
        </w:rPr>
        <w:t>.</w:t>
      </w:r>
      <w:r w:rsidRPr="00607963">
        <w:rPr>
          <w:rFonts w:ascii="Times New Roman" w:hAnsi="Times New Roman"/>
        </w:rPr>
        <w:t xml:space="preserve"> C.P.217, paras 2.34 and 2.67. </w:t>
      </w:r>
    </w:p>
  </w:footnote>
  <w:footnote w:id="50">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Whilst battery (like assault) is a summary only offence, it remains available as an alternative verdict to ss.18, 20 and 47. This is true even though these first two crimes are indictable only and the third may still be tried on indictment as an “either way” offence. See the Commission’s discussion at</w:t>
      </w:r>
      <w:r>
        <w:rPr>
          <w:rFonts w:ascii="Times New Roman" w:hAnsi="Times New Roman"/>
        </w:rPr>
        <w:t>:</w:t>
      </w:r>
      <w:r w:rsidRPr="00607963">
        <w:rPr>
          <w:rFonts w:ascii="Times New Roman" w:hAnsi="Times New Roman"/>
        </w:rPr>
        <w:t xml:space="preserve"> (2014) Law Com</w:t>
      </w:r>
      <w:r w:rsidR="005B75D8">
        <w:rPr>
          <w:rFonts w:ascii="Times New Roman" w:hAnsi="Times New Roman"/>
        </w:rPr>
        <w:t>.</w:t>
      </w:r>
      <w:r w:rsidRPr="00607963">
        <w:rPr>
          <w:rFonts w:ascii="Times New Roman" w:hAnsi="Times New Roman"/>
        </w:rPr>
        <w:t xml:space="preserve"> C.P.217, paras 2.105 and 5.201. </w:t>
      </w:r>
    </w:p>
  </w:footnote>
  <w:footnote w:id="51">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This is explored more below: see “Framing Punishment”. </w:t>
      </w:r>
    </w:p>
  </w:footnote>
  <w:footnote w:id="52">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sidRPr="00607963">
        <w:rPr>
          <w:rFonts w:ascii="Times New Roman" w:hAnsi="Times New Roman"/>
          <w:i/>
        </w:rPr>
        <w:t xml:space="preserve">Ireland and </w:t>
      </w:r>
      <w:proofErr w:type="spellStart"/>
      <w:r w:rsidRPr="00607963">
        <w:rPr>
          <w:rFonts w:ascii="Times New Roman" w:hAnsi="Times New Roman"/>
          <w:i/>
        </w:rPr>
        <w:t>Burstow</w:t>
      </w:r>
      <w:proofErr w:type="spellEnd"/>
      <w:r w:rsidRPr="00607963">
        <w:rPr>
          <w:rFonts w:ascii="Times New Roman" w:hAnsi="Times New Roman"/>
        </w:rPr>
        <w:t xml:space="preserve">, per Lord Steyn at 161–162. </w:t>
      </w:r>
    </w:p>
  </w:footnote>
  <w:footnote w:id="53">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 xml:space="preserve">Ireland and </w:t>
      </w:r>
      <w:proofErr w:type="spellStart"/>
      <w:r w:rsidRPr="00607963">
        <w:rPr>
          <w:rFonts w:ascii="Times New Roman" w:hAnsi="Times New Roman"/>
          <w:i/>
        </w:rPr>
        <w:t>Burstow</w:t>
      </w:r>
      <w:proofErr w:type="spellEnd"/>
      <w:r w:rsidRPr="00607963">
        <w:rPr>
          <w:rFonts w:ascii="Times New Roman" w:hAnsi="Times New Roman"/>
        </w:rPr>
        <w:t>, per Lord Steyn at 161.</w:t>
      </w:r>
      <w:proofErr w:type="gramEnd"/>
    </w:p>
  </w:footnote>
  <w:footnote w:id="5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Smith v Chief Superintendent of Woking Police Station</w:t>
      </w:r>
      <w:r w:rsidRPr="00607963">
        <w:rPr>
          <w:rFonts w:ascii="Times New Roman" w:hAnsi="Times New Roman"/>
        </w:rPr>
        <w:t xml:space="preserve"> (1983) 76 Cr. App. R. 234 HC, per Kerr L.J. at 237–238.</w:t>
      </w:r>
      <w:proofErr w:type="gramEnd"/>
      <w:r w:rsidRPr="00607963">
        <w:rPr>
          <w:rFonts w:ascii="Times New Roman" w:hAnsi="Times New Roman"/>
        </w:rPr>
        <w:t xml:space="preserve"> </w:t>
      </w:r>
    </w:p>
  </w:footnote>
  <w:footnote w:id="5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spellStart"/>
      <w:proofErr w:type="gramStart"/>
      <w:r w:rsidRPr="00607963">
        <w:rPr>
          <w:rFonts w:ascii="Times New Roman" w:hAnsi="Times New Roman"/>
          <w:i/>
        </w:rPr>
        <w:t>Constanza</w:t>
      </w:r>
      <w:proofErr w:type="spellEnd"/>
      <w:r w:rsidRPr="00607963">
        <w:rPr>
          <w:rFonts w:ascii="Times New Roman" w:hAnsi="Times New Roman"/>
        </w:rPr>
        <w:t xml:space="preserve"> [1997] 2 Cr. App. R. 492 CA, per </w:t>
      </w:r>
      <w:proofErr w:type="spellStart"/>
      <w:r w:rsidRPr="00607963">
        <w:rPr>
          <w:rFonts w:ascii="Times New Roman" w:hAnsi="Times New Roman"/>
        </w:rPr>
        <w:t>Schiemann</w:t>
      </w:r>
      <w:proofErr w:type="spellEnd"/>
      <w:r w:rsidRPr="00607963">
        <w:rPr>
          <w:rFonts w:ascii="Times New Roman" w:hAnsi="Times New Roman"/>
        </w:rPr>
        <w:t xml:space="preserve"> L.J. at 496.</w:t>
      </w:r>
      <w:proofErr w:type="gramEnd"/>
      <w:r w:rsidRPr="00607963">
        <w:rPr>
          <w:rFonts w:ascii="Times New Roman" w:hAnsi="Times New Roman"/>
        </w:rPr>
        <w:t xml:space="preserve"> </w:t>
      </w:r>
    </w:p>
  </w:footnote>
  <w:footnote w:id="5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sidR="00426C85">
        <w:rPr>
          <w:rFonts w:ascii="Times New Roman" w:hAnsi="Times New Roman"/>
        </w:rPr>
        <w:t>Some</w:t>
      </w:r>
      <w:r w:rsidRPr="00607963">
        <w:rPr>
          <w:rFonts w:ascii="Times New Roman" w:hAnsi="Times New Roman"/>
        </w:rPr>
        <w:t xml:space="preserve"> argue that it is “pedantry” to distinguish between assault and battery. </w:t>
      </w:r>
      <w:r w:rsidR="00426C85">
        <w:rPr>
          <w:rFonts w:ascii="Times New Roman" w:hAnsi="Times New Roman"/>
        </w:rPr>
        <w:t xml:space="preserve">Instead, </w:t>
      </w:r>
      <w:r w:rsidRPr="00607963">
        <w:rPr>
          <w:rFonts w:ascii="Times New Roman" w:hAnsi="Times New Roman"/>
        </w:rPr>
        <w:t xml:space="preserve">“assault” should be used to cover both types of harm: A. </w:t>
      </w:r>
      <w:proofErr w:type="spellStart"/>
      <w:r w:rsidRPr="00607963">
        <w:rPr>
          <w:rFonts w:ascii="Times New Roman" w:hAnsi="Times New Roman"/>
        </w:rPr>
        <w:t>Simester</w:t>
      </w:r>
      <w:proofErr w:type="spellEnd"/>
      <w:r w:rsidRPr="00607963">
        <w:rPr>
          <w:rFonts w:ascii="Times New Roman" w:hAnsi="Times New Roman"/>
        </w:rPr>
        <w:t xml:space="preserve"> and G. Sullivan et al, </w:t>
      </w:r>
      <w:proofErr w:type="spellStart"/>
      <w:r w:rsidRPr="00607963">
        <w:rPr>
          <w:rFonts w:ascii="Times New Roman" w:hAnsi="Times New Roman"/>
          <w:i/>
        </w:rPr>
        <w:t>Simester</w:t>
      </w:r>
      <w:proofErr w:type="spellEnd"/>
      <w:r w:rsidRPr="00607963">
        <w:rPr>
          <w:rFonts w:ascii="Times New Roman" w:hAnsi="Times New Roman"/>
          <w:i/>
        </w:rPr>
        <w:t xml:space="preserve"> and Sullivan’s Criminal Law</w:t>
      </w:r>
      <w:r w:rsidRPr="00607963">
        <w:rPr>
          <w:rFonts w:ascii="Times New Roman" w:hAnsi="Times New Roman"/>
        </w:rPr>
        <w:t>, 5</w:t>
      </w:r>
      <w:r w:rsidRPr="00607963">
        <w:rPr>
          <w:rFonts w:ascii="Times New Roman" w:hAnsi="Times New Roman"/>
          <w:vertAlign w:val="superscript"/>
        </w:rPr>
        <w:t>th</w:t>
      </w:r>
      <w:r>
        <w:rPr>
          <w:rFonts w:ascii="Times New Roman" w:hAnsi="Times New Roman"/>
        </w:rPr>
        <w:t xml:space="preserve"> </w:t>
      </w:r>
      <w:proofErr w:type="spellStart"/>
      <w:r>
        <w:rPr>
          <w:rFonts w:ascii="Times New Roman" w:hAnsi="Times New Roman"/>
        </w:rPr>
        <w:t>edn</w:t>
      </w:r>
      <w:proofErr w:type="spellEnd"/>
      <w:r>
        <w:rPr>
          <w:rFonts w:ascii="Times New Roman" w:hAnsi="Times New Roman"/>
        </w:rPr>
        <w:t xml:space="preserve"> (Oxford: Hart Publishing,</w:t>
      </w:r>
      <w:r w:rsidRPr="00607963">
        <w:rPr>
          <w:rFonts w:ascii="Times New Roman" w:hAnsi="Times New Roman"/>
        </w:rPr>
        <w:t xml:space="preserve"> 2013), pp.430–431. However, the Commission </w:t>
      </w:r>
      <w:r>
        <w:rPr>
          <w:rFonts w:ascii="Times New Roman" w:hAnsi="Times New Roman"/>
        </w:rPr>
        <w:t>maintains that</w:t>
      </w:r>
      <w:r w:rsidRPr="00607963">
        <w:rPr>
          <w:rFonts w:ascii="Times New Roman" w:hAnsi="Times New Roman"/>
        </w:rPr>
        <w:t xml:space="preserve"> they are different offences: (2014) Law Com</w:t>
      </w:r>
      <w:r w:rsidR="005B75D8">
        <w:rPr>
          <w:rFonts w:ascii="Times New Roman" w:hAnsi="Times New Roman"/>
        </w:rPr>
        <w:t>.</w:t>
      </w:r>
      <w:r w:rsidRPr="00607963">
        <w:rPr>
          <w:rFonts w:ascii="Times New Roman" w:hAnsi="Times New Roman"/>
        </w:rPr>
        <w:t xml:space="preserve"> C.P.217, paras 2.8–2.11. See also below: “</w:t>
      </w:r>
      <w:r w:rsidR="00426C85">
        <w:rPr>
          <w:rFonts w:ascii="Times New Roman" w:hAnsi="Times New Roman"/>
        </w:rPr>
        <w:t>Defining Offences a</w:t>
      </w:r>
      <w:r>
        <w:rPr>
          <w:rFonts w:ascii="Times New Roman" w:hAnsi="Times New Roman"/>
        </w:rPr>
        <w:t>gainst the Person</w:t>
      </w:r>
      <w:r w:rsidRPr="00607963">
        <w:rPr>
          <w:rFonts w:ascii="Times New Roman" w:hAnsi="Times New Roman"/>
        </w:rPr>
        <w:t xml:space="preserve">”. </w:t>
      </w:r>
    </w:p>
  </w:footnote>
  <w:footnote w:id="57">
    <w:p w:rsidR="00C04E10" w:rsidRPr="00E91873" w:rsidRDefault="00C04E10" w:rsidP="00E91873">
      <w:pPr>
        <w:pStyle w:val="FootnoteText"/>
        <w:jc w:val="both"/>
        <w:rPr>
          <w:rFonts w:ascii="Times New Roman" w:hAnsi="Times New Roman"/>
        </w:rPr>
      </w:pPr>
      <w:r w:rsidRPr="00E91873">
        <w:rPr>
          <w:rStyle w:val="FootnoteReference"/>
          <w:rFonts w:ascii="Times New Roman" w:hAnsi="Times New Roman"/>
        </w:rPr>
        <w:footnoteRef/>
      </w:r>
      <w:r w:rsidRPr="00E91873">
        <w:rPr>
          <w:rFonts w:ascii="Times New Roman" w:hAnsi="Times New Roman"/>
        </w:rPr>
        <w:t xml:space="preserve"> </w:t>
      </w:r>
      <w:proofErr w:type="gramStart"/>
      <w:r w:rsidRPr="00E91873">
        <w:rPr>
          <w:rFonts w:ascii="Times New Roman" w:hAnsi="Times New Roman"/>
          <w:i/>
        </w:rPr>
        <w:t>Nelson</w:t>
      </w:r>
      <w:r w:rsidRPr="00E91873">
        <w:rPr>
          <w:rFonts w:ascii="Times New Roman" w:hAnsi="Times New Roman"/>
        </w:rPr>
        <w:t xml:space="preserve"> [2013] EWCA Crim 30; [2013] 1 Cr. App. R. 30, per Keith J. at [3].</w:t>
      </w:r>
      <w:proofErr w:type="gramEnd"/>
    </w:p>
  </w:footnote>
  <w:footnote w:id="58">
    <w:p w:rsidR="00C04E10" w:rsidRPr="00E91873" w:rsidRDefault="00C04E10" w:rsidP="00E91873">
      <w:pPr>
        <w:pStyle w:val="FootnoteText"/>
        <w:jc w:val="both"/>
        <w:rPr>
          <w:rFonts w:ascii="Times New Roman" w:hAnsi="Times New Roman"/>
        </w:rPr>
      </w:pPr>
      <w:r w:rsidRPr="00E91873">
        <w:rPr>
          <w:rStyle w:val="FootnoteReference"/>
          <w:rFonts w:ascii="Times New Roman" w:hAnsi="Times New Roman"/>
        </w:rPr>
        <w:footnoteRef/>
      </w:r>
      <w:r w:rsidRPr="00E91873">
        <w:rPr>
          <w:rFonts w:ascii="Times New Roman" w:hAnsi="Times New Roman"/>
        </w:rPr>
        <w:t xml:space="preserve"> (2014) Law Com</w:t>
      </w:r>
      <w:r w:rsidR="005B75D8">
        <w:rPr>
          <w:rFonts w:ascii="Times New Roman" w:hAnsi="Times New Roman"/>
        </w:rPr>
        <w:t>.</w:t>
      </w:r>
      <w:r w:rsidRPr="00E91873">
        <w:rPr>
          <w:rFonts w:ascii="Times New Roman" w:hAnsi="Times New Roman"/>
        </w:rPr>
        <w:t xml:space="preserve"> C.P.217, para.5.34.</w:t>
      </w:r>
    </w:p>
  </w:footnote>
  <w:footnote w:id="59">
    <w:p w:rsidR="00C04E10" w:rsidRPr="00084283" w:rsidRDefault="00C04E10" w:rsidP="00084283">
      <w:pPr>
        <w:pStyle w:val="FootnoteText"/>
        <w:jc w:val="both"/>
        <w:rPr>
          <w:rFonts w:ascii="Times New Roman" w:hAnsi="Times New Roman"/>
        </w:rPr>
      </w:pPr>
      <w:r w:rsidRPr="00E91873">
        <w:rPr>
          <w:rStyle w:val="FootnoteReference"/>
          <w:rFonts w:ascii="Times New Roman" w:hAnsi="Times New Roman"/>
        </w:rPr>
        <w:footnoteRef/>
      </w:r>
      <w:r w:rsidRPr="00E91873">
        <w:rPr>
          <w:rFonts w:ascii="Times New Roman" w:hAnsi="Times New Roman"/>
        </w:rPr>
        <w:t xml:space="preserve"> </w:t>
      </w:r>
      <w:proofErr w:type="spellStart"/>
      <w:proofErr w:type="gramStart"/>
      <w:r w:rsidRPr="00084283">
        <w:rPr>
          <w:rFonts w:ascii="Times New Roman" w:hAnsi="Times New Roman"/>
          <w:i/>
        </w:rPr>
        <w:t>Meachen</w:t>
      </w:r>
      <w:proofErr w:type="spellEnd"/>
      <w:r w:rsidRPr="00084283">
        <w:rPr>
          <w:rFonts w:ascii="Times New Roman" w:hAnsi="Times New Roman"/>
        </w:rPr>
        <w:t xml:space="preserve"> [2006] EWCA Crim 2414, per Thomas L.J. at [40].</w:t>
      </w:r>
      <w:proofErr w:type="gramEnd"/>
      <w:r w:rsidRPr="00084283">
        <w:rPr>
          <w:rFonts w:ascii="Times New Roman" w:hAnsi="Times New Roman"/>
        </w:rPr>
        <w:t xml:space="preserve">  </w:t>
      </w:r>
    </w:p>
  </w:footnote>
  <w:footnote w:id="60">
    <w:p w:rsidR="00B153D8" w:rsidRDefault="00B153D8">
      <w:pPr>
        <w:pStyle w:val="FootnoteText"/>
      </w:pPr>
      <w:r>
        <w:rPr>
          <w:rStyle w:val="FootnoteReference"/>
        </w:rPr>
        <w:footnoteRef/>
      </w:r>
      <w:r>
        <w:t xml:space="preserve"> </w:t>
      </w:r>
      <w:r>
        <w:rPr>
          <w:rFonts w:ascii="Times New Roman" w:hAnsi="Times New Roman"/>
        </w:rPr>
        <w:t>For further discussion, see “The Role of Consent” below.</w:t>
      </w:r>
    </w:p>
  </w:footnote>
  <w:footnote w:id="61">
    <w:p w:rsidR="00C04E10" w:rsidRPr="00084283" w:rsidRDefault="00C04E10" w:rsidP="00084283">
      <w:pPr>
        <w:pStyle w:val="FootnoteText"/>
        <w:jc w:val="both"/>
        <w:rPr>
          <w:rFonts w:ascii="Times New Roman" w:hAnsi="Times New Roman"/>
        </w:rPr>
      </w:pPr>
      <w:r w:rsidRPr="00084283">
        <w:rPr>
          <w:rStyle w:val="FootnoteReference"/>
          <w:rFonts w:ascii="Times New Roman" w:hAnsi="Times New Roman"/>
        </w:rPr>
        <w:footnoteRef/>
      </w:r>
      <w:r w:rsidRPr="00084283">
        <w:rPr>
          <w:rFonts w:ascii="Times New Roman" w:hAnsi="Times New Roman"/>
        </w:rPr>
        <w:t xml:space="preserve"> </w:t>
      </w:r>
      <w:proofErr w:type="gramStart"/>
      <w:r w:rsidRPr="00084283">
        <w:rPr>
          <w:rFonts w:ascii="Times New Roman" w:hAnsi="Times New Roman"/>
        </w:rPr>
        <w:t>See (2014) Law Com</w:t>
      </w:r>
      <w:r w:rsidR="005B75D8">
        <w:rPr>
          <w:rFonts w:ascii="Times New Roman" w:hAnsi="Times New Roman"/>
        </w:rPr>
        <w:t>.</w:t>
      </w:r>
      <w:r w:rsidRPr="00084283">
        <w:rPr>
          <w:rFonts w:ascii="Times New Roman" w:hAnsi="Times New Roman"/>
        </w:rPr>
        <w:t xml:space="preserve"> C.P.217, para.3.38-3.58.</w:t>
      </w:r>
      <w:r>
        <w:rPr>
          <w:rFonts w:ascii="Times New Roman" w:hAnsi="Times New Roman"/>
        </w:rPr>
        <w:t>; 6.24-6.45.</w:t>
      </w:r>
      <w:proofErr w:type="gramEnd"/>
    </w:p>
  </w:footnote>
  <w:footnote w:id="62">
    <w:p w:rsidR="00A542F2" w:rsidRPr="00607963" w:rsidRDefault="00A542F2" w:rsidP="00A542F2">
      <w:pPr>
        <w:pStyle w:val="FootnoteText"/>
        <w:jc w:val="both"/>
        <w:rPr>
          <w:rFonts w:ascii="Times New Roman" w:hAnsi="Times New Roman"/>
        </w:rPr>
      </w:pPr>
      <w:r w:rsidRPr="00084283">
        <w:rPr>
          <w:rStyle w:val="FootnoteReference"/>
          <w:rFonts w:ascii="Times New Roman" w:hAnsi="Times New Roman"/>
        </w:rPr>
        <w:footnoteRef/>
      </w:r>
      <w:r w:rsidRPr="00084283">
        <w:rPr>
          <w:rFonts w:ascii="Times New Roman" w:hAnsi="Times New Roman"/>
        </w:rPr>
        <w:t xml:space="preserve"> </w:t>
      </w:r>
      <w:r w:rsidRPr="00084283">
        <w:rPr>
          <w:rFonts w:ascii="Times New Roman" w:hAnsi="Times New Roman"/>
          <w:i/>
        </w:rPr>
        <w:t>Re: Knight’s Appeal</w:t>
      </w:r>
      <w:r w:rsidRPr="00084283">
        <w:rPr>
          <w:rFonts w:ascii="Times New Roman" w:hAnsi="Times New Roman"/>
        </w:rPr>
        <w:t xml:space="preserve"> (1968) F</w:t>
      </w:r>
      <w:r w:rsidR="00A56675">
        <w:rPr>
          <w:rFonts w:ascii="Times New Roman" w:hAnsi="Times New Roman"/>
        </w:rPr>
        <w:t xml:space="preserve">LR 81. </w:t>
      </w:r>
    </w:p>
  </w:footnote>
  <w:footnote w:id="63">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Jefferson, “Offences against the Person: Into the 21</w:t>
      </w:r>
      <w:r w:rsidRPr="00607963">
        <w:rPr>
          <w:rFonts w:ascii="Times New Roman" w:hAnsi="Times New Roman"/>
          <w:vertAlign w:val="superscript"/>
        </w:rPr>
        <w:t>st</w:t>
      </w:r>
      <w:r w:rsidRPr="00607963">
        <w:rPr>
          <w:rFonts w:ascii="Times New Roman" w:hAnsi="Times New Roman"/>
        </w:rPr>
        <w:t xml:space="preserve"> Century” (2012) 76 J. Crim. L. 472, 484. For the sentencing implications of this, see below: “Framing Punishment”. </w:t>
      </w:r>
    </w:p>
  </w:footnote>
  <w:footnote w:id="6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Morrison</w:t>
      </w:r>
      <w:r w:rsidRPr="00607963">
        <w:rPr>
          <w:rFonts w:ascii="Times New Roman" w:hAnsi="Times New Roman"/>
        </w:rPr>
        <w:t xml:space="preserve"> (1989) 89 Cr. App. R. 17 CA, per Lord Lane C.J. at 20.</w:t>
      </w:r>
      <w:proofErr w:type="gramEnd"/>
      <w:r w:rsidRPr="00607963">
        <w:rPr>
          <w:rFonts w:ascii="Times New Roman" w:hAnsi="Times New Roman"/>
        </w:rPr>
        <w:t xml:space="preserve"> </w:t>
      </w:r>
    </w:p>
  </w:footnote>
  <w:footnote w:id="6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This point remains unresolved after </w:t>
      </w:r>
      <w:r w:rsidRPr="00607963">
        <w:rPr>
          <w:rFonts w:ascii="Times New Roman" w:hAnsi="Times New Roman"/>
          <w:i/>
        </w:rPr>
        <w:t>Morrison</w:t>
      </w:r>
      <w:r w:rsidRPr="00607963">
        <w:rPr>
          <w:rFonts w:ascii="Times New Roman" w:hAnsi="Times New Roman"/>
        </w:rPr>
        <w:t xml:space="preserve">: see A. Ashworth and J. </w:t>
      </w:r>
      <w:proofErr w:type="spellStart"/>
      <w:r w:rsidRPr="00607963">
        <w:rPr>
          <w:rFonts w:ascii="Times New Roman" w:hAnsi="Times New Roman"/>
        </w:rPr>
        <w:t>Horder</w:t>
      </w:r>
      <w:proofErr w:type="spellEnd"/>
      <w:r w:rsidRPr="00607963">
        <w:rPr>
          <w:rFonts w:ascii="Times New Roman" w:hAnsi="Times New Roman"/>
        </w:rPr>
        <w:t xml:space="preserve">, </w:t>
      </w:r>
      <w:r w:rsidRPr="00607963">
        <w:rPr>
          <w:rFonts w:ascii="Times New Roman" w:hAnsi="Times New Roman"/>
          <w:i/>
        </w:rPr>
        <w:t>Principles of Criminal Law</w:t>
      </w:r>
      <w:r w:rsidRPr="00607963">
        <w:rPr>
          <w:rFonts w:ascii="Times New Roman" w:hAnsi="Times New Roman"/>
        </w:rPr>
        <w:t>, 7</w:t>
      </w:r>
      <w:r w:rsidRPr="00607963">
        <w:rPr>
          <w:rFonts w:ascii="Times New Roman" w:hAnsi="Times New Roman"/>
          <w:vertAlign w:val="superscript"/>
        </w:rPr>
        <w:t>th</w:t>
      </w:r>
      <w:r w:rsidRPr="00607963">
        <w:rPr>
          <w:rFonts w:ascii="Times New Roman" w:hAnsi="Times New Roman"/>
        </w:rPr>
        <w:t xml:space="preserve"> </w:t>
      </w:r>
      <w:proofErr w:type="spellStart"/>
      <w:r w:rsidRPr="00607963">
        <w:rPr>
          <w:rFonts w:ascii="Times New Roman" w:hAnsi="Times New Roman"/>
        </w:rPr>
        <w:t>edn</w:t>
      </w:r>
      <w:proofErr w:type="spellEnd"/>
      <w:r w:rsidRPr="00607963">
        <w:rPr>
          <w:rFonts w:ascii="Times New Roman" w:hAnsi="Times New Roman"/>
        </w:rPr>
        <w:t xml:space="preserve"> (Oxford: Oxford University Press, 2013), p.312. </w:t>
      </w:r>
    </w:p>
  </w:footnote>
  <w:footnote w:id="6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 xml:space="preserve">Ashworth and </w:t>
      </w:r>
      <w:proofErr w:type="spellStart"/>
      <w:r w:rsidRPr="00607963">
        <w:rPr>
          <w:rFonts w:ascii="Times New Roman" w:hAnsi="Times New Roman"/>
        </w:rPr>
        <w:t>Horder</w:t>
      </w:r>
      <w:proofErr w:type="spellEnd"/>
      <w:r w:rsidRPr="00607963">
        <w:rPr>
          <w:rFonts w:ascii="Times New Roman" w:hAnsi="Times New Roman"/>
        </w:rPr>
        <w:t xml:space="preserve">, </w:t>
      </w:r>
      <w:r w:rsidRPr="00607963">
        <w:rPr>
          <w:rFonts w:ascii="Times New Roman" w:hAnsi="Times New Roman"/>
          <w:i/>
        </w:rPr>
        <w:t>Principles of Criminal Law</w:t>
      </w:r>
      <w:r w:rsidRPr="00607963">
        <w:rPr>
          <w:rFonts w:ascii="Times New Roman" w:hAnsi="Times New Roman"/>
        </w:rPr>
        <w:t xml:space="preserve"> (2013), p.75.</w:t>
      </w:r>
      <w:proofErr w:type="gramEnd"/>
      <w:r w:rsidRPr="00607963">
        <w:rPr>
          <w:rFonts w:ascii="Times New Roman" w:hAnsi="Times New Roman"/>
        </w:rPr>
        <w:t xml:space="preserve"> </w:t>
      </w:r>
    </w:p>
  </w:footnote>
  <w:footnote w:id="67">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 xml:space="preserve">Ashworth and </w:t>
      </w:r>
      <w:proofErr w:type="spellStart"/>
      <w:r w:rsidRPr="00607963">
        <w:rPr>
          <w:rFonts w:ascii="Times New Roman" w:hAnsi="Times New Roman"/>
        </w:rPr>
        <w:t>Horder</w:t>
      </w:r>
      <w:proofErr w:type="spellEnd"/>
      <w:r w:rsidRPr="00607963">
        <w:rPr>
          <w:rFonts w:ascii="Times New Roman" w:hAnsi="Times New Roman"/>
        </w:rPr>
        <w:t xml:space="preserve">, </w:t>
      </w:r>
      <w:r w:rsidRPr="00607963">
        <w:rPr>
          <w:rFonts w:ascii="Times New Roman" w:hAnsi="Times New Roman"/>
          <w:i/>
        </w:rPr>
        <w:t>Principles of Criminal Law</w:t>
      </w:r>
      <w:r w:rsidRPr="00607963">
        <w:rPr>
          <w:rFonts w:ascii="Times New Roman" w:hAnsi="Times New Roman"/>
        </w:rPr>
        <w:t xml:space="preserve"> (2013), p.75.</w:t>
      </w:r>
      <w:proofErr w:type="gramEnd"/>
      <w:r w:rsidRPr="00607963">
        <w:rPr>
          <w:rFonts w:ascii="Times New Roman" w:hAnsi="Times New Roman"/>
        </w:rPr>
        <w:t xml:space="preserve"> </w:t>
      </w:r>
    </w:p>
  </w:footnote>
  <w:footnote w:id="68">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(2014) Law Com</w:t>
      </w:r>
      <w:r w:rsidR="005B75D8">
        <w:rPr>
          <w:rFonts w:ascii="Times New Roman" w:hAnsi="Times New Roman"/>
        </w:rPr>
        <w:t>.</w:t>
      </w:r>
      <w:r w:rsidRPr="00607963">
        <w:rPr>
          <w:rFonts w:ascii="Times New Roman" w:hAnsi="Times New Roman"/>
        </w:rPr>
        <w:t xml:space="preserve"> C.P.217, para.3.42.</w:t>
      </w:r>
    </w:p>
  </w:footnote>
  <w:footnote w:id="69">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r>
        <w:rPr>
          <w:rFonts w:ascii="Times New Roman" w:hAnsi="Times New Roman"/>
        </w:rPr>
        <w:t xml:space="preserve">J. </w:t>
      </w:r>
      <w:r w:rsidRPr="00607963">
        <w:rPr>
          <w:rFonts w:ascii="Times New Roman" w:hAnsi="Times New Roman"/>
        </w:rPr>
        <w:t>Gardner, “Rationality and the Rule of Law in Offences against the Person” (1994) 53 C.L.J. 502, 508-509.</w:t>
      </w:r>
    </w:p>
  </w:footnote>
  <w:footnote w:id="70">
    <w:p w:rsidR="00C04E10" w:rsidRPr="00EF0A1E" w:rsidRDefault="00C04E10" w:rsidP="00A813FE">
      <w:pPr>
        <w:autoSpaceDE w:val="0"/>
        <w:autoSpaceDN w:val="0"/>
        <w:adjustRightInd w:val="0"/>
        <w:jc w:val="both"/>
        <w:rPr>
          <w:rFonts w:ascii="Times New Roman" w:hAnsi="Times New Roman"/>
          <w:sz w:val="20"/>
          <w:szCs w:val="20"/>
        </w:rPr>
      </w:pPr>
      <w:r w:rsidRPr="00607963">
        <w:rPr>
          <w:rStyle w:val="FootnoteReference"/>
          <w:rFonts w:ascii="Times New Roman" w:hAnsi="Times New Roman"/>
          <w:sz w:val="20"/>
          <w:szCs w:val="20"/>
        </w:rPr>
        <w:footnoteRef/>
      </w:r>
      <w:r w:rsidRPr="00607963">
        <w:rPr>
          <w:rFonts w:ascii="Times New Roman" w:hAnsi="Times New Roman"/>
          <w:sz w:val="20"/>
          <w:szCs w:val="20"/>
        </w:rPr>
        <w:t xml:space="preserve"> J. Gardner, “</w:t>
      </w:r>
      <w:r w:rsidRPr="00EF0A1E">
        <w:rPr>
          <w:rFonts w:ascii="Times New Roman" w:hAnsi="Times New Roman"/>
          <w:sz w:val="20"/>
          <w:szCs w:val="20"/>
        </w:rPr>
        <w:t>On the General Part of the Criminal Law”, in A. Duff (</w:t>
      </w:r>
      <w:proofErr w:type="spellStart"/>
      <w:proofErr w:type="gramStart"/>
      <w:r w:rsidRPr="00EF0A1E">
        <w:rPr>
          <w:rFonts w:ascii="Times New Roman" w:hAnsi="Times New Roman"/>
          <w:sz w:val="20"/>
          <w:szCs w:val="20"/>
        </w:rPr>
        <w:t>ed</w:t>
      </w:r>
      <w:proofErr w:type="spellEnd"/>
      <w:proofErr w:type="gramEnd"/>
      <w:r w:rsidRPr="00EF0A1E">
        <w:rPr>
          <w:rFonts w:ascii="Times New Roman" w:hAnsi="Times New Roman"/>
          <w:sz w:val="20"/>
          <w:szCs w:val="20"/>
        </w:rPr>
        <w:t xml:space="preserve">), </w:t>
      </w:r>
      <w:r w:rsidRPr="00EF0A1E">
        <w:rPr>
          <w:rFonts w:ascii="Times New Roman" w:hAnsi="Times New Roman"/>
          <w:i/>
          <w:sz w:val="20"/>
          <w:szCs w:val="20"/>
        </w:rPr>
        <w:t>Philosophy and the Criminal Law: Principle and Critique</w:t>
      </w:r>
      <w:r w:rsidRPr="00EF0A1E">
        <w:rPr>
          <w:rFonts w:ascii="Times New Roman" w:hAnsi="Times New Roman"/>
          <w:sz w:val="20"/>
          <w:szCs w:val="20"/>
        </w:rPr>
        <w:t xml:space="preserve"> (Cambridge: Cambridge University Press, 1998), </w:t>
      </w:r>
      <w:r w:rsidRPr="00EF0A1E">
        <w:rPr>
          <w:rFonts w:ascii="Times New Roman" w:hAnsi="Times New Roman"/>
          <w:bCs/>
          <w:sz w:val="20"/>
          <w:szCs w:val="20"/>
        </w:rPr>
        <w:t xml:space="preserve">244. </w:t>
      </w:r>
      <w:r>
        <w:rPr>
          <w:rFonts w:ascii="Times New Roman" w:hAnsi="Times New Roman"/>
          <w:bCs/>
          <w:sz w:val="20"/>
          <w:szCs w:val="20"/>
        </w:rPr>
        <w:t>The</w:t>
      </w:r>
      <w:r w:rsidRPr="00EF0A1E">
        <w:rPr>
          <w:rFonts w:ascii="Times New Roman" w:hAnsi="Times New Roman"/>
          <w:bCs/>
          <w:sz w:val="20"/>
          <w:szCs w:val="20"/>
        </w:rPr>
        <w:t xml:space="preserve"> presence of fair warning in </w:t>
      </w:r>
      <w:r w:rsidRPr="00EF0A1E">
        <w:rPr>
          <w:rFonts w:ascii="Times New Roman" w:hAnsi="Times New Roman"/>
          <w:sz w:val="20"/>
          <w:szCs w:val="20"/>
        </w:rPr>
        <w:t xml:space="preserve">offences of constructive liability is </w:t>
      </w:r>
      <w:r>
        <w:rPr>
          <w:rFonts w:ascii="Times New Roman" w:hAnsi="Times New Roman"/>
          <w:sz w:val="20"/>
          <w:szCs w:val="20"/>
        </w:rPr>
        <w:t xml:space="preserve">debatable – see </w:t>
      </w:r>
      <w:r w:rsidRPr="00A56675">
        <w:rPr>
          <w:rFonts w:ascii="Times New Roman" w:hAnsi="Times New Roman"/>
          <w:sz w:val="20"/>
          <w:szCs w:val="20"/>
        </w:rPr>
        <w:t>fn</w:t>
      </w:r>
      <w:r w:rsidR="00A56675">
        <w:rPr>
          <w:rFonts w:ascii="Times New Roman" w:hAnsi="Times New Roman"/>
          <w:sz w:val="20"/>
          <w:szCs w:val="20"/>
        </w:rPr>
        <w:t>.</w:t>
      </w:r>
      <w:r>
        <w:rPr>
          <w:rFonts w:ascii="Times New Roman" w:hAnsi="Times New Roman"/>
          <w:sz w:val="20"/>
          <w:szCs w:val="20"/>
        </w:rPr>
        <w:t xml:space="preserve"> </w:t>
      </w:r>
      <w:r w:rsidR="009302EF" w:rsidRPr="005B75D8">
        <w:rPr>
          <w:rFonts w:ascii="Times New Roman" w:hAnsi="Times New Roman"/>
          <w:sz w:val="20"/>
          <w:szCs w:val="20"/>
        </w:rPr>
        <w:t>113</w:t>
      </w:r>
      <w:r>
        <w:rPr>
          <w:rFonts w:ascii="Times New Roman" w:hAnsi="Times New Roman"/>
          <w:sz w:val="20"/>
          <w:szCs w:val="20"/>
        </w:rPr>
        <w:t xml:space="preserve"> below.</w:t>
      </w:r>
    </w:p>
  </w:footnote>
  <w:footnote w:id="71">
    <w:p w:rsidR="00C04E10" w:rsidRPr="00607963" w:rsidRDefault="00C04E10" w:rsidP="00A813FE">
      <w:pPr>
        <w:pStyle w:val="FootnoteText"/>
        <w:jc w:val="both"/>
        <w:rPr>
          <w:rFonts w:ascii="Times New Roman" w:hAnsi="Times New Roman"/>
        </w:rPr>
      </w:pPr>
      <w:r w:rsidRPr="00EF0A1E">
        <w:rPr>
          <w:rStyle w:val="FootnoteReference"/>
          <w:rFonts w:ascii="Times New Roman" w:hAnsi="Times New Roman"/>
        </w:rPr>
        <w:footnoteRef/>
      </w:r>
      <w:r w:rsidRPr="00EF0A1E">
        <w:rPr>
          <w:rFonts w:ascii="Times New Roman" w:hAnsi="Times New Roman"/>
        </w:rPr>
        <w:t xml:space="preserve"> A. Ashworth, “A Change of Normative Position: Determining the Contours of Culpability in Criminal Law” (2008) 11 New Crim. L. Rev 232, 255-256. </w:t>
      </w:r>
      <w:r>
        <w:rPr>
          <w:rFonts w:ascii="Times New Roman" w:hAnsi="Times New Roman"/>
        </w:rPr>
        <w:t xml:space="preserve">For a more recent defence of the “change of normative position” argument, see K. Simons, “Is Strict Liability in the Grading of Offences Consistent with Retributive Desert?” </w:t>
      </w:r>
      <w:proofErr w:type="gramStart"/>
      <w:r>
        <w:rPr>
          <w:rFonts w:ascii="Times New Roman" w:hAnsi="Times New Roman"/>
        </w:rPr>
        <w:t>(2012) 32 O.J.L.S. 445.</w:t>
      </w:r>
      <w:proofErr w:type="gramEnd"/>
      <w:r>
        <w:rPr>
          <w:rFonts w:ascii="Times New Roman" w:hAnsi="Times New Roman"/>
        </w:rPr>
        <w:t xml:space="preserve"> </w:t>
      </w:r>
    </w:p>
  </w:footnote>
  <w:footnote w:id="72">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Pr>
          <w:rFonts w:ascii="Times New Roman" w:hAnsi="Times New Roman"/>
        </w:rPr>
        <w:t xml:space="preserve"> </w:t>
      </w:r>
      <w:r w:rsidRPr="00B36098">
        <w:rPr>
          <w:rFonts w:ascii="Times New Roman" w:hAnsi="Times New Roman"/>
        </w:rPr>
        <w:t>(2</w:t>
      </w:r>
      <w:r>
        <w:rPr>
          <w:rFonts w:ascii="Times New Roman" w:hAnsi="Times New Roman"/>
        </w:rPr>
        <w:t>015) Law Com. No.361, para.4.97.</w:t>
      </w:r>
      <w:r w:rsidRPr="00607963">
        <w:rPr>
          <w:rFonts w:ascii="Times New Roman" w:hAnsi="Times New Roman"/>
        </w:rPr>
        <w:t xml:space="preserve"> </w:t>
      </w:r>
      <w:r>
        <w:rPr>
          <w:rFonts w:ascii="Times New Roman" w:hAnsi="Times New Roman"/>
        </w:rPr>
        <w:t xml:space="preserve">Constructive liability is </w:t>
      </w:r>
      <w:r w:rsidRPr="00607963">
        <w:rPr>
          <w:rFonts w:ascii="Times New Roman" w:hAnsi="Times New Roman"/>
        </w:rPr>
        <w:t>discussed more in relation to the Commission’s new scheme of offences: see “Reflectin</w:t>
      </w:r>
      <w:r>
        <w:rPr>
          <w:rFonts w:ascii="Times New Roman" w:hAnsi="Times New Roman"/>
        </w:rPr>
        <w:t xml:space="preserve">g Wrongdoing </w:t>
      </w:r>
      <w:r w:rsidRPr="00EF0A1E">
        <w:rPr>
          <w:rFonts w:ascii="Times New Roman" w:hAnsi="Times New Roman"/>
        </w:rPr>
        <w:t>#</w:t>
      </w:r>
      <w:r>
        <w:rPr>
          <w:rFonts w:ascii="Times New Roman" w:hAnsi="Times New Roman"/>
        </w:rPr>
        <w:t>1” and “Reflecting Wrongdoing #2”.</w:t>
      </w:r>
    </w:p>
  </w:footnote>
  <w:footnote w:id="73">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spellStart"/>
      <w:proofErr w:type="gramStart"/>
      <w:r w:rsidRPr="00607963">
        <w:rPr>
          <w:rFonts w:ascii="Times New Roman" w:hAnsi="Times New Roman"/>
          <w:i/>
        </w:rPr>
        <w:t>Mowatt</w:t>
      </w:r>
      <w:proofErr w:type="spellEnd"/>
      <w:r w:rsidRPr="00607963">
        <w:rPr>
          <w:rFonts w:ascii="Times New Roman" w:hAnsi="Times New Roman"/>
        </w:rPr>
        <w:t xml:space="preserve"> [1968] 1 Q.B. 421 CA, per </w:t>
      </w:r>
      <w:proofErr w:type="spellStart"/>
      <w:r w:rsidRPr="00607963">
        <w:rPr>
          <w:rFonts w:ascii="Times New Roman" w:hAnsi="Times New Roman"/>
        </w:rPr>
        <w:t>Diplock</w:t>
      </w:r>
      <w:proofErr w:type="spellEnd"/>
      <w:r w:rsidRPr="00607963">
        <w:rPr>
          <w:rFonts w:ascii="Times New Roman" w:hAnsi="Times New Roman"/>
        </w:rPr>
        <w:t xml:space="preserve"> L.J. at 426.</w:t>
      </w:r>
      <w:proofErr w:type="gramEnd"/>
      <w:r w:rsidRPr="00607963">
        <w:rPr>
          <w:rFonts w:ascii="Times New Roman" w:hAnsi="Times New Roman"/>
        </w:rPr>
        <w:t xml:space="preserve"> </w:t>
      </w:r>
    </w:p>
  </w:footnote>
  <w:footnote w:id="7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i/>
        </w:rPr>
        <w:t xml:space="preserve">Savage and </w:t>
      </w:r>
      <w:proofErr w:type="spellStart"/>
      <w:r w:rsidRPr="00607963">
        <w:rPr>
          <w:rFonts w:ascii="Times New Roman" w:hAnsi="Times New Roman"/>
          <w:i/>
        </w:rPr>
        <w:t>Parmenter</w:t>
      </w:r>
      <w:proofErr w:type="spellEnd"/>
      <w:r w:rsidRPr="00607963">
        <w:rPr>
          <w:rFonts w:ascii="Times New Roman" w:hAnsi="Times New Roman"/>
        </w:rPr>
        <w:t xml:space="preserve"> [1992] 1 A.C. 699 HL, per Lord </w:t>
      </w:r>
      <w:proofErr w:type="spellStart"/>
      <w:r w:rsidRPr="00607963">
        <w:rPr>
          <w:rFonts w:ascii="Times New Roman" w:hAnsi="Times New Roman"/>
        </w:rPr>
        <w:t>Ackner</w:t>
      </w:r>
      <w:proofErr w:type="spellEnd"/>
      <w:r w:rsidRPr="00607963">
        <w:rPr>
          <w:rFonts w:ascii="Times New Roman" w:hAnsi="Times New Roman"/>
        </w:rPr>
        <w:t xml:space="preserve"> at 742.</w:t>
      </w:r>
      <w:proofErr w:type="gramEnd"/>
      <w:r w:rsidRPr="00607963">
        <w:rPr>
          <w:rFonts w:ascii="Times New Roman" w:hAnsi="Times New Roman"/>
        </w:rPr>
        <w:t xml:space="preserve"> </w:t>
      </w:r>
    </w:p>
  </w:footnote>
  <w:footnote w:id="7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(2014) Law Com</w:t>
      </w:r>
      <w:r w:rsidR="005B75D8">
        <w:rPr>
          <w:rFonts w:ascii="Times New Roman" w:hAnsi="Times New Roman"/>
        </w:rPr>
        <w:t>.</w:t>
      </w:r>
      <w:r w:rsidRPr="00607963">
        <w:rPr>
          <w:rFonts w:ascii="Times New Roman" w:hAnsi="Times New Roman"/>
        </w:rPr>
        <w:t xml:space="preserve"> C.P.217, paras 3.46-3.48.</w:t>
      </w:r>
      <w:proofErr w:type="gramEnd"/>
      <w:r w:rsidRPr="00607963">
        <w:rPr>
          <w:rFonts w:ascii="Times New Roman" w:hAnsi="Times New Roman"/>
        </w:rPr>
        <w:t xml:space="preserve"> </w:t>
      </w:r>
    </w:p>
  </w:footnote>
  <w:footnote w:id="7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(2014) Law Com</w:t>
      </w:r>
      <w:r w:rsidR="005B75D8">
        <w:rPr>
          <w:rFonts w:ascii="Times New Roman" w:hAnsi="Times New Roman"/>
        </w:rPr>
        <w:t>.</w:t>
      </w:r>
      <w:r w:rsidRPr="00607963">
        <w:rPr>
          <w:rFonts w:ascii="Times New Roman" w:hAnsi="Times New Roman"/>
        </w:rPr>
        <w:t xml:space="preserve"> C.P.217, para.3.51. </w:t>
      </w:r>
      <w:r>
        <w:rPr>
          <w:rFonts w:ascii="Times New Roman" w:hAnsi="Times New Roman"/>
        </w:rPr>
        <w:t xml:space="preserve">However, arguably there is still a leap from ‘some’ harm to GBH. </w:t>
      </w:r>
    </w:p>
  </w:footnote>
  <w:footnote w:id="77">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See “Framing Punishment”. </w:t>
      </w:r>
    </w:p>
  </w:footnote>
  <w:footnote w:id="78">
    <w:p w:rsidR="00C04E10" w:rsidRPr="00355443" w:rsidRDefault="00C04E10" w:rsidP="00355443">
      <w:pPr>
        <w:pStyle w:val="FootnoteText"/>
        <w:jc w:val="both"/>
        <w:rPr>
          <w:rFonts w:ascii="Times New Roman" w:hAnsi="Times New Roman"/>
        </w:rPr>
      </w:pPr>
      <w:r w:rsidRPr="00355443">
        <w:rPr>
          <w:rStyle w:val="FootnoteReference"/>
          <w:rFonts w:ascii="Times New Roman" w:hAnsi="Times New Roman"/>
        </w:rPr>
        <w:footnoteRef/>
      </w:r>
      <w:r>
        <w:rPr>
          <w:rFonts w:ascii="Times New Roman" w:hAnsi="Times New Roman"/>
        </w:rPr>
        <w:t xml:space="preserve"> In </w:t>
      </w:r>
      <w:proofErr w:type="spellStart"/>
      <w:r w:rsidRPr="00355443">
        <w:rPr>
          <w:rFonts w:ascii="Times New Roman" w:hAnsi="Times New Roman"/>
          <w:i/>
        </w:rPr>
        <w:t>Dica</w:t>
      </w:r>
      <w:proofErr w:type="spellEnd"/>
      <w:r w:rsidRPr="00355443">
        <w:rPr>
          <w:rFonts w:ascii="Times New Roman" w:hAnsi="Times New Roman"/>
        </w:rPr>
        <w:t xml:space="preserve">, </w:t>
      </w:r>
      <w:proofErr w:type="spellStart"/>
      <w:r w:rsidRPr="00355443">
        <w:rPr>
          <w:rFonts w:ascii="Times New Roman" w:hAnsi="Times New Roman"/>
          <w:i/>
        </w:rPr>
        <w:t>Konzani</w:t>
      </w:r>
      <w:proofErr w:type="spellEnd"/>
      <w:r w:rsidRPr="00355443">
        <w:rPr>
          <w:rFonts w:ascii="Times New Roman" w:hAnsi="Times New Roman"/>
        </w:rPr>
        <w:t xml:space="preserve">, </w:t>
      </w:r>
      <w:proofErr w:type="gramStart"/>
      <w:r w:rsidRPr="00355443">
        <w:rPr>
          <w:rFonts w:ascii="Times New Roman" w:hAnsi="Times New Roman"/>
          <w:i/>
        </w:rPr>
        <w:t>Golding</w:t>
      </w:r>
      <w:proofErr w:type="gramEnd"/>
      <w:r w:rsidRPr="00355443">
        <w:rPr>
          <w:rFonts w:ascii="Times New Roman" w:hAnsi="Times New Roman"/>
        </w:rPr>
        <w:t xml:space="preserve"> – </w:t>
      </w:r>
      <w:r>
        <w:rPr>
          <w:rFonts w:ascii="Times New Roman" w:hAnsi="Times New Roman"/>
        </w:rPr>
        <w:t xml:space="preserve">the main appellate decisions on </w:t>
      </w:r>
      <w:r w:rsidR="00312479">
        <w:rPr>
          <w:rFonts w:ascii="Times New Roman" w:hAnsi="Times New Roman"/>
        </w:rPr>
        <w:t xml:space="preserve">sexual disease </w:t>
      </w:r>
      <w:r>
        <w:rPr>
          <w:rFonts w:ascii="Times New Roman" w:hAnsi="Times New Roman"/>
        </w:rPr>
        <w:t>transmission (</w:t>
      </w:r>
      <w:r w:rsidRPr="00355443">
        <w:rPr>
          <w:rFonts w:ascii="Times New Roman" w:hAnsi="Times New Roman"/>
        </w:rPr>
        <w:t xml:space="preserve">see </w:t>
      </w:r>
      <w:r w:rsidRPr="00A56675">
        <w:rPr>
          <w:rFonts w:ascii="Times New Roman" w:hAnsi="Times New Roman"/>
        </w:rPr>
        <w:t>fn</w:t>
      </w:r>
      <w:r w:rsidR="00A56675">
        <w:rPr>
          <w:rFonts w:ascii="Times New Roman" w:hAnsi="Times New Roman"/>
        </w:rPr>
        <w:t>.</w:t>
      </w:r>
      <w:r w:rsidRPr="00355443">
        <w:rPr>
          <w:rFonts w:ascii="Times New Roman" w:hAnsi="Times New Roman"/>
        </w:rPr>
        <w:t xml:space="preserve"> </w:t>
      </w:r>
      <w:r w:rsidR="00312479" w:rsidRPr="005B75D8">
        <w:rPr>
          <w:rFonts w:ascii="Times New Roman" w:hAnsi="Times New Roman"/>
        </w:rPr>
        <w:t>26</w:t>
      </w:r>
      <w:r w:rsidRPr="00355443">
        <w:rPr>
          <w:rFonts w:ascii="Times New Roman" w:hAnsi="Times New Roman"/>
        </w:rPr>
        <w:t xml:space="preserve"> above)</w:t>
      </w:r>
      <w:r>
        <w:rPr>
          <w:rFonts w:ascii="Times New Roman" w:hAnsi="Times New Roman"/>
        </w:rPr>
        <w:t xml:space="preserve"> – </w:t>
      </w:r>
      <w:r w:rsidRPr="00355443">
        <w:rPr>
          <w:rFonts w:ascii="Times New Roman" w:hAnsi="Times New Roman"/>
        </w:rPr>
        <w:t xml:space="preserve">the courts had no trouble in </w:t>
      </w:r>
      <w:r>
        <w:rPr>
          <w:rFonts w:ascii="Times New Roman" w:hAnsi="Times New Roman"/>
        </w:rPr>
        <w:t>basing</w:t>
      </w:r>
      <w:r w:rsidRPr="00355443">
        <w:rPr>
          <w:rFonts w:ascii="Times New Roman" w:hAnsi="Times New Roman"/>
        </w:rPr>
        <w:t xml:space="preserve"> liability for s.20 GBH </w:t>
      </w:r>
      <w:r>
        <w:rPr>
          <w:rFonts w:ascii="Times New Roman" w:hAnsi="Times New Roman"/>
        </w:rPr>
        <w:t>on</w:t>
      </w:r>
      <w:r w:rsidRPr="00355443">
        <w:rPr>
          <w:rFonts w:ascii="Times New Roman" w:hAnsi="Times New Roman"/>
        </w:rPr>
        <w:t xml:space="preserve"> recklessness. </w:t>
      </w:r>
    </w:p>
  </w:footnote>
  <w:footnote w:id="79">
    <w:p w:rsidR="00C04E10" w:rsidRPr="00355443" w:rsidRDefault="00C04E10" w:rsidP="00355443">
      <w:pPr>
        <w:pStyle w:val="FootnoteText"/>
        <w:jc w:val="both"/>
        <w:rPr>
          <w:rFonts w:ascii="Times New Roman" w:hAnsi="Times New Roman"/>
        </w:rPr>
      </w:pPr>
      <w:r w:rsidRPr="00355443">
        <w:rPr>
          <w:rStyle w:val="FootnoteReference"/>
          <w:rFonts w:ascii="Times New Roman" w:hAnsi="Times New Roman"/>
        </w:rPr>
        <w:footnoteRef/>
      </w:r>
      <w:r w:rsidRPr="00355443">
        <w:rPr>
          <w:rFonts w:ascii="Times New Roman" w:hAnsi="Times New Roman"/>
        </w:rPr>
        <w:t xml:space="preserve"> For discussion, see “Reflecting Wrongdoing #1” and “Disease Transmission”.</w:t>
      </w:r>
    </w:p>
  </w:footnote>
  <w:footnote w:id="80">
    <w:p w:rsidR="00C04E10" w:rsidRPr="00607963" w:rsidRDefault="00C04E10" w:rsidP="00355443">
      <w:pPr>
        <w:pStyle w:val="FootnoteText"/>
        <w:jc w:val="both"/>
        <w:rPr>
          <w:rFonts w:ascii="Times New Roman" w:hAnsi="Times New Roman"/>
        </w:rPr>
      </w:pPr>
      <w:r w:rsidRPr="00355443">
        <w:rPr>
          <w:rStyle w:val="FootnoteReference"/>
          <w:rFonts w:ascii="Times New Roman" w:hAnsi="Times New Roman"/>
        </w:rPr>
        <w:footnoteRef/>
      </w:r>
      <w:r w:rsidRPr="00355443">
        <w:rPr>
          <w:rFonts w:ascii="Times New Roman" w:hAnsi="Times New Roman"/>
        </w:rPr>
        <w:t xml:space="preserve"> </w:t>
      </w:r>
      <w:proofErr w:type="spellStart"/>
      <w:proofErr w:type="gramStart"/>
      <w:r w:rsidRPr="00355443">
        <w:rPr>
          <w:rFonts w:ascii="Times New Roman" w:hAnsi="Times New Roman"/>
          <w:i/>
        </w:rPr>
        <w:t>Venna</w:t>
      </w:r>
      <w:proofErr w:type="spellEnd"/>
      <w:r w:rsidRPr="00355443">
        <w:rPr>
          <w:rFonts w:ascii="Times New Roman" w:hAnsi="Times New Roman"/>
        </w:rPr>
        <w:t xml:space="preserve"> [1976] QB 421 CA, per James L.J. at 429.</w:t>
      </w:r>
      <w:proofErr w:type="gramEnd"/>
    </w:p>
  </w:footnote>
  <w:footnote w:id="81">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(2014) Law Com C.P.217, para.3.26.</w:t>
      </w:r>
    </w:p>
  </w:footnote>
  <w:footnote w:id="82">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gramStart"/>
      <w:r w:rsidRPr="00607963">
        <w:rPr>
          <w:rFonts w:ascii="Times New Roman" w:hAnsi="Times New Roman"/>
        </w:rPr>
        <w:t xml:space="preserve">Ashworth and </w:t>
      </w:r>
      <w:proofErr w:type="spellStart"/>
      <w:r w:rsidRPr="00607963">
        <w:rPr>
          <w:rFonts w:ascii="Times New Roman" w:hAnsi="Times New Roman"/>
        </w:rPr>
        <w:t>Horder</w:t>
      </w:r>
      <w:proofErr w:type="spellEnd"/>
      <w:r w:rsidRPr="00607963">
        <w:rPr>
          <w:rFonts w:ascii="Times New Roman" w:hAnsi="Times New Roman"/>
        </w:rPr>
        <w:t xml:space="preserve">, </w:t>
      </w:r>
      <w:r w:rsidRPr="00607963">
        <w:rPr>
          <w:rFonts w:ascii="Times New Roman" w:hAnsi="Times New Roman"/>
          <w:i/>
        </w:rPr>
        <w:t>Principles of Criminal Law</w:t>
      </w:r>
      <w:r w:rsidRPr="00607963">
        <w:rPr>
          <w:rFonts w:ascii="Times New Roman" w:hAnsi="Times New Roman"/>
        </w:rPr>
        <w:t xml:space="preserve"> (2013), p.313.</w:t>
      </w:r>
      <w:proofErr w:type="gramEnd"/>
      <w:r w:rsidRPr="00607963">
        <w:rPr>
          <w:rFonts w:ascii="Times New Roman" w:hAnsi="Times New Roman"/>
        </w:rPr>
        <w:t xml:space="preserve">  </w:t>
      </w:r>
    </w:p>
  </w:footnote>
  <w:footnote w:id="83">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(2014) Law Com C.P.217, para.3.26.</w:t>
      </w:r>
    </w:p>
  </w:footnote>
  <w:footnote w:id="84">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A. </w:t>
      </w:r>
      <w:proofErr w:type="spellStart"/>
      <w:r w:rsidRPr="00607963">
        <w:rPr>
          <w:rFonts w:ascii="Times New Roman" w:hAnsi="Times New Roman"/>
        </w:rPr>
        <w:t>Eriera</w:t>
      </w:r>
      <w:proofErr w:type="spellEnd"/>
      <w:r w:rsidRPr="00607963">
        <w:rPr>
          <w:rFonts w:ascii="Times New Roman" w:hAnsi="Times New Roman"/>
        </w:rPr>
        <w:t xml:space="preserve">, “Offences against the Person: Offending Rationality” (2007) Cambridge Student L.R. 22, 24. </w:t>
      </w:r>
    </w:p>
  </w:footnote>
  <w:footnote w:id="85">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w:t>
      </w:r>
      <w:proofErr w:type="spellStart"/>
      <w:r w:rsidRPr="00607963">
        <w:rPr>
          <w:rFonts w:ascii="Times New Roman" w:hAnsi="Times New Roman"/>
        </w:rPr>
        <w:t>Eriera</w:t>
      </w:r>
      <w:proofErr w:type="spellEnd"/>
      <w:r w:rsidRPr="00607963">
        <w:rPr>
          <w:rFonts w:ascii="Times New Roman" w:hAnsi="Times New Roman"/>
        </w:rPr>
        <w:t xml:space="preserve">, “Offences against the Person: Offending Rationality” (2007) Cambridge Student L.R. 22, 26. For a defence of the sentences in ss.20 and 47 based on an alternative account of these offences, see Gardner, “Rationality and the Rule of Law in Offences against the Person” (1994) 53 C.L.J. 502, 507-511. </w:t>
      </w:r>
    </w:p>
  </w:footnote>
  <w:footnote w:id="86">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CPS, </w:t>
      </w:r>
      <w:r w:rsidRPr="00607963">
        <w:rPr>
          <w:rFonts w:ascii="Times New Roman" w:hAnsi="Times New Roman"/>
          <w:i/>
        </w:rPr>
        <w:t>Legal Guidance: Offences against the Person, Incorporating Charging Standard</w:t>
      </w:r>
      <w:r w:rsidRPr="00607963">
        <w:rPr>
          <w:rFonts w:ascii="Times New Roman" w:hAnsi="Times New Roman"/>
        </w:rPr>
        <w:t>: http://www.cps.gov.uk/legal/l_to_o/offences_against_the_person/#a15 [accessed March 23, 2016]. See also (2014) Law Com C.P.217, para.2.66.</w:t>
      </w:r>
    </w:p>
  </w:footnote>
  <w:footnote w:id="87">
    <w:p w:rsidR="00C04E10" w:rsidRPr="00607963" w:rsidRDefault="00C04E10" w:rsidP="00706C32">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CPS, </w:t>
      </w:r>
      <w:r w:rsidRPr="00607963">
        <w:rPr>
          <w:rFonts w:ascii="Times New Roman" w:hAnsi="Times New Roman"/>
          <w:i/>
        </w:rPr>
        <w:t>Legal Guidance: Offences against the Person, Incorporating Charging Standard</w:t>
      </w:r>
      <w:r w:rsidRPr="00607963">
        <w:rPr>
          <w:rFonts w:ascii="Times New Roman" w:hAnsi="Times New Roman"/>
        </w:rPr>
        <w:t>: http://www.cps.gov.uk/legal/l_to_o/offences_against_the_person/#a15 [accessed March 23, 2016]. See also (2014) Law Com C.P.217, para.2.66.</w:t>
      </w:r>
    </w:p>
  </w:footnote>
  <w:footnote w:id="88">
    <w:p w:rsidR="00C04E10" w:rsidRPr="00607963" w:rsidRDefault="00C04E10" w:rsidP="006468BB">
      <w:pPr>
        <w:pStyle w:val="FootnoteText"/>
        <w:jc w:val="both"/>
        <w:rPr>
          <w:rFonts w:ascii="Times New Roman" w:hAnsi="Times New Roman"/>
        </w:rPr>
      </w:pPr>
      <w:r w:rsidRPr="00607963">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(2014) Law Com C.P.217, paras </w:t>
      </w:r>
      <w:r w:rsidRPr="00607963">
        <w:rPr>
          <w:rFonts w:ascii="Times New Roman" w:hAnsi="Times New Roman"/>
        </w:rPr>
        <w:t>3.21 and 5.92.</w:t>
      </w:r>
      <w:proofErr w:type="gramEnd"/>
    </w:p>
  </w:footnote>
  <w:footnote w:id="89">
    <w:p w:rsidR="00C04E10" w:rsidRPr="001E1C8D" w:rsidRDefault="00C04E10" w:rsidP="001E1C8D">
      <w:pPr>
        <w:pStyle w:val="FootnoteText"/>
        <w:jc w:val="both"/>
        <w:rPr>
          <w:rFonts w:ascii="Times New Roman" w:hAnsi="Times New Roman"/>
        </w:rPr>
      </w:pPr>
      <w:r w:rsidRPr="001E1C8D">
        <w:rPr>
          <w:rStyle w:val="FootnoteReference"/>
          <w:rFonts w:ascii="Times New Roman" w:hAnsi="Times New Roman"/>
        </w:rPr>
        <w:footnoteRef/>
      </w:r>
      <w:r w:rsidRPr="001E1C8D">
        <w:rPr>
          <w:rFonts w:ascii="Times New Roman" w:hAnsi="Times New Roman"/>
        </w:rPr>
        <w:t xml:space="preserve"> See fn. </w:t>
      </w:r>
      <w:r w:rsidRPr="00A56675">
        <w:rPr>
          <w:rFonts w:ascii="Times New Roman" w:hAnsi="Times New Roman"/>
        </w:rPr>
        <w:t>10</w:t>
      </w:r>
      <w:r w:rsidRPr="001E1C8D">
        <w:rPr>
          <w:rFonts w:ascii="Times New Roman" w:hAnsi="Times New Roman"/>
        </w:rPr>
        <w:t xml:space="preserve"> above. Not all consultees supported reform. </w:t>
      </w:r>
      <w:r w:rsidR="001E1C8D" w:rsidRPr="001E1C8D">
        <w:rPr>
          <w:rFonts w:ascii="Times New Roman" w:hAnsi="Times New Roman"/>
        </w:rPr>
        <w:t>Some argued</w:t>
      </w:r>
      <w:r w:rsidR="001E1C8D">
        <w:rPr>
          <w:rFonts w:ascii="Times New Roman" w:hAnsi="Times New Roman"/>
        </w:rPr>
        <w:t>, amongst other things,</w:t>
      </w:r>
      <w:r w:rsidRPr="001E1C8D">
        <w:rPr>
          <w:rFonts w:ascii="Times New Roman" w:hAnsi="Times New Roman"/>
        </w:rPr>
        <w:t xml:space="preserve"> that </w:t>
      </w:r>
      <w:r w:rsidR="001E1C8D" w:rsidRPr="001E1C8D">
        <w:rPr>
          <w:rFonts w:ascii="Times New Roman" w:hAnsi="Times New Roman"/>
        </w:rPr>
        <w:t xml:space="preserve">the current offences </w:t>
      </w:r>
      <w:r w:rsidR="001E1C8D">
        <w:rPr>
          <w:rFonts w:ascii="Times New Roman" w:hAnsi="Times New Roman"/>
        </w:rPr>
        <w:t xml:space="preserve">worked well in practice </w:t>
      </w:r>
      <w:r w:rsidRPr="001E1C8D">
        <w:rPr>
          <w:rFonts w:ascii="Times New Roman" w:hAnsi="Times New Roman"/>
        </w:rPr>
        <w:t>and that any defects in language and structure were relatively uni</w:t>
      </w:r>
      <w:r w:rsidR="001E1C8D">
        <w:rPr>
          <w:rFonts w:ascii="Times New Roman" w:hAnsi="Times New Roman"/>
        </w:rPr>
        <w:t xml:space="preserve">mportant. Ultimately, they </w:t>
      </w:r>
      <w:r w:rsidRPr="001E1C8D">
        <w:rPr>
          <w:rFonts w:ascii="Times New Roman" w:hAnsi="Times New Roman"/>
        </w:rPr>
        <w:t xml:space="preserve">suggested more piecemeal changes to the law. See (2015) Law Com. No.361, para.3.12. </w:t>
      </w:r>
    </w:p>
  </w:footnote>
  <w:footnote w:id="90">
    <w:p w:rsidR="00C04E10" w:rsidRPr="001E1C8D" w:rsidRDefault="00C04E10" w:rsidP="001E1C8D">
      <w:pPr>
        <w:pStyle w:val="FootnoteText"/>
        <w:jc w:val="both"/>
        <w:rPr>
          <w:rFonts w:ascii="Times New Roman" w:hAnsi="Times New Roman"/>
        </w:rPr>
      </w:pPr>
      <w:r w:rsidRPr="001E1C8D">
        <w:rPr>
          <w:rStyle w:val="FootnoteReference"/>
          <w:rFonts w:ascii="Times New Roman" w:hAnsi="Times New Roman"/>
        </w:rPr>
        <w:footnoteRef/>
      </w:r>
      <w:r w:rsidRPr="001E1C8D">
        <w:rPr>
          <w:rFonts w:ascii="Times New Roman" w:hAnsi="Times New Roman"/>
        </w:rPr>
        <w:t xml:space="preserve"> (2014) Law Com C.P.217, para.4.6</w:t>
      </w:r>
    </w:p>
  </w:footnote>
  <w:footnote w:id="91">
    <w:p w:rsidR="00C04E10" w:rsidRPr="00607963" w:rsidRDefault="00C04E10" w:rsidP="001E1C8D">
      <w:pPr>
        <w:pStyle w:val="FootnoteText"/>
        <w:jc w:val="both"/>
        <w:rPr>
          <w:rFonts w:ascii="Times New Roman" w:hAnsi="Times New Roman"/>
        </w:rPr>
      </w:pPr>
      <w:r w:rsidRPr="001E1C8D">
        <w:rPr>
          <w:rStyle w:val="FootnoteReference"/>
          <w:rFonts w:ascii="Times New Roman" w:hAnsi="Times New Roman"/>
        </w:rPr>
        <w:footnoteRef/>
      </w:r>
      <w:r w:rsidRPr="001E1C8D">
        <w:rPr>
          <w:rFonts w:ascii="Times New Roman" w:hAnsi="Times New Roman"/>
        </w:rPr>
        <w:t xml:space="preserve"> See fn. </w:t>
      </w:r>
      <w:r w:rsidR="001C1D92" w:rsidRPr="00A56675">
        <w:rPr>
          <w:rFonts w:ascii="Times New Roman" w:hAnsi="Times New Roman"/>
        </w:rPr>
        <w:t>12</w:t>
      </w:r>
      <w:r w:rsidRPr="001E1C8D">
        <w:rPr>
          <w:rFonts w:ascii="Times New Roman" w:hAnsi="Times New Roman"/>
        </w:rPr>
        <w:t xml:space="preserve"> above.</w:t>
      </w:r>
    </w:p>
  </w:footnote>
  <w:footnote w:id="92">
    <w:p w:rsidR="00C04E10" w:rsidRPr="00993B76" w:rsidRDefault="00C04E10" w:rsidP="00993B76">
      <w:pPr>
        <w:pStyle w:val="FootnoteText"/>
        <w:jc w:val="both"/>
        <w:rPr>
          <w:rFonts w:ascii="Times New Roman" w:hAnsi="Times New Roman"/>
        </w:rPr>
      </w:pPr>
      <w:r w:rsidRPr="00607963">
        <w:rPr>
          <w:rStyle w:val="FootnoteReference"/>
          <w:rFonts w:ascii="Times New Roman" w:hAnsi="Times New Roman"/>
        </w:rPr>
        <w:footnoteRef/>
      </w:r>
      <w:r w:rsidRPr="00607963">
        <w:rPr>
          <w:rFonts w:ascii="Times New Roman" w:hAnsi="Times New Roman"/>
        </w:rPr>
        <w:t xml:space="preserve"> See the </w:t>
      </w:r>
      <w:r w:rsidRPr="008639CC">
        <w:rPr>
          <w:rFonts w:ascii="Times New Roman" w:hAnsi="Times New Roman"/>
        </w:rPr>
        <w:t>Law Commission’s “Table of Existing and New Offences” for the full list of current and replacement crimes: http://www.lawcom.gov.uk/wp-content/uploads/2015/11/lc361_offences_against_the_person_table.pdf [</w:t>
      </w:r>
      <w:r w:rsidRPr="00993B76">
        <w:rPr>
          <w:rFonts w:ascii="Times New Roman" w:hAnsi="Times New Roman"/>
        </w:rPr>
        <w:t xml:space="preserve">accessed March 25, 2016]. </w:t>
      </w:r>
    </w:p>
  </w:footnote>
  <w:footnote w:id="93">
    <w:p w:rsidR="009535E2" w:rsidRPr="00E371BA" w:rsidRDefault="009535E2" w:rsidP="009535E2">
      <w:pPr>
        <w:pStyle w:val="FootnoteText"/>
        <w:jc w:val="both"/>
        <w:rPr>
          <w:rFonts w:ascii="Times New Roman" w:hAnsi="Times New Roman"/>
        </w:rPr>
      </w:pPr>
      <w:r w:rsidRPr="00E371BA">
        <w:rPr>
          <w:rStyle w:val="FootnoteReference"/>
          <w:rFonts w:ascii="Times New Roman" w:hAnsi="Times New Roman"/>
        </w:rPr>
        <w:footnoteRef/>
      </w:r>
      <w:r w:rsidRPr="00E371BA">
        <w:rPr>
          <w:rFonts w:ascii="Times New Roman" w:hAnsi="Times New Roman"/>
        </w:rPr>
        <w:t xml:space="preserve"> </w:t>
      </w:r>
      <w:r>
        <w:rPr>
          <w:rFonts w:ascii="Times New Roman" w:hAnsi="Times New Roman"/>
        </w:rPr>
        <w:t xml:space="preserve">For further insight, see </w:t>
      </w:r>
      <w:r w:rsidRPr="00E371BA">
        <w:rPr>
          <w:rFonts w:ascii="Times New Roman" w:hAnsi="Times New Roman"/>
        </w:rPr>
        <w:t xml:space="preserve">J. </w:t>
      </w:r>
      <w:proofErr w:type="spellStart"/>
      <w:r w:rsidRPr="00E371BA">
        <w:rPr>
          <w:rFonts w:ascii="Times New Roman" w:hAnsi="Times New Roman"/>
        </w:rPr>
        <w:t>Horder</w:t>
      </w:r>
      <w:proofErr w:type="spellEnd"/>
      <w:r w:rsidRPr="00E371BA">
        <w:rPr>
          <w:rFonts w:ascii="Times New Roman" w:hAnsi="Times New Roman"/>
        </w:rPr>
        <w:t>, “The Classification of Crimes and the Special Part of Criminal Law”, in A. Duff and S. Green (</w:t>
      </w:r>
      <w:proofErr w:type="spellStart"/>
      <w:r w:rsidRPr="00E371BA">
        <w:rPr>
          <w:rFonts w:ascii="Times New Roman" w:hAnsi="Times New Roman"/>
        </w:rPr>
        <w:t>eds</w:t>
      </w:r>
      <w:proofErr w:type="spellEnd"/>
      <w:r w:rsidRPr="00E371BA">
        <w:rPr>
          <w:rFonts w:ascii="Times New Roman" w:hAnsi="Times New Roman"/>
        </w:rPr>
        <w:t xml:space="preserve">), </w:t>
      </w:r>
      <w:r w:rsidRPr="00E371BA">
        <w:rPr>
          <w:rFonts w:ascii="Times New Roman" w:hAnsi="Times New Roman"/>
          <w:i/>
        </w:rPr>
        <w:t>Defining Crimes: Essays on the Special Part of the Criminal Law</w:t>
      </w:r>
      <w:r w:rsidRPr="00E371BA">
        <w:rPr>
          <w:rFonts w:ascii="Times New Roman" w:hAnsi="Times New Roman"/>
        </w:rPr>
        <w:t xml:space="preserve"> (New York: Oxford University Press, 2005), p.23. </w:t>
      </w:r>
    </w:p>
  </w:footnote>
  <w:footnote w:id="94">
    <w:p w:rsidR="00C04E10" w:rsidRPr="00635C8E" w:rsidRDefault="00C04E10" w:rsidP="00635C8E">
      <w:pPr>
        <w:pStyle w:val="FootnoteText"/>
        <w:jc w:val="both"/>
        <w:rPr>
          <w:rFonts w:ascii="Times New Roman" w:hAnsi="Times New Roman"/>
        </w:rPr>
      </w:pPr>
      <w:r w:rsidRPr="00635C8E">
        <w:rPr>
          <w:rStyle w:val="FootnoteReference"/>
          <w:rFonts w:ascii="Times New Roman" w:hAnsi="Times New Roman"/>
        </w:rPr>
        <w:footnoteRef/>
      </w:r>
      <w:r w:rsidRPr="00635C8E">
        <w:rPr>
          <w:rFonts w:ascii="Times New Roman" w:hAnsi="Times New Roman"/>
        </w:rPr>
        <w:t xml:space="preserve"> Notably, see J. Feinberg, </w:t>
      </w:r>
      <w:r w:rsidRPr="00635C8E">
        <w:rPr>
          <w:rFonts w:ascii="Times New Roman" w:hAnsi="Times New Roman"/>
          <w:i/>
        </w:rPr>
        <w:t>The Moral Limits of the Criminal</w:t>
      </w:r>
      <w:r w:rsidRPr="00635C8E">
        <w:rPr>
          <w:rFonts w:ascii="Times New Roman" w:hAnsi="Times New Roman"/>
        </w:rPr>
        <w:t xml:space="preserve"> Law (</w:t>
      </w:r>
      <w:proofErr w:type="spellStart"/>
      <w:r w:rsidRPr="00635C8E">
        <w:rPr>
          <w:rFonts w:ascii="Times New Roman" w:hAnsi="Times New Roman"/>
        </w:rPr>
        <w:t>Vols</w:t>
      </w:r>
      <w:proofErr w:type="spellEnd"/>
      <w:r w:rsidRPr="00635C8E">
        <w:rPr>
          <w:rFonts w:ascii="Times New Roman" w:hAnsi="Times New Roman"/>
        </w:rPr>
        <w:t xml:space="preserve"> 1 – 4) (New York: Oxford University Press, 1984 – 1988). For more recent studies, see A </w:t>
      </w:r>
      <w:proofErr w:type="spellStart"/>
      <w:r w:rsidRPr="00635C8E">
        <w:rPr>
          <w:rFonts w:ascii="Times New Roman" w:hAnsi="Times New Roman"/>
        </w:rPr>
        <w:t>Simester</w:t>
      </w:r>
      <w:proofErr w:type="spellEnd"/>
      <w:r w:rsidRPr="00635C8E">
        <w:rPr>
          <w:rFonts w:ascii="Times New Roman" w:hAnsi="Times New Roman"/>
        </w:rPr>
        <w:t xml:space="preserve"> and A. von Hirsch, </w:t>
      </w:r>
      <w:r w:rsidRPr="00635C8E">
        <w:rPr>
          <w:rFonts w:ascii="Times New Roman" w:hAnsi="Times New Roman"/>
          <w:i/>
        </w:rPr>
        <w:t>Crimes, Harms and Wrongs</w:t>
      </w:r>
      <w:r w:rsidRPr="00635C8E">
        <w:rPr>
          <w:rFonts w:ascii="Times New Roman" w:hAnsi="Times New Roman"/>
        </w:rPr>
        <w:t xml:space="preserve"> (Oxford, Oxford University Press, 2011), along with the contributions in A. Duff, L. Farmer, S. Marshall, M. Renz and V. </w:t>
      </w:r>
      <w:proofErr w:type="spellStart"/>
      <w:r w:rsidRPr="00635C8E">
        <w:rPr>
          <w:rFonts w:ascii="Times New Roman" w:hAnsi="Times New Roman"/>
        </w:rPr>
        <w:t>Tadros</w:t>
      </w:r>
      <w:proofErr w:type="spellEnd"/>
      <w:r w:rsidRPr="00635C8E">
        <w:rPr>
          <w:rFonts w:ascii="Times New Roman" w:hAnsi="Times New Roman"/>
        </w:rPr>
        <w:t xml:space="preserve"> (</w:t>
      </w:r>
      <w:proofErr w:type="spellStart"/>
      <w:r w:rsidRPr="00635C8E">
        <w:rPr>
          <w:rFonts w:ascii="Times New Roman" w:hAnsi="Times New Roman"/>
        </w:rPr>
        <w:t>eds</w:t>
      </w:r>
      <w:proofErr w:type="spellEnd"/>
      <w:r w:rsidRPr="00635C8E">
        <w:rPr>
          <w:rFonts w:ascii="Times New Roman" w:hAnsi="Times New Roman"/>
        </w:rPr>
        <w:t xml:space="preserve">), </w:t>
      </w:r>
      <w:r w:rsidRPr="00635C8E">
        <w:rPr>
          <w:rFonts w:ascii="Times New Roman" w:hAnsi="Times New Roman"/>
          <w:i/>
        </w:rPr>
        <w:t>The Boundaries of the Criminal Law</w:t>
      </w:r>
      <w:r w:rsidRPr="00635C8E">
        <w:rPr>
          <w:rFonts w:ascii="Times New Roman" w:hAnsi="Times New Roman"/>
        </w:rPr>
        <w:t xml:space="preserve"> (Oxford, Oxford University Press, 2010). </w:t>
      </w:r>
    </w:p>
  </w:footnote>
  <w:footnote w:id="95">
    <w:p w:rsidR="00C04E10" w:rsidRPr="00635C8E" w:rsidRDefault="00C04E10" w:rsidP="00635C8E">
      <w:pPr>
        <w:pStyle w:val="FootnoteText"/>
        <w:jc w:val="both"/>
        <w:rPr>
          <w:rFonts w:ascii="Times New Roman" w:hAnsi="Times New Roman"/>
        </w:rPr>
      </w:pPr>
      <w:r w:rsidRPr="00635C8E">
        <w:rPr>
          <w:rStyle w:val="FootnoteReference"/>
          <w:rFonts w:ascii="Times New Roman" w:hAnsi="Times New Roman"/>
        </w:rPr>
        <w:footnoteRef/>
      </w:r>
      <w:r w:rsidRPr="00635C8E">
        <w:rPr>
          <w:rFonts w:ascii="Times New Roman" w:hAnsi="Times New Roman"/>
        </w:rPr>
        <w:t xml:space="preserve"> For example, see A. Duff, </w:t>
      </w:r>
      <w:r w:rsidRPr="00635C8E">
        <w:rPr>
          <w:rFonts w:ascii="Times New Roman" w:hAnsi="Times New Roman"/>
          <w:i/>
        </w:rPr>
        <w:t>Answering for Crime: Responsibility and Liability in the Criminal Law</w:t>
      </w:r>
      <w:r w:rsidRPr="00635C8E">
        <w:rPr>
          <w:rFonts w:ascii="Times New Roman" w:hAnsi="Times New Roman"/>
        </w:rPr>
        <w:t xml:space="preserve"> (Oxford, Hart Publishing, 2009), Ch.6.</w:t>
      </w:r>
    </w:p>
  </w:footnote>
  <w:footnote w:id="96">
    <w:p w:rsidR="00C04E10" w:rsidRPr="00635C8E" w:rsidRDefault="00C04E10" w:rsidP="00635C8E">
      <w:pPr>
        <w:pStyle w:val="FootnoteText"/>
        <w:jc w:val="both"/>
        <w:rPr>
          <w:rFonts w:ascii="Times New Roman" w:hAnsi="Times New Roman"/>
        </w:rPr>
      </w:pPr>
      <w:r w:rsidRPr="00635C8E">
        <w:rPr>
          <w:rStyle w:val="FootnoteReference"/>
          <w:rFonts w:ascii="Times New Roman" w:hAnsi="Times New Roman"/>
        </w:rPr>
        <w:footnoteRef/>
      </w:r>
      <w:r w:rsidRPr="00635C8E">
        <w:rPr>
          <w:rFonts w:ascii="Times New Roman" w:hAnsi="Times New Roman"/>
        </w:rPr>
        <w:t xml:space="preserve"> Feinberg, </w:t>
      </w:r>
      <w:r w:rsidRPr="00635C8E">
        <w:rPr>
          <w:rFonts w:ascii="Times New Roman" w:hAnsi="Times New Roman"/>
          <w:i/>
        </w:rPr>
        <w:t>The Moral Limits of the Criminal Law Volume 1: Harm to Others</w:t>
      </w:r>
      <w:r w:rsidRPr="00635C8E">
        <w:rPr>
          <w:rFonts w:ascii="Times New Roman" w:hAnsi="Times New Roman"/>
        </w:rPr>
        <w:t xml:space="preserve"> (1984), p.216. </w:t>
      </w:r>
    </w:p>
  </w:footnote>
  <w:footnote w:id="97">
    <w:p w:rsidR="00C04E10" w:rsidRPr="00635C8E" w:rsidRDefault="00C04E10" w:rsidP="00635C8E">
      <w:pPr>
        <w:pStyle w:val="FootnoteText"/>
        <w:jc w:val="both"/>
        <w:rPr>
          <w:rFonts w:ascii="Times New Roman" w:hAnsi="Times New Roman"/>
        </w:rPr>
      </w:pPr>
      <w:r w:rsidRPr="00635C8E">
        <w:rPr>
          <w:rStyle w:val="FootnoteReference"/>
          <w:rFonts w:ascii="Times New Roman" w:hAnsi="Times New Roman"/>
        </w:rPr>
        <w:footnoteRef/>
      </w:r>
      <w:r w:rsidRPr="00635C8E">
        <w:rPr>
          <w:rFonts w:ascii="Times New Roman" w:hAnsi="Times New Roman"/>
        </w:rPr>
        <w:t xml:space="preserve"> </w:t>
      </w:r>
      <w:proofErr w:type="gramStart"/>
      <w:r w:rsidRPr="00635C8E">
        <w:rPr>
          <w:rFonts w:ascii="Times New Roman" w:hAnsi="Times New Roman"/>
        </w:rPr>
        <w:t>Discussed further below: see “The Role of Consent”.</w:t>
      </w:r>
      <w:proofErr w:type="gramEnd"/>
      <w:r w:rsidRPr="00635C8E">
        <w:rPr>
          <w:rFonts w:ascii="Times New Roman" w:hAnsi="Times New Roman"/>
        </w:rPr>
        <w:t xml:space="preserve"> </w:t>
      </w:r>
    </w:p>
  </w:footnote>
  <w:footnote w:id="98">
    <w:p w:rsidR="00C04E10" w:rsidRDefault="00C04E10" w:rsidP="00635C8E">
      <w:pPr>
        <w:pStyle w:val="FootnoteText"/>
        <w:jc w:val="both"/>
      </w:pPr>
      <w:r w:rsidRPr="00635C8E">
        <w:rPr>
          <w:rStyle w:val="FootnoteReference"/>
          <w:rFonts w:ascii="Times New Roman" w:hAnsi="Times New Roman"/>
        </w:rPr>
        <w:footnoteRef/>
      </w:r>
      <w:r w:rsidRPr="00635C8E">
        <w:rPr>
          <w:rFonts w:ascii="Times New Roman" w:hAnsi="Times New Roman"/>
        </w:rPr>
        <w:t xml:space="preserve"> (2015) Law Com. No.361, para.5.17 (emphases added).</w:t>
      </w:r>
      <w:r>
        <w:rPr>
          <w:rFonts w:ascii="Times New Roman" w:hAnsi="Times New Roman"/>
        </w:rPr>
        <w:t xml:space="preserve"> </w:t>
      </w:r>
    </w:p>
  </w:footnote>
  <w:footnote w:id="99">
    <w:p w:rsidR="00C04E10" w:rsidRPr="006E6BB1" w:rsidRDefault="00C04E10" w:rsidP="00936994">
      <w:pPr>
        <w:pStyle w:val="FootnoteText"/>
        <w:jc w:val="both"/>
        <w:rPr>
          <w:rFonts w:ascii="Times New Roman" w:hAnsi="Times New Roman"/>
        </w:rPr>
      </w:pPr>
      <w:r w:rsidRPr="006E6BB1">
        <w:rPr>
          <w:rStyle w:val="FootnoteReference"/>
          <w:rFonts w:ascii="Times New Roman" w:hAnsi="Times New Roman"/>
        </w:rPr>
        <w:footnoteRef/>
      </w:r>
      <w:r w:rsidRPr="006E6BB1">
        <w:rPr>
          <w:rFonts w:ascii="Times New Roman" w:hAnsi="Times New Roman"/>
        </w:rPr>
        <w:t xml:space="preserve"> </w:t>
      </w:r>
      <w:proofErr w:type="gramStart"/>
      <w:r w:rsidRPr="006E6BB1">
        <w:rPr>
          <w:rFonts w:ascii="Times New Roman" w:hAnsi="Times New Roman"/>
        </w:rPr>
        <w:t>(2015) Law Com. No.361, paras 4.20 and 4.26.</w:t>
      </w:r>
      <w:proofErr w:type="gramEnd"/>
      <w:r w:rsidRPr="006E6BB1">
        <w:rPr>
          <w:rFonts w:ascii="Times New Roman" w:hAnsi="Times New Roman"/>
        </w:rPr>
        <w:t xml:space="preserve"> </w:t>
      </w:r>
    </w:p>
  </w:footnote>
  <w:footnote w:id="100">
    <w:p w:rsidR="00C04E10" w:rsidRPr="00CC3B92" w:rsidRDefault="00C04E10" w:rsidP="00CC3B92">
      <w:pPr>
        <w:pStyle w:val="FootnoteText"/>
        <w:jc w:val="both"/>
        <w:rPr>
          <w:rFonts w:ascii="Times New Roman" w:hAnsi="Times New Roman"/>
        </w:rPr>
      </w:pPr>
      <w:r w:rsidRPr="00490AA9">
        <w:rPr>
          <w:rStyle w:val="FootnoteReference"/>
          <w:rFonts w:ascii="Times New Roman" w:hAnsi="Times New Roman"/>
        </w:rPr>
        <w:footnoteRef/>
      </w:r>
      <w:r w:rsidRPr="00490AA9">
        <w:rPr>
          <w:rFonts w:ascii="Times New Roman" w:hAnsi="Times New Roman"/>
        </w:rPr>
        <w:t xml:space="preserve"> </w:t>
      </w:r>
      <w:proofErr w:type="gramStart"/>
      <w:r w:rsidRPr="00CC3B92">
        <w:rPr>
          <w:rFonts w:ascii="Times New Roman" w:hAnsi="Times New Roman"/>
        </w:rPr>
        <w:t>Gardner, “Rationality and the Rule of Law in Offences against the Person” (1994) 53 C.L.J. 502, 516.</w:t>
      </w:r>
      <w:proofErr w:type="gramEnd"/>
      <w:r w:rsidRPr="00CC3B92">
        <w:rPr>
          <w:rFonts w:ascii="Times New Roman" w:hAnsi="Times New Roman"/>
        </w:rPr>
        <w:t xml:space="preserve"> </w:t>
      </w:r>
    </w:p>
  </w:footnote>
  <w:footnote w:id="101">
    <w:p w:rsidR="00C04E10" w:rsidRPr="00CC3B92" w:rsidRDefault="00C04E10" w:rsidP="00CC3B92">
      <w:pPr>
        <w:pStyle w:val="FootnoteText"/>
        <w:jc w:val="both"/>
        <w:rPr>
          <w:rFonts w:ascii="Times New Roman" w:hAnsi="Times New Roman"/>
        </w:rPr>
      </w:pPr>
      <w:r w:rsidRPr="00CC3B92">
        <w:rPr>
          <w:rStyle w:val="FootnoteReference"/>
          <w:rFonts w:ascii="Times New Roman" w:hAnsi="Times New Roman"/>
        </w:rPr>
        <w:footnoteRef/>
      </w:r>
      <w:r w:rsidRPr="00CC3B92">
        <w:rPr>
          <w:rFonts w:ascii="Times New Roman" w:hAnsi="Times New Roman"/>
        </w:rPr>
        <w:t xml:space="preserve"> Gardner, “Rationality and the Rule of Law in Offences against the Person” (1994) 53 C.L.J. 502, 517-518. See also consultee responses: (2015) Law Com. No.361, para.4.21.</w:t>
      </w:r>
    </w:p>
  </w:footnote>
  <w:footnote w:id="102">
    <w:p w:rsidR="00C04E10" w:rsidRPr="00CC3B92" w:rsidRDefault="00C04E10" w:rsidP="00350E99">
      <w:pPr>
        <w:pStyle w:val="FootnoteText"/>
        <w:jc w:val="both"/>
        <w:rPr>
          <w:rFonts w:ascii="Times New Roman" w:hAnsi="Times New Roman"/>
        </w:rPr>
      </w:pPr>
      <w:r w:rsidRPr="00CC3B92">
        <w:rPr>
          <w:rStyle w:val="FootnoteReference"/>
          <w:rFonts w:ascii="Times New Roman" w:hAnsi="Times New Roman"/>
        </w:rPr>
        <w:footnoteRef/>
      </w:r>
      <w:r w:rsidRPr="00CC3B92">
        <w:rPr>
          <w:rFonts w:ascii="Times New Roman" w:hAnsi="Times New Roman"/>
        </w:rPr>
        <w:t xml:space="preserve"> J. </w:t>
      </w:r>
      <w:proofErr w:type="spellStart"/>
      <w:r w:rsidRPr="00CC3B92">
        <w:rPr>
          <w:rFonts w:ascii="Times New Roman" w:hAnsi="Times New Roman"/>
        </w:rPr>
        <w:t>Horder</w:t>
      </w:r>
      <w:proofErr w:type="spellEnd"/>
      <w:r w:rsidRPr="00CC3B92">
        <w:rPr>
          <w:rFonts w:ascii="Times New Roman" w:hAnsi="Times New Roman"/>
        </w:rPr>
        <w:t>, “Rethinking Non-Fatal Offences against the Perso</w:t>
      </w:r>
      <w:r>
        <w:rPr>
          <w:rFonts w:ascii="Times New Roman" w:hAnsi="Times New Roman"/>
        </w:rPr>
        <w:t>n” (1994) 14 O.J.L.S. 335, 342; 344.</w:t>
      </w:r>
    </w:p>
  </w:footnote>
  <w:footnote w:id="103">
    <w:p w:rsidR="00C04E10" w:rsidRPr="008F2091" w:rsidRDefault="00C04E10" w:rsidP="008F2091">
      <w:pPr>
        <w:pStyle w:val="FootnoteText"/>
        <w:jc w:val="both"/>
        <w:rPr>
          <w:rFonts w:ascii="Times New Roman" w:hAnsi="Times New Roman"/>
        </w:rPr>
      </w:pPr>
      <w:r w:rsidRPr="008F2091">
        <w:rPr>
          <w:rStyle w:val="FootnoteReference"/>
          <w:rFonts w:ascii="Times New Roman" w:hAnsi="Times New Roman"/>
        </w:rPr>
        <w:footnoteRef/>
      </w:r>
      <w:r w:rsidRPr="008F2091">
        <w:rPr>
          <w:rFonts w:ascii="Times New Roman" w:hAnsi="Times New Roman"/>
        </w:rPr>
        <w:t xml:space="preserve"> </w:t>
      </w:r>
      <w:proofErr w:type="spellStart"/>
      <w:proofErr w:type="gramStart"/>
      <w:r w:rsidRPr="008F2091">
        <w:rPr>
          <w:rFonts w:ascii="Times New Roman" w:hAnsi="Times New Roman"/>
        </w:rPr>
        <w:t>Horder</w:t>
      </w:r>
      <w:proofErr w:type="spellEnd"/>
      <w:r w:rsidRPr="008F2091">
        <w:rPr>
          <w:rFonts w:ascii="Times New Roman" w:hAnsi="Times New Roman"/>
        </w:rPr>
        <w:t>, “Rethinking Non-Fatal Offences against the Person” (1994) 14 O.J.L.S. 335, 341.</w:t>
      </w:r>
      <w:proofErr w:type="gramEnd"/>
    </w:p>
  </w:footnote>
  <w:footnote w:id="104">
    <w:p w:rsidR="00C04E10" w:rsidRPr="00F90A1C" w:rsidRDefault="00C04E10" w:rsidP="008F2091">
      <w:pPr>
        <w:pStyle w:val="FootnoteText"/>
        <w:jc w:val="both"/>
        <w:rPr>
          <w:rFonts w:ascii="Times New Roman" w:hAnsi="Times New Roman"/>
        </w:rPr>
      </w:pPr>
      <w:r w:rsidRPr="008F2091">
        <w:rPr>
          <w:rStyle w:val="FootnoteReference"/>
          <w:rFonts w:ascii="Times New Roman" w:hAnsi="Times New Roman"/>
        </w:rPr>
        <w:footnoteRef/>
      </w:r>
      <w:r w:rsidRPr="008F2091">
        <w:rPr>
          <w:rFonts w:ascii="Times New Roman" w:hAnsi="Times New Roman"/>
        </w:rPr>
        <w:t xml:space="preserve"> (2015) Law</w:t>
      </w:r>
      <w:r w:rsidRPr="00F90A1C">
        <w:rPr>
          <w:rFonts w:ascii="Times New Roman" w:hAnsi="Times New Roman"/>
        </w:rPr>
        <w:t xml:space="preserve"> Com. No.361, para.4.126.</w:t>
      </w:r>
    </w:p>
  </w:footnote>
  <w:footnote w:id="105">
    <w:p w:rsidR="00C04E10" w:rsidRPr="00F90A1C" w:rsidRDefault="00C04E10" w:rsidP="00F90A1C">
      <w:pPr>
        <w:pStyle w:val="FootnoteText"/>
        <w:jc w:val="both"/>
        <w:rPr>
          <w:rFonts w:ascii="Times New Roman" w:hAnsi="Times New Roman"/>
        </w:rPr>
      </w:pPr>
      <w:r w:rsidRPr="00F90A1C">
        <w:rPr>
          <w:rStyle w:val="FootnoteReference"/>
          <w:rFonts w:ascii="Times New Roman" w:hAnsi="Times New Roman"/>
        </w:rPr>
        <w:footnoteRef/>
      </w:r>
      <w:r w:rsidRPr="00F90A1C">
        <w:rPr>
          <w:rFonts w:ascii="Times New Roman" w:hAnsi="Times New Roman"/>
        </w:rPr>
        <w:t xml:space="preserve"> See </w:t>
      </w:r>
      <w:r w:rsidRPr="00A56675">
        <w:rPr>
          <w:rFonts w:ascii="Times New Roman" w:hAnsi="Times New Roman"/>
        </w:rPr>
        <w:t xml:space="preserve">fn. </w:t>
      </w:r>
      <w:r w:rsidR="00154547" w:rsidRPr="00A56675">
        <w:rPr>
          <w:rFonts w:ascii="Times New Roman" w:hAnsi="Times New Roman"/>
        </w:rPr>
        <w:t>43</w:t>
      </w:r>
      <w:r w:rsidRPr="00F90A1C">
        <w:rPr>
          <w:rFonts w:ascii="Times New Roman" w:hAnsi="Times New Roman"/>
        </w:rPr>
        <w:t xml:space="preserve"> above. </w:t>
      </w:r>
    </w:p>
  </w:footnote>
  <w:footnote w:id="106">
    <w:p w:rsidR="00C04E10" w:rsidRPr="00F90A1C" w:rsidRDefault="00C04E10" w:rsidP="00F90A1C">
      <w:pPr>
        <w:pStyle w:val="FootnoteText"/>
        <w:jc w:val="both"/>
        <w:rPr>
          <w:rFonts w:ascii="Times New Roman" w:hAnsi="Times New Roman"/>
        </w:rPr>
      </w:pPr>
      <w:r w:rsidRPr="00F90A1C">
        <w:rPr>
          <w:rStyle w:val="FootnoteReference"/>
          <w:rFonts w:ascii="Times New Roman" w:hAnsi="Times New Roman"/>
        </w:rPr>
        <w:footnoteRef/>
      </w:r>
      <w:r w:rsidRPr="00F90A1C">
        <w:rPr>
          <w:rFonts w:ascii="Times New Roman" w:hAnsi="Times New Roman"/>
        </w:rPr>
        <w:t xml:space="preserve"> (2015) Law Com. No.361, para.6.143. The </w:t>
      </w:r>
      <w:r>
        <w:rPr>
          <w:rFonts w:ascii="Times New Roman" w:hAnsi="Times New Roman"/>
        </w:rPr>
        <w:t>implications</w:t>
      </w:r>
      <w:r w:rsidRPr="00F90A1C">
        <w:rPr>
          <w:rFonts w:ascii="Times New Roman" w:hAnsi="Times New Roman"/>
        </w:rPr>
        <w:t xml:space="preserve"> of this </w:t>
      </w:r>
      <w:r>
        <w:rPr>
          <w:rFonts w:ascii="Times New Roman" w:hAnsi="Times New Roman"/>
        </w:rPr>
        <w:t>are</w:t>
      </w:r>
      <w:r w:rsidRPr="00F90A1C">
        <w:rPr>
          <w:rFonts w:ascii="Times New Roman" w:hAnsi="Times New Roman"/>
        </w:rPr>
        <w:t xml:space="preserve"> discussed below: see “Disease Transmission”.</w:t>
      </w:r>
    </w:p>
  </w:footnote>
  <w:footnote w:id="107">
    <w:p w:rsidR="00C04E10" w:rsidRPr="00F90A1C" w:rsidRDefault="00C04E10" w:rsidP="00F90A1C">
      <w:pPr>
        <w:pStyle w:val="FootnoteText"/>
        <w:jc w:val="both"/>
        <w:rPr>
          <w:rFonts w:ascii="Times New Roman" w:hAnsi="Times New Roman"/>
        </w:rPr>
      </w:pPr>
      <w:r w:rsidRPr="00F90A1C">
        <w:rPr>
          <w:rStyle w:val="FootnoteReference"/>
          <w:rFonts w:ascii="Times New Roman" w:hAnsi="Times New Roman"/>
        </w:rPr>
        <w:footnoteRef/>
      </w:r>
      <w:r w:rsidRPr="00F90A1C">
        <w:rPr>
          <w:rFonts w:ascii="Times New Roman" w:hAnsi="Times New Roman"/>
        </w:rPr>
        <w:t xml:space="preserve"> </w:t>
      </w:r>
      <w:proofErr w:type="gramStart"/>
      <w:r w:rsidRPr="00F90A1C">
        <w:rPr>
          <w:rFonts w:ascii="Times New Roman" w:hAnsi="Times New Roman"/>
          <w:i/>
        </w:rPr>
        <w:t>G</w:t>
      </w:r>
      <w:r w:rsidRPr="00F90A1C">
        <w:rPr>
          <w:rFonts w:ascii="Times New Roman" w:hAnsi="Times New Roman"/>
        </w:rPr>
        <w:t xml:space="preserve"> [2003] UKHL 50; [2004] 1 A.C. 1034, per Lord Bingham at [41].</w:t>
      </w:r>
      <w:proofErr w:type="gramEnd"/>
    </w:p>
  </w:footnote>
  <w:footnote w:id="108">
    <w:p w:rsidR="00C04E10" w:rsidRPr="007858D8" w:rsidRDefault="00C04E10" w:rsidP="00F90A1C">
      <w:pPr>
        <w:pStyle w:val="FootnoteText"/>
        <w:jc w:val="both"/>
        <w:rPr>
          <w:rFonts w:ascii="Times New Roman" w:hAnsi="Times New Roman"/>
        </w:rPr>
      </w:pPr>
      <w:r w:rsidRPr="00F90A1C">
        <w:rPr>
          <w:rStyle w:val="FootnoteReference"/>
          <w:rFonts w:ascii="Times New Roman" w:hAnsi="Times New Roman"/>
        </w:rPr>
        <w:footnoteRef/>
      </w:r>
      <w:r w:rsidRPr="00F90A1C">
        <w:rPr>
          <w:rFonts w:ascii="Times New Roman" w:hAnsi="Times New Roman"/>
        </w:rPr>
        <w:t xml:space="preserve"> </w:t>
      </w:r>
      <w:proofErr w:type="gramStart"/>
      <w:r w:rsidRPr="00F90A1C">
        <w:rPr>
          <w:rFonts w:ascii="Times New Roman" w:hAnsi="Times New Roman"/>
        </w:rPr>
        <w:t>(2015) Law Com. No.361, paras 6.130 and 6.146</w:t>
      </w:r>
      <w:r w:rsidRPr="007858D8">
        <w:rPr>
          <w:rFonts w:ascii="Times New Roman" w:hAnsi="Times New Roman"/>
        </w:rPr>
        <w:t>.</w:t>
      </w:r>
      <w:proofErr w:type="gramEnd"/>
      <w:r>
        <w:rPr>
          <w:rFonts w:ascii="Times New Roman" w:hAnsi="Times New Roman"/>
        </w:rPr>
        <w:t xml:space="preserve"> Although see G. </w:t>
      </w:r>
      <w:proofErr w:type="spellStart"/>
      <w:r>
        <w:rPr>
          <w:rFonts w:ascii="Times New Roman" w:hAnsi="Times New Roman"/>
        </w:rPr>
        <w:t>Mawhinney</w:t>
      </w:r>
      <w:proofErr w:type="spellEnd"/>
      <w:r>
        <w:rPr>
          <w:rFonts w:ascii="Times New Roman" w:hAnsi="Times New Roman"/>
        </w:rPr>
        <w:t xml:space="preserve">, “To Be Ill or to Kill: The Criminality of Contagion” (2013) 77 J. Crim. L. 202. </w:t>
      </w:r>
    </w:p>
  </w:footnote>
  <w:footnote w:id="109">
    <w:p w:rsidR="00C04E10" w:rsidRPr="007858D8" w:rsidRDefault="00C04E10" w:rsidP="007858D8">
      <w:pPr>
        <w:pStyle w:val="FootnoteText"/>
        <w:jc w:val="both"/>
        <w:rPr>
          <w:rFonts w:ascii="Times New Roman" w:hAnsi="Times New Roman"/>
        </w:rPr>
      </w:pPr>
      <w:r w:rsidRPr="007858D8">
        <w:rPr>
          <w:rStyle w:val="FootnoteReference"/>
          <w:rFonts w:ascii="Times New Roman" w:hAnsi="Times New Roman"/>
        </w:rPr>
        <w:footnoteRef/>
      </w:r>
      <w:r w:rsidRPr="007858D8">
        <w:rPr>
          <w:rFonts w:ascii="Times New Roman" w:hAnsi="Times New Roman"/>
        </w:rPr>
        <w:t xml:space="preserve"> (2015) Law Com. No.361, para.6.124.</w:t>
      </w:r>
    </w:p>
  </w:footnote>
  <w:footnote w:id="110">
    <w:p w:rsidR="00C04E10" w:rsidRDefault="00C04E10" w:rsidP="007858D8">
      <w:pPr>
        <w:pStyle w:val="FootnoteText"/>
        <w:jc w:val="both"/>
      </w:pPr>
      <w:r w:rsidRPr="007858D8">
        <w:rPr>
          <w:rStyle w:val="FootnoteReference"/>
          <w:rFonts w:ascii="Times New Roman" w:hAnsi="Times New Roman"/>
        </w:rPr>
        <w:footnoteRef/>
      </w:r>
      <w:r w:rsidRPr="007858D8">
        <w:rPr>
          <w:rFonts w:ascii="Times New Roman" w:hAnsi="Times New Roman"/>
        </w:rPr>
        <w:t xml:space="preserve"> See fn. </w:t>
      </w:r>
      <w:r w:rsidR="00154547" w:rsidRPr="00A56675">
        <w:rPr>
          <w:rFonts w:ascii="Times New Roman" w:hAnsi="Times New Roman"/>
        </w:rPr>
        <w:t>26</w:t>
      </w:r>
      <w:r w:rsidRPr="007858D8">
        <w:rPr>
          <w:rFonts w:ascii="Times New Roman" w:hAnsi="Times New Roman"/>
        </w:rPr>
        <w:t xml:space="preserve"> above.</w:t>
      </w:r>
    </w:p>
  </w:footnote>
  <w:footnote w:id="111">
    <w:p w:rsidR="00C04E10" w:rsidRPr="001F00FA" w:rsidRDefault="00C04E10" w:rsidP="001F00FA">
      <w:pPr>
        <w:pStyle w:val="FootnoteText"/>
        <w:jc w:val="both"/>
        <w:rPr>
          <w:rFonts w:ascii="Times New Roman" w:hAnsi="Times New Roman"/>
        </w:rPr>
      </w:pPr>
      <w:r w:rsidRPr="001F00FA">
        <w:rPr>
          <w:rStyle w:val="FootnoteReference"/>
          <w:rFonts w:ascii="Times New Roman" w:hAnsi="Times New Roman"/>
        </w:rPr>
        <w:footnoteRef/>
      </w:r>
      <w:r w:rsidRPr="001F00FA">
        <w:rPr>
          <w:rFonts w:ascii="Times New Roman" w:hAnsi="Times New Roman"/>
        </w:rPr>
        <w:t xml:space="preserve"> (2015) Law Com. No.361, para.4.44.</w:t>
      </w:r>
    </w:p>
  </w:footnote>
  <w:footnote w:id="112">
    <w:p w:rsidR="00C04E10" w:rsidRPr="00227BB4" w:rsidRDefault="00C04E10" w:rsidP="001F00FA">
      <w:pPr>
        <w:pStyle w:val="FootnoteText"/>
        <w:jc w:val="both"/>
        <w:rPr>
          <w:rFonts w:ascii="Times New Roman" w:hAnsi="Times New Roman"/>
        </w:rPr>
      </w:pPr>
      <w:r w:rsidRPr="00227BB4">
        <w:rPr>
          <w:rStyle w:val="FootnoteReference"/>
          <w:rFonts w:ascii="Times New Roman" w:hAnsi="Times New Roman"/>
        </w:rPr>
        <w:footnoteRef/>
      </w:r>
      <w:r w:rsidRPr="00227BB4">
        <w:rPr>
          <w:rFonts w:ascii="Times New Roman" w:hAnsi="Times New Roman"/>
        </w:rPr>
        <w:t xml:space="preserve"> See </w:t>
      </w:r>
      <w:proofErr w:type="spellStart"/>
      <w:r w:rsidRPr="00227BB4">
        <w:rPr>
          <w:rFonts w:ascii="Times New Roman" w:hAnsi="Times New Roman"/>
        </w:rPr>
        <w:t>Simester</w:t>
      </w:r>
      <w:proofErr w:type="spellEnd"/>
      <w:r w:rsidRPr="00227BB4">
        <w:rPr>
          <w:rFonts w:ascii="Times New Roman" w:hAnsi="Times New Roman"/>
        </w:rPr>
        <w:t xml:space="preserve"> and Sullivan et al, </w:t>
      </w:r>
      <w:proofErr w:type="spellStart"/>
      <w:r w:rsidRPr="00227BB4">
        <w:rPr>
          <w:rFonts w:ascii="Times New Roman" w:hAnsi="Times New Roman"/>
          <w:i/>
        </w:rPr>
        <w:t>Simester</w:t>
      </w:r>
      <w:proofErr w:type="spellEnd"/>
      <w:r w:rsidRPr="00227BB4">
        <w:rPr>
          <w:rFonts w:ascii="Times New Roman" w:hAnsi="Times New Roman"/>
          <w:i/>
        </w:rPr>
        <w:t xml:space="preserve"> and Sullivan’s Criminal Law</w:t>
      </w:r>
      <w:r w:rsidRPr="00227BB4">
        <w:rPr>
          <w:rFonts w:ascii="Times New Roman" w:hAnsi="Times New Roman"/>
        </w:rPr>
        <w:t xml:space="preserve"> (2013), p.460; A. Ashworth, </w:t>
      </w:r>
      <w:r w:rsidRPr="00227BB4">
        <w:rPr>
          <w:rFonts w:ascii="Times New Roman" w:hAnsi="Times New Roman"/>
          <w:i/>
        </w:rPr>
        <w:t>Principles of Criminal Law</w:t>
      </w:r>
      <w:r w:rsidRPr="00227BB4">
        <w:rPr>
          <w:rFonts w:ascii="Times New Roman" w:hAnsi="Times New Roman"/>
        </w:rPr>
        <w:t>, 6</w:t>
      </w:r>
      <w:r w:rsidRPr="00227BB4">
        <w:rPr>
          <w:rFonts w:ascii="Times New Roman" w:hAnsi="Times New Roman"/>
          <w:vertAlign w:val="superscript"/>
        </w:rPr>
        <w:t>th</w:t>
      </w:r>
      <w:r w:rsidRPr="00227BB4">
        <w:rPr>
          <w:rFonts w:ascii="Times New Roman" w:hAnsi="Times New Roman"/>
        </w:rPr>
        <w:t xml:space="preserve"> </w:t>
      </w:r>
      <w:proofErr w:type="spellStart"/>
      <w:r w:rsidRPr="00227BB4">
        <w:rPr>
          <w:rFonts w:ascii="Times New Roman" w:hAnsi="Times New Roman"/>
        </w:rPr>
        <w:t>edn</w:t>
      </w:r>
      <w:proofErr w:type="spellEnd"/>
      <w:r w:rsidRPr="00227BB4">
        <w:rPr>
          <w:rFonts w:ascii="Times New Roman" w:hAnsi="Times New Roman"/>
        </w:rPr>
        <w:t xml:space="preserve"> (Oxford: Oxford University Press, 2009), p.323.</w:t>
      </w:r>
    </w:p>
  </w:footnote>
  <w:footnote w:id="113">
    <w:p w:rsidR="00C04E10" w:rsidRPr="00491384" w:rsidRDefault="00C04E10" w:rsidP="00491384">
      <w:pPr>
        <w:pStyle w:val="FootnoteText"/>
        <w:jc w:val="both"/>
        <w:rPr>
          <w:rFonts w:ascii="Times New Roman" w:hAnsi="Times New Roman"/>
        </w:rPr>
      </w:pPr>
      <w:r w:rsidRPr="00491384">
        <w:rPr>
          <w:rStyle w:val="FootnoteReference"/>
          <w:rFonts w:ascii="Times New Roman" w:hAnsi="Times New Roman"/>
        </w:rPr>
        <w:footnoteRef/>
      </w:r>
      <w:r w:rsidRPr="00491384">
        <w:rPr>
          <w:rFonts w:ascii="Times New Roman" w:hAnsi="Times New Roman"/>
        </w:rPr>
        <w:t xml:space="preserve"> [2003] EWCA Crim 2846; [2004] 2 Cr. App. R. 6, per </w:t>
      </w:r>
      <w:proofErr w:type="spellStart"/>
      <w:r w:rsidRPr="00491384">
        <w:rPr>
          <w:rFonts w:ascii="Times New Roman" w:hAnsi="Times New Roman"/>
        </w:rPr>
        <w:t>Fulford</w:t>
      </w:r>
      <w:proofErr w:type="spellEnd"/>
      <w:r w:rsidRPr="00491384">
        <w:rPr>
          <w:rFonts w:ascii="Times New Roman" w:hAnsi="Times New Roman"/>
        </w:rPr>
        <w:t xml:space="preserve"> J. at [52] (emphasis added).</w:t>
      </w:r>
    </w:p>
  </w:footnote>
  <w:footnote w:id="114">
    <w:p w:rsidR="00C04E10" w:rsidRPr="00703746" w:rsidRDefault="00C04E10" w:rsidP="00703746">
      <w:pPr>
        <w:pStyle w:val="FootnoteText"/>
        <w:jc w:val="both"/>
        <w:rPr>
          <w:rFonts w:ascii="Times New Roman" w:hAnsi="Times New Roman"/>
        </w:rPr>
      </w:pPr>
      <w:r w:rsidRPr="00703746">
        <w:rPr>
          <w:rStyle w:val="FootnoteReference"/>
          <w:rFonts w:ascii="Times New Roman" w:hAnsi="Times New Roman"/>
        </w:rPr>
        <w:footnoteRef/>
      </w:r>
      <w:r w:rsidRPr="00703746">
        <w:rPr>
          <w:rFonts w:ascii="Times New Roman" w:hAnsi="Times New Roman"/>
        </w:rPr>
        <w:t xml:space="preserve"> (2015) Law Com. No.361, para.4.97.</w:t>
      </w:r>
    </w:p>
  </w:footnote>
  <w:footnote w:id="115">
    <w:p w:rsidR="00C04E10" w:rsidRPr="00491384" w:rsidRDefault="00C04E10" w:rsidP="00703746">
      <w:pPr>
        <w:pStyle w:val="FootnoteText"/>
        <w:jc w:val="both"/>
        <w:rPr>
          <w:rFonts w:ascii="Times New Roman" w:hAnsi="Times New Roman"/>
        </w:rPr>
      </w:pPr>
      <w:r w:rsidRPr="00703746">
        <w:rPr>
          <w:rStyle w:val="FootnoteReference"/>
          <w:rFonts w:ascii="Times New Roman" w:hAnsi="Times New Roman"/>
        </w:rPr>
        <w:footnoteRef/>
      </w:r>
      <w:r w:rsidRPr="00703746">
        <w:rPr>
          <w:rFonts w:ascii="Times New Roman" w:hAnsi="Times New Roman"/>
        </w:rPr>
        <w:t xml:space="preserve"> </w:t>
      </w:r>
      <w:proofErr w:type="spellStart"/>
      <w:r w:rsidRPr="00703746">
        <w:rPr>
          <w:rFonts w:ascii="Times New Roman" w:hAnsi="Times New Roman"/>
        </w:rPr>
        <w:t>Eriera</w:t>
      </w:r>
      <w:proofErr w:type="spellEnd"/>
      <w:r w:rsidRPr="00703746">
        <w:rPr>
          <w:rFonts w:ascii="Times New Roman" w:hAnsi="Times New Roman"/>
        </w:rPr>
        <w:t>, “Offences</w:t>
      </w:r>
      <w:r w:rsidRPr="00491384">
        <w:rPr>
          <w:rFonts w:ascii="Times New Roman" w:hAnsi="Times New Roman"/>
        </w:rPr>
        <w:t xml:space="preserve"> against the Person: Offending Rationality” (2007) Cambridge Student L.R. 22, 29.</w:t>
      </w:r>
    </w:p>
  </w:footnote>
  <w:footnote w:id="116">
    <w:p w:rsidR="00C04E10" w:rsidRDefault="00C04E10" w:rsidP="00491384">
      <w:pPr>
        <w:pStyle w:val="FootnoteText"/>
        <w:jc w:val="both"/>
      </w:pPr>
      <w:r w:rsidRPr="00491384">
        <w:rPr>
          <w:rStyle w:val="FootnoteReference"/>
          <w:rFonts w:ascii="Times New Roman" w:hAnsi="Times New Roman"/>
        </w:rPr>
        <w:footnoteRef/>
      </w:r>
      <w:r w:rsidRPr="00491384">
        <w:rPr>
          <w:rFonts w:ascii="Times New Roman" w:hAnsi="Times New Roman"/>
        </w:rPr>
        <w:t xml:space="preserve"> (2015) Law Com. No.361, para.4.82.</w:t>
      </w:r>
    </w:p>
  </w:footnote>
  <w:footnote w:id="117">
    <w:p w:rsidR="00C04E10" w:rsidRPr="006F0176" w:rsidRDefault="00C04E10" w:rsidP="006F0176">
      <w:pPr>
        <w:pStyle w:val="FootnoteText"/>
        <w:jc w:val="both"/>
        <w:rPr>
          <w:rFonts w:ascii="Times New Roman" w:hAnsi="Times New Roman"/>
        </w:rPr>
      </w:pPr>
      <w:r w:rsidRPr="006F0176">
        <w:rPr>
          <w:rStyle w:val="FootnoteReference"/>
          <w:rFonts w:ascii="Times New Roman" w:hAnsi="Times New Roman"/>
        </w:rPr>
        <w:footnoteRef/>
      </w:r>
      <w:r w:rsidRPr="006F0176">
        <w:rPr>
          <w:rFonts w:ascii="Times New Roman" w:hAnsi="Times New Roman"/>
        </w:rPr>
        <w:t xml:space="preserve"> (2015) Law Com. No.361, para.4.86. For analysis of “aggravated assault”, see directly below: “Reflecting Wrongdoing #</w:t>
      </w:r>
      <w:r>
        <w:rPr>
          <w:rFonts w:ascii="Times New Roman" w:hAnsi="Times New Roman"/>
        </w:rPr>
        <w:t>2</w:t>
      </w:r>
      <w:r w:rsidRPr="006F0176">
        <w:rPr>
          <w:rFonts w:ascii="Times New Roman" w:hAnsi="Times New Roman"/>
        </w:rPr>
        <w:t xml:space="preserve">”. </w:t>
      </w:r>
    </w:p>
  </w:footnote>
  <w:footnote w:id="118">
    <w:p w:rsidR="00C04E10" w:rsidRPr="006F0176" w:rsidRDefault="00C04E10" w:rsidP="006F0176">
      <w:pPr>
        <w:pStyle w:val="FootnoteText"/>
        <w:jc w:val="both"/>
        <w:rPr>
          <w:rFonts w:ascii="Times New Roman" w:hAnsi="Times New Roman"/>
        </w:rPr>
      </w:pPr>
      <w:r w:rsidRPr="006F0176">
        <w:rPr>
          <w:rStyle w:val="FootnoteReference"/>
          <w:rFonts w:ascii="Times New Roman" w:hAnsi="Times New Roman"/>
        </w:rPr>
        <w:footnoteRef/>
      </w:r>
      <w:r w:rsidRPr="006F0176">
        <w:rPr>
          <w:rFonts w:ascii="Times New Roman" w:hAnsi="Times New Roman"/>
        </w:rPr>
        <w:t xml:space="preserve"> (2015) Law Com. No.361, para.5.29.</w:t>
      </w:r>
    </w:p>
  </w:footnote>
  <w:footnote w:id="119">
    <w:p w:rsidR="00C04E10" w:rsidRPr="006F0176" w:rsidRDefault="00C04E10" w:rsidP="006F0176">
      <w:pPr>
        <w:pStyle w:val="FootnoteText"/>
        <w:jc w:val="both"/>
        <w:rPr>
          <w:rFonts w:ascii="Times New Roman" w:hAnsi="Times New Roman"/>
        </w:rPr>
      </w:pPr>
      <w:r w:rsidRPr="006F0176">
        <w:rPr>
          <w:rStyle w:val="FootnoteReference"/>
          <w:rFonts w:ascii="Times New Roman" w:hAnsi="Times New Roman"/>
        </w:rPr>
        <w:footnoteRef/>
      </w:r>
      <w:r w:rsidRPr="006F0176">
        <w:rPr>
          <w:rFonts w:ascii="Times New Roman" w:hAnsi="Times New Roman"/>
        </w:rPr>
        <w:t xml:space="preserve"> (2015) Law Com. No.361, para.5.29.</w:t>
      </w:r>
    </w:p>
  </w:footnote>
  <w:footnote w:id="120">
    <w:p w:rsidR="00C04E10" w:rsidRDefault="00C04E10" w:rsidP="006F0176">
      <w:pPr>
        <w:pStyle w:val="FootnoteText"/>
        <w:jc w:val="both"/>
      </w:pPr>
      <w:r w:rsidRPr="006F0176">
        <w:rPr>
          <w:rStyle w:val="FootnoteReference"/>
          <w:rFonts w:ascii="Times New Roman" w:hAnsi="Times New Roman"/>
        </w:rPr>
        <w:footnoteRef/>
      </w:r>
      <w:r w:rsidRPr="006F0176">
        <w:rPr>
          <w:rFonts w:ascii="Times New Roman" w:hAnsi="Times New Roman"/>
        </w:rPr>
        <w:t xml:space="preserve"> </w:t>
      </w:r>
      <w:proofErr w:type="spellStart"/>
      <w:r w:rsidRPr="006F0176">
        <w:rPr>
          <w:rFonts w:ascii="Times New Roman" w:hAnsi="Times New Roman"/>
        </w:rPr>
        <w:t>Eriera</w:t>
      </w:r>
      <w:proofErr w:type="spellEnd"/>
      <w:r w:rsidRPr="006F0176">
        <w:rPr>
          <w:rFonts w:ascii="Times New Roman" w:hAnsi="Times New Roman"/>
        </w:rPr>
        <w:t>, “Offences against the Person: Offending Rationality” (2007) Cambridge Student L.R. 22, 29.</w:t>
      </w:r>
    </w:p>
  </w:footnote>
  <w:footnote w:id="121">
    <w:p w:rsidR="00C04E10" w:rsidRPr="00BA6E2F" w:rsidRDefault="00C04E10" w:rsidP="00BA6E2F">
      <w:pPr>
        <w:pStyle w:val="FootnoteText"/>
        <w:jc w:val="both"/>
        <w:rPr>
          <w:rFonts w:ascii="Times New Roman" w:hAnsi="Times New Roman"/>
        </w:rPr>
      </w:pPr>
      <w:r w:rsidRPr="00B36098">
        <w:rPr>
          <w:rStyle w:val="FootnoteReference"/>
          <w:rFonts w:ascii="Times New Roman" w:hAnsi="Times New Roman"/>
        </w:rPr>
        <w:footnoteRef/>
      </w:r>
      <w:r w:rsidRPr="00B36098">
        <w:rPr>
          <w:rFonts w:ascii="Times New Roman" w:hAnsi="Times New Roman"/>
        </w:rPr>
        <w:t xml:space="preserve"> (2015) Law Com. No.361, para.5.68. </w:t>
      </w:r>
    </w:p>
  </w:footnote>
  <w:footnote w:id="122">
    <w:p w:rsidR="00C04E10" w:rsidRPr="008D4898" w:rsidRDefault="00C04E10" w:rsidP="008D4898">
      <w:pPr>
        <w:pStyle w:val="FootnoteText"/>
        <w:jc w:val="both"/>
        <w:rPr>
          <w:rFonts w:ascii="Times New Roman" w:hAnsi="Times New Roman"/>
        </w:rPr>
      </w:pPr>
      <w:r w:rsidRPr="008D4898">
        <w:rPr>
          <w:rStyle w:val="FootnoteReference"/>
          <w:rFonts w:ascii="Times New Roman" w:hAnsi="Times New Roman"/>
        </w:rPr>
        <w:footnoteRef/>
      </w:r>
      <w:r w:rsidRPr="008D4898">
        <w:rPr>
          <w:rFonts w:ascii="Times New Roman" w:hAnsi="Times New Roman"/>
        </w:rPr>
        <w:t xml:space="preserve"> </w:t>
      </w:r>
      <w:proofErr w:type="gramStart"/>
      <w:r w:rsidRPr="008D4898">
        <w:rPr>
          <w:rFonts w:ascii="Times New Roman" w:hAnsi="Times New Roman"/>
        </w:rPr>
        <w:t>(2015) Law Com. No.361, paras 5.43-5.44.</w:t>
      </w:r>
      <w:proofErr w:type="gramEnd"/>
      <w:r w:rsidRPr="008D4898">
        <w:rPr>
          <w:rFonts w:ascii="Times New Roman" w:hAnsi="Times New Roman"/>
        </w:rPr>
        <w:t xml:space="preserve"> See also V. Scully, “Reforming Offences against the Person – Seventh Time Lucky?” </w:t>
      </w:r>
      <w:proofErr w:type="gramStart"/>
      <w:r w:rsidRPr="008D4898">
        <w:rPr>
          <w:rFonts w:ascii="Times New Roman" w:hAnsi="Times New Roman"/>
        </w:rPr>
        <w:t>(2015) 10 Arch. Rev. 4, 5.</w:t>
      </w:r>
      <w:proofErr w:type="gramEnd"/>
      <w:r w:rsidRPr="008D4898">
        <w:rPr>
          <w:rFonts w:ascii="Times New Roman" w:hAnsi="Times New Roman"/>
        </w:rPr>
        <w:t xml:space="preserve"> </w:t>
      </w:r>
    </w:p>
  </w:footnote>
  <w:footnote w:id="123">
    <w:p w:rsidR="00C04E10" w:rsidRPr="008D4898" w:rsidRDefault="00C04E10" w:rsidP="008D4898">
      <w:pPr>
        <w:pStyle w:val="FootnoteText"/>
        <w:jc w:val="both"/>
        <w:rPr>
          <w:rFonts w:ascii="Times New Roman" w:hAnsi="Times New Roman"/>
        </w:rPr>
      </w:pPr>
      <w:r w:rsidRPr="008D4898">
        <w:rPr>
          <w:rStyle w:val="FootnoteReference"/>
          <w:rFonts w:ascii="Times New Roman" w:hAnsi="Times New Roman"/>
        </w:rPr>
        <w:footnoteRef/>
      </w:r>
      <w:r w:rsidRPr="008D4898">
        <w:rPr>
          <w:rFonts w:ascii="Times New Roman" w:hAnsi="Times New Roman"/>
        </w:rPr>
        <w:t xml:space="preserve"> (2015) Law Com. No.361, para.6.131.</w:t>
      </w:r>
    </w:p>
  </w:footnote>
  <w:footnote w:id="124">
    <w:p w:rsidR="00C04E10" w:rsidRPr="00134DF4" w:rsidRDefault="00C04E10" w:rsidP="008D4898">
      <w:pPr>
        <w:pStyle w:val="FootnoteText"/>
        <w:jc w:val="both"/>
        <w:rPr>
          <w:rFonts w:ascii="Times New Roman" w:hAnsi="Times New Roman"/>
        </w:rPr>
      </w:pPr>
      <w:r w:rsidRPr="008D4898">
        <w:rPr>
          <w:rStyle w:val="FootnoteReference"/>
          <w:rFonts w:ascii="Times New Roman" w:hAnsi="Times New Roman"/>
        </w:rPr>
        <w:footnoteRef/>
      </w:r>
      <w:r w:rsidRPr="008D4898">
        <w:rPr>
          <w:rFonts w:ascii="Times New Roman" w:hAnsi="Times New Roman"/>
        </w:rPr>
        <w:t xml:space="preserve"> (2015) Law Com. No.361, para.5.52.</w:t>
      </w:r>
    </w:p>
  </w:footnote>
  <w:footnote w:id="125">
    <w:p w:rsidR="00C04E10" w:rsidRPr="00A83D92" w:rsidRDefault="00C04E10" w:rsidP="00A83D92">
      <w:pPr>
        <w:pStyle w:val="FootnoteText"/>
        <w:jc w:val="both"/>
        <w:rPr>
          <w:rFonts w:ascii="Times New Roman" w:hAnsi="Times New Roman"/>
        </w:rPr>
      </w:pPr>
      <w:r w:rsidRPr="00A83D92">
        <w:rPr>
          <w:rStyle w:val="FootnoteReference"/>
          <w:rFonts w:ascii="Times New Roman" w:hAnsi="Times New Roman"/>
        </w:rPr>
        <w:footnoteRef/>
      </w:r>
      <w:r w:rsidRPr="00A83D92">
        <w:rPr>
          <w:rFonts w:ascii="Times New Roman" w:hAnsi="Times New Roman"/>
        </w:rPr>
        <w:t xml:space="preserve"> See above fn. </w:t>
      </w:r>
      <w:r w:rsidR="00651392" w:rsidRPr="00A56675">
        <w:rPr>
          <w:rFonts w:ascii="Times New Roman" w:hAnsi="Times New Roman"/>
        </w:rPr>
        <w:t>87</w:t>
      </w:r>
      <w:r w:rsidRPr="00A83D92">
        <w:rPr>
          <w:rFonts w:ascii="Times New Roman" w:hAnsi="Times New Roman"/>
        </w:rPr>
        <w:t xml:space="preserve">. </w:t>
      </w:r>
    </w:p>
  </w:footnote>
  <w:footnote w:id="126">
    <w:p w:rsidR="00C04E10" w:rsidRPr="00DC313A" w:rsidRDefault="00C04E10" w:rsidP="00DC313A">
      <w:pPr>
        <w:pStyle w:val="FootnoteText"/>
        <w:jc w:val="both"/>
        <w:rPr>
          <w:rFonts w:ascii="Times New Roman" w:hAnsi="Times New Roman"/>
        </w:rPr>
      </w:pPr>
      <w:r w:rsidRPr="00DC313A">
        <w:rPr>
          <w:rStyle w:val="FootnoteReference"/>
          <w:rFonts w:ascii="Times New Roman" w:hAnsi="Times New Roman"/>
        </w:rPr>
        <w:footnoteRef/>
      </w:r>
      <w:r w:rsidRPr="00DC313A">
        <w:rPr>
          <w:rFonts w:ascii="Times New Roman" w:hAnsi="Times New Roman"/>
        </w:rPr>
        <w:t xml:space="preserve"> (2015) Law Com. No.361, para.5.55.</w:t>
      </w:r>
    </w:p>
  </w:footnote>
  <w:footnote w:id="127">
    <w:p w:rsidR="00C04E10" w:rsidRPr="00DC313A" w:rsidRDefault="00C04E10" w:rsidP="00DC313A">
      <w:pPr>
        <w:pStyle w:val="FootnoteText"/>
        <w:jc w:val="both"/>
        <w:rPr>
          <w:rFonts w:ascii="Times New Roman" w:hAnsi="Times New Roman"/>
        </w:rPr>
      </w:pPr>
      <w:r w:rsidRPr="00DC313A">
        <w:rPr>
          <w:rStyle w:val="FootnoteReference"/>
          <w:rFonts w:ascii="Times New Roman" w:hAnsi="Times New Roman"/>
        </w:rPr>
        <w:footnoteRef/>
      </w:r>
      <w:r w:rsidRPr="00DC313A">
        <w:rPr>
          <w:rFonts w:ascii="Times New Roman" w:hAnsi="Times New Roman"/>
        </w:rPr>
        <w:t xml:space="preserve"> (2015) Law Com. No.361, para.5.67.</w:t>
      </w:r>
    </w:p>
  </w:footnote>
  <w:footnote w:id="128">
    <w:p w:rsidR="00C04E10" w:rsidRPr="00E50B29" w:rsidRDefault="00C04E10" w:rsidP="00E50B29">
      <w:pPr>
        <w:pStyle w:val="FootnoteText"/>
        <w:jc w:val="both"/>
        <w:rPr>
          <w:rFonts w:ascii="Times New Roman" w:hAnsi="Times New Roman"/>
        </w:rPr>
      </w:pPr>
      <w:r w:rsidRPr="00E50B29">
        <w:rPr>
          <w:rStyle w:val="FootnoteReference"/>
          <w:rFonts w:ascii="Times New Roman" w:hAnsi="Times New Roman"/>
        </w:rPr>
        <w:footnoteRef/>
      </w:r>
      <w:r w:rsidRPr="00E50B29">
        <w:rPr>
          <w:rFonts w:ascii="Times New Roman" w:hAnsi="Times New Roman"/>
        </w:rPr>
        <w:t xml:space="preserve"> </w:t>
      </w:r>
      <w:proofErr w:type="gramStart"/>
      <w:r w:rsidRPr="00E50B29">
        <w:rPr>
          <w:rFonts w:ascii="Times New Roman" w:hAnsi="Times New Roman"/>
        </w:rPr>
        <w:t>(2015) Law Com. No.361, paras 6.140-6.142.</w:t>
      </w:r>
      <w:proofErr w:type="gramEnd"/>
    </w:p>
  </w:footnote>
  <w:footnote w:id="129">
    <w:p w:rsidR="00C04E10" w:rsidRPr="00E50B29" w:rsidRDefault="00C04E10" w:rsidP="00E50B29">
      <w:pPr>
        <w:pStyle w:val="FootnoteText"/>
        <w:jc w:val="both"/>
        <w:rPr>
          <w:rFonts w:ascii="Times New Roman" w:hAnsi="Times New Roman"/>
        </w:rPr>
      </w:pPr>
      <w:r w:rsidRPr="00E50B29">
        <w:rPr>
          <w:rStyle w:val="FootnoteReference"/>
          <w:rFonts w:ascii="Times New Roman" w:hAnsi="Times New Roman"/>
        </w:rPr>
        <w:footnoteRef/>
      </w:r>
      <w:r w:rsidRPr="00E50B29">
        <w:rPr>
          <w:rFonts w:ascii="Times New Roman" w:hAnsi="Times New Roman"/>
        </w:rPr>
        <w:t xml:space="preserve"> </w:t>
      </w:r>
      <w:proofErr w:type="gramStart"/>
      <w:r w:rsidRPr="00E50B29">
        <w:rPr>
          <w:rFonts w:ascii="Times New Roman" w:hAnsi="Times New Roman"/>
        </w:rPr>
        <w:t>(2</w:t>
      </w:r>
      <w:r>
        <w:rPr>
          <w:rFonts w:ascii="Times New Roman" w:hAnsi="Times New Roman"/>
        </w:rPr>
        <w:t>015) Law Com. No.361, paras 6.41 and 6.44.</w:t>
      </w:r>
      <w:proofErr w:type="gramEnd"/>
    </w:p>
  </w:footnote>
  <w:footnote w:id="130">
    <w:p w:rsidR="00C04E10" w:rsidRDefault="00C04E10" w:rsidP="00E50B29">
      <w:pPr>
        <w:pStyle w:val="FootnoteText"/>
        <w:jc w:val="both"/>
      </w:pPr>
      <w:r w:rsidRPr="00E50B29">
        <w:rPr>
          <w:rStyle w:val="FootnoteReference"/>
          <w:rFonts w:ascii="Times New Roman" w:hAnsi="Times New Roman"/>
        </w:rPr>
        <w:footnoteRef/>
      </w:r>
      <w:r w:rsidRPr="00E50B29">
        <w:rPr>
          <w:rFonts w:ascii="Times New Roman" w:hAnsi="Times New Roman"/>
        </w:rPr>
        <w:t xml:space="preserve"> See </w:t>
      </w:r>
      <w:proofErr w:type="spellStart"/>
      <w:r w:rsidRPr="00E50B29">
        <w:rPr>
          <w:rFonts w:ascii="Times New Roman" w:hAnsi="Times New Roman"/>
          <w:i/>
        </w:rPr>
        <w:t>Dica</w:t>
      </w:r>
      <w:proofErr w:type="spellEnd"/>
      <w:r w:rsidRPr="00E50B29">
        <w:rPr>
          <w:rFonts w:ascii="Times New Roman" w:hAnsi="Times New Roman"/>
        </w:rPr>
        <w:t xml:space="preserve">, </w:t>
      </w:r>
      <w:proofErr w:type="spellStart"/>
      <w:r w:rsidRPr="00E50B29">
        <w:rPr>
          <w:rFonts w:ascii="Times New Roman" w:hAnsi="Times New Roman"/>
          <w:i/>
        </w:rPr>
        <w:t>Konzani</w:t>
      </w:r>
      <w:proofErr w:type="spellEnd"/>
      <w:r w:rsidRPr="00E50B29">
        <w:rPr>
          <w:rFonts w:ascii="Times New Roman" w:hAnsi="Times New Roman"/>
        </w:rPr>
        <w:t xml:space="preserve"> and </w:t>
      </w:r>
      <w:r w:rsidRPr="00E50B29">
        <w:rPr>
          <w:rFonts w:ascii="Times New Roman" w:hAnsi="Times New Roman"/>
          <w:i/>
        </w:rPr>
        <w:t>Golding</w:t>
      </w:r>
      <w:r w:rsidRPr="00E50B29">
        <w:rPr>
          <w:rFonts w:ascii="Times New Roman" w:hAnsi="Times New Roman"/>
        </w:rPr>
        <w:t>: fn</w:t>
      </w:r>
      <w:r w:rsidR="00A56675">
        <w:rPr>
          <w:rFonts w:ascii="Times New Roman" w:hAnsi="Times New Roman"/>
        </w:rPr>
        <w:t>.</w:t>
      </w:r>
      <w:r w:rsidRPr="00E50B29">
        <w:rPr>
          <w:rFonts w:ascii="Times New Roman" w:hAnsi="Times New Roman"/>
        </w:rPr>
        <w:t xml:space="preserve"> </w:t>
      </w:r>
      <w:r w:rsidR="003B0B26" w:rsidRPr="00A56675">
        <w:rPr>
          <w:rFonts w:ascii="Times New Roman" w:hAnsi="Times New Roman"/>
        </w:rPr>
        <w:t>26</w:t>
      </w:r>
      <w:r w:rsidRPr="00E50B29">
        <w:rPr>
          <w:rFonts w:ascii="Times New Roman" w:hAnsi="Times New Roman"/>
        </w:rPr>
        <w:t xml:space="preserve"> above.</w:t>
      </w:r>
      <w:r>
        <w:t xml:space="preserve"> </w:t>
      </w:r>
    </w:p>
  </w:footnote>
  <w:footnote w:id="131">
    <w:p w:rsidR="00C04E10" w:rsidRPr="00FF4419" w:rsidRDefault="00C04E10" w:rsidP="00FF4419">
      <w:pPr>
        <w:pStyle w:val="FootnoteText"/>
        <w:jc w:val="both"/>
        <w:rPr>
          <w:rFonts w:ascii="Times New Roman" w:hAnsi="Times New Roman"/>
        </w:rPr>
      </w:pPr>
      <w:r w:rsidRPr="00FF4419">
        <w:rPr>
          <w:rStyle w:val="FootnoteReference"/>
          <w:rFonts w:ascii="Times New Roman" w:hAnsi="Times New Roman"/>
        </w:rPr>
        <w:footnoteRef/>
      </w:r>
      <w:r w:rsidRPr="00FF4419">
        <w:rPr>
          <w:rFonts w:ascii="Times New Roman" w:hAnsi="Times New Roman"/>
        </w:rPr>
        <w:t xml:space="preserve"> </w:t>
      </w:r>
      <w:proofErr w:type="gramStart"/>
      <w:r w:rsidRPr="00FF4419">
        <w:rPr>
          <w:rFonts w:ascii="Times New Roman" w:hAnsi="Times New Roman"/>
        </w:rPr>
        <w:t>(2015) Law Com. No.361, paras 6.17-6.18.</w:t>
      </w:r>
      <w:proofErr w:type="gramEnd"/>
    </w:p>
  </w:footnote>
  <w:footnote w:id="132">
    <w:p w:rsidR="00C04E10" w:rsidRPr="00FF4419" w:rsidRDefault="00C04E10" w:rsidP="00FF4419">
      <w:pPr>
        <w:pStyle w:val="FootnoteText"/>
        <w:jc w:val="both"/>
        <w:rPr>
          <w:rFonts w:ascii="Times New Roman" w:hAnsi="Times New Roman"/>
        </w:rPr>
      </w:pPr>
      <w:r w:rsidRPr="00FF4419">
        <w:rPr>
          <w:rStyle w:val="FootnoteReference"/>
          <w:rFonts w:ascii="Times New Roman" w:hAnsi="Times New Roman"/>
        </w:rPr>
        <w:footnoteRef/>
      </w:r>
      <w:r w:rsidRPr="00FF4419">
        <w:rPr>
          <w:rFonts w:ascii="Times New Roman" w:hAnsi="Times New Roman"/>
        </w:rPr>
        <w:t xml:space="preserve"> See also J. Chalmers, </w:t>
      </w:r>
      <w:r w:rsidRPr="00FF4419">
        <w:rPr>
          <w:rFonts w:ascii="Times New Roman" w:hAnsi="Times New Roman"/>
          <w:i/>
        </w:rPr>
        <w:t>Legal Responses to HIV and AIDS</w:t>
      </w:r>
      <w:r w:rsidRPr="00FF4419">
        <w:rPr>
          <w:rFonts w:ascii="Times New Roman" w:hAnsi="Times New Roman"/>
        </w:rPr>
        <w:t xml:space="preserve"> </w:t>
      </w:r>
      <w:r w:rsidR="009C0627">
        <w:rPr>
          <w:rFonts w:ascii="Times New Roman" w:hAnsi="Times New Roman"/>
        </w:rPr>
        <w:t>(Oxford: Hart</w:t>
      </w:r>
      <w:r>
        <w:rPr>
          <w:rFonts w:ascii="Times New Roman" w:hAnsi="Times New Roman"/>
        </w:rPr>
        <w:t xml:space="preserve"> Publishing, 2008), </w:t>
      </w:r>
      <w:r w:rsidRPr="00FF4419">
        <w:rPr>
          <w:rFonts w:ascii="Times New Roman" w:hAnsi="Times New Roman"/>
        </w:rPr>
        <w:t xml:space="preserve">D. Hughes, “Condom Use, Viral Load and the Type of Sexual Activity as Defences to the Sexual Transmission of </w:t>
      </w:r>
      <w:r>
        <w:rPr>
          <w:rFonts w:ascii="Times New Roman" w:hAnsi="Times New Roman"/>
        </w:rPr>
        <w:t xml:space="preserve">HIV” (2013) 77 J. Crim. L. 136 and K. Harker and E. Wright, “The HIV Stigma: Duty or Defence?” </w:t>
      </w:r>
      <w:proofErr w:type="gramStart"/>
      <w:r>
        <w:rPr>
          <w:rFonts w:ascii="Times New Roman" w:hAnsi="Times New Roman"/>
        </w:rPr>
        <w:t>(2015) UCL J. L. and J. 55.</w:t>
      </w:r>
      <w:proofErr w:type="gramEnd"/>
      <w:r>
        <w:rPr>
          <w:rFonts w:ascii="Times New Roman" w:hAnsi="Times New Roman"/>
        </w:rPr>
        <w:t xml:space="preserve"> </w:t>
      </w:r>
    </w:p>
  </w:footnote>
  <w:footnote w:id="133">
    <w:p w:rsidR="00C04E10" w:rsidRPr="00604B78" w:rsidRDefault="00C04E10" w:rsidP="00604B78">
      <w:pPr>
        <w:pStyle w:val="FootnoteText"/>
        <w:jc w:val="both"/>
        <w:rPr>
          <w:rFonts w:ascii="Times New Roman" w:hAnsi="Times New Roman"/>
        </w:rPr>
      </w:pPr>
      <w:r w:rsidRPr="00604B78">
        <w:rPr>
          <w:rStyle w:val="FootnoteReference"/>
          <w:rFonts w:ascii="Times New Roman" w:hAnsi="Times New Roman"/>
        </w:rPr>
        <w:footnoteRef/>
      </w:r>
      <w:r w:rsidRPr="00604B78">
        <w:rPr>
          <w:rFonts w:ascii="Times New Roman" w:hAnsi="Times New Roman"/>
        </w:rPr>
        <w:t xml:space="preserve"> (2015) Law Com. No.361, para.6.19.</w:t>
      </w:r>
    </w:p>
  </w:footnote>
  <w:footnote w:id="134">
    <w:p w:rsidR="00C04E10" w:rsidRPr="00604B78" w:rsidRDefault="00C04E10" w:rsidP="00604B78">
      <w:pPr>
        <w:pStyle w:val="FootnoteText"/>
        <w:jc w:val="both"/>
        <w:rPr>
          <w:rFonts w:ascii="Times New Roman" w:hAnsi="Times New Roman"/>
        </w:rPr>
      </w:pPr>
      <w:r w:rsidRPr="00604B78">
        <w:rPr>
          <w:rStyle w:val="FootnoteReference"/>
          <w:rFonts w:ascii="Times New Roman" w:hAnsi="Times New Roman"/>
        </w:rPr>
        <w:footnoteRef/>
      </w:r>
      <w:r w:rsidRPr="00604B78">
        <w:rPr>
          <w:rFonts w:ascii="Times New Roman" w:hAnsi="Times New Roman"/>
        </w:rPr>
        <w:t xml:space="preserve"> </w:t>
      </w:r>
      <w:proofErr w:type="gramStart"/>
      <w:r w:rsidRPr="00604B78">
        <w:rPr>
          <w:rFonts w:ascii="Times New Roman" w:hAnsi="Times New Roman"/>
        </w:rPr>
        <w:t>(2015) Law Com. No.361, paras 6.21-6.23.</w:t>
      </w:r>
      <w:proofErr w:type="gramEnd"/>
      <w:r w:rsidRPr="00604B78">
        <w:rPr>
          <w:rFonts w:ascii="Times New Roman" w:hAnsi="Times New Roman"/>
        </w:rPr>
        <w:t xml:space="preserve"> Similar comments are also made in </w:t>
      </w:r>
      <w:proofErr w:type="spellStart"/>
      <w:r w:rsidRPr="00604B78">
        <w:rPr>
          <w:rFonts w:ascii="Times New Roman" w:hAnsi="Times New Roman"/>
          <w:i/>
        </w:rPr>
        <w:t>Konzani</w:t>
      </w:r>
      <w:proofErr w:type="spellEnd"/>
      <w:r w:rsidRPr="00604B78">
        <w:rPr>
          <w:rFonts w:ascii="Times New Roman" w:hAnsi="Times New Roman"/>
        </w:rPr>
        <w:t xml:space="preserve">, per Judge L.J. at [44]. </w:t>
      </w:r>
    </w:p>
  </w:footnote>
  <w:footnote w:id="135">
    <w:p w:rsidR="00C04E10" w:rsidRPr="00604B78" w:rsidRDefault="00C04E10" w:rsidP="00604B78">
      <w:pPr>
        <w:pStyle w:val="FootnoteText"/>
        <w:jc w:val="both"/>
        <w:rPr>
          <w:rFonts w:ascii="Times New Roman" w:hAnsi="Times New Roman"/>
        </w:rPr>
      </w:pPr>
      <w:r w:rsidRPr="00604B78">
        <w:rPr>
          <w:rStyle w:val="FootnoteReference"/>
          <w:rFonts w:ascii="Times New Roman" w:hAnsi="Times New Roman"/>
        </w:rPr>
        <w:footnoteRef/>
      </w:r>
      <w:r w:rsidRPr="00604B78">
        <w:rPr>
          <w:rFonts w:ascii="Times New Roman" w:hAnsi="Times New Roman"/>
        </w:rPr>
        <w:t xml:space="preserve"> For further discussion, see S. Ryan, “Disclosure and HIV Transmission” (2015) 79 J. Crim. L. 395. </w:t>
      </w:r>
    </w:p>
  </w:footnote>
  <w:footnote w:id="136">
    <w:p w:rsidR="00C04E10" w:rsidRDefault="00C04E10" w:rsidP="00177850">
      <w:pPr>
        <w:pStyle w:val="FootnoteText"/>
        <w:jc w:val="both"/>
      </w:pPr>
      <w:r w:rsidRPr="00604B78">
        <w:rPr>
          <w:rStyle w:val="FootnoteReference"/>
          <w:rFonts w:ascii="Times New Roman" w:hAnsi="Times New Roman"/>
        </w:rPr>
        <w:footnoteRef/>
      </w:r>
      <w:r w:rsidRPr="00604B78">
        <w:rPr>
          <w:rFonts w:ascii="Times New Roman" w:hAnsi="Times New Roman"/>
        </w:rPr>
        <w:t xml:space="preserve"> (2015) Law Com. No.361, para.6.41.</w:t>
      </w:r>
    </w:p>
  </w:footnote>
  <w:footnote w:id="137">
    <w:p w:rsidR="00C04E10" w:rsidRPr="00E476D0" w:rsidRDefault="00C04E10" w:rsidP="00E476D0">
      <w:pPr>
        <w:pStyle w:val="FootnoteText"/>
        <w:jc w:val="both"/>
        <w:rPr>
          <w:rFonts w:ascii="Times New Roman" w:hAnsi="Times New Roman"/>
        </w:rPr>
      </w:pPr>
      <w:r w:rsidRPr="00E476D0">
        <w:rPr>
          <w:rStyle w:val="FootnoteReference"/>
          <w:rFonts w:ascii="Times New Roman" w:hAnsi="Times New Roman"/>
        </w:rPr>
        <w:footnoteRef/>
      </w:r>
      <w:r w:rsidRPr="00E476D0">
        <w:rPr>
          <w:rFonts w:ascii="Times New Roman" w:hAnsi="Times New Roman"/>
        </w:rPr>
        <w:t xml:space="preserve"> </w:t>
      </w:r>
      <w:proofErr w:type="gramStart"/>
      <w:r w:rsidRPr="00E476D0">
        <w:rPr>
          <w:rFonts w:ascii="Times New Roman" w:hAnsi="Times New Roman"/>
        </w:rPr>
        <w:t>(2015) Law Com. No.361, paras 6.70-6.75.</w:t>
      </w:r>
      <w:proofErr w:type="gramEnd"/>
    </w:p>
  </w:footnote>
  <w:footnote w:id="138">
    <w:p w:rsidR="00C04E10" w:rsidRPr="00E476D0" w:rsidRDefault="00C04E10" w:rsidP="00E476D0">
      <w:pPr>
        <w:pStyle w:val="FootnoteText"/>
        <w:jc w:val="both"/>
        <w:rPr>
          <w:rFonts w:ascii="Times New Roman" w:hAnsi="Times New Roman"/>
        </w:rPr>
      </w:pPr>
      <w:r w:rsidRPr="00E476D0">
        <w:rPr>
          <w:rStyle w:val="FootnoteReference"/>
          <w:rFonts w:ascii="Times New Roman" w:hAnsi="Times New Roman"/>
        </w:rPr>
        <w:footnoteRef/>
      </w:r>
      <w:r w:rsidRPr="00E476D0">
        <w:rPr>
          <w:rFonts w:ascii="Times New Roman" w:hAnsi="Times New Roman"/>
        </w:rPr>
        <w:t xml:space="preserve"> (2015) Law Com. No.361, para.6.78.</w:t>
      </w:r>
    </w:p>
  </w:footnote>
  <w:footnote w:id="139">
    <w:p w:rsidR="00C04E10" w:rsidRPr="00E476D0" w:rsidRDefault="00C04E10" w:rsidP="00E476D0">
      <w:pPr>
        <w:pStyle w:val="FootnoteText"/>
        <w:jc w:val="both"/>
        <w:rPr>
          <w:rFonts w:ascii="Times New Roman" w:hAnsi="Times New Roman"/>
        </w:rPr>
      </w:pPr>
      <w:r w:rsidRPr="00E476D0">
        <w:rPr>
          <w:rStyle w:val="FootnoteReference"/>
          <w:rFonts w:ascii="Times New Roman" w:hAnsi="Times New Roman"/>
        </w:rPr>
        <w:footnoteRef/>
      </w:r>
      <w:r w:rsidRPr="00E476D0">
        <w:rPr>
          <w:rFonts w:ascii="Times New Roman" w:hAnsi="Times New Roman"/>
        </w:rPr>
        <w:t xml:space="preserve"> </w:t>
      </w:r>
      <w:proofErr w:type="gramStart"/>
      <w:r w:rsidRPr="00E476D0">
        <w:rPr>
          <w:rFonts w:ascii="Times New Roman" w:hAnsi="Times New Roman"/>
        </w:rPr>
        <w:t>(2015) Law Com. No.361, paras 6.68-6.69.</w:t>
      </w:r>
      <w:proofErr w:type="gramEnd"/>
    </w:p>
  </w:footnote>
  <w:footnote w:id="140">
    <w:p w:rsidR="00C04E10" w:rsidRPr="00E476D0" w:rsidRDefault="00C04E10" w:rsidP="00E476D0">
      <w:pPr>
        <w:pStyle w:val="FootnoteText"/>
        <w:jc w:val="both"/>
        <w:rPr>
          <w:rFonts w:ascii="Times New Roman" w:hAnsi="Times New Roman"/>
        </w:rPr>
      </w:pPr>
      <w:r w:rsidRPr="00E476D0">
        <w:rPr>
          <w:rStyle w:val="FootnoteReference"/>
          <w:rFonts w:ascii="Times New Roman" w:hAnsi="Times New Roman"/>
        </w:rPr>
        <w:footnoteRef/>
      </w:r>
      <w:r w:rsidRPr="00E476D0">
        <w:rPr>
          <w:rFonts w:ascii="Times New Roman" w:hAnsi="Times New Roman"/>
        </w:rPr>
        <w:t xml:space="preserve"> </w:t>
      </w:r>
      <w:proofErr w:type="gramStart"/>
      <w:r w:rsidRPr="00E476D0">
        <w:rPr>
          <w:rFonts w:ascii="Times New Roman" w:hAnsi="Times New Roman"/>
        </w:rPr>
        <w:t>(2015) Law Com. No.361, paras 6.80-6.88.</w:t>
      </w:r>
      <w:proofErr w:type="gramEnd"/>
    </w:p>
  </w:footnote>
  <w:footnote w:id="141">
    <w:p w:rsidR="00C04E10" w:rsidRDefault="00C04E10" w:rsidP="00E476D0">
      <w:pPr>
        <w:pStyle w:val="FootnoteText"/>
        <w:jc w:val="both"/>
      </w:pPr>
      <w:r w:rsidRPr="00E476D0">
        <w:rPr>
          <w:rStyle w:val="FootnoteReference"/>
          <w:rFonts w:ascii="Times New Roman" w:hAnsi="Times New Roman"/>
        </w:rPr>
        <w:footnoteRef/>
      </w:r>
      <w:r w:rsidRPr="00E476D0">
        <w:rPr>
          <w:rFonts w:ascii="Times New Roman" w:hAnsi="Times New Roman"/>
        </w:rPr>
        <w:t xml:space="preserve"> (2015) Law Com. No.361, para.6.41.</w:t>
      </w:r>
      <w:r>
        <w:rPr>
          <w:rFonts w:ascii="Times New Roman" w:hAnsi="Times New Roman"/>
        </w:rPr>
        <w:t xml:space="preserve"> </w:t>
      </w:r>
    </w:p>
  </w:footnote>
  <w:footnote w:id="142">
    <w:p w:rsidR="00C04E10" w:rsidRPr="00DB305C" w:rsidRDefault="00C04E10" w:rsidP="00DB305C">
      <w:pPr>
        <w:pStyle w:val="FootnoteText"/>
        <w:jc w:val="both"/>
        <w:rPr>
          <w:rFonts w:ascii="Times New Roman" w:hAnsi="Times New Roman"/>
        </w:rPr>
      </w:pPr>
      <w:r w:rsidRPr="007A7E13">
        <w:rPr>
          <w:rStyle w:val="FootnoteReference"/>
          <w:rFonts w:ascii="Times New Roman" w:hAnsi="Times New Roman"/>
        </w:rPr>
        <w:footnoteRef/>
      </w:r>
      <w:r w:rsidRPr="007A7E13">
        <w:rPr>
          <w:rFonts w:ascii="Times New Roman" w:hAnsi="Times New Roman"/>
        </w:rPr>
        <w:t xml:space="preserve"> For instance, see respondent comments at (2015) Law Com. No.361, para.6.46. </w:t>
      </w:r>
      <w:r>
        <w:rPr>
          <w:rFonts w:ascii="Times New Roman" w:hAnsi="Times New Roman"/>
        </w:rPr>
        <w:t>O</w:t>
      </w:r>
      <w:r w:rsidRPr="007A7E13">
        <w:rPr>
          <w:rFonts w:ascii="Times New Roman" w:hAnsi="Times New Roman"/>
        </w:rPr>
        <w:t xml:space="preserve">ther proposals </w:t>
      </w:r>
      <w:r>
        <w:rPr>
          <w:rFonts w:ascii="Times New Roman" w:hAnsi="Times New Roman"/>
        </w:rPr>
        <w:t>for</w:t>
      </w:r>
      <w:r w:rsidRPr="007A7E13">
        <w:rPr>
          <w:rFonts w:ascii="Times New Roman" w:hAnsi="Times New Roman"/>
        </w:rPr>
        <w:t xml:space="preserve"> a specific offence </w:t>
      </w:r>
      <w:r>
        <w:rPr>
          <w:rFonts w:ascii="Times New Roman" w:hAnsi="Times New Roman"/>
        </w:rPr>
        <w:t>of</w:t>
      </w:r>
      <w:r w:rsidRPr="007A7E13">
        <w:rPr>
          <w:rFonts w:ascii="Times New Roman" w:hAnsi="Times New Roman"/>
        </w:rPr>
        <w:t xml:space="preserve"> disease transmission</w:t>
      </w:r>
      <w:r>
        <w:rPr>
          <w:rFonts w:ascii="Times New Roman" w:hAnsi="Times New Roman"/>
        </w:rPr>
        <w:t xml:space="preserve"> include those outlined by </w:t>
      </w:r>
      <w:proofErr w:type="spellStart"/>
      <w:r>
        <w:rPr>
          <w:rFonts w:ascii="Times New Roman" w:hAnsi="Times New Roman"/>
        </w:rPr>
        <w:t>Cherkassky</w:t>
      </w:r>
      <w:proofErr w:type="spellEnd"/>
      <w:r>
        <w:rPr>
          <w:rFonts w:ascii="Times New Roman" w:hAnsi="Times New Roman"/>
        </w:rPr>
        <w:t xml:space="preserve"> and Slater: see L</w:t>
      </w:r>
      <w:r w:rsidRPr="007A7E13">
        <w:rPr>
          <w:rFonts w:ascii="Times New Roman" w:hAnsi="Times New Roman"/>
        </w:rPr>
        <w:t xml:space="preserve">. </w:t>
      </w:r>
      <w:proofErr w:type="spellStart"/>
      <w:r w:rsidRPr="007A7E13">
        <w:rPr>
          <w:rFonts w:ascii="Times New Roman" w:hAnsi="Times New Roman"/>
        </w:rPr>
        <w:t>Cherkassky</w:t>
      </w:r>
      <w:proofErr w:type="spellEnd"/>
      <w:r w:rsidRPr="007A7E13">
        <w:rPr>
          <w:rFonts w:ascii="Times New Roman" w:hAnsi="Times New Roman"/>
        </w:rPr>
        <w:t>, “Being Informed: The Complexities of Knowledge, Deception and Consent When Transmitting HIV</w:t>
      </w:r>
      <w:r>
        <w:rPr>
          <w:rFonts w:ascii="Times New Roman" w:hAnsi="Times New Roman"/>
        </w:rPr>
        <w:t>”</w:t>
      </w:r>
      <w:r w:rsidRPr="007A7E13">
        <w:rPr>
          <w:rFonts w:ascii="Times New Roman" w:hAnsi="Times New Roman"/>
        </w:rPr>
        <w:t xml:space="preserve"> (2010) 74 </w:t>
      </w:r>
      <w:r w:rsidRPr="00DB305C">
        <w:rPr>
          <w:rFonts w:ascii="Times New Roman" w:hAnsi="Times New Roman"/>
        </w:rPr>
        <w:t xml:space="preserve">J. Crim. L. 242 and J. Slater, “HIV, Trust and Criminal Law” (2011) J. Crim. L. 309. </w:t>
      </w:r>
    </w:p>
  </w:footnote>
  <w:footnote w:id="143">
    <w:p w:rsidR="00C04E10" w:rsidRPr="00553F61" w:rsidRDefault="00C04E10" w:rsidP="00553F61">
      <w:pPr>
        <w:pStyle w:val="FootnoteText"/>
        <w:jc w:val="both"/>
        <w:rPr>
          <w:rFonts w:ascii="Times New Roman" w:hAnsi="Times New Roman"/>
        </w:rPr>
      </w:pPr>
      <w:r w:rsidRPr="00553F61">
        <w:rPr>
          <w:rStyle w:val="FootnoteReference"/>
          <w:rFonts w:ascii="Times New Roman" w:hAnsi="Times New Roman"/>
        </w:rPr>
        <w:footnoteRef/>
      </w:r>
      <w:r w:rsidRPr="00553F61">
        <w:rPr>
          <w:rFonts w:ascii="Times New Roman" w:hAnsi="Times New Roman"/>
        </w:rPr>
        <w:t xml:space="preserve"> See </w:t>
      </w:r>
      <w:r w:rsidRPr="00553F61">
        <w:rPr>
          <w:rFonts w:ascii="Times New Roman" w:hAnsi="Times New Roman"/>
          <w:i/>
        </w:rPr>
        <w:t>Assange v Sweden</w:t>
      </w:r>
      <w:r w:rsidRPr="00553F61">
        <w:rPr>
          <w:rFonts w:ascii="Times New Roman" w:hAnsi="Times New Roman"/>
        </w:rPr>
        <w:t xml:space="preserve"> [2011] EWHC 2849 (Admin) and </w:t>
      </w:r>
      <w:r w:rsidRPr="00553F61">
        <w:rPr>
          <w:rFonts w:ascii="Times New Roman" w:hAnsi="Times New Roman"/>
          <w:i/>
        </w:rPr>
        <w:t>F v DPP</w:t>
      </w:r>
      <w:r w:rsidRPr="00553F61">
        <w:rPr>
          <w:rFonts w:ascii="Times New Roman" w:hAnsi="Times New Roman"/>
        </w:rPr>
        <w:t xml:space="preserve"> [2013] 2 Cr App R 21, respectively.</w:t>
      </w:r>
    </w:p>
  </w:footnote>
  <w:footnote w:id="144">
    <w:p w:rsidR="00C04E10" w:rsidRPr="00553F61" w:rsidRDefault="00C04E10" w:rsidP="00553F61">
      <w:pPr>
        <w:pStyle w:val="FootnoteText"/>
        <w:jc w:val="both"/>
        <w:rPr>
          <w:rFonts w:ascii="Times New Roman" w:hAnsi="Times New Roman"/>
        </w:rPr>
      </w:pPr>
      <w:r w:rsidRPr="00553F61">
        <w:rPr>
          <w:rStyle w:val="FootnoteReference"/>
          <w:rFonts w:ascii="Times New Roman" w:hAnsi="Times New Roman"/>
        </w:rPr>
        <w:footnoteRef/>
      </w:r>
      <w:r w:rsidRPr="00553F61">
        <w:rPr>
          <w:rFonts w:ascii="Times New Roman" w:hAnsi="Times New Roman"/>
        </w:rPr>
        <w:t xml:space="preserve"> </w:t>
      </w:r>
      <w:proofErr w:type="gramStart"/>
      <w:r w:rsidRPr="00553F61">
        <w:rPr>
          <w:rFonts w:ascii="Times New Roman" w:hAnsi="Times New Roman"/>
        </w:rPr>
        <w:t>S.74 of the Sexual Offences Act 2003.</w:t>
      </w:r>
      <w:proofErr w:type="gramEnd"/>
      <w:r w:rsidRPr="00553F61">
        <w:rPr>
          <w:rFonts w:ascii="Times New Roman" w:hAnsi="Times New Roman"/>
        </w:rPr>
        <w:t xml:space="preserve"> </w:t>
      </w:r>
    </w:p>
  </w:footnote>
  <w:footnote w:id="145">
    <w:p w:rsidR="00C04E10" w:rsidRPr="00553F61" w:rsidRDefault="00C04E10" w:rsidP="00553F61">
      <w:pPr>
        <w:pStyle w:val="FootnoteText"/>
        <w:jc w:val="both"/>
        <w:rPr>
          <w:rFonts w:ascii="Times New Roman" w:hAnsi="Times New Roman"/>
        </w:rPr>
      </w:pPr>
      <w:r w:rsidRPr="00553F61">
        <w:rPr>
          <w:rStyle w:val="FootnoteReference"/>
          <w:rFonts w:ascii="Times New Roman" w:hAnsi="Times New Roman"/>
        </w:rPr>
        <w:footnoteRef/>
      </w:r>
      <w:r w:rsidRPr="00553F61">
        <w:rPr>
          <w:rFonts w:ascii="Times New Roman" w:hAnsi="Times New Roman"/>
        </w:rPr>
        <w:t xml:space="preserve"> </w:t>
      </w:r>
      <w:proofErr w:type="gramStart"/>
      <w:r w:rsidRPr="00553F61">
        <w:rPr>
          <w:rFonts w:ascii="Times New Roman" w:hAnsi="Times New Roman"/>
        </w:rPr>
        <w:t>S.1(</w:t>
      </w:r>
      <w:proofErr w:type="gramEnd"/>
      <w:r w:rsidRPr="00553F61">
        <w:rPr>
          <w:rFonts w:ascii="Times New Roman" w:hAnsi="Times New Roman"/>
        </w:rPr>
        <w:t xml:space="preserve">1)(a) of the Sexual Offences Act 2003. </w:t>
      </w:r>
    </w:p>
  </w:footnote>
  <w:footnote w:id="146">
    <w:p w:rsidR="00C04E10" w:rsidRPr="00553F61" w:rsidRDefault="00C04E10" w:rsidP="00553F61">
      <w:pPr>
        <w:pStyle w:val="FootnoteText"/>
        <w:jc w:val="both"/>
        <w:rPr>
          <w:rFonts w:ascii="Times New Roman" w:hAnsi="Times New Roman"/>
        </w:rPr>
      </w:pPr>
      <w:r w:rsidRPr="00553F61">
        <w:rPr>
          <w:rStyle w:val="FootnoteReference"/>
          <w:rFonts w:ascii="Times New Roman" w:hAnsi="Times New Roman"/>
        </w:rPr>
        <w:footnoteRef/>
      </w:r>
      <w:r w:rsidRPr="00553F61">
        <w:rPr>
          <w:rFonts w:ascii="Times New Roman" w:hAnsi="Times New Roman"/>
        </w:rPr>
        <w:t xml:space="preserve"> On this point, see Slater, “HIV, Trust and Criminal Law” (2011) J. Crim. L. 309, 317. Sharpe also discusses this distinction: see A. Sharpe, “Expanding Liability for Sexual Fraud </w:t>
      </w:r>
      <w:proofErr w:type="gramStart"/>
      <w:r w:rsidRPr="00553F61">
        <w:rPr>
          <w:rFonts w:ascii="Times New Roman" w:hAnsi="Times New Roman"/>
        </w:rPr>
        <w:t>Through</w:t>
      </w:r>
      <w:proofErr w:type="gramEnd"/>
      <w:r w:rsidRPr="00553F61">
        <w:rPr>
          <w:rFonts w:ascii="Times New Roman" w:hAnsi="Times New Roman"/>
        </w:rPr>
        <w:t xml:space="preserve"> the Concept of ‘Active Deception’: A Flawed Approach” (2016) 80 J. Crim. L. 28. </w:t>
      </w:r>
    </w:p>
  </w:footnote>
  <w:footnote w:id="147">
    <w:p w:rsidR="00C04E10" w:rsidRPr="00553F61" w:rsidRDefault="00C04E10" w:rsidP="00553F61">
      <w:pPr>
        <w:pStyle w:val="FootnoteText"/>
        <w:jc w:val="both"/>
        <w:rPr>
          <w:rFonts w:ascii="Times New Roman" w:hAnsi="Times New Roman"/>
        </w:rPr>
      </w:pPr>
      <w:r w:rsidRPr="00553F61">
        <w:rPr>
          <w:rStyle w:val="FootnoteReference"/>
          <w:rFonts w:ascii="Times New Roman" w:hAnsi="Times New Roman"/>
        </w:rPr>
        <w:footnoteRef/>
      </w:r>
      <w:r w:rsidRPr="00553F61">
        <w:rPr>
          <w:rFonts w:ascii="Times New Roman" w:hAnsi="Times New Roman"/>
        </w:rPr>
        <w:t xml:space="preserve"> </w:t>
      </w:r>
      <w:proofErr w:type="gramStart"/>
      <w:r w:rsidRPr="00553F61">
        <w:rPr>
          <w:rFonts w:ascii="Times New Roman" w:hAnsi="Times New Roman"/>
        </w:rPr>
        <w:t>(2015) Law Com. No.361, para.6.108-6.114.</w:t>
      </w:r>
      <w:proofErr w:type="gramEnd"/>
    </w:p>
  </w:footnote>
  <w:footnote w:id="148">
    <w:p w:rsidR="00C04E10" w:rsidRPr="00250419" w:rsidRDefault="00C04E10" w:rsidP="00553F61">
      <w:pPr>
        <w:pStyle w:val="FootnoteText"/>
        <w:jc w:val="both"/>
        <w:rPr>
          <w:rFonts w:ascii="Times New Roman" w:hAnsi="Times New Roman"/>
        </w:rPr>
      </w:pPr>
      <w:r w:rsidRPr="00553F61">
        <w:rPr>
          <w:rStyle w:val="FootnoteReference"/>
          <w:rFonts w:ascii="Times New Roman" w:hAnsi="Times New Roman"/>
        </w:rPr>
        <w:footnoteRef/>
      </w:r>
      <w:r w:rsidRPr="00553F61">
        <w:rPr>
          <w:rFonts w:ascii="Times New Roman" w:hAnsi="Times New Roman"/>
        </w:rPr>
        <w:t xml:space="preserve"> (2015) Law Com. No.361, para.5.25.</w:t>
      </w:r>
    </w:p>
  </w:footnote>
  <w:footnote w:id="149">
    <w:p w:rsidR="00C04E10" w:rsidRPr="00250419" w:rsidRDefault="00C04E10" w:rsidP="00250419">
      <w:pPr>
        <w:pStyle w:val="FootnoteText"/>
        <w:jc w:val="both"/>
        <w:rPr>
          <w:rFonts w:ascii="Times New Roman" w:hAnsi="Times New Roman"/>
        </w:rPr>
      </w:pPr>
      <w:r w:rsidRPr="00250419">
        <w:rPr>
          <w:rStyle w:val="FootnoteReference"/>
          <w:rFonts w:ascii="Times New Roman" w:hAnsi="Times New Roman"/>
        </w:rPr>
        <w:footnoteRef/>
      </w:r>
      <w:r w:rsidRPr="00250419">
        <w:rPr>
          <w:rFonts w:ascii="Times New Roman" w:hAnsi="Times New Roman"/>
        </w:rPr>
        <w:t xml:space="preserve"> In </w:t>
      </w:r>
      <w:r w:rsidRPr="00250419">
        <w:rPr>
          <w:rFonts w:ascii="Times New Roman" w:hAnsi="Times New Roman"/>
          <w:i/>
        </w:rPr>
        <w:t>Brown</w:t>
      </w:r>
      <w:r w:rsidRPr="00250419">
        <w:rPr>
          <w:rFonts w:ascii="Times New Roman" w:hAnsi="Times New Roman"/>
        </w:rPr>
        <w:t xml:space="preserve"> [1994] 1 A.C. 212 HL, the majority interpreted consent as a defence whilst the minority believed </w:t>
      </w:r>
      <w:r w:rsidR="003E24B9">
        <w:rPr>
          <w:rFonts w:ascii="Times New Roman" w:hAnsi="Times New Roman"/>
        </w:rPr>
        <w:t>it</w:t>
      </w:r>
      <w:r w:rsidRPr="00250419">
        <w:rPr>
          <w:rFonts w:ascii="Times New Roman" w:hAnsi="Times New Roman"/>
        </w:rPr>
        <w:t xml:space="preserve"> </w:t>
      </w:r>
      <w:r w:rsidR="005F2806">
        <w:rPr>
          <w:rFonts w:ascii="Times New Roman" w:hAnsi="Times New Roman"/>
        </w:rPr>
        <w:t>to be</w:t>
      </w:r>
      <w:r w:rsidRPr="00250419">
        <w:rPr>
          <w:rFonts w:ascii="Times New Roman" w:hAnsi="Times New Roman"/>
        </w:rPr>
        <w:t xml:space="preserve"> part of the offence. In </w:t>
      </w:r>
      <w:r w:rsidR="001E1A41">
        <w:rPr>
          <w:rFonts w:ascii="Times New Roman" w:hAnsi="Times New Roman"/>
          <w:i/>
        </w:rPr>
        <w:t>Barnes</w:t>
      </w:r>
      <w:r w:rsidR="001E1A41">
        <w:rPr>
          <w:rFonts w:ascii="Times New Roman" w:hAnsi="Times New Roman"/>
        </w:rPr>
        <w:t xml:space="preserve"> </w:t>
      </w:r>
      <w:r w:rsidR="008E5A47">
        <w:rPr>
          <w:rFonts w:ascii="Times New Roman" w:hAnsi="Times New Roman"/>
        </w:rPr>
        <w:t>[2004] EWCA Crim 3246; (2005</w:t>
      </w:r>
      <w:r w:rsidR="001E1A41" w:rsidRPr="00E91873">
        <w:rPr>
          <w:rFonts w:ascii="Times New Roman" w:hAnsi="Times New Roman"/>
        </w:rPr>
        <w:t>) 1 Cr. App. R. 30,</w:t>
      </w:r>
      <w:r w:rsidRPr="00250419">
        <w:rPr>
          <w:rFonts w:ascii="Times New Roman" w:hAnsi="Times New Roman"/>
        </w:rPr>
        <w:t xml:space="preserve"> L</w:t>
      </w:r>
      <w:r w:rsidR="008E5A47">
        <w:rPr>
          <w:rFonts w:ascii="Times New Roman" w:hAnsi="Times New Roman"/>
        </w:rPr>
        <w:t>ord Woolf submitted at [17</w:t>
      </w:r>
      <w:r w:rsidRPr="00250419">
        <w:rPr>
          <w:rFonts w:ascii="Times New Roman" w:hAnsi="Times New Roman"/>
        </w:rPr>
        <w:t>] that “it is a requirement of the offence that the conduct itself should be unlawful</w:t>
      </w:r>
      <w:r w:rsidR="008E5A47">
        <w:rPr>
          <w:rFonts w:ascii="Times New Roman" w:hAnsi="Times New Roman"/>
        </w:rPr>
        <w:t>.”</w:t>
      </w:r>
      <w:r w:rsidRPr="00250419">
        <w:rPr>
          <w:rFonts w:ascii="Times New Roman" w:hAnsi="Times New Roman"/>
        </w:rPr>
        <w:t xml:space="preserve"> </w:t>
      </w:r>
    </w:p>
  </w:footnote>
  <w:footnote w:id="150">
    <w:p w:rsidR="00C04E10" w:rsidRPr="00250419" w:rsidRDefault="00C04E10" w:rsidP="00250419">
      <w:pPr>
        <w:pStyle w:val="FootnoteText"/>
        <w:jc w:val="both"/>
        <w:rPr>
          <w:rFonts w:ascii="Times New Roman" w:hAnsi="Times New Roman"/>
        </w:rPr>
      </w:pPr>
      <w:r w:rsidRPr="00250419">
        <w:rPr>
          <w:rStyle w:val="FootnoteReference"/>
          <w:rFonts w:ascii="Times New Roman" w:hAnsi="Times New Roman"/>
        </w:rPr>
        <w:footnoteRef/>
      </w:r>
      <w:r w:rsidRPr="00250419">
        <w:rPr>
          <w:rFonts w:ascii="Times New Roman" w:hAnsi="Times New Roman"/>
        </w:rPr>
        <w:t xml:space="preserve"> (2015) Law Com. No.361, para.5.25.</w:t>
      </w:r>
    </w:p>
  </w:footnote>
  <w:footnote w:id="151">
    <w:p w:rsidR="00C04E10" w:rsidRPr="00250419" w:rsidRDefault="00C04E10" w:rsidP="00250419">
      <w:pPr>
        <w:pStyle w:val="FootnoteText"/>
        <w:jc w:val="both"/>
        <w:rPr>
          <w:rFonts w:ascii="Times New Roman" w:hAnsi="Times New Roman"/>
        </w:rPr>
      </w:pPr>
      <w:r w:rsidRPr="00250419">
        <w:rPr>
          <w:rStyle w:val="FootnoteReference"/>
          <w:rFonts w:ascii="Times New Roman" w:hAnsi="Times New Roman"/>
        </w:rPr>
        <w:footnoteRef/>
      </w:r>
      <w:r w:rsidRPr="00250419">
        <w:rPr>
          <w:rFonts w:ascii="Times New Roman" w:hAnsi="Times New Roman"/>
        </w:rPr>
        <w:t xml:space="preserve"> See </w:t>
      </w:r>
      <w:proofErr w:type="spellStart"/>
      <w:proofErr w:type="gramStart"/>
      <w:r w:rsidRPr="00250419">
        <w:rPr>
          <w:rFonts w:ascii="Times New Roman" w:hAnsi="Times New Roman"/>
        </w:rPr>
        <w:t>fn</w:t>
      </w:r>
      <w:proofErr w:type="spellEnd"/>
      <w:proofErr w:type="gramEnd"/>
      <w:r w:rsidRPr="00250419">
        <w:rPr>
          <w:rFonts w:ascii="Times New Roman" w:hAnsi="Times New Roman"/>
        </w:rPr>
        <w:t xml:space="preserve"> </w:t>
      </w:r>
      <w:r w:rsidR="005703A8" w:rsidRPr="001E190B">
        <w:rPr>
          <w:rFonts w:ascii="Times New Roman" w:hAnsi="Times New Roman"/>
        </w:rPr>
        <w:t>58</w:t>
      </w:r>
      <w:r w:rsidRPr="00250419">
        <w:rPr>
          <w:rFonts w:ascii="Times New Roman" w:hAnsi="Times New Roman"/>
        </w:rPr>
        <w:t xml:space="preserve"> above. </w:t>
      </w:r>
    </w:p>
  </w:footnote>
  <w:footnote w:id="152">
    <w:p w:rsidR="00C04E10" w:rsidRPr="00250419" w:rsidRDefault="00C04E10" w:rsidP="00250419">
      <w:pPr>
        <w:pStyle w:val="FootnoteText"/>
        <w:jc w:val="both"/>
        <w:rPr>
          <w:rFonts w:ascii="Times New Roman" w:hAnsi="Times New Roman"/>
        </w:rPr>
      </w:pPr>
      <w:r w:rsidRPr="00250419">
        <w:rPr>
          <w:rStyle w:val="FootnoteReference"/>
          <w:rFonts w:ascii="Times New Roman" w:hAnsi="Times New Roman"/>
        </w:rPr>
        <w:footnoteRef/>
      </w:r>
      <w:r w:rsidRPr="00250419">
        <w:rPr>
          <w:rFonts w:ascii="Times New Roman" w:hAnsi="Times New Roman"/>
        </w:rPr>
        <w:t xml:space="preserve"> (2015) Law Com. No.361, para.5.63. </w:t>
      </w:r>
    </w:p>
  </w:footnote>
  <w:footnote w:id="153">
    <w:p w:rsidR="00C04E10" w:rsidRPr="00B22905" w:rsidRDefault="00C04E10" w:rsidP="00B22905">
      <w:pPr>
        <w:pStyle w:val="FootnoteText"/>
        <w:jc w:val="both"/>
        <w:rPr>
          <w:rFonts w:ascii="Times New Roman" w:hAnsi="Times New Roman"/>
        </w:rPr>
      </w:pPr>
      <w:r w:rsidRPr="00B22905">
        <w:rPr>
          <w:rStyle w:val="FootnoteReference"/>
          <w:rFonts w:ascii="Times New Roman" w:hAnsi="Times New Roman"/>
        </w:rPr>
        <w:footnoteRef/>
      </w:r>
      <w:r w:rsidRPr="00B22905">
        <w:rPr>
          <w:rFonts w:ascii="Times New Roman" w:hAnsi="Times New Roman"/>
        </w:rPr>
        <w:t xml:space="preserve"> (2015) Law Com. No.361, para.4.167. </w:t>
      </w:r>
    </w:p>
  </w:footnote>
  <w:footnote w:id="154">
    <w:p w:rsidR="00C04E10" w:rsidRDefault="00C04E10" w:rsidP="00B22905">
      <w:pPr>
        <w:pStyle w:val="FootnoteText"/>
        <w:jc w:val="both"/>
      </w:pPr>
      <w:r w:rsidRPr="00B22905">
        <w:rPr>
          <w:rStyle w:val="FootnoteReference"/>
          <w:rFonts w:ascii="Times New Roman" w:hAnsi="Times New Roman"/>
        </w:rPr>
        <w:footnoteRef/>
      </w:r>
      <w:r w:rsidRPr="00B22905">
        <w:rPr>
          <w:rFonts w:ascii="Times New Roman" w:hAnsi="Times New Roman"/>
        </w:rPr>
        <w:t xml:space="preserve"> </w:t>
      </w:r>
      <w:proofErr w:type="gramStart"/>
      <w:r w:rsidRPr="00B22905">
        <w:rPr>
          <w:rFonts w:ascii="Times New Roman" w:hAnsi="Times New Roman"/>
        </w:rPr>
        <w:t>per</w:t>
      </w:r>
      <w:proofErr w:type="gramEnd"/>
      <w:r w:rsidRPr="00B22905">
        <w:rPr>
          <w:rFonts w:ascii="Times New Roman" w:hAnsi="Times New Roman"/>
        </w:rPr>
        <w:t xml:space="preserve"> Lord </w:t>
      </w:r>
      <w:proofErr w:type="spellStart"/>
      <w:r w:rsidRPr="00B22905">
        <w:rPr>
          <w:rFonts w:ascii="Times New Roman" w:hAnsi="Times New Roman"/>
        </w:rPr>
        <w:t>Templeman</w:t>
      </w:r>
      <w:proofErr w:type="spellEnd"/>
      <w:r w:rsidRPr="00B22905">
        <w:rPr>
          <w:rFonts w:ascii="Times New Roman" w:hAnsi="Times New Roman"/>
        </w:rPr>
        <w:t xml:space="preserve"> in Brown at 231.</w:t>
      </w:r>
      <w:r>
        <w:t xml:space="preserve"> </w:t>
      </w:r>
    </w:p>
  </w:footnote>
  <w:footnote w:id="155">
    <w:p w:rsidR="00C04E10" w:rsidRPr="00393CDB" w:rsidRDefault="00C04E10" w:rsidP="00393CDB">
      <w:pPr>
        <w:pStyle w:val="FootnoteText"/>
        <w:jc w:val="both"/>
        <w:rPr>
          <w:rFonts w:ascii="Times New Roman" w:hAnsi="Times New Roman"/>
        </w:rPr>
      </w:pPr>
      <w:r w:rsidRPr="00393CDB">
        <w:rPr>
          <w:rStyle w:val="FootnoteReference"/>
          <w:rFonts w:ascii="Times New Roman" w:hAnsi="Times New Roman"/>
        </w:rPr>
        <w:footnoteRef/>
      </w:r>
      <w:r w:rsidRPr="00393CDB">
        <w:rPr>
          <w:rFonts w:ascii="Times New Roman" w:hAnsi="Times New Roman"/>
        </w:rPr>
        <w:t xml:space="preserve"> See</w:t>
      </w:r>
      <w:r>
        <w:rPr>
          <w:rFonts w:ascii="Times New Roman" w:hAnsi="Times New Roman"/>
        </w:rPr>
        <w:t xml:space="preserve"> generally:</w:t>
      </w:r>
      <w:r w:rsidRPr="00393CDB">
        <w:rPr>
          <w:rFonts w:ascii="Times New Roman" w:hAnsi="Times New Roman"/>
        </w:rPr>
        <w:t xml:space="preserve"> J. Tolmie, “Consent to Harmful Assaults: The Case for Moving Away from Category Based Decision Making” [2012] Crim. L.R. 656. </w:t>
      </w:r>
    </w:p>
  </w:footnote>
  <w:footnote w:id="156">
    <w:p w:rsidR="00C04E10" w:rsidRPr="00393CDB" w:rsidRDefault="00C04E10" w:rsidP="00393CDB">
      <w:pPr>
        <w:pStyle w:val="FootnoteText"/>
        <w:jc w:val="both"/>
        <w:rPr>
          <w:rFonts w:ascii="Times New Roman" w:hAnsi="Times New Roman"/>
        </w:rPr>
      </w:pPr>
      <w:r w:rsidRPr="00393CDB">
        <w:rPr>
          <w:rStyle w:val="FootnoteReference"/>
          <w:rFonts w:ascii="Times New Roman" w:hAnsi="Times New Roman"/>
        </w:rPr>
        <w:footnoteRef/>
      </w:r>
      <w:r w:rsidRPr="00393CDB">
        <w:rPr>
          <w:rFonts w:ascii="Times New Roman" w:hAnsi="Times New Roman"/>
        </w:rPr>
        <w:t xml:space="preserve"> (2014) Law Com C.P.217, para.2.55.</w:t>
      </w:r>
    </w:p>
  </w:footnote>
  <w:footnote w:id="157">
    <w:p w:rsidR="00C04E10" w:rsidRDefault="00C04E10" w:rsidP="00393CDB">
      <w:pPr>
        <w:pStyle w:val="FootnoteText"/>
        <w:jc w:val="both"/>
      </w:pPr>
      <w:r w:rsidRPr="00393CDB">
        <w:rPr>
          <w:rStyle w:val="FootnoteReference"/>
          <w:rFonts w:ascii="Times New Roman" w:hAnsi="Times New Roman"/>
        </w:rPr>
        <w:footnoteRef/>
      </w:r>
      <w:r w:rsidRPr="00393CDB">
        <w:rPr>
          <w:rFonts w:ascii="Times New Roman" w:hAnsi="Times New Roman"/>
        </w:rPr>
        <w:t xml:space="preserve"> </w:t>
      </w:r>
      <w:r>
        <w:rPr>
          <w:rFonts w:ascii="Times New Roman" w:hAnsi="Times New Roman"/>
        </w:rPr>
        <w:t xml:space="preserve">This point is made by </w:t>
      </w:r>
      <w:r w:rsidR="00B228A7">
        <w:rPr>
          <w:rFonts w:ascii="Times New Roman" w:hAnsi="Times New Roman"/>
        </w:rPr>
        <w:t xml:space="preserve">K. </w:t>
      </w:r>
      <w:r>
        <w:rPr>
          <w:rFonts w:ascii="Times New Roman" w:hAnsi="Times New Roman"/>
        </w:rPr>
        <w:t>Laird:</w:t>
      </w:r>
      <w:r w:rsidR="00B228A7">
        <w:rPr>
          <w:rFonts w:ascii="Times New Roman" w:hAnsi="Times New Roman"/>
        </w:rPr>
        <w:t xml:space="preserve"> </w:t>
      </w:r>
      <w:r w:rsidRPr="00393CDB">
        <w:rPr>
          <w:rFonts w:ascii="Times New Roman" w:hAnsi="Times New Roman"/>
        </w:rPr>
        <w:t xml:space="preserve">“Rapist or Rogue? </w:t>
      </w:r>
      <w:proofErr w:type="gramStart"/>
      <w:r w:rsidRPr="00393CDB">
        <w:rPr>
          <w:rFonts w:ascii="Times New Roman" w:hAnsi="Times New Roman"/>
        </w:rPr>
        <w:t>Deception, Consent and the Sexual Offences Act 2003” [2014] Crim. L.R.</w:t>
      </w:r>
      <w:r>
        <w:rPr>
          <w:rFonts w:ascii="Times New Roman" w:hAnsi="Times New Roman"/>
        </w:rPr>
        <w:t xml:space="preserve"> 492, 501.</w:t>
      </w:r>
      <w:proofErr w:type="gramEnd"/>
      <w:r>
        <w:rPr>
          <w:rFonts w:ascii="Times New Roman" w:hAnsi="Times New Roman"/>
        </w:rPr>
        <w:t xml:space="preserve"> See also </w:t>
      </w:r>
      <w:r w:rsidRPr="00250419">
        <w:rPr>
          <w:rFonts w:ascii="Times New Roman" w:hAnsi="Times New Roman"/>
        </w:rPr>
        <w:t>(2</w:t>
      </w:r>
      <w:r>
        <w:rPr>
          <w:rFonts w:ascii="Times New Roman" w:hAnsi="Times New Roman"/>
        </w:rPr>
        <w:t>015) Law Com. No.361, para.6.123.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A32"/>
    <w:multiLevelType w:val="hybridMultilevel"/>
    <w:tmpl w:val="7E889546"/>
    <w:lvl w:ilvl="0" w:tplc="0676197E">
      <w:start w:val="1"/>
      <w:numFmt w:val="decimal"/>
      <w:lvlText w:val="%1."/>
      <w:lvlJc w:val="left"/>
      <w:pPr>
        <w:ind w:left="720" w:hanging="360"/>
      </w:pPr>
      <w:rPr>
        <w:rFonts w:ascii="Times New Roman" w:eastAsiaTheme="minorEastAsia"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63382"/>
    <w:multiLevelType w:val="hybridMultilevel"/>
    <w:tmpl w:val="3C18E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A1E6C"/>
    <w:multiLevelType w:val="hybridMultilevel"/>
    <w:tmpl w:val="C20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14EC2"/>
    <w:multiLevelType w:val="hybridMultilevel"/>
    <w:tmpl w:val="21F62034"/>
    <w:lvl w:ilvl="0" w:tplc="80222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3220B"/>
    <w:multiLevelType w:val="hybridMultilevel"/>
    <w:tmpl w:val="98C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B7A18"/>
    <w:multiLevelType w:val="hybridMultilevel"/>
    <w:tmpl w:val="43627D12"/>
    <w:lvl w:ilvl="0" w:tplc="25C65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AB73C4"/>
    <w:multiLevelType w:val="hybridMultilevel"/>
    <w:tmpl w:val="E08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B2503F"/>
    <w:multiLevelType w:val="hybridMultilevel"/>
    <w:tmpl w:val="73C267AC"/>
    <w:lvl w:ilvl="0" w:tplc="9CDAC440">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88751F"/>
    <w:multiLevelType w:val="hybridMultilevel"/>
    <w:tmpl w:val="ACF824A2"/>
    <w:lvl w:ilvl="0" w:tplc="0B24BA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036290"/>
    <w:multiLevelType w:val="hybridMultilevel"/>
    <w:tmpl w:val="5776AD96"/>
    <w:lvl w:ilvl="0" w:tplc="5B74F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8106FB"/>
    <w:multiLevelType w:val="hybridMultilevel"/>
    <w:tmpl w:val="DAF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D274F"/>
    <w:multiLevelType w:val="hybridMultilevel"/>
    <w:tmpl w:val="40E6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2"/>
  </w:num>
  <w:num w:numId="6">
    <w:abstractNumId w:val="11"/>
  </w:num>
  <w:num w:numId="7">
    <w:abstractNumId w:val="7"/>
  </w:num>
  <w:num w:numId="8">
    <w:abstractNumId w:val="9"/>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23"/>
    <w:rsid w:val="00000FEA"/>
    <w:rsid w:val="000014EF"/>
    <w:rsid w:val="000019AA"/>
    <w:rsid w:val="00001E92"/>
    <w:rsid w:val="00002005"/>
    <w:rsid w:val="00003512"/>
    <w:rsid w:val="00003FFB"/>
    <w:rsid w:val="00004F28"/>
    <w:rsid w:val="0000506D"/>
    <w:rsid w:val="000078C2"/>
    <w:rsid w:val="00007FB9"/>
    <w:rsid w:val="00010366"/>
    <w:rsid w:val="00012085"/>
    <w:rsid w:val="0001252C"/>
    <w:rsid w:val="000141FC"/>
    <w:rsid w:val="0001422C"/>
    <w:rsid w:val="00014BC8"/>
    <w:rsid w:val="00015CDC"/>
    <w:rsid w:val="0002050B"/>
    <w:rsid w:val="00020D33"/>
    <w:rsid w:val="00021E8E"/>
    <w:rsid w:val="000234A5"/>
    <w:rsid w:val="000237D2"/>
    <w:rsid w:val="00023B6B"/>
    <w:rsid w:val="00024B48"/>
    <w:rsid w:val="0002699A"/>
    <w:rsid w:val="0003083A"/>
    <w:rsid w:val="00030D62"/>
    <w:rsid w:val="000316AB"/>
    <w:rsid w:val="00031D73"/>
    <w:rsid w:val="000332FA"/>
    <w:rsid w:val="00033962"/>
    <w:rsid w:val="00033E71"/>
    <w:rsid w:val="000341D1"/>
    <w:rsid w:val="00037B0E"/>
    <w:rsid w:val="00040677"/>
    <w:rsid w:val="00041953"/>
    <w:rsid w:val="0004206E"/>
    <w:rsid w:val="0004382E"/>
    <w:rsid w:val="00043E7E"/>
    <w:rsid w:val="0004491F"/>
    <w:rsid w:val="00044C40"/>
    <w:rsid w:val="00046885"/>
    <w:rsid w:val="00046C08"/>
    <w:rsid w:val="000471CA"/>
    <w:rsid w:val="000474ED"/>
    <w:rsid w:val="00050E29"/>
    <w:rsid w:val="00051143"/>
    <w:rsid w:val="00052E44"/>
    <w:rsid w:val="00055231"/>
    <w:rsid w:val="00055D73"/>
    <w:rsid w:val="000574AE"/>
    <w:rsid w:val="00057E93"/>
    <w:rsid w:val="00060FCE"/>
    <w:rsid w:val="000612E1"/>
    <w:rsid w:val="00062E19"/>
    <w:rsid w:val="00062EAB"/>
    <w:rsid w:val="0006437C"/>
    <w:rsid w:val="000653AF"/>
    <w:rsid w:val="0006586A"/>
    <w:rsid w:val="00067883"/>
    <w:rsid w:val="0007298B"/>
    <w:rsid w:val="00073D5A"/>
    <w:rsid w:val="00074336"/>
    <w:rsid w:val="000748C5"/>
    <w:rsid w:val="00074B7D"/>
    <w:rsid w:val="0007525E"/>
    <w:rsid w:val="00075C98"/>
    <w:rsid w:val="00075F11"/>
    <w:rsid w:val="0007660E"/>
    <w:rsid w:val="00081019"/>
    <w:rsid w:val="000817ED"/>
    <w:rsid w:val="000821EC"/>
    <w:rsid w:val="00084283"/>
    <w:rsid w:val="00084A9E"/>
    <w:rsid w:val="00084B43"/>
    <w:rsid w:val="00085350"/>
    <w:rsid w:val="000853D0"/>
    <w:rsid w:val="00085E55"/>
    <w:rsid w:val="0008661F"/>
    <w:rsid w:val="0009012D"/>
    <w:rsid w:val="00090465"/>
    <w:rsid w:val="00090EBC"/>
    <w:rsid w:val="00090F42"/>
    <w:rsid w:val="00092121"/>
    <w:rsid w:val="0009253D"/>
    <w:rsid w:val="0009265D"/>
    <w:rsid w:val="00092702"/>
    <w:rsid w:val="000933AC"/>
    <w:rsid w:val="0009743D"/>
    <w:rsid w:val="00097A97"/>
    <w:rsid w:val="000A01E1"/>
    <w:rsid w:val="000A1190"/>
    <w:rsid w:val="000A1F50"/>
    <w:rsid w:val="000A2726"/>
    <w:rsid w:val="000A4EA9"/>
    <w:rsid w:val="000A5596"/>
    <w:rsid w:val="000A5D12"/>
    <w:rsid w:val="000B08DB"/>
    <w:rsid w:val="000B0F61"/>
    <w:rsid w:val="000B2CF1"/>
    <w:rsid w:val="000B2DB6"/>
    <w:rsid w:val="000B48D6"/>
    <w:rsid w:val="000B4E84"/>
    <w:rsid w:val="000B616F"/>
    <w:rsid w:val="000B687D"/>
    <w:rsid w:val="000C08C8"/>
    <w:rsid w:val="000C18E8"/>
    <w:rsid w:val="000C1D16"/>
    <w:rsid w:val="000C2290"/>
    <w:rsid w:val="000C22AC"/>
    <w:rsid w:val="000C230A"/>
    <w:rsid w:val="000C2338"/>
    <w:rsid w:val="000C27EF"/>
    <w:rsid w:val="000C3380"/>
    <w:rsid w:val="000C36A3"/>
    <w:rsid w:val="000C3EC8"/>
    <w:rsid w:val="000C4E6C"/>
    <w:rsid w:val="000C586B"/>
    <w:rsid w:val="000C5F32"/>
    <w:rsid w:val="000C6CB6"/>
    <w:rsid w:val="000C7D4A"/>
    <w:rsid w:val="000D1A68"/>
    <w:rsid w:val="000D1DD4"/>
    <w:rsid w:val="000D29AF"/>
    <w:rsid w:val="000D6E6F"/>
    <w:rsid w:val="000D7FC0"/>
    <w:rsid w:val="000E1717"/>
    <w:rsid w:val="000E298F"/>
    <w:rsid w:val="000E5803"/>
    <w:rsid w:val="000F0490"/>
    <w:rsid w:val="000F0E87"/>
    <w:rsid w:val="000F6B7C"/>
    <w:rsid w:val="00100BF5"/>
    <w:rsid w:val="001029D0"/>
    <w:rsid w:val="00103401"/>
    <w:rsid w:val="00103480"/>
    <w:rsid w:val="00104190"/>
    <w:rsid w:val="001047BC"/>
    <w:rsid w:val="001050BA"/>
    <w:rsid w:val="00105541"/>
    <w:rsid w:val="001055AF"/>
    <w:rsid w:val="0010747B"/>
    <w:rsid w:val="0010785C"/>
    <w:rsid w:val="00110348"/>
    <w:rsid w:val="001109FC"/>
    <w:rsid w:val="00110D34"/>
    <w:rsid w:val="0011245A"/>
    <w:rsid w:val="00112620"/>
    <w:rsid w:val="001136AE"/>
    <w:rsid w:val="001147E4"/>
    <w:rsid w:val="00114909"/>
    <w:rsid w:val="00115100"/>
    <w:rsid w:val="00115271"/>
    <w:rsid w:val="00115F27"/>
    <w:rsid w:val="0011604D"/>
    <w:rsid w:val="001166EC"/>
    <w:rsid w:val="001203BB"/>
    <w:rsid w:val="001208FB"/>
    <w:rsid w:val="00120E33"/>
    <w:rsid w:val="0012301F"/>
    <w:rsid w:val="00124880"/>
    <w:rsid w:val="0012554E"/>
    <w:rsid w:val="00125D36"/>
    <w:rsid w:val="00126236"/>
    <w:rsid w:val="001278B5"/>
    <w:rsid w:val="00127D3D"/>
    <w:rsid w:val="00131366"/>
    <w:rsid w:val="001327C2"/>
    <w:rsid w:val="00132EED"/>
    <w:rsid w:val="0013333B"/>
    <w:rsid w:val="00134156"/>
    <w:rsid w:val="00134A07"/>
    <w:rsid w:val="00134DF4"/>
    <w:rsid w:val="00135307"/>
    <w:rsid w:val="00136301"/>
    <w:rsid w:val="00136B9D"/>
    <w:rsid w:val="00137199"/>
    <w:rsid w:val="00140B0D"/>
    <w:rsid w:val="00141342"/>
    <w:rsid w:val="0014139F"/>
    <w:rsid w:val="00141981"/>
    <w:rsid w:val="00141E3B"/>
    <w:rsid w:val="001421E6"/>
    <w:rsid w:val="00142A43"/>
    <w:rsid w:val="0014348E"/>
    <w:rsid w:val="001434E1"/>
    <w:rsid w:val="00143740"/>
    <w:rsid w:val="001448B9"/>
    <w:rsid w:val="00145178"/>
    <w:rsid w:val="00145FC0"/>
    <w:rsid w:val="00146E26"/>
    <w:rsid w:val="001473D4"/>
    <w:rsid w:val="00147F99"/>
    <w:rsid w:val="00152694"/>
    <w:rsid w:val="0015349F"/>
    <w:rsid w:val="00153C03"/>
    <w:rsid w:val="001540A7"/>
    <w:rsid w:val="00154547"/>
    <w:rsid w:val="0015581B"/>
    <w:rsid w:val="00155DE0"/>
    <w:rsid w:val="00160BE1"/>
    <w:rsid w:val="001613ED"/>
    <w:rsid w:val="00161D1E"/>
    <w:rsid w:val="001636F8"/>
    <w:rsid w:val="00163FCF"/>
    <w:rsid w:val="0016524E"/>
    <w:rsid w:val="00170051"/>
    <w:rsid w:val="001701A6"/>
    <w:rsid w:val="00170521"/>
    <w:rsid w:val="001710C9"/>
    <w:rsid w:val="00173D9C"/>
    <w:rsid w:val="001742CC"/>
    <w:rsid w:val="00174F49"/>
    <w:rsid w:val="001753D6"/>
    <w:rsid w:val="00176022"/>
    <w:rsid w:val="001762AB"/>
    <w:rsid w:val="0017702E"/>
    <w:rsid w:val="00177850"/>
    <w:rsid w:val="00183A29"/>
    <w:rsid w:val="00183C13"/>
    <w:rsid w:val="001851D3"/>
    <w:rsid w:val="00187F19"/>
    <w:rsid w:val="0019010D"/>
    <w:rsid w:val="00190304"/>
    <w:rsid w:val="0019059A"/>
    <w:rsid w:val="00190BF0"/>
    <w:rsid w:val="00191586"/>
    <w:rsid w:val="00191FAC"/>
    <w:rsid w:val="00192D09"/>
    <w:rsid w:val="00193A33"/>
    <w:rsid w:val="00194703"/>
    <w:rsid w:val="001950DB"/>
    <w:rsid w:val="001962AE"/>
    <w:rsid w:val="00196672"/>
    <w:rsid w:val="0019752F"/>
    <w:rsid w:val="00197EE4"/>
    <w:rsid w:val="001A0EAC"/>
    <w:rsid w:val="001A1FC8"/>
    <w:rsid w:val="001A2037"/>
    <w:rsid w:val="001A25DC"/>
    <w:rsid w:val="001A77A2"/>
    <w:rsid w:val="001B0864"/>
    <w:rsid w:val="001B157F"/>
    <w:rsid w:val="001B23E7"/>
    <w:rsid w:val="001B29D7"/>
    <w:rsid w:val="001B410D"/>
    <w:rsid w:val="001B4221"/>
    <w:rsid w:val="001B64B0"/>
    <w:rsid w:val="001B75A5"/>
    <w:rsid w:val="001B7BC9"/>
    <w:rsid w:val="001C19B1"/>
    <w:rsid w:val="001C1D92"/>
    <w:rsid w:val="001C257D"/>
    <w:rsid w:val="001C391C"/>
    <w:rsid w:val="001C5355"/>
    <w:rsid w:val="001C5802"/>
    <w:rsid w:val="001C60A1"/>
    <w:rsid w:val="001C7E4A"/>
    <w:rsid w:val="001D1D51"/>
    <w:rsid w:val="001D225E"/>
    <w:rsid w:val="001D2412"/>
    <w:rsid w:val="001D24DD"/>
    <w:rsid w:val="001D2BCC"/>
    <w:rsid w:val="001D30D4"/>
    <w:rsid w:val="001D4CCA"/>
    <w:rsid w:val="001D4F19"/>
    <w:rsid w:val="001D5620"/>
    <w:rsid w:val="001D7B28"/>
    <w:rsid w:val="001D7E89"/>
    <w:rsid w:val="001E190B"/>
    <w:rsid w:val="001E1A41"/>
    <w:rsid w:val="001E1C8D"/>
    <w:rsid w:val="001E347F"/>
    <w:rsid w:val="001E38C8"/>
    <w:rsid w:val="001E3E40"/>
    <w:rsid w:val="001E4033"/>
    <w:rsid w:val="001E4F8C"/>
    <w:rsid w:val="001E52D4"/>
    <w:rsid w:val="001E5B19"/>
    <w:rsid w:val="001E62CB"/>
    <w:rsid w:val="001F00FA"/>
    <w:rsid w:val="001F0F29"/>
    <w:rsid w:val="001F30B7"/>
    <w:rsid w:val="001F3436"/>
    <w:rsid w:val="001F35EB"/>
    <w:rsid w:val="001F38C0"/>
    <w:rsid w:val="001F4D9C"/>
    <w:rsid w:val="001F55A4"/>
    <w:rsid w:val="001F65E9"/>
    <w:rsid w:val="001F6D6C"/>
    <w:rsid w:val="00200897"/>
    <w:rsid w:val="00201B11"/>
    <w:rsid w:val="0020338E"/>
    <w:rsid w:val="00203739"/>
    <w:rsid w:val="00203CD1"/>
    <w:rsid w:val="0020462A"/>
    <w:rsid w:val="00204E30"/>
    <w:rsid w:val="00204F18"/>
    <w:rsid w:val="00205AC4"/>
    <w:rsid w:val="00205AFE"/>
    <w:rsid w:val="0020698D"/>
    <w:rsid w:val="002076DF"/>
    <w:rsid w:val="002078EF"/>
    <w:rsid w:val="002102AD"/>
    <w:rsid w:val="00210710"/>
    <w:rsid w:val="002107C9"/>
    <w:rsid w:val="00210F8D"/>
    <w:rsid w:val="00211BA0"/>
    <w:rsid w:val="00212194"/>
    <w:rsid w:val="00212C30"/>
    <w:rsid w:val="0021338B"/>
    <w:rsid w:val="0021347A"/>
    <w:rsid w:val="00213717"/>
    <w:rsid w:val="002139E6"/>
    <w:rsid w:val="00213B4F"/>
    <w:rsid w:val="00214DA7"/>
    <w:rsid w:val="00215659"/>
    <w:rsid w:val="0021610E"/>
    <w:rsid w:val="002201EF"/>
    <w:rsid w:val="002217A6"/>
    <w:rsid w:val="00223626"/>
    <w:rsid w:val="002237F9"/>
    <w:rsid w:val="00223C7C"/>
    <w:rsid w:val="002241A4"/>
    <w:rsid w:val="0022457A"/>
    <w:rsid w:val="002270A6"/>
    <w:rsid w:val="0022720C"/>
    <w:rsid w:val="00227BB4"/>
    <w:rsid w:val="00230282"/>
    <w:rsid w:val="00231CC9"/>
    <w:rsid w:val="00232707"/>
    <w:rsid w:val="00232C7C"/>
    <w:rsid w:val="002336E9"/>
    <w:rsid w:val="00233A36"/>
    <w:rsid w:val="00234523"/>
    <w:rsid w:val="00234AA6"/>
    <w:rsid w:val="00235366"/>
    <w:rsid w:val="0023779F"/>
    <w:rsid w:val="0024015B"/>
    <w:rsid w:val="00240F34"/>
    <w:rsid w:val="00241710"/>
    <w:rsid w:val="002420E6"/>
    <w:rsid w:val="00242121"/>
    <w:rsid w:val="00243071"/>
    <w:rsid w:val="00243818"/>
    <w:rsid w:val="0024435F"/>
    <w:rsid w:val="00244FC7"/>
    <w:rsid w:val="002454B2"/>
    <w:rsid w:val="00245B60"/>
    <w:rsid w:val="00246464"/>
    <w:rsid w:val="00250419"/>
    <w:rsid w:val="00250D0C"/>
    <w:rsid w:val="00251D85"/>
    <w:rsid w:val="00253755"/>
    <w:rsid w:val="00254469"/>
    <w:rsid w:val="00254741"/>
    <w:rsid w:val="002556D7"/>
    <w:rsid w:val="002562B2"/>
    <w:rsid w:val="00257033"/>
    <w:rsid w:val="00257A87"/>
    <w:rsid w:val="00257B0D"/>
    <w:rsid w:val="00257CE1"/>
    <w:rsid w:val="00257F46"/>
    <w:rsid w:val="0026035F"/>
    <w:rsid w:val="00261052"/>
    <w:rsid w:val="0026197D"/>
    <w:rsid w:val="00261D5C"/>
    <w:rsid w:val="00263082"/>
    <w:rsid w:val="0026335E"/>
    <w:rsid w:val="002635FB"/>
    <w:rsid w:val="00263DE9"/>
    <w:rsid w:val="002650CB"/>
    <w:rsid w:val="00265B07"/>
    <w:rsid w:val="002679A7"/>
    <w:rsid w:val="00267B6A"/>
    <w:rsid w:val="00267F4D"/>
    <w:rsid w:val="0027083B"/>
    <w:rsid w:val="00271C75"/>
    <w:rsid w:val="00271DFE"/>
    <w:rsid w:val="00271E1F"/>
    <w:rsid w:val="00271E47"/>
    <w:rsid w:val="002732AD"/>
    <w:rsid w:val="00273D69"/>
    <w:rsid w:val="00274951"/>
    <w:rsid w:val="00275B72"/>
    <w:rsid w:val="00276746"/>
    <w:rsid w:val="00276D14"/>
    <w:rsid w:val="00276D2F"/>
    <w:rsid w:val="00277161"/>
    <w:rsid w:val="00277FDA"/>
    <w:rsid w:val="00280981"/>
    <w:rsid w:val="00281CFC"/>
    <w:rsid w:val="002825BB"/>
    <w:rsid w:val="002826C3"/>
    <w:rsid w:val="0028339D"/>
    <w:rsid w:val="002834C7"/>
    <w:rsid w:val="0028359F"/>
    <w:rsid w:val="0028472F"/>
    <w:rsid w:val="002849E7"/>
    <w:rsid w:val="00285863"/>
    <w:rsid w:val="002869BF"/>
    <w:rsid w:val="002873B7"/>
    <w:rsid w:val="002877F3"/>
    <w:rsid w:val="002902D8"/>
    <w:rsid w:val="0029103F"/>
    <w:rsid w:val="002949B0"/>
    <w:rsid w:val="00295729"/>
    <w:rsid w:val="00295FF0"/>
    <w:rsid w:val="002966B4"/>
    <w:rsid w:val="00296899"/>
    <w:rsid w:val="00296A16"/>
    <w:rsid w:val="002A0466"/>
    <w:rsid w:val="002A0B99"/>
    <w:rsid w:val="002A1AF1"/>
    <w:rsid w:val="002A2E77"/>
    <w:rsid w:val="002A3483"/>
    <w:rsid w:val="002A3637"/>
    <w:rsid w:val="002A5EB6"/>
    <w:rsid w:val="002A6002"/>
    <w:rsid w:val="002A6998"/>
    <w:rsid w:val="002A6AD1"/>
    <w:rsid w:val="002A6D31"/>
    <w:rsid w:val="002A6EEA"/>
    <w:rsid w:val="002A7B21"/>
    <w:rsid w:val="002B1B66"/>
    <w:rsid w:val="002B331B"/>
    <w:rsid w:val="002B39A7"/>
    <w:rsid w:val="002B48F7"/>
    <w:rsid w:val="002B65AF"/>
    <w:rsid w:val="002B7C8F"/>
    <w:rsid w:val="002C0504"/>
    <w:rsid w:val="002C2187"/>
    <w:rsid w:val="002C22ED"/>
    <w:rsid w:val="002C3A14"/>
    <w:rsid w:val="002C3A22"/>
    <w:rsid w:val="002C4069"/>
    <w:rsid w:val="002C5CA9"/>
    <w:rsid w:val="002C625D"/>
    <w:rsid w:val="002D0E86"/>
    <w:rsid w:val="002D0EBD"/>
    <w:rsid w:val="002D1F58"/>
    <w:rsid w:val="002D3B79"/>
    <w:rsid w:val="002D45E1"/>
    <w:rsid w:val="002D559A"/>
    <w:rsid w:val="002D5BD4"/>
    <w:rsid w:val="002D75CB"/>
    <w:rsid w:val="002D7AD4"/>
    <w:rsid w:val="002D7DE8"/>
    <w:rsid w:val="002D7EFC"/>
    <w:rsid w:val="002E0399"/>
    <w:rsid w:val="002E0466"/>
    <w:rsid w:val="002E097A"/>
    <w:rsid w:val="002E0B99"/>
    <w:rsid w:val="002E12F0"/>
    <w:rsid w:val="002E1472"/>
    <w:rsid w:val="002E2352"/>
    <w:rsid w:val="002E2391"/>
    <w:rsid w:val="002E4125"/>
    <w:rsid w:val="002E42CD"/>
    <w:rsid w:val="002E5ED3"/>
    <w:rsid w:val="002E606B"/>
    <w:rsid w:val="002E6652"/>
    <w:rsid w:val="002E7037"/>
    <w:rsid w:val="002E7360"/>
    <w:rsid w:val="002E7401"/>
    <w:rsid w:val="002E79C5"/>
    <w:rsid w:val="002F09D8"/>
    <w:rsid w:val="002F2234"/>
    <w:rsid w:val="002F41C0"/>
    <w:rsid w:val="002F4DB8"/>
    <w:rsid w:val="002F5577"/>
    <w:rsid w:val="002F5AC8"/>
    <w:rsid w:val="002F73FA"/>
    <w:rsid w:val="00300A1F"/>
    <w:rsid w:val="0030230A"/>
    <w:rsid w:val="00302A10"/>
    <w:rsid w:val="00302C26"/>
    <w:rsid w:val="00305E4C"/>
    <w:rsid w:val="00306952"/>
    <w:rsid w:val="0031065C"/>
    <w:rsid w:val="00311FD2"/>
    <w:rsid w:val="003122D6"/>
    <w:rsid w:val="00312479"/>
    <w:rsid w:val="00314692"/>
    <w:rsid w:val="00315CB6"/>
    <w:rsid w:val="0031601F"/>
    <w:rsid w:val="003173B1"/>
    <w:rsid w:val="00317891"/>
    <w:rsid w:val="00317A13"/>
    <w:rsid w:val="00320862"/>
    <w:rsid w:val="00321C7F"/>
    <w:rsid w:val="00321FB3"/>
    <w:rsid w:val="00322903"/>
    <w:rsid w:val="00330880"/>
    <w:rsid w:val="00331DDE"/>
    <w:rsid w:val="00333582"/>
    <w:rsid w:val="00334BF3"/>
    <w:rsid w:val="00334F56"/>
    <w:rsid w:val="0033516F"/>
    <w:rsid w:val="00335B9D"/>
    <w:rsid w:val="00335E23"/>
    <w:rsid w:val="00336482"/>
    <w:rsid w:val="003400EF"/>
    <w:rsid w:val="00340485"/>
    <w:rsid w:val="00343DB7"/>
    <w:rsid w:val="00345568"/>
    <w:rsid w:val="00346358"/>
    <w:rsid w:val="00346388"/>
    <w:rsid w:val="00346598"/>
    <w:rsid w:val="003503F6"/>
    <w:rsid w:val="00350C32"/>
    <w:rsid w:val="00350E99"/>
    <w:rsid w:val="00351331"/>
    <w:rsid w:val="00351333"/>
    <w:rsid w:val="00351B21"/>
    <w:rsid w:val="00352175"/>
    <w:rsid w:val="0035271F"/>
    <w:rsid w:val="0035306A"/>
    <w:rsid w:val="003542A3"/>
    <w:rsid w:val="00354460"/>
    <w:rsid w:val="00355443"/>
    <w:rsid w:val="00356023"/>
    <w:rsid w:val="003570F6"/>
    <w:rsid w:val="00357314"/>
    <w:rsid w:val="0035778C"/>
    <w:rsid w:val="00360735"/>
    <w:rsid w:val="00364804"/>
    <w:rsid w:val="0036484B"/>
    <w:rsid w:val="00365B31"/>
    <w:rsid w:val="00366C7A"/>
    <w:rsid w:val="003676F1"/>
    <w:rsid w:val="00372F9A"/>
    <w:rsid w:val="00373617"/>
    <w:rsid w:val="003737F0"/>
    <w:rsid w:val="00373A10"/>
    <w:rsid w:val="003756CD"/>
    <w:rsid w:val="0037673A"/>
    <w:rsid w:val="00377C4C"/>
    <w:rsid w:val="003812D9"/>
    <w:rsid w:val="00381669"/>
    <w:rsid w:val="003826F3"/>
    <w:rsid w:val="00385465"/>
    <w:rsid w:val="0038569C"/>
    <w:rsid w:val="00385BC5"/>
    <w:rsid w:val="00385DA7"/>
    <w:rsid w:val="00385EB7"/>
    <w:rsid w:val="00390B5D"/>
    <w:rsid w:val="003918F9"/>
    <w:rsid w:val="00392716"/>
    <w:rsid w:val="003928EA"/>
    <w:rsid w:val="003938C9"/>
    <w:rsid w:val="00393CDB"/>
    <w:rsid w:val="00394AA4"/>
    <w:rsid w:val="00394B38"/>
    <w:rsid w:val="003956F1"/>
    <w:rsid w:val="00396873"/>
    <w:rsid w:val="003A009B"/>
    <w:rsid w:val="003A041E"/>
    <w:rsid w:val="003A3A01"/>
    <w:rsid w:val="003A4D44"/>
    <w:rsid w:val="003A57FA"/>
    <w:rsid w:val="003A6305"/>
    <w:rsid w:val="003A657A"/>
    <w:rsid w:val="003A6F19"/>
    <w:rsid w:val="003B09A8"/>
    <w:rsid w:val="003B0B26"/>
    <w:rsid w:val="003B0EAD"/>
    <w:rsid w:val="003B1065"/>
    <w:rsid w:val="003B1F0E"/>
    <w:rsid w:val="003B2B0E"/>
    <w:rsid w:val="003B3153"/>
    <w:rsid w:val="003B5777"/>
    <w:rsid w:val="003B5D40"/>
    <w:rsid w:val="003B7C85"/>
    <w:rsid w:val="003C07C1"/>
    <w:rsid w:val="003C15B4"/>
    <w:rsid w:val="003C2B55"/>
    <w:rsid w:val="003C5E10"/>
    <w:rsid w:val="003D0167"/>
    <w:rsid w:val="003D1907"/>
    <w:rsid w:val="003D230C"/>
    <w:rsid w:val="003D305E"/>
    <w:rsid w:val="003D316B"/>
    <w:rsid w:val="003D5209"/>
    <w:rsid w:val="003D70F1"/>
    <w:rsid w:val="003D7AE4"/>
    <w:rsid w:val="003E0B22"/>
    <w:rsid w:val="003E1946"/>
    <w:rsid w:val="003E1A88"/>
    <w:rsid w:val="003E1E64"/>
    <w:rsid w:val="003E24B9"/>
    <w:rsid w:val="003E433D"/>
    <w:rsid w:val="003E5F8F"/>
    <w:rsid w:val="003E7834"/>
    <w:rsid w:val="003E7911"/>
    <w:rsid w:val="003E7F62"/>
    <w:rsid w:val="003F02AA"/>
    <w:rsid w:val="003F060B"/>
    <w:rsid w:val="003F0D36"/>
    <w:rsid w:val="003F0FB3"/>
    <w:rsid w:val="003F2315"/>
    <w:rsid w:val="003F23C2"/>
    <w:rsid w:val="003F3EA3"/>
    <w:rsid w:val="003F53B9"/>
    <w:rsid w:val="00400811"/>
    <w:rsid w:val="004012AA"/>
    <w:rsid w:val="004022B1"/>
    <w:rsid w:val="00402686"/>
    <w:rsid w:val="0040446E"/>
    <w:rsid w:val="004044AE"/>
    <w:rsid w:val="00407026"/>
    <w:rsid w:val="00407088"/>
    <w:rsid w:val="00410CE7"/>
    <w:rsid w:val="00412001"/>
    <w:rsid w:val="00412658"/>
    <w:rsid w:val="00412709"/>
    <w:rsid w:val="004147C6"/>
    <w:rsid w:val="00414959"/>
    <w:rsid w:val="004150B9"/>
    <w:rsid w:val="00416658"/>
    <w:rsid w:val="004205F7"/>
    <w:rsid w:val="0042064D"/>
    <w:rsid w:val="00420741"/>
    <w:rsid w:val="004257D5"/>
    <w:rsid w:val="00425EF3"/>
    <w:rsid w:val="0042619F"/>
    <w:rsid w:val="00426C85"/>
    <w:rsid w:val="004276D9"/>
    <w:rsid w:val="00427771"/>
    <w:rsid w:val="00427D5F"/>
    <w:rsid w:val="004300C2"/>
    <w:rsid w:val="0043126B"/>
    <w:rsid w:val="004316BA"/>
    <w:rsid w:val="00432A71"/>
    <w:rsid w:val="00434302"/>
    <w:rsid w:val="00434B67"/>
    <w:rsid w:val="0043520E"/>
    <w:rsid w:val="00436DDA"/>
    <w:rsid w:val="00437EB9"/>
    <w:rsid w:val="004404E7"/>
    <w:rsid w:val="004405CB"/>
    <w:rsid w:val="00440962"/>
    <w:rsid w:val="00440F1F"/>
    <w:rsid w:val="004412EB"/>
    <w:rsid w:val="00441985"/>
    <w:rsid w:val="00441D67"/>
    <w:rsid w:val="00444E83"/>
    <w:rsid w:val="00444EB4"/>
    <w:rsid w:val="00446A65"/>
    <w:rsid w:val="00446BAB"/>
    <w:rsid w:val="004470B3"/>
    <w:rsid w:val="0044755A"/>
    <w:rsid w:val="004502B1"/>
    <w:rsid w:val="00450778"/>
    <w:rsid w:val="00450B94"/>
    <w:rsid w:val="00451B45"/>
    <w:rsid w:val="00451B4C"/>
    <w:rsid w:val="00452AF6"/>
    <w:rsid w:val="00453876"/>
    <w:rsid w:val="00454716"/>
    <w:rsid w:val="00454F51"/>
    <w:rsid w:val="00455FE3"/>
    <w:rsid w:val="00460925"/>
    <w:rsid w:val="00460DCA"/>
    <w:rsid w:val="0046125F"/>
    <w:rsid w:val="00462126"/>
    <w:rsid w:val="004622B9"/>
    <w:rsid w:val="00462E7C"/>
    <w:rsid w:val="004630BB"/>
    <w:rsid w:val="0046318D"/>
    <w:rsid w:val="00463C9D"/>
    <w:rsid w:val="00464EBD"/>
    <w:rsid w:val="00465806"/>
    <w:rsid w:val="004674A1"/>
    <w:rsid w:val="00467539"/>
    <w:rsid w:val="00467A17"/>
    <w:rsid w:val="00471456"/>
    <w:rsid w:val="00472602"/>
    <w:rsid w:val="00473C33"/>
    <w:rsid w:val="004741B7"/>
    <w:rsid w:val="00474B73"/>
    <w:rsid w:val="00477B7F"/>
    <w:rsid w:val="00477D5C"/>
    <w:rsid w:val="004819A5"/>
    <w:rsid w:val="0048328F"/>
    <w:rsid w:val="004843F8"/>
    <w:rsid w:val="00484D19"/>
    <w:rsid w:val="00484E2B"/>
    <w:rsid w:val="0048509D"/>
    <w:rsid w:val="004850CC"/>
    <w:rsid w:val="004870B9"/>
    <w:rsid w:val="004878B5"/>
    <w:rsid w:val="00487A59"/>
    <w:rsid w:val="00490422"/>
    <w:rsid w:val="00490903"/>
    <w:rsid w:val="00490AA9"/>
    <w:rsid w:val="00490E38"/>
    <w:rsid w:val="00491384"/>
    <w:rsid w:val="00491501"/>
    <w:rsid w:val="0049197A"/>
    <w:rsid w:val="00492C26"/>
    <w:rsid w:val="0049339A"/>
    <w:rsid w:val="004938DB"/>
    <w:rsid w:val="00495A3D"/>
    <w:rsid w:val="00496135"/>
    <w:rsid w:val="004A0BD5"/>
    <w:rsid w:val="004A0C15"/>
    <w:rsid w:val="004A0CDF"/>
    <w:rsid w:val="004A170A"/>
    <w:rsid w:val="004A1A2E"/>
    <w:rsid w:val="004A2490"/>
    <w:rsid w:val="004A2C86"/>
    <w:rsid w:val="004A34C0"/>
    <w:rsid w:val="004A4DD2"/>
    <w:rsid w:val="004A5A7D"/>
    <w:rsid w:val="004A63A7"/>
    <w:rsid w:val="004A6B04"/>
    <w:rsid w:val="004A6F65"/>
    <w:rsid w:val="004A7320"/>
    <w:rsid w:val="004B07B0"/>
    <w:rsid w:val="004B0ED3"/>
    <w:rsid w:val="004B2619"/>
    <w:rsid w:val="004B2C6A"/>
    <w:rsid w:val="004B3148"/>
    <w:rsid w:val="004B40A2"/>
    <w:rsid w:val="004B59AB"/>
    <w:rsid w:val="004B5C86"/>
    <w:rsid w:val="004B6BF2"/>
    <w:rsid w:val="004B7575"/>
    <w:rsid w:val="004B79F2"/>
    <w:rsid w:val="004B7D2F"/>
    <w:rsid w:val="004B7E69"/>
    <w:rsid w:val="004C073E"/>
    <w:rsid w:val="004C0AF2"/>
    <w:rsid w:val="004C203B"/>
    <w:rsid w:val="004C24F5"/>
    <w:rsid w:val="004C2723"/>
    <w:rsid w:val="004C5A68"/>
    <w:rsid w:val="004C6F1A"/>
    <w:rsid w:val="004C71A4"/>
    <w:rsid w:val="004D112F"/>
    <w:rsid w:val="004D1DD4"/>
    <w:rsid w:val="004D2E41"/>
    <w:rsid w:val="004D462A"/>
    <w:rsid w:val="004D46D3"/>
    <w:rsid w:val="004D48BB"/>
    <w:rsid w:val="004D6036"/>
    <w:rsid w:val="004D63D5"/>
    <w:rsid w:val="004D6733"/>
    <w:rsid w:val="004E119A"/>
    <w:rsid w:val="004E1A9F"/>
    <w:rsid w:val="004E2374"/>
    <w:rsid w:val="004E41F7"/>
    <w:rsid w:val="004E425B"/>
    <w:rsid w:val="004E4377"/>
    <w:rsid w:val="004E5F29"/>
    <w:rsid w:val="004E617A"/>
    <w:rsid w:val="004E66D2"/>
    <w:rsid w:val="004E66E5"/>
    <w:rsid w:val="004E7499"/>
    <w:rsid w:val="004F2454"/>
    <w:rsid w:val="004F2E25"/>
    <w:rsid w:val="004F3888"/>
    <w:rsid w:val="004F4723"/>
    <w:rsid w:val="004F5941"/>
    <w:rsid w:val="004F6992"/>
    <w:rsid w:val="004F6EE2"/>
    <w:rsid w:val="004F7963"/>
    <w:rsid w:val="004F7CA1"/>
    <w:rsid w:val="00500B09"/>
    <w:rsid w:val="00500EBE"/>
    <w:rsid w:val="00501E8D"/>
    <w:rsid w:val="005031B5"/>
    <w:rsid w:val="00504143"/>
    <w:rsid w:val="0050548F"/>
    <w:rsid w:val="00506AE5"/>
    <w:rsid w:val="005077F4"/>
    <w:rsid w:val="00507D4C"/>
    <w:rsid w:val="00507DBB"/>
    <w:rsid w:val="00511276"/>
    <w:rsid w:val="005115E8"/>
    <w:rsid w:val="0051571E"/>
    <w:rsid w:val="00515CD0"/>
    <w:rsid w:val="00516359"/>
    <w:rsid w:val="00516485"/>
    <w:rsid w:val="0051659E"/>
    <w:rsid w:val="00516FB7"/>
    <w:rsid w:val="00517BF4"/>
    <w:rsid w:val="00521357"/>
    <w:rsid w:val="00522FA1"/>
    <w:rsid w:val="00524A89"/>
    <w:rsid w:val="00524B11"/>
    <w:rsid w:val="00524F47"/>
    <w:rsid w:val="00525C81"/>
    <w:rsid w:val="00526178"/>
    <w:rsid w:val="00527B44"/>
    <w:rsid w:val="005306EE"/>
    <w:rsid w:val="00532C6A"/>
    <w:rsid w:val="0053541F"/>
    <w:rsid w:val="00535860"/>
    <w:rsid w:val="0053655B"/>
    <w:rsid w:val="00537F6F"/>
    <w:rsid w:val="005403FB"/>
    <w:rsid w:val="00540FE2"/>
    <w:rsid w:val="00542ED6"/>
    <w:rsid w:val="0054621F"/>
    <w:rsid w:val="00547790"/>
    <w:rsid w:val="005505CB"/>
    <w:rsid w:val="00550971"/>
    <w:rsid w:val="00550AF7"/>
    <w:rsid w:val="00550F88"/>
    <w:rsid w:val="005512D8"/>
    <w:rsid w:val="00552BD7"/>
    <w:rsid w:val="00553F61"/>
    <w:rsid w:val="0055458D"/>
    <w:rsid w:val="00554F3E"/>
    <w:rsid w:val="00557100"/>
    <w:rsid w:val="00557515"/>
    <w:rsid w:val="00557997"/>
    <w:rsid w:val="005606EA"/>
    <w:rsid w:val="00561F6B"/>
    <w:rsid w:val="00562124"/>
    <w:rsid w:val="0056355A"/>
    <w:rsid w:val="005640A4"/>
    <w:rsid w:val="0056554A"/>
    <w:rsid w:val="00566470"/>
    <w:rsid w:val="005667E8"/>
    <w:rsid w:val="00567CF2"/>
    <w:rsid w:val="005703A8"/>
    <w:rsid w:val="00570604"/>
    <w:rsid w:val="00570A03"/>
    <w:rsid w:val="00573D53"/>
    <w:rsid w:val="00574AC1"/>
    <w:rsid w:val="0057502B"/>
    <w:rsid w:val="00575BAE"/>
    <w:rsid w:val="00576700"/>
    <w:rsid w:val="00577B1A"/>
    <w:rsid w:val="00580F04"/>
    <w:rsid w:val="00581673"/>
    <w:rsid w:val="005821D6"/>
    <w:rsid w:val="00584221"/>
    <w:rsid w:val="005843EE"/>
    <w:rsid w:val="0058456A"/>
    <w:rsid w:val="00584791"/>
    <w:rsid w:val="00584CFE"/>
    <w:rsid w:val="005873C3"/>
    <w:rsid w:val="00587C7C"/>
    <w:rsid w:val="00590EBE"/>
    <w:rsid w:val="0059129A"/>
    <w:rsid w:val="00594FD9"/>
    <w:rsid w:val="005956F7"/>
    <w:rsid w:val="00596153"/>
    <w:rsid w:val="0059661F"/>
    <w:rsid w:val="005A098C"/>
    <w:rsid w:val="005A105B"/>
    <w:rsid w:val="005A1CAB"/>
    <w:rsid w:val="005A37B4"/>
    <w:rsid w:val="005A4003"/>
    <w:rsid w:val="005A66FC"/>
    <w:rsid w:val="005B0619"/>
    <w:rsid w:val="005B1977"/>
    <w:rsid w:val="005B1A43"/>
    <w:rsid w:val="005B1D16"/>
    <w:rsid w:val="005B245F"/>
    <w:rsid w:val="005B2F90"/>
    <w:rsid w:val="005B3362"/>
    <w:rsid w:val="005B36CB"/>
    <w:rsid w:val="005B75D8"/>
    <w:rsid w:val="005C067D"/>
    <w:rsid w:val="005C0D05"/>
    <w:rsid w:val="005C10E3"/>
    <w:rsid w:val="005C16B7"/>
    <w:rsid w:val="005C2318"/>
    <w:rsid w:val="005C3659"/>
    <w:rsid w:val="005C3A0A"/>
    <w:rsid w:val="005C3BEC"/>
    <w:rsid w:val="005C3CEE"/>
    <w:rsid w:val="005C3D66"/>
    <w:rsid w:val="005C44CF"/>
    <w:rsid w:val="005C4667"/>
    <w:rsid w:val="005C5385"/>
    <w:rsid w:val="005C5560"/>
    <w:rsid w:val="005C56A7"/>
    <w:rsid w:val="005D0AFD"/>
    <w:rsid w:val="005D1A78"/>
    <w:rsid w:val="005D4F1C"/>
    <w:rsid w:val="005D58D4"/>
    <w:rsid w:val="005D5C36"/>
    <w:rsid w:val="005D65F0"/>
    <w:rsid w:val="005D664D"/>
    <w:rsid w:val="005E0BB6"/>
    <w:rsid w:val="005E0BE9"/>
    <w:rsid w:val="005E0C7B"/>
    <w:rsid w:val="005E0FE6"/>
    <w:rsid w:val="005E19C2"/>
    <w:rsid w:val="005E1B30"/>
    <w:rsid w:val="005E2587"/>
    <w:rsid w:val="005E34C4"/>
    <w:rsid w:val="005E3BA5"/>
    <w:rsid w:val="005E4A5C"/>
    <w:rsid w:val="005E64DC"/>
    <w:rsid w:val="005F0CDA"/>
    <w:rsid w:val="005F1021"/>
    <w:rsid w:val="005F19E9"/>
    <w:rsid w:val="005F2372"/>
    <w:rsid w:val="005F2444"/>
    <w:rsid w:val="005F2806"/>
    <w:rsid w:val="005F2892"/>
    <w:rsid w:val="005F2994"/>
    <w:rsid w:val="005F2CFF"/>
    <w:rsid w:val="005F4DE6"/>
    <w:rsid w:val="005F4F04"/>
    <w:rsid w:val="005F5172"/>
    <w:rsid w:val="005F5CC9"/>
    <w:rsid w:val="005F6342"/>
    <w:rsid w:val="00601350"/>
    <w:rsid w:val="006019A1"/>
    <w:rsid w:val="00602892"/>
    <w:rsid w:val="00602F64"/>
    <w:rsid w:val="006044AE"/>
    <w:rsid w:val="00604ACE"/>
    <w:rsid w:val="00604B78"/>
    <w:rsid w:val="00606737"/>
    <w:rsid w:val="00607963"/>
    <w:rsid w:val="006102E9"/>
    <w:rsid w:val="00610A73"/>
    <w:rsid w:val="006124E8"/>
    <w:rsid w:val="00612A29"/>
    <w:rsid w:val="00613B91"/>
    <w:rsid w:val="00615916"/>
    <w:rsid w:val="00621960"/>
    <w:rsid w:val="0062287E"/>
    <w:rsid w:val="00622918"/>
    <w:rsid w:val="00622972"/>
    <w:rsid w:val="00623537"/>
    <w:rsid w:val="00624685"/>
    <w:rsid w:val="00624E28"/>
    <w:rsid w:val="006259EC"/>
    <w:rsid w:val="00630272"/>
    <w:rsid w:val="00631246"/>
    <w:rsid w:val="00631C02"/>
    <w:rsid w:val="006322FA"/>
    <w:rsid w:val="0063295A"/>
    <w:rsid w:val="006356FF"/>
    <w:rsid w:val="00635C8E"/>
    <w:rsid w:val="00635E52"/>
    <w:rsid w:val="006367C1"/>
    <w:rsid w:val="00636804"/>
    <w:rsid w:val="00637A8C"/>
    <w:rsid w:val="00637E06"/>
    <w:rsid w:val="006420B4"/>
    <w:rsid w:val="0064291F"/>
    <w:rsid w:val="00642CC5"/>
    <w:rsid w:val="006435EC"/>
    <w:rsid w:val="00644BE3"/>
    <w:rsid w:val="0064509C"/>
    <w:rsid w:val="00645603"/>
    <w:rsid w:val="006468BB"/>
    <w:rsid w:val="0064742D"/>
    <w:rsid w:val="00651392"/>
    <w:rsid w:val="00651407"/>
    <w:rsid w:val="006528FF"/>
    <w:rsid w:val="0065338F"/>
    <w:rsid w:val="00653807"/>
    <w:rsid w:val="00657226"/>
    <w:rsid w:val="0065742D"/>
    <w:rsid w:val="00660305"/>
    <w:rsid w:val="0066167E"/>
    <w:rsid w:val="00661E10"/>
    <w:rsid w:val="00662256"/>
    <w:rsid w:val="006639E6"/>
    <w:rsid w:val="00664FEB"/>
    <w:rsid w:val="00665E30"/>
    <w:rsid w:val="0066654A"/>
    <w:rsid w:val="00666793"/>
    <w:rsid w:val="00666B7C"/>
    <w:rsid w:val="00672E24"/>
    <w:rsid w:val="00673423"/>
    <w:rsid w:val="00673CD2"/>
    <w:rsid w:val="0067467D"/>
    <w:rsid w:val="00675569"/>
    <w:rsid w:val="00676CE6"/>
    <w:rsid w:val="00680B83"/>
    <w:rsid w:val="00681372"/>
    <w:rsid w:val="00681C02"/>
    <w:rsid w:val="006826E1"/>
    <w:rsid w:val="0068277D"/>
    <w:rsid w:val="00682ED3"/>
    <w:rsid w:val="00685870"/>
    <w:rsid w:val="006872B0"/>
    <w:rsid w:val="0068732B"/>
    <w:rsid w:val="00696009"/>
    <w:rsid w:val="00697BDE"/>
    <w:rsid w:val="006A0113"/>
    <w:rsid w:val="006A02EF"/>
    <w:rsid w:val="006A0415"/>
    <w:rsid w:val="006A1AE3"/>
    <w:rsid w:val="006A1B90"/>
    <w:rsid w:val="006A1F05"/>
    <w:rsid w:val="006A2309"/>
    <w:rsid w:val="006A4F97"/>
    <w:rsid w:val="006A74A7"/>
    <w:rsid w:val="006B0103"/>
    <w:rsid w:val="006B03A9"/>
    <w:rsid w:val="006B05A5"/>
    <w:rsid w:val="006B10BF"/>
    <w:rsid w:val="006B2406"/>
    <w:rsid w:val="006B49B0"/>
    <w:rsid w:val="006B5025"/>
    <w:rsid w:val="006B5C70"/>
    <w:rsid w:val="006B72B7"/>
    <w:rsid w:val="006C0523"/>
    <w:rsid w:val="006C68F8"/>
    <w:rsid w:val="006C6A54"/>
    <w:rsid w:val="006D1C50"/>
    <w:rsid w:val="006D23C4"/>
    <w:rsid w:val="006D29A4"/>
    <w:rsid w:val="006D2E2F"/>
    <w:rsid w:val="006D3AAC"/>
    <w:rsid w:val="006D44B5"/>
    <w:rsid w:val="006D5755"/>
    <w:rsid w:val="006E05FE"/>
    <w:rsid w:val="006E18C0"/>
    <w:rsid w:val="006E1D85"/>
    <w:rsid w:val="006E2284"/>
    <w:rsid w:val="006E265E"/>
    <w:rsid w:val="006E2897"/>
    <w:rsid w:val="006E2926"/>
    <w:rsid w:val="006E2C1A"/>
    <w:rsid w:val="006E2EAC"/>
    <w:rsid w:val="006E5F2A"/>
    <w:rsid w:val="006E6BB1"/>
    <w:rsid w:val="006E7C68"/>
    <w:rsid w:val="006F0176"/>
    <w:rsid w:val="006F0357"/>
    <w:rsid w:val="006F0AB8"/>
    <w:rsid w:val="006F273D"/>
    <w:rsid w:val="006F27F2"/>
    <w:rsid w:val="006F2D4E"/>
    <w:rsid w:val="006F2FDD"/>
    <w:rsid w:val="006F4679"/>
    <w:rsid w:val="006F6C62"/>
    <w:rsid w:val="006F72EA"/>
    <w:rsid w:val="006F7A3B"/>
    <w:rsid w:val="00700711"/>
    <w:rsid w:val="007017D5"/>
    <w:rsid w:val="00703746"/>
    <w:rsid w:val="00703A36"/>
    <w:rsid w:val="00703DAC"/>
    <w:rsid w:val="0070628A"/>
    <w:rsid w:val="0070673D"/>
    <w:rsid w:val="00706C32"/>
    <w:rsid w:val="007072CB"/>
    <w:rsid w:val="007076B4"/>
    <w:rsid w:val="007102A4"/>
    <w:rsid w:val="00711128"/>
    <w:rsid w:val="00711F1E"/>
    <w:rsid w:val="007122B2"/>
    <w:rsid w:val="00712B35"/>
    <w:rsid w:val="007134B6"/>
    <w:rsid w:val="007136F1"/>
    <w:rsid w:val="0071395E"/>
    <w:rsid w:val="00713B9F"/>
    <w:rsid w:val="00714093"/>
    <w:rsid w:val="00715EA8"/>
    <w:rsid w:val="007176F5"/>
    <w:rsid w:val="0072199A"/>
    <w:rsid w:val="007229F8"/>
    <w:rsid w:val="00723759"/>
    <w:rsid w:val="00725439"/>
    <w:rsid w:val="00725CAB"/>
    <w:rsid w:val="0072617F"/>
    <w:rsid w:val="00726FFB"/>
    <w:rsid w:val="0072727E"/>
    <w:rsid w:val="00727D2E"/>
    <w:rsid w:val="00727FB7"/>
    <w:rsid w:val="0073171D"/>
    <w:rsid w:val="0073191C"/>
    <w:rsid w:val="007320B0"/>
    <w:rsid w:val="007328C7"/>
    <w:rsid w:val="007334A8"/>
    <w:rsid w:val="00736166"/>
    <w:rsid w:val="00736F8C"/>
    <w:rsid w:val="00737FCF"/>
    <w:rsid w:val="007424A4"/>
    <w:rsid w:val="007430E1"/>
    <w:rsid w:val="0074549E"/>
    <w:rsid w:val="00745AAD"/>
    <w:rsid w:val="00747A13"/>
    <w:rsid w:val="00750BFB"/>
    <w:rsid w:val="00751354"/>
    <w:rsid w:val="00751B99"/>
    <w:rsid w:val="00751BBE"/>
    <w:rsid w:val="00751D02"/>
    <w:rsid w:val="00751FD5"/>
    <w:rsid w:val="0075277A"/>
    <w:rsid w:val="00755621"/>
    <w:rsid w:val="00755B8A"/>
    <w:rsid w:val="00755EDD"/>
    <w:rsid w:val="007563ED"/>
    <w:rsid w:val="00756520"/>
    <w:rsid w:val="00756FC6"/>
    <w:rsid w:val="00760AFC"/>
    <w:rsid w:val="00761801"/>
    <w:rsid w:val="007623B5"/>
    <w:rsid w:val="007653FA"/>
    <w:rsid w:val="007654AE"/>
    <w:rsid w:val="007656A4"/>
    <w:rsid w:val="00766FFA"/>
    <w:rsid w:val="007713F6"/>
    <w:rsid w:val="007719FE"/>
    <w:rsid w:val="00772312"/>
    <w:rsid w:val="00772DD9"/>
    <w:rsid w:val="00773A15"/>
    <w:rsid w:val="00775062"/>
    <w:rsid w:val="0077533A"/>
    <w:rsid w:val="00776E2F"/>
    <w:rsid w:val="007773AF"/>
    <w:rsid w:val="00777552"/>
    <w:rsid w:val="00777902"/>
    <w:rsid w:val="00777C91"/>
    <w:rsid w:val="007804C2"/>
    <w:rsid w:val="00780598"/>
    <w:rsid w:val="00780AA0"/>
    <w:rsid w:val="00780C5F"/>
    <w:rsid w:val="00781656"/>
    <w:rsid w:val="0078177C"/>
    <w:rsid w:val="00781E40"/>
    <w:rsid w:val="007836E7"/>
    <w:rsid w:val="00784117"/>
    <w:rsid w:val="007844B4"/>
    <w:rsid w:val="007858D8"/>
    <w:rsid w:val="00786AE0"/>
    <w:rsid w:val="007877FF"/>
    <w:rsid w:val="00787C07"/>
    <w:rsid w:val="00790C9E"/>
    <w:rsid w:val="00791221"/>
    <w:rsid w:val="00794B46"/>
    <w:rsid w:val="0079552D"/>
    <w:rsid w:val="00795544"/>
    <w:rsid w:val="00796998"/>
    <w:rsid w:val="00797F10"/>
    <w:rsid w:val="007A02BC"/>
    <w:rsid w:val="007A12C2"/>
    <w:rsid w:val="007A2AC2"/>
    <w:rsid w:val="007A2B1F"/>
    <w:rsid w:val="007A34FD"/>
    <w:rsid w:val="007A4101"/>
    <w:rsid w:val="007A5FAA"/>
    <w:rsid w:val="007A607F"/>
    <w:rsid w:val="007A7963"/>
    <w:rsid w:val="007A7D3D"/>
    <w:rsid w:val="007A7E13"/>
    <w:rsid w:val="007A7F46"/>
    <w:rsid w:val="007B01EE"/>
    <w:rsid w:val="007B1027"/>
    <w:rsid w:val="007B138A"/>
    <w:rsid w:val="007B1CC2"/>
    <w:rsid w:val="007B2FCE"/>
    <w:rsid w:val="007B3C1C"/>
    <w:rsid w:val="007B6CAE"/>
    <w:rsid w:val="007B7DFB"/>
    <w:rsid w:val="007C2574"/>
    <w:rsid w:val="007C2B54"/>
    <w:rsid w:val="007C3FF0"/>
    <w:rsid w:val="007C4131"/>
    <w:rsid w:val="007C43ED"/>
    <w:rsid w:val="007C4E32"/>
    <w:rsid w:val="007C559D"/>
    <w:rsid w:val="007C615B"/>
    <w:rsid w:val="007C79C4"/>
    <w:rsid w:val="007D0310"/>
    <w:rsid w:val="007D1912"/>
    <w:rsid w:val="007D1FE5"/>
    <w:rsid w:val="007D2558"/>
    <w:rsid w:val="007D323C"/>
    <w:rsid w:val="007D333C"/>
    <w:rsid w:val="007D3BD9"/>
    <w:rsid w:val="007D3E3B"/>
    <w:rsid w:val="007D5ABC"/>
    <w:rsid w:val="007D73BE"/>
    <w:rsid w:val="007D77F9"/>
    <w:rsid w:val="007E0FD2"/>
    <w:rsid w:val="007E1322"/>
    <w:rsid w:val="007E2E50"/>
    <w:rsid w:val="007E3A63"/>
    <w:rsid w:val="007E42EA"/>
    <w:rsid w:val="007E530F"/>
    <w:rsid w:val="007E5495"/>
    <w:rsid w:val="007E76FC"/>
    <w:rsid w:val="007F0089"/>
    <w:rsid w:val="007F0494"/>
    <w:rsid w:val="007F1010"/>
    <w:rsid w:val="007F53CD"/>
    <w:rsid w:val="007F565A"/>
    <w:rsid w:val="007F5743"/>
    <w:rsid w:val="007F5D55"/>
    <w:rsid w:val="007F6942"/>
    <w:rsid w:val="007F7E09"/>
    <w:rsid w:val="00801D81"/>
    <w:rsid w:val="00803B65"/>
    <w:rsid w:val="008051AC"/>
    <w:rsid w:val="00805E21"/>
    <w:rsid w:val="0080794F"/>
    <w:rsid w:val="00810188"/>
    <w:rsid w:val="008102FB"/>
    <w:rsid w:val="00810B70"/>
    <w:rsid w:val="00810FC4"/>
    <w:rsid w:val="008125B3"/>
    <w:rsid w:val="00813197"/>
    <w:rsid w:val="008139F4"/>
    <w:rsid w:val="00813E2E"/>
    <w:rsid w:val="00814573"/>
    <w:rsid w:val="00815711"/>
    <w:rsid w:val="00815AAA"/>
    <w:rsid w:val="00815E25"/>
    <w:rsid w:val="008169D2"/>
    <w:rsid w:val="00816B02"/>
    <w:rsid w:val="00816FC3"/>
    <w:rsid w:val="00817992"/>
    <w:rsid w:val="0082093A"/>
    <w:rsid w:val="00820CBD"/>
    <w:rsid w:val="00823C4C"/>
    <w:rsid w:val="00824008"/>
    <w:rsid w:val="00825325"/>
    <w:rsid w:val="008266CB"/>
    <w:rsid w:val="00827FE4"/>
    <w:rsid w:val="008315CA"/>
    <w:rsid w:val="008315FE"/>
    <w:rsid w:val="008316FA"/>
    <w:rsid w:val="00831713"/>
    <w:rsid w:val="00832AC8"/>
    <w:rsid w:val="008340D2"/>
    <w:rsid w:val="00835708"/>
    <w:rsid w:val="00836CF7"/>
    <w:rsid w:val="00836D72"/>
    <w:rsid w:val="008402C2"/>
    <w:rsid w:val="008420FF"/>
    <w:rsid w:val="00844581"/>
    <w:rsid w:val="00844E57"/>
    <w:rsid w:val="0084577D"/>
    <w:rsid w:val="0084644D"/>
    <w:rsid w:val="008466E2"/>
    <w:rsid w:val="00846B34"/>
    <w:rsid w:val="008513B3"/>
    <w:rsid w:val="008514D9"/>
    <w:rsid w:val="00851F11"/>
    <w:rsid w:val="008525D3"/>
    <w:rsid w:val="00852B45"/>
    <w:rsid w:val="00855D0D"/>
    <w:rsid w:val="00856150"/>
    <w:rsid w:val="0085677F"/>
    <w:rsid w:val="00857864"/>
    <w:rsid w:val="00857EDF"/>
    <w:rsid w:val="00857FED"/>
    <w:rsid w:val="0086017F"/>
    <w:rsid w:val="00861EE3"/>
    <w:rsid w:val="0086231E"/>
    <w:rsid w:val="00863982"/>
    <w:rsid w:val="008639CC"/>
    <w:rsid w:val="00863C55"/>
    <w:rsid w:val="008662FD"/>
    <w:rsid w:val="00866AF4"/>
    <w:rsid w:val="0087017C"/>
    <w:rsid w:val="00870754"/>
    <w:rsid w:val="008708C7"/>
    <w:rsid w:val="00871294"/>
    <w:rsid w:val="00871F89"/>
    <w:rsid w:val="0087222E"/>
    <w:rsid w:val="00872A32"/>
    <w:rsid w:val="0087422F"/>
    <w:rsid w:val="008742A8"/>
    <w:rsid w:val="00874E25"/>
    <w:rsid w:val="00875699"/>
    <w:rsid w:val="008764E4"/>
    <w:rsid w:val="0087778B"/>
    <w:rsid w:val="00880D1D"/>
    <w:rsid w:val="008822E8"/>
    <w:rsid w:val="0088297D"/>
    <w:rsid w:val="00882B22"/>
    <w:rsid w:val="008833E2"/>
    <w:rsid w:val="008842BF"/>
    <w:rsid w:val="00886130"/>
    <w:rsid w:val="008864F8"/>
    <w:rsid w:val="00886936"/>
    <w:rsid w:val="00886C80"/>
    <w:rsid w:val="00887833"/>
    <w:rsid w:val="008906CF"/>
    <w:rsid w:val="00891CF3"/>
    <w:rsid w:val="00892743"/>
    <w:rsid w:val="00892E56"/>
    <w:rsid w:val="00892E6E"/>
    <w:rsid w:val="00896257"/>
    <w:rsid w:val="00897813"/>
    <w:rsid w:val="008A00F2"/>
    <w:rsid w:val="008A052C"/>
    <w:rsid w:val="008A0DBF"/>
    <w:rsid w:val="008A21E5"/>
    <w:rsid w:val="008A30DA"/>
    <w:rsid w:val="008A3370"/>
    <w:rsid w:val="008A33EB"/>
    <w:rsid w:val="008A5B87"/>
    <w:rsid w:val="008B0170"/>
    <w:rsid w:val="008B0588"/>
    <w:rsid w:val="008B1018"/>
    <w:rsid w:val="008B2C70"/>
    <w:rsid w:val="008B3136"/>
    <w:rsid w:val="008B4050"/>
    <w:rsid w:val="008B5D11"/>
    <w:rsid w:val="008B60B9"/>
    <w:rsid w:val="008B68BE"/>
    <w:rsid w:val="008B7BEF"/>
    <w:rsid w:val="008C19AD"/>
    <w:rsid w:val="008C341B"/>
    <w:rsid w:val="008C3EB5"/>
    <w:rsid w:val="008C5170"/>
    <w:rsid w:val="008D0204"/>
    <w:rsid w:val="008D1940"/>
    <w:rsid w:val="008D3006"/>
    <w:rsid w:val="008D439F"/>
    <w:rsid w:val="008D4898"/>
    <w:rsid w:val="008D4B1C"/>
    <w:rsid w:val="008D6743"/>
    <w:rsid w:val="008D6744"/>
    <w:rsid w:val="008D6A06"/>
    <w:rsid w:val="008D6B19"/>
    <w:rsid w:val="008D6F1B"/>
    <w:rsid w:val="008D6FA6"/>
    <w:rsid w:val="008D7E53"/>
    <w:rsid w:val="008D7FD9"/>
    <w:rsid w:val="008E018D"/>
    <w:rsid w:val="008E06EF"/>
    <w:rsid w:val="008E2E2C"/>
    <w:rsid w:val="008E518E"/>
    <w:rsid w:val="008E5842"/>
    <w:rsid w:val="008E5A47"/>
    <w:rsid w:val="008E5C97"/>
    <w:rsid w:val="008E6C35"/>
    <w:rsid w:val="008F0EA2"/>
    <w:rsid w:val="008F2091"/>
    <w:rsid w:val="008F20BA"/>
    <w:rsid w:val="008F2476"/>
    <w:rsid w:val="008F24C2"/>
    <w:rsid w:val="008F25B5"/>
    <w:rsid w:val="008F263C"/>
    <w:rsid w:val="008F31E4"/>
    <w:rsid w:val="008F5214"/>
    <w:rsid w:val="008F5A9F"/>
    <w:rsid w:val="008F7930"/>
    <w:rsid w:val="00900DA4"/>
    <w:rsid w:val="00901BDD"/>
    <w:rsid w:val="00906DED"/>
    <w:rsid w:val="0090741E"/>
    <w:rsid w:val="00907E76"/>
    <w:rsid w:val="00911D61"/>
    <w:rsid w:val="0091318E"/>
    <w:rsid w:val="00913225"/>
    <w:rsid w:val="00913FE9"/>
    <w:rsid w:val="00916642"/>
    <w:rsid w:val="00916C0A"/>
    <w:rsid w:val="0091786F"/>
    <w:rsid w:val="0092279A"/>
    <w:rsid w:val="00924033"/>
    <w:rsid w:val="00926115"/>
    <w:rsid w:val="00927C17"/>
    <w:rsid w:val="00927FE5"/>
    <w:rsid w:val="009302EF"/>
    <w:rsid w:val="009324F8"/>
    <w:rsid w:val="00932C85"/>
    <w:rsid w:val="00934556"/>
    <w:rsid w:val="00935236"/>
    <w:rsid w:val="00936994"/>
    <w:rsid w:val="009379E1"/>
    <w:rsid w:val="009418C3"/>
    <w:rsid w:val="009418D1"/>
    <w:rsid w:val="00941A05"/>
    <w:rsid w:val="00945CBA"/>
    <w:rsid w:val="00945D87"/>
    <w:rsid w:val="00946EF6"/>
    <w:rsid w:val="009535E2"/>
    <w:rsid w:val="00953FD3"/>
    <w:rsid w:val="009543BB"/>
    <w:rsid w:val="00954A7E"/>
    <w:rsid w:val="00957133"/>
    <w:rsid w:val="009601FD"/>
    <w:rsid w:val="009604F0"/>
    <w:rsid w:val="009632DA"/>
    <w:rsid w:val="00964441"/>
    <w:rsid w:val="00965937"/>
    <w:rsid w:val="00966B28"/>
    <w:rsid w:val="0097094E"/>
    <w:rsid w:val="00971C86"/>
    <w:rsid w:val="00972C3E"/>
    <w:rsid w:val="00973541"/>
    <w:rsid w:val="00973A13"/>
    <w:rsid w:val="00973C9C"/>
    <w:rsid w:val="00973DA5"/>
    <w:rsid w:val="0097474E"/>
    <w:rsid w:val="00974C47"/>
    <w:rsid w:val="00975C52"/>
    <w:rsid w:val="00976BF4"/>
    <w:rsid w:val="0097711F"/>
    <w:rsid w:val="009771D5"/>
    <w:rsid w:val="00977B1E"/>
    <w:rsid w:val="00977D74"/>
    <w:rsid w:val="00982758"/>
    <w:rsid w:val="00982D98"/>
    <w:rsid w:val="00984238"/>
    <w:rsid w:val="00984709"/>
    <w:rsid w:val="009853A3"/>
    <w:rsid w:val="0098749F"/>
    <w:rsid w:val="009901AF"/>
    <w:rsid w:val="0099093B"/>
    <w:rsid w:val="00991BB8"/>
    <w:rsid w:val="0099232C"/>
    <w:rsid w:val="00993465"/>
    <w:rsid w:val="00993B76"/>
    <w:rsid w:val="00993EEF"/>
    <w:rsid w:val="009951F6"/>
    <w:rsid w:val="009958C6"/>
    <w:rsid w:val="00996007"/>
    <w:rsid w:val="00997641"/>
    <w:rsid w:val="009A2486"/>
    <w:rsid w:val="009A2F83"/>
    <w:rsid w:val="009A3853"/>
    <w:rsid w:val="009A39AA"/>
    <w:rsid w:val="009A5070"/>
    <w:rsid w:val="009A58E0"/>
    <w:rsid w:val="009A69B7"/>
    <w:rsid w:val="009A7C9A"/>
    <w:rsid w:val="009B1136"/>
    <w:rsid w:val="009B29E7"/>
    <w:rsid w:val="009B4B38"/>
    <w:rsid w:val="009B5193"/>
    <w:rsid w:val="009B7E85"/>
    <w:rsid w:val="009C0627"/>
    <w:rsid w:val="009C27E2"/>
    <w:rsid w:val="009C4165"/>
    <w:rsid w:val="009C6386"/>
    <w:rsid w:val="009C6BD2"/>
    <w:rsid w:val="009C6C1D"/>
    <w:rsid w:val="009D01CD"/>
    <w:rsid w:val="009D1359"/>
    <w:rsid w:val="009D470A"/>
    <w:rsid w:val="009D5717"/>
    <w:rsid w:val="009D6C4C"/>
    <w:rsid w:val="009D7053"/>
    <w:rsid w:val="009D7165"/>
    <w:rsid w:val="009D7ED9"/>
    <w:rsid w:val="009E0652"/>
    <w:rsid w:val="009E0DE9"/>
    <w:rsid w:val="009E15E4"/>
    <w:rsid w:val="009E2BF9"/>
    <w:rsid w:val="009E3053"/>
    <w:rsid w:val="009E34A5"/>
    <w:rsid w:val="009E3888"/>
    <w:rsid w:val="009E4056"/>
    <w:rsid w:val="009E6FE2"/>
    <w:rsid w:val="009E742C"/>
    <w:rsid w:val="009F01CB"/>
    <w:rsid w:val="009F023A"/>
    <w:rsid w:val="009F1401"/>
    <w:rsid w:val="009F2023"/>
    <w:rsid w:val="009F206D"/>
    <w:rsid w:val="009F3F45"/>
    <w:rsid w:val="009F69A2"/>
    <w:rsid w:val="009F6BD3"/>
    <w:rsid w:val="00A02552"/>
    <w:rsid w:val="00A034A0"/>
    <w:rsid w:val="00A0446C"/>
    <w:rsid w:val="00A04EBA"/>
    <w:rsid w:val="00A06818"/>
    <w:rsid w:val="00A107B2"/>
    <w:rsid w:val="00A10DA7"/>
    <w:rsid w:val="00A1128E"/>
    <w:rsid w:val="00A1202C"/>
    <w:rsid w:val="00A133A2"/>
    <w:rsid w:val="00A1481E"/>
    <w:rsid w:val="00A154B9"/>
    <w:rsid w:val="00A15744"/>
    <w:rsid w:val="00A1601D"/>
    <w:rsid w:val="00A1655C"/>
    <w:rsid w:val="00A17024"/>
    <w:rsid w:val="00A17813"/>
    <w:rsid w:val="00A20507"/>
    <w:rsid w:val="00A22DE1"/>
    <w:rsid w:val="00A23297"/>
    <w:rsid w:val="00A2360B"/>
    <w:rsid w:val="00A2469B"/>
    <w:rsid w:val="00A26D57"/>
    <w:rsid w:val="00A27618"/>
    <w:rsid w:val="00A27A2B"/>
    <w:rsid w:val="00A27BED"/>
    <w:rsid w:val="00A300E5"/>
    <w:rsid w:val="00A30105"/>
    <w:rsid w:val="00A301A1"/>
    <w:rsid w:val="00A311A1"/>
    <w:rsid w:val="00A3324E"/>
    <w:rsid w:val="00A343C6"/>
    <w:rsid w:val="00A3483E"/>
    <w:rsid w:val="00A349CF"/>
    <w:rsid w:val="00A34E0F"/>
    <w:rsid w:val="00A35E8F"/>
    <w:rsid w:val="00A373DE"/>
    <w:rsid w:val="00A37A36"/>
    <w:rsid w:val="00A37B57"/>
    <w:rsid w:val="00A37D11"/>
    <w:rsid w:val="00A40813"/>
    <w:rsid w:val="00A40987"/>
    <w:rsid w:val="00A40E32"/>
    <w:rsid w:val="00A41181"/>
    <w:rsid w:val="00A42DF0"/>
    <w:rsid w:val="00A435DA"/>
    <w:rsid w:val="00A43B65"/>
    <w:rsid w:val="00A4545B"/>
    <w:rsid w:val="00A45A55"/>
    <w:rsid w:val="00A45DF8"/>
    <w:rsid w:val="00A470B7"/>
    <w:rsid w:val="00A47371"/>
    <w:rsid w:val="00A47F8E"/>
    <w:rsid w:val="00A50150"/>
    <w:rsid w:val="00A512AB"/>
    <w:rsid w:val="00A513EA"/>
    <w:rsid w:val="00A514B2"/>
    <w:rsid w:val="00A53F84"/>
    <w:rsid w:val="00A542F2"/>
    <w:rsid w:val="00A55BC9"/>
    <w:rsid w:val="00A56675"/>
    <w:rsid w:val="00A56EE6"/>
    <w:rsid w:val="00A60006"/>
    <w:rsid w:val="00A63B0D"/>
    <w:rsid w:val="00A654E9"/>
    <w:rsid w:val="00A65B83"/>
    <w:rsid w:val="00A6639B"/>
    <w:rsid w:val="00A6657B"/>
    <w:rsid w:val="00A6695C"/>
    <w:rsid w:val="00A700F6"/>
    <w:rsid w:val="00A70363"/>
    <w:rsid w:val="00A71D58"/>
    <w:rsid w:val="00A72B2E"/>
    <w:rsid w:val="00A72C60"/>
    <w:rsid w:val="00A74B51"/>
    <w:rsid w:val="00A752E2"/>
    <w:rsid w:val="00A75E7B"/>
    <w:rsid w:val="00A806FA"/>
    <w:rsid w:val="00A813FE"/>
    <w:rsid w:val="00A81A78"/>
    <w:rsid w:val="00A82EB1"/>
    <w:rsid w:val="00A8334E"/>
    <w:rsid w:val="00A8369F"/>
    <w:rsid w:val="00A83D92"/>
    <w:rsid w:val="00A8436E"/>
    <w:rsid w:val="00A85B71"/>
    <w:rsid w:val="00A85C78"/>
    <w:rsid w:val="00A85D60"/>
    <w:rsid w:val="00A87678"/>
    <w:rsid w:val="00A87A0F"/>
    <w:rsid w:val="00A90C59"/>
    <w:rsid w:val="00A92002"/>
    <w:rsid w:val="00A929C8"/>
    <w:rsid w:val="00A937F2"/>
    <w:rsid w:val="00A94D9B"/>
    <w:rsid w:val="00A95026"/>
    <w:rsid w:val="00A95E1A"/>
    <w:rsid w:val="00A974BD"/>
    <w:rsid w:val="00AA064D"/>
    <w:rsid w:val="00AA09C8"/>
    <w:rsid w:val="00AA19DF"/>
    <w:rsid w:val="00AA2C1F"/>
    <w:rsid w:val="00AA3BE4"/>
    <w:rsid w:val="00AA421F"/>
    <w:rsid w:val="00AA443C"/>
    <w:rsid w:val="00AA5892"/>
    <w:rsid w:val="00AA6A53"/>
    <w:rsid w:val="00AB06FE"/>
    <w:rsid w:val="00AB15BE"/>
    <w:rsid w:val="00AB22AE"/>
    <w:rsid w:val="00AB3C7C"/>
    <w:rsid w:val="00AB3FC2"/>
    <w:rsid w:val="00AB4E14"/>
    <w:rsid w:val="00AB6E71"/>
    <w:rsid w:val="00AB705B"/>
    <w:rsid w:val="00AC0228"/>
    <w:rsid w:val="00AC02CC"/>
    <w:rsid w:val="00AC23D9"/>
    <w:rsid w:val="00AC3B47"/>
    <w:rsid w:val="00AC4535"/>
    <w:rsid w:val="00AC5311"/>
    <w:rsid w:val="00AC57DF"/>
    <w:rsid w:val="00AC6A7F"/>
    <w:rsid w:val="00AC6F5D"/>
    <w:rsid w:val="00AC73EB"/>
    <w:rsid w:val="00AD0408"/>
    <w:rsid w:val="00AD0B0E"/>
    <w:rsid w:val="00AD1D4D"/>
    <w:rsid w:val="00AD1D91"/>
    <w:rsid w:val="00AD3109"/>
    <w:rsid w:val="00AD4C80"/>
    <w:rsid w:val="00AD6265"/>
    <w:rsid w:val="00AD6402"/>
    <w:rsid w:val="00AD644C"/>
    <w:rsid w:val="00AD727E"/>
    <w:rsid w:val="00AD7AA8"/>
    <w:rsid w:val="00AE1AF3"/>
    <w:rsid w:val="00AE1F0F"/>
    <w:rsid w:val="00AE2D4F"/>
    <w:rsid w:val="00AE4DF8"/>
    <w:rsid w:val="00AE4E4D"/>
    <w:rsid w:val="00AE6846"/>
    <w:rsid w:val="00AE79A2"/>
    <w:rsid w:val="00AF0B79"/>
    <w:rsid w:val="00AF2D4D"/>
    <w:rsid w:val="00AF3700"/>
    <w:rsid w:val="00AF3901"/>
    <w:rsid w:val="00AF3D6D"/>
    <w:rsid w:val="00AF5E51"/>
    <w:rsid w:val="00AF5EB3"/>
    <w:rsid w:val="00AF7AEC"/>
    <w:rsid w:val="00B00474"/>
    <w:rsid w:val="00B00EA9"/>
    <w:rsid w:val="00B02024"/>
    <w:rsid w:val="00B0238B"/>
    <w:rsid w:val="00B02660"/>
    <w:rsid w:val="00B03CFC"/>
    <w:rsid w:val="00B05807"/>
    <w:rsid w:val="00B060AC"/>
    <w:rsid w:val="00B071FF"/>
    <w:rsid w:val="00B07334"/>
    <w:rsid w:val="00B077EE"/>
    <w:rsid w:val="00B0789E"/>
    <w:rsid w:val="00B11849"/>
    <w:rsid w:val="00B131EF"/>
    <w:rsid w:val="00B13BCE"/>
    <w:rsid w:val="00B13BDC"/>
    <w:rsid w:val="00B149EB"/>
    <w:rsid w:val="00B153D8"/>
    <w:rsid w:val="00B16972"/>
    <w:rsid w:val="00B171F8"/>
    <w:rsid w:val="00B21A4C"/>
    <w:rsid w:val="00B21B8C"/>
    <w:rsid w:val="00B228A7"/>
    <w:rsid w:val="00B22905"/>
    <w:rsid w:val="00B22EB2"/>
    <w:rsid w:val="00B23319"/>
    <w:rsid w:val="00B24DA3"/>
    <w:rsid w:val="00B251AB"/>
    <w:rsid w:val="00B257BD"/>
    <w:rsid w:val="00B2783A"/>
    <w:rsid w:val="00B27BF9"/>
    <w:rsid w:val="00B309EA"/>
    <w:rsid w:val="00B30ED1"/>
    <w:rsid w:val="00B31BB4"/>
    <w:rsid w:val="00B31D9C"/>
    <w:rsid w:val="00B332EF"/>
    <w:rsid w:val="00B33842"/>
    <w:rsid w:val="00B339AE"/>
    <w:rsid w:val="00B345B7"/>
    <w:rsid w:val="00B34887"/>
    <w:rsid w:val="00B354F6"/>
    <w:rsid w:val="00B35D7D"/>
    <w:rsid w:val="00B36098"/>
    <w:rsid w:val="00B371E7"/>
    <w:rsid w:val="00B3775C"/>
    <w:rsid w:val="00B4007D"/>
    <w:rsid w:val="00B40D29"/>
    <w:rsid w:val="00B423FF"/>
    <w:rsid w:val="00B425DA"/>
    <w:rsid w:val="00B4467D"/>
    <w:rsid w:val="00B468E5"/>
    <w:rsid w:val="00B4705E"/>
    <w:rsid w:val="00B505B3"/>
    <w:rsid w:val="00B5104A"/>
    <w:rsid w:val="00B5275D"/>
    <w:rsid w:val="00B52774"/>
    <w:rsid w:val="00B527B1"/>
    <w:rsid w:val="00B53E5A"/>
    <w:rsid w:val="00B5400C"/>
    <w:rsid w:val="00B55C4D"/>
    <w:rsid w:val="00B60899"/>
    <w:rsid w:val="00B617C5"/>
    <w:rsid w:val="00B61D98"/>
    <w:rsid w:val="00B64BEA"/>
    <w:rsid w:val="00B6749E"/>
    <w:rsid w:val="00B713A3"/>
    <w:rsid w:val="00B7211E"/>
    <w:rsid w:val="00B737A2"/>
    <w:rsid w:val="00B73B31"/>
    <w:rsid w:val="00B7661E"/>
    <w:rsid w:val="00B81630"/>
    <w:rsid w:val="00B81C8B"/>
    <w:rsid w:val="00B823E9"/>
    <w:rsid w:val="00B82F83"/>
    <w:rsid w:val="00B839A9"/>
    <w:rsid w:val="00B841E5"/>
    <w:rsid w:val="00B846EF"/>
    <w:rsid w:val="00B86AE4"/>
    <w:rsid w:val="00B87FF8"/>
    <w:rsid w:val="00B9039E"/>
    <w:rsid w:val="00B90447"/>
    <w:rsid w:val="00B9124C"/>
    <w:rsid w:val="00B91384"/>
    <w:rsid w:val="00B915F9"/>
    <w:rsid w:val="00B917F1"/>
    <w:rsid w:val="00B92422"/>
    <w:rsid w:val="00B936B6"/>
    <w:rsid w:val="00B94105"/>
    <w:rsid w:val="00B97D67"/>
    <w:rsid w:val="00BA0A11"/>
    <w:rsid w:val="00BA0D2E"/>
    <w:rsid w:val="00BA1237"/>
    <w:rsid w:val="00BA152C"/>
    <w:rsid w:val="00BA162A"/>
    <w:rsid w:val="00BA223C"/>
    <w:rsid w:val="00BA3784"/>
    <w:rsid w:val="00BA4965"/>
    <w:rsid w:val="00BA54CA"/>
    <w:rsid w:val="00BA6E2F"/>
    <w:rsid w:val="00BA7439"/>
    <w:rsid w:val="00BA78B5"/>
    <w:rsid w:val="00BA7CFB"/>
    <w:rsid w:val="00BA7FD3"/>
    <w:rsid w:val="00BB0278"/>
    <w:rsid w:val="00BB1876"/>
    <w:rsid w:val="00BB1BCF"/>
    <w:rsid w:val="00BB1F9A"/>
    <w:rsid w:val="00BB22BD"/>
    <w:rsid w:val="00BB2A38"/>
    <w:rsid w:val="00BB3581"/>
    <w:rsid w:val="00BB3892"/>
    <w:rsid w:val="00BB3FD2"/>
    <w:rsid w:val="00BB5677"/>
    <w:rsid w:val="00BB5F89"/>
    <w:rsid w:val="00BB6477"/>
    <w:rsid w:val="00BC26F3"/>
    <w:rsid w:val="00BC32B2"/>
    <w:rsid w:val="00BC47EB"/>
    <w:rsid w:val="00BC5194"/>
    <w:rsid w:val="00BC6104"/>
    <w:rsid w:val="00BC686B"/>
    <w:rsid w:val="00BC717C"/>
    <w:rsid w:val="00BC71C0"/>
    <w:rsid w:val="00BD08F8"/>
    <w:rsid w:val="00BD1CF0"/>
    <w:rsid w:val="00BD49F6"/>
    <w:rsid w:val="00BD5EDF"/>
    <w:rsid w:val="00BD7024"/>
    <w:rsid w:val="00BD70F1"/>
    <w:rsid w:val="00BD7BE0"/>
    <w:rsid w:val="00BE0342"/>
    <w:rsid w:val="00BE03CD"/>
    <w:rsid w:val="00BE0D25"/>
    <w:rsid w:val="00BE2AEC"/>
    <w:rsid w:val="00BE2E26"/>
    <w:rsid w:val="00BE2E60"/>
    <w:rsid w:val="00BE4B2A"/>
    <w:rsid w:val="00BE4C55"/>
    <w:rsid w:val="00BE4F31"/>
    <w:rsid w:val="00BE4FF6"/>
    <w:rsid w:val="00BE542B"/>
    <w:rsid w:val="00BE7923"/>
    <w:rsid w:val="00BF04AB"/>
    <w:rsid w:val="00BF17A9"/>
    <w:rsid w:val="00BF1E1C"/>
    <w:rsid w:val="00BF2876"/>
    <w:rsid w:val="00BF35E5"/>
    <w:rsid w:val="00BF5069"/>
    <w:rsid w:val="00BF54C2"/>
    <w:rsid w:val="00BF6C73"/>
    <w:rsid w:val="00BF76A5"/>
    <w:rsid w:val="00BF76C2"/>
    <w:rsid w:val="00BF7E25"/>
    <w:rsid w:val="00C00461"/>
    <w:rsid w:val="00C01DE1"/>
    <w:rsid w:val="00C01E1B"/>
    <w:rsid w:val="00C02FE3"/>
    <w:rsid w:val="00C0397D"/>
    <w:rsid w:val="00C03AF8"/>
    <w:rsid w:val="00C03BCC"/>
    <w:rsid w:val="00C04E10"/>
    <w:rsid w:val="00C065F3"/>
    <w:rsid w:val="00C0697C"/>
    <w:rsid w:val="00C0769B"/>
    <w:rsid w:val="00C113F5"/>
    <w:rsid w:val="00C13A30"/>
    <w:rsid w:val="00C13DE3"/>
    <w:rsid w:val="00C144FC"/>
    <w:rsid w:val="00C14CC5"/>
    <w:rsid w:val="00C162BE"/>
    <w:rsid w:val="00C171FB"/>
    <w:rsid w:val="00C204DF"/>
    <w:rsid w:val="00C20BEA"/>
    <w:rsid w:val="00C21C6C"/>
    <w:rsid w:val="00C2305B"/>
    <w:rsid w:val="00C23A96"/>
    <w:rsid w:val="00C24143"/>
    <w:rsid w:val="00C24291"/>
    <w:rsid w:val="00C245B4"/>
    <w:rsid w:val="00C247C6"/>
    <w:rsid w:val="00C262AB"/>
    <w:rsid w:val="00C27843"/>
    <w:rsid w:val="00C27892"/>
    <w:rsid w:val="00C3078D"/>
    <w:rsid w:val="00C31949"/>
    <w:rsid w:val="00C32447"/>
    <w:rsid w:val="00C35176"/>
    <w:rsid w:val="00C35CF6"/>
    <w:rsid w:val="00C37CD1"/>
    <w:rsid w:val="00C4028E"/>
    <w:rsid w:val="00C40C6C"/>
    <w:rsid w:val="00C422F1"/>
    <w:rsid w:val="00C42757"/>
    <w:rsid w:val="00C447E3"/>
    <w:rsid w:val="00C44BD5"/>
    <w:rsid w:val="00C4542B"/>
    <w:rsid w:val="00C45FC0"/>
    <w:rsid w:val="00C47B0D"/>
    <w:rsid w:val="00C50BAD"/>
    <w:rsid w:val="00C52DB7"/>
    <w:rsid w:val="00C54269"/>
    <w:rsid w:val="00C54536"/>
    <w:rsid w:val="00C56113"/>
    <w:rsid w:val="00C56272"/>
    <w:rsid w:val="00C56594"/>
    <w:rsid w:val="00C56A23"/>
    <w:rsid w:val="00C62F80"/>
    <w:rsid w:val="00C64341"/>
    <w:rsid w:val="00C6442C"/>
    <w:rsid w:val="00C718AE"/>
    <w:rsid w:val="00C71A1D"/>
    <w:rsid w:val="00C720C3"/>
    <w:rsid w:val="00C74A7E"/>
    <w:rsid w:val="00C76212"/>
    <w:rsid w:val="00C76EF0"/>
    <w:rsid w:val="00C77B56"/>
    <w:rsid w:val="00C77D22"/>
    <w:rsid w:val="00C8047D"/>
    <w:rsid w:val="00C80DAA"/>
    <w:rsid w:val="00C80F56"/>
    <w:rsid w:val="00C8325B"/>
    <w:rsid w:val="00C84527"/>
    <w:rsid w:val="00C84B64"/>
    <w:rsid w:val="00C874AA"/>
    <w:rsid w:val="00C912F4"/>
    <w:rsid w:val="00C91A7F"/>
    <w:rsid w:val="00C91DCC"/>
    <w:rsid w:val="00C922B0"/>
    <w:rsid w:val="00C92CFF"/>
    <w:rsid w:val="00C930C2"/>
    <w:rsid w:val="00C94541"/>
    <w:rsid w:val="00C948D7"/>
    <w:rsid w:val="00C95169"/>
    <w:rsid w:val="00C973CF"/>
    <w:rsid w:val="00C977B1"/>
    <w:rsid w:val="00C97B6A"/>
    <w:rsid w:val="00CA0C3B"/>
    <w:rsid w:val="00CA2C5D"/>
    <w:rsid w:val="00CA2EA0"/>
    <w:rsid w:val="00CA330A"/>
    <w:rsid w:val="00CA3865"/>
    <w:rsid w:val="00CA3C84"/>
    <w:rsid w:val="00CA640D"/>
    <w:rsid w:val="00CA7F6B"/>
    <w:rsid w:val="00CB0082"/>
    <w:rsid w:val="00CB07B6"/>
    <w:rsid w:val="00CB0D55"/>
    <w:rsid w:val="00CB0D6A"/>
    <w:rsid w:val="00CB27DC"/>
    <w:rsid w:val="00CB3377"/>
    <w:rsid w:val="00CB3398"/>
    <w:rsid w:val="00CB3C20"/>
    <w:rsid w:val="00CB6121"/>
    <w:rsid w:val="00CB625D"/>
    <w:rsid w:val="00CB638B"/>
    <w:rsid w:val="00CC12AA"/>
    <w:rsid w:val="00CC1337"/>
    <w:rsid w:val="00CC1FDC"/>
    <w:rsid w:val="00CC30C4"/>
    <w:rsid w:val="00CC3653"/>
    <w:rsid w:val="00CC3B92"/>
    <w:rsid w:val="00CD0996"/>
    <w:rsid w:val="00CD18AA"/>
    <w:rsid w:val="00CD2FEB"/>
    <w:rsid w:val="00CD39AD"/>
    <w:rsid w:val="00CD3A3F"/>
    <w:rsid w:val="00CD4A06"/>
    <w:rsid w:val="00CD4E68"/>
    <w:rsid w:val="00CD574F"/>
    <w:rsid w:val="00CD78E0"/>
    <w:rsid w:val="00CE0013"/>
    <w:rsid w:val="00CE199F"/>
    <w:rsid w:val="00CE3DE3"/>
    <w:rsid w:val="00CE46AE"/>
    <w:rsid w:val="00CE4ED6"/>
    <w:rsid w:val="00CE5D07"/>
    <w:rsid w:val="00CE6292"/>
    <w:rsid w:val="00CE7028"/>
    <w:rsid w:val="00CF03C3"/>
    <w:rsid w:val="00CF04F1"/>
    <w:rsid w:val="00CF07E7"/>
    <w:rsid w:val="00CF14CF"/>
    <w:rsid w:val="00CF21AE"/>
    <w:rsid w:val="00CF7734"/>
    <w:rsid w:val="00D01E23"/>
    <w:rsid w:val="00D024F1"/>
    <w:rsid w:val="00D03D7D"/>
    <w:rsid w:val="00D040CA"/>
    <w:rsid w:val="00D06D65"/>
    <w:rsid w:val="00D07968"/>
    <w:rsid w:val="00D1122D"/>
    <w:rsid w:val="00D12E69"/>
    <w:rsid w:val="00D154E4"/>
    <w:rsid w:val="00D16695"/>
    <w:rsid w:val="00D176DD"/>
    <w:rsid w:val="00D219BC"/>
    <w:rsid w:val="00D22B50"/>
    <w:rsid w:val="00D231CB"/>
    <w:rsid w:val="00D24B2E"/>
    <w:rsid w:val="00D27EAD"/>
    <w:rsid w:val="00D313A8"/>
    <w:rsid w:val="00D36564"/>
    <w:rsid w:val="00D37E19"/>
    <w:rsid w:val="00D41585"/>
    <w:rsid w:val="00D42F22"/>
    <w:rsid w:val="00D437A6"/>
    <w:rsid w:val="00D50907"/>
    <w:rsid w:val="00D50D6F"/>
    <w:rsid w:val="00D51E0E"/>
    <w:rsid w:val="00D52D2C"/>
    <w:rsid w:val="00D532C6"/>
    <w:rsid w:val="00D53D62"/>
    <w:rsid w:val="00D53F86"/>
    <w:rsid w:val="00D54770"/>
    <w:rsid w:val="00D55A37"/>
    <w:rsid w:val="00D55DE1"/>
    <w:rsid w:val="00D570F1"/>
    <w:rsid w:val="00D61721"/>
    <w:rsid w:val="00D65779"/>
    <w:rsid w:val="00D664B7"/>
    <w:rsid w:val="00D71EEE"/>
    <w:rsid w:val="00D73757"/>
    <w:rsid w:val="00D73FD1"/>
    <w:rsid w:val="00D7515F"/>
    <w:rsid w:val="00D76422"/>
    <w:rsid w:val="00D76916"/>
    <w:rsid w:val="00D771D8"/>
    <w:rsid w:val="00D775FE"/>
    <w:rsid w:val="00D81DB1"/>
    <w:rsid w:val="00D83AC9"/>
    <w:rsid w:val="00D83D25"/>
    <w:rsid w:val="00D86156"/>
    <w:rsid w:val="00D86FEF"/>
    <w:rsid w:val="00D87A18"/>
    <w:rsid w:val="00D903AC"/>
    <w:rsid w:val="00D904DD"/>
    <w:rsid w:val="00D90A92"/>
    <w:rsid w:val="00D92132"/>
    <w:rsid w:val="00D9297A"/>
    <w:rsid w:val="00D92B6A"/>
    <w:rsid w:val="00D93D97"/>
    <w:rsid w:val="00D94AE4"/>
    <w:rsid w:val="00D957E3"/>
    <w:rsid w:val="00D96138"/>
    <w:rsid w:val="00D965A1"/>
    <w:rsid w:val="00D9756C"/>
    <w:rsid w:val="00D97A9E"/>
    <w:rsid w:val="00DA30CB"/>
    <w:rsid w:val="00DA33B0"/>
    <w:rsid w:val="00DA52C7"/>
    <w:rsid w:val="00DA6487"/>
    <w:rsid w:val="00DA6D79"/>
    <w:rsid w:val="00DB036D"/>
    <w:rsid w:val="00DB210D"/>
    <w:rsid w:val="00DB305C"/>
    <w:rsid w:val="00DB323E"/>
    <w:rsid w:val="00DB33B5"/>
    <w:rsid w:val="00DB6D86"/>
    <w:rsid w:val="00DB7605"/>
    <w:rsid w:val="00DB7880"/>
    <w:rsid w:val="00DC2FE1"/>
    <w:rsid w:val="00DC3101"/>
    <w:rsid w:val="00DC313A"/>
    <w:rsid w:val="00DC4814"/>
    <w:rsid w:val="00DC537D"/>
    <w:rsid w:val="00DC6738"/>
    <w:rsid w:val="00DC7323"/>
    <w:rsid w:val="00DC7337"/>
    <w:rsid w:val="00DD1CB9"/>
    <w:rsid w:val="00DD2D57"/>
    <w:rsid w:val="00DD4943"/>
    <w:rsid w:val="00DD5329"/>
    <w:rsid w:val="00DD5452"/>
    <w:rsid w:val="00DE06A8"/>
    <w:rsid w:val="00DE0BAD"/>
    <w:rsid w:val="00DE231B"/>
    <w:rsid w:val="00DE236B"/>
    <w:rsid w:val="00DE28F8"/>
    <w:rsid w:val="00DE29D4"/>
    <w:rsid w:val="00DE3B00"/>
    <w:rsid w:val="00DE5306"/>
    <w:rsid w:val="00DE54FD"/>
    <w:rsid w:val="00DE594E"/>
    <w:rsid w:val="00DE59E0"/>
    <w:rsid w:val="00DE6116"/>
    <w:rsid w:val="00DE624B"/>
    <w:rsid w:val="00DE6EFF"/>
    <w:rsid w:val="00DF0227"/>
    <w:rsid w:val="00DF0A8D"/>
    <w:rsid w:val="00DF0C25"/>
    <w:rsid w:val="00DF0D99"/>
    <w:rsid w:val="00DF1D8B"/>
    <w:rsid w:val="00DF1F50"/>
    <w:rsid w:val="00DF2843"/>
    <w:rsid w:val="00DF2C9E"/>
    <w:rsid w:val="00DF3311"/>
    <w:rsid w:val="00DF752C"/>
    <w:rsid w:val="00DF786E"/>
    <w:rsid w:val="00E007FE"/>
    <w:rsid w:val="00E00D32"/>
    <w:rsid w:val="00E02814"/>
    <w:rsid w:val="00E047DF"/>
    <w:rsid w:val="00E047FB"/>
    <w:rsid w:val="00E04D82"/>
    <w:rsid w:val="00E07138"/>
    <w:rsid w:val="00E079CB"/>
    <w:rsid w:val="00E103B5"/>
    <w:rsid w:val="00E10454"/>
    <w:rsid w:val="00E110D1"/>
    <w:rsid w:val="00E11530"/>
    <w:rsid w:val="00E154C2"/>
    <w:rsid w:val="00E15BDF"/>
    <w:rsid w:val="00E2068B"/>
    <w:rsid w:val="00E22B01"/>
    <w:rsid w:val="00E22E35"/>
    <w:rsid w:val="00E22FE9"/>
    <w:rsid w:val="00E25BB3"/>
    <w:rsid w:val="00E25C72"/>
    <w:rsid w:val="00E26125"/>
    <w:rsid w:val="00E267E2"/>
    <w:rsid w:val="00E310D6"/>
    <w:rsid w:val="00E314B7"/>
    <w:rsid w:val="00E315B2"/>
    <w:rsid w:val="00E31CA8"/>
    <w:rsid w:val="00E33552"/>
    <w:rsid w:val="00E34183"/>
    <w:rsid w:val="00E35039"/>
    <w:rsid w:val="00E35747"/>
    <w:rsid w:val="00E36A6D"/>
    <w:rsid w:val="00E371BA"/>
    <w:rsid w:val="00E40A10"/>
    <w:rsid w:val="00E40E5A"/>
    <w:rsid w:val="00E413B4"/>
    <w:rsid w:val="00E414AF"/>
    <w:rsid w:val="00E416E2"/>
    <w:rsid w:val="00E431B3"/>
    <w:rsid w:val="00E43247"/>
    <w:rsid w:val="00E4361B"/>
    <w:rsid w:val="00E44FD3"/>
    <w:rsid w:val="00E4517B"/>
    <w:rsid w:val="00E476D0"/>
    <w:rsid w:val="00E50B29"/>
    <w:rsid w:val="00E50B58"/>
    <w:rsid w:val="00E51A72"/>
    <w:rsid w:val="00E52B09"/>
    <w:rsid w:val="00E53529"/>
    <w:rsid w:val="00E55092"/>
    <w:rsid w:val="00E554A6"/>
    <w:rsid w:val="00E57BD1"/>
    <w:rsid w:val="00E61738"/>
    <w:rsid w:val="00E619A7"/>
    <w:rsid w:val="00E62AE2"/>
    <w:rsid w:val="00E639C0"/>
    <w:rsid w:val="00E63F0D"/>
    <w:rsid w:val="00E645D0"/>
    <w:rsid w:val="00E66F9A"/>
    <w:rsid w:val="00E67956"/>
    <w:rsid w:val="00E67FA2"/>
    <w:rsid w:val="00E70D06"/>
    <w:rsid w:val="00E70E1D"/>
    <w:rsid w:val="00E715A8"/>
    <w:rsid w:val="00E71EDF"/>
    <w:rsid w:val="00E7261D"/>
    <w:rsid w:val="00E761A4"/>
    <w:rsid w:val="00E7756C"/>
    <w:rsid w:val="00E80F5B"/>
    <w:rsid w:val="00E80F77"/>
    <w:rsid w:val="00E81BD5"/>
    <w:rsid w:val="00E865AC"/>
    <w:rsid w:val="00E87FA6"/>
    <w:rsid w:val="00E90C9C"/>
    <w:rsid w:val="00E91873"/>
    <w:rsid w:val="00E93A06"/>
    <w:rsid w:val="00E94414"/>
    <w:rsid w:val="00E94B46"/>
    <w:rsid w:val="00E96C19"/>
    <w:rsid w:val="00E974F7"/>
    <w:rsid w:val="00EA0D87"/>
    <w:rsid w:val="00EA126B"/>
    <w:rsid w:val="00EA1B11"/>
    <w:rsid w:val="00EA1B6B"/>
    <w:rsid w:val="00EA2690"/>
    <w:rsid w:val="00EA2BED"/>
    <w:rsid w:val="00EA3ED0"/>
    <w:rsid w:val="00EA477C"/>
    <w:rsid w:val="00EA4E4F"/>
    <w:rsid w:val="00EA51A8"/>
    <w:rsid w:val="00EA6A5C"/>
    <w:rsid w:val="00EA6DFA"/>
    <w:rsid w:val="00EA7124"/>
    <w:rsid w:val="00EB3253"/>
    <w:rsid w:val="00EC09F1"/>
    <w:rsid w:val="00EC282E"/>
    <w:rsid w:val="00EC34CC"/>
    <w:rsid w:val="00EC56E7"/>
    <w:rsid w:val="00EC6E83"/>
    <w:rsid w:val="00EC713E"/>
    <w:rsid w:val="00EC74C0"/>
    <w:rsid w:val="00ED058B"/>
    <w:rsid w:val="00ED0A58"/>
    <w:rsid w:val="00ED1171"/>
    <w:rsid w:val="00ED1A31"/>
    <w:rsid w:val="00ED1E82"/>
    <w:rsid w:val="00ED25D2"/>
    <w:rsid w:val="00ED27DE"/>
    <w:rsid w:val="00ED3B6D"/>
    <w:rsid w:val="00ED5EA2"/>
    <w:rsid w:val="00ED6988"/>
    <w:rsid w:val="00ED6A84"/>
    <w:rsid w:val="00EE12D8"/>
    <w:rsid w:val="00EE1EE7"/>
    <w:rsid w:val="00EE2DB0"/>
    <w:rsid w:val="00EE352E"/>
    <w:rsid w:val="00EE3C09"/>
    <w:rsid w:val="00EE4291"/>
    <w:rsid w:val="00EE463D"/>
    <w:rsid w:val="00EE5D78"/>
    <w:rsid w:val="00EE60CA"/>
    <w:rsid w:val="00EE61D1"/>
    <w:rsid w:val="00EE6427"/>
    <w:rsid w:val="00EE6A3F"/>
    <w:rsid w:val="00EF0A1E"/>
    <w:rsid w:val="00EF0BD2"/>
    <w:rsid w:val="00EF1173"/>
    <w:rsid w:val="00EF1BCE"/>
    <w:rsid w:val="00EF3466"/>
    <w:rsid w:val="00EF39D6"/>
    <w:rsid w:val="00EF4E2E"/>
    <w:rsid w:val="00EF54DA"/>
    <w:rsid w:val="00EF5874"/>
    <w:rsid w:val="00EF5A9F"/>
    <w:rsid w:val="00EF6A1F"/>
    <w:rsid w:val="00EF7543"/>
    <w:rsid w:val="00EF790F"/>
    <w:rsid w:val="00EF792D"/>
    <w:rsid w:val="00EF7A40"/>
    <w:rsid w:val="00F00E01"/>
    <w:rsid w:val="00F0158C"/>
    <w:rsid w:val="00F02051"/>
    <w:rsid w:val="00F02FD3"/>
    <w:rsid w:val="00F037FA"/>
    <w:rsid w:val="00F0438E"/>
    <w:rsid w:val="00F05997"/>
    <w:rsid w:val="00F05FE8"/>
    <w:rsid w:val="00F061CB"/>
    <w:rsid w:val="00F0660B"/>
    <w:rsid w:val="00F06CB4"/>
    <w:rsid w:val="00F07ACE"/>
    <w:rsid w:val="00F10464"/>
    <w:rsid w:val="00F11268"/>
    <w:rsid w:val="00F1189F"/>
    <w:rsid w:val="00F1287F"/>
    <w:rsid w:val="00F128A3"/>
    <w:rsid w:val="00F141E5"/>
    <w:rsid w:val="00F14941"/>
    <w:rsid w:val="00F14EF5"/>
    <w:rsid w:val="00F1725F"/>
    <w:rsid w:val="00F209A9"/>
    <w:rsid w:val="00F20F89"/>
    <w:rsid w:val="00F22847"/>
    <w:rsid w:val="00F232A9"/>
    <w:rsid w:val="00F2332C"/>
    <w:rsid w:val="00F24563"/>
    <w:rsid w:val="00F257EC"/>
    <w:rsid w:val="00F26C06"/>
    <w:rsid w:val="00F27DEA"/>
    <w:rsid w:val="00F30468"/>
    <w:rsid w:val="00F30953"/>
    <w:rsid w:val="00F313A8"/>
    <w:rsid w:val="00F32134"/>
    <w:rsid w:val="00F32723"/>
    <w:rsid w:val="00F32979"/>
    <w:rsid w:val="00F32DD0"/>
    <w:rsid w:val="00F33466"/>
    <w:rsid w:val="00F37643"/>
    <w:rsid w:val="00F3788C"/>
    <w:rsid w:val="00F413E6"/>
    <w:rsid w:val="00F414D2"/>
    <w:rsid w:val="00F41693"/>
    <w:rsid w:val="00F418EB"/>
    <w:rsid w:val="00F41EAB"/>
    <w:rsid w:val="00F41F19"/>
    <w:rsid w:val="00F4239E"/>
    <w:rsid w:val="00F42405"/>
    <w:rsid w:val="00F42C2A"/>
    <w:rsid w:val="00F42C73"/>
    <w:rsid w:val="00F43537"/>
    <w:rsid w:val="00F44E37"/>
    <w:rsid w:val="00F45D5A"/>
    <w:rsid w:val="00F46341"/>
    <w:rsid w:val="00F4794F"/>
    <w:rsid w:val="00F533C7"/>
    <w:rsid w:val="00F533F8"/>
    <w:rsid w:val="00F54B12"/>
    <w:rsid w:val="00F57436"/>
    <w:rsid w:val="00F57A58"/>
    <w:rsid w:val="00F60753"/>
    <w:rsid w:val="00F612C1"/>
    <w:rsid w:val="00F61458"/>
    <w:rsid w:val="00F62989"/>
    <w:rsid w:val="00F635DF"/>
    <w:rsid w:val="00F644CD"/>
    <w:rsid w:val="00F64DED"/>
    <w:rsid w:val="00F65B74"/>
    <w:rsid w:val="00F65E28"/>
    <w:rsid w:val="00F7074B"/>
    <w:rsid w:val="00F70970"/>
    <w:rsid w:val="00F7153F"/>
    <w:rsid w:val="00F71AFE"/>
    <w:rsid w:val="00F72C03"/>
    <w:rsid w:val="00F73023"/>
    <w:rsid w:val="00F748DA"/>
    <w:rsid w:val="00F74CCA"/>
    <w:rsid w:val="00F74CCC"/>
    <w:rsid w:val="00F777A1"/>
    <w:rsid w:val="00F81772"/>
    <w:rsid w:val="00F8208A"/>
    <w:rsid w:val="00F83107"/>
    <w:rsid w:val="00F843E0"/>
    <w:rsid w:val="00F858EC"/>
    <w:rsid w:val="00F86C85"/>
    <w:rsid w:val="00F86F60"/>
    <w:rsid w:val="00F90A1C"/>
    <w:rsid w:val="00F9160D"/>
    <w:rsid w:val="00F9190B"/>
    <w:rsid w:val="00F919EE"/>
    <w:rsid w:val="00F93B5C"/>
    <w:rsid w:val="00F943B5"/>
    <w:rsid w:val="00F95BCE"/>
    <w:rsid w:val="00F96CAF"/>
    <w:rsid w:val="00F976A3"/>
    <w:rsid w:val="00FA0B2F"/>
    <w:rsid w:val="00FA165F"/>
    <w:rsid w:val="00FA190C"/>
    <w:rsid w:val="00FA27AE"/>
    <w:rsid w:val="00FA38A8"/>
    <w:rsid w:val="00FA41D3"/>
    <w:rsid w:val="00FA4BC0"/>
    <w:rsid w:val="00FA50F5"/>
    <w:rsid w:val="00FA51C2"/>
    <w:rsid w:val="00FA52C7"/>
    <w:rsid w:val="00FA54CF"/>
    <w:rsid w:val="00FA59D0"/>
    <w:rsid w:val="00FA6857"/>
    <w:rsid w:val="00FA6BF1"/>
    <w:rsid w:val="00FA7A18"/>
    <w:rsid w:val="00FB00B6"/>
    <w:rsid w:val="00FB03FA"/>
    <w:rsid w:val="00FB0600"/>
    <w:rsid w:val="00FB1010"/>
    <w:rsid w:val="00FB1FD3"/>
    <w:rsid w:val="00FB337A"/>
    <w:rsid w:val="00FB34AC"/>
    <w:rsid w:val="00FB3AD1"/>
    <w:rsid w:val="00FB3F92"/>
    <w:rsid w:val="00FB47B7"/>
    <w:rsid w:val="00FB5617"/>
    <w:rsid w:val="00FB56ED"/>
    <w:rsid w:val="00FB7A4C"/>
    <w:rsid w:val="00FC078D"/>
    <w:rsid w:val="00FC181D"/>
    <w:rsid w:val="00FC3360"/>
    <w:rsid w:val="00FC491D"/>
    <w:rsid w:val="00FC4AF9"/>
    <w:rsid w:val="00FC578E"/>
    <w:rsid w:val="00FD053E"/>
    <w:rsid w:val="00FD0B3C"/>
    <w:rsid w:val="00FD1DE8"/>
    <w:rsid w:val="00FD21AF"/>
    <w:rsid w:val="00FD21D1"/>
    <w:rsid w:val="00FD23B9"/>
    <w:rsid w:val="00FD284C"/>
    <w:rsid w:val="00FD2EAC"/>
    <w:rsid w:val="00FD3044"/>
    <w:rsid w:val="00FD38C5"/>
    <w:rsid w:val="00FD5A53"/>
    <w:rsid w:val="00FD609A"/>
    <w:rsid w:val="00FD63A1"/>
    <w:rsid w:val="00FD75E9"/>
    <w:rsid w:val="00FD7CE0"/>
    <w:rsid w:val="00FE2CED"/>
    <w:rsid w:val="00FE30BB"/>
    <w:rsid w:val="00FE3C6C"/>
    <w:rsid w:val="00FE4567"/>
    <w:rsid w:val="00FE4A7B"/>
    <w:rsid w:val="00FE4DB3"/>
    <w:rsid w:val="00FE5E11"/>
    <w:rsid w:val="00FE69CE"/>
    <w:rsid w:val="00FE6FB6"/>
    <w:rsid w:val="00FF1A2D"/>
    <w:rsid w:val="00FF24B2"/>
    <w:rsid w:val="00FF3E9F"/>
    <w:rsid w:val="00FF4419"/>
    <w:rsid w:val="00FF5111"/>
    <w:rsid w:val="00FF6417"/>
    <w:rsid w:val="00FF70D5"/>
    <w:rsid w:val="00FF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65"/>
    <w:rPr>
      <w:sz w:val="24"/>
      <w:szCs w:val="24"/>
    </w:rPr>
  </w:style>
  <w:style w:type="paragraph" w:styleId="Heading1">
    <w:name w:val="heading 1"/>
    <w:basedOn w:val="Normal"/>
    <w:next w:val="Normal"/>
    <w:link w:val="Heading1Char"/>
    <w:uiPriority w:val="9"/>
    <w:qFormat/>
    <w:rsid w:val="003B10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10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10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10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10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10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1065"/>
    <w:pPr>
      <w:spacing w:before="240" w:after="60"/>
      <w:outlineLvl w:val="6"/>
    </w:pPr>
  </w:style>
  <w:style w:type="paragraph" w:styleId="Heading8">
    <w:name w:val="heading 8"/>
    <w:basedOn w:val="Normal"/>
    <w:next w:val="Normal"/>
    <w:link w:val="Heading8Char"/>
    <w:uiPriority w:val="9"/>
    <w:semiHidden/>
    <w:unhideWhenUsed/>
    <w:qFormat/>
    <w:rsid w:val="003B1065"/>
    <w:pPr>
      <w:spacing w:before="240" w:after="60"/>
      <w:outlineLvl w:val="7"/>
    </w:pPr>
    <w:rPr>
      <w:i/>
      <w:iCs/>
    </w:rPr>
  </w:style>
  <w:style w:type="paragraph" w:styleId="Heading9">
    <w:name w:val="heading 9"/>
    <w:basedOn w:val="Normal"/>
    <w:next w:val="Normal"/>
    <w:link w:val="Heading9Char"/>
    <w:uiPriority w:val="9"/>
    <w:semiHidden/>
    <w:unhideWhenUsed/>
    <w:qFormat/>
    <w:rsid w:val="003B10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10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10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1065"/>
    <w:rPr>
      <w:b/>
      <w:bCs/>
      <w:sz w:val="28"/>
      <w:szCs w:val="28"/>
    </w:rPr>
  </w:style>
  <w:style w:type="character" w:customStyle="1" w:styleId="Heading5Char">
    <w:name w:val="Heading 5 Char"/>
    <w:basedOn w:val="DefaultParagraphFont"/>
    <w:link w:val="Heading5"/>
    <w:uiPriority w:val="9"/>
    <w:semiHidden/>
    <w:rsid w:val="003B1065"/>
    <w:rPr>
      <w:b/>
      <w:bCs/>
      <w:i/>
      <w:iCs/>
      <w:sz w:val="26"/>
      <w:szCs w:val="26"/>
    </w:rPr>
  </w:style>
  <w:style w:type="character" w:customStyle="1" w:styleId="Heading6Char">
    <w:name w:val="Heading 6 Char"/>
    <w:basedOn w:val="DefaultParagraphFont"/>
    <w:link w:val="Heading6"/>
    <w:uiPriority w:val="9"/>
    <w:semiHidden/>
    <w:rsid w:val="003B1065"/>
    <w:rPr>
      <w:b/>
      <w:bCs/>
    </w:rPr>
  </w:style>
  <w:style w:type="character" w:customStyle="1" w:styleId="Heading7Char">
    <w:name w:val="Heading 7 Char"/>
    <w:basedOn w:val="DefaultParagraphFont"/>
    <w:link w:val="Heading7"/>
    <w:uiPriority w:val="9"/>
    <w:semiHidden/>
    <w:rsid w:val="003B1065"/>
    <w:rPr>
      <w:sz w:val="24"/>
      <w:szCs w:val="24"/>
    </w:rPr>
  </w:style>
  <w:style w:type="character" w:customStyle="1" w:styleId="Heading8Char">
    <w:name w:val="Heading 8 Char"/>
    <w:basedOn w:val="DefaultParagraphFont"/>
    <w:link w:val="Heading8"/>
    <w:uiPriority w:val="9"/>
    <w:semiHidden/>
    <w:rsid w:val="003B1065"/>
    <w:rPr>
      <w:i/>
      <w:iCs/>
      <w:sz w:val="24"/>
      <w:szCs w:val="24"/>
    </w:rPr>
  </w:style>
  <w:style w:type="character" w:customStyle="1" w:styleId="Heading9Char">
    <w:name w:val="Heading 9 Char"/>
    <w:basedOn w:val="DefaultParagraphFont"/>
    <w:link w:val="Heading9"/>
    <w:uiPriority w:val="9"/>
    <w:semiHidden/>
    <w:rsid w:val="003B1065"/>
    <w:rPr>
      <w:rFonts w:asciiTheme="majorHAnsi" w:eastAsiaTheme="majorEastAsia" w:hAnsiTheme="majorHAnsi"/>
    </w:rPr>
  </w:style>
  <w:style w:type="paragraph" w:styleId="Title">
    <w:name w:val="Title"/>
    <w:basedOn w:val="Normal"/>
    <w:next w:val="Normal"/>
    <w:link w:val="TitleChar"/>
    <w:uiPriority w:val="10"/>
    <w:qFormat/>
    <w:rsid w:val="003B10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10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10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1065"/>
    <w:rPr>
      <w:rFonts w:asciiTheme="majorHAnsi" w:eastAsiaTheme="majorEastAsia" w:hAnsiTheme="majorHAnsi"/>
      <w:sz w:val="24"/>
      <w:szCs w:val="24"/>
    </w:rPr>
  </w:style>
  <w:style w:type="character" w:styleId="Strong">
    <w:name w:val="Strong"/>
    <w:basedOn w:val="DefaultParagraphFont"/>
    <w:uiPriority w:val="22"/>
    <w:qFormat/>
    <w:rsid w:val="003B1065"/>
    <w:rPr>
      <w:b/>
      <w:bCs/>
    </w:rPr>
  </w:style>
  <w:style w:type="character" w:styleId="Emphasis">
    <w:name w:val="Emphasis"/>
    <w:basedOn w:val="DefaultParagraphFont"/>
    <w:uiPriority w:val="20"/>
    <w:qFormat/>
    <w:rsid w:val="003B1065"/>
    <w:rPr>
      <w:rFonts w:asciiTheme="minorHAnsi" w:hAnsiTheme="minorHAnsi"/>
      <w:b/>
      <w:i/>
      <w:iCs/>
    </w:rPr>
  </w:style>
  <w:style w:type="paragraph" w:styleId="NoSpacing">
    <w:name w:val="No Spacing"/>
    <w:basedOn w:val="Normal"/>
    <w:uiPriority w:val="1"/>
    <w:qFormat/>
    <w:rsid w:val="003B1065"/>
    <w:rPr>
      <w:szCs w:val="32"/>
    </w:rPr>
  </w:style>
  <w:style w:type="paragraph" w:styleId="ListParagraph">
    <w:name w:val="List Paragraph"/>
    <w:basedOn w:val="Normal"/>
    <w:uiPriority w:val="34"/>
    <w:qFormat/>
    <w:rsid w:val="003B1065"/>
    <w:pPr>
      <w:ind w:left="720"/>
      <w:contextualSpacing/>
    </w:pPr>
  </w:style>
  <w:style w:type="paragraph" w:styleId="Quote">
    <w:name w:val="Quote"/>
    <w:basedOn w:val="Normal"/>
    <w:next w:val="Normal"/>
    <w:link w:val="QuoteChar"/>
    <w:uiPriority w:val="29"/>
    <w:qFormat/>
    <w:rsid w:val="003B1065"/>
    <w:rPr>
      <w:i/>
    </w:rPr>
  </w:style>
  <w:style w:type="character" w:customStyle="1" w:styleId="QuoteChar">
    <w:name w:val="Quote Char"/>
    <w:basedOn w:val="DefaultParagraphFont"/>
    <w:link w:val="Quote"/>
    <w:uiPriority w:val="29"/>
    <w:rsid w:val="003B1065"/>
    <w:rPr>
      <w:i/>
      <w:sz w:val="24"/>
      <w:szCs w:val="24"/>
    </w:rPr>
  </w:style>
  <w:style w:type="paragraph" w:styleId="IntenseQuote">
    <w:name w:val="Intense Quote"/>
    <w:basedOn w:val="Normal"/>
    <w:next w:val="Normal"/>
    <w:link w:val="IntenseQuoteChar"/>
    <w:uiPriority w:val="30"/>
    <w:qFormat/>
    <w:rsid w:val="003B1065"/>
    <w:pPr>
      <w:ind w:left="720" w:right="720"/>
    </w:pPr>
    <w:rPr>
      <w:b/>
      <w:i/>
      <w:szCs w:val="22"/>
    </w:rPr>
  </w:style>
  <w:style w:type="character" w:customStyle="1" w:styleId="IntenseQuoteChar">
    <w:name w:val="Intense Quote Char"/>
    <w:basedOn w:val="DefaultParagraphFont"/>
    <w:link w:val="IntenseQuote"/>
    <w:uiPriority w:val="30"/>
    <w:rsid w:val="003B1065"/>
    <w:rPr>
      <w:b/>
      <w:i/>
      <w:sz w:val="24"/>
    </w:rPr>
  </w:style>
  <w:style w:type="character" w:styleId="SubtleEmphasis">
    <w:name w:val="Subtle Emphasis"/>
    <w:uiPriority w:val="19"/>
    <w:qFormat/>
    <w:rsid w:val="003B1065"/>
    <w:rPr>
      <w:i/>
      <w:color w:val="5A5A5A" w:themeColor="text1" w:themeTint="A5"/>
    </w:rPr>
  </w:style>
  <w:style w:type="character" w:styleId="IntenseEmphasis">
    <w:name w:val="Intense Emphasis"/>
    <w:basedOn w:val="DefaultParagraphFont"/>
    <w:uiPriority w:val="21"/>
    <w:qFormat/>
    <w:rsid w:val="003B1065"/>
    <w:rPr>
      <w:b/>
      <w:i/>
      <w:sz w:val="24"/>
      <w:szCs w:val="24"/>
      <w:u w:val="single"/>
    </w:rPr>
  </w:style>
  <w:style w:type="character" w:styleId="SubtleReference">
    <w:name w:val="Subtle Reference"/>
    <w:basedOn w:val="DefaultParagraphFont"/>
    <w:uiPriority w:val="31"/>
    <w:qFormat/>
    <w:rsid w:val="003B1065"/>
    <w:rPr>
      <w:sz w:val="24"/>
      <w:szCs w:val="24"/>
      <w:u w:val="single"/>
    </w:rPr>
  </w:style>
  <w:style w:type="character" w:styleId="IntenseReference">
    <w:name w:val="Intense Reference"/>
    <w:basedOn w:val="DefaultParagraphFont"/>
    <w:uiPriority w:val="32"/>
    <w:qFormat/>
    <w:rsid w:val="003B1065"/>
    <w:rPr>
      <w:b/>
      <w:sz w:val="24"/>
      <w:u w:val="single"/>
    </w:rPr>
  </w:style>
  <w:style w:type="character" w:styleId="BookTitle">
    <w:name w:val="Book Title"/>
    <w:basedOn w:val="DefaultParagraphFont"/>
    <w:uiPriority w:val="33"/>
    <w:qFormat/>
    <w:rsid w:val="003B10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1065"/>
    <w:pPr>
      <w:outlineLvl w:val="9"/>
    </w:pPr>
  </w:style>
  <w:style w:type="paragraph" w:styleId="Header">
    <w:name w:val="header"/>
    <w:basedOn w:val="Normal"/>
    <w:link w:val="HeaderChar"/>
    <w:uiPriority w:val="99"/>
    <w:unhideWhenUsed/>
    <w:rsid w:val="004B40A2"/>
    <w:pPr>
      <w:tabs>
        <w:tab w:val="center" w:pos="4513"/>
        <w:tab w:val="right" w:pos="9026"/>
      </w:tabs>
    </w:pPr>
  </w:style>
  <w:style w:type="character" w:customStyle="1" w:styleId="HeaderChar">
    <w:name w:val="Header Char"/>
    <w:basedOn w:val="DefaultParagraphFont"/>
    <w:link w:val="Header"/>
    <w:uiPriority w:val="99"/>
    <w:rsid w:val="004B40A2"/>
    <w:rPr>
      <w:sz w:val="24"/>
      <w:szCs w:val="24"/>
    </w:rPr>
  </w:style>
  <w:style w:type="paragraph" w:styleId="Footer">
    <w:name w:val="footer"/>
    <w:basedOn w:val="Normal"/>
    <w:link w:val="FooterChar"/>
    <w:uiPriority w:val="99"/>
    <w:unhideWhenUsed/>
    <w:rsid w:val="004B40A2"/>
    <w:pPr>
      <w:tabs>
        <w:tab w:val="center" w:pos="4513"/>
        <w:tab w:val="right" w:pos="9026"/>
      </w:tabs>
    </w:pPr>
  </w:style>
  <w:style w:type="character" w:customStyle="1" w:styleId="FooterChar">
    <w:name w:val="Footer Char"/>
    <w:basedOn w:val="DefaultParagraphFont"/>
    <w:link w:val="Footer"/>
    <w:uiPriority w:val="99"/>
    <w:rsid w:val="004B40A2"/>
    <w:rPr>
      <w:sz w:val="24"/>
      <w:szCs w:val="24"/>
    </w:rPr>
  </w:style>
  <w:style w:type="paragraph" w:styleId="FootnoteText">
    <w:name w:val="footnote text"/>
    <w:basedOn w:val="Normal"/>
    <w:link w:val="FootnoteTextChar"/>
    <w:uiPriority w:val="99"/>
    <w:unhideWhenUsed/>
    <w:rsid w:val="006B49B0"/>
    <w:rPr>
      <w:sz w:val="20"/>
      <w:szCs w:val="20"/>
    </w:rPr>
  </w:style>
  <w:style w:type="character" w:customStyle="1" w:styleId="FootnoteTextChar">
    <w:name w:val="Footnote Text Char"/>
    <w:basedOn w:val="DefaultParagraphFont"/>
    <w:link w:val="FootnoteText"/>
    <w:uiPriority w:val="99"/>
    <w:rsid w:val="006B49B0"/>
    <w:rPr>
      <w:sz w:val="20"/>
      <w:szCs w:val="20"/>
    </w:rPr>
  </w:style>
  <w:style w:type="character" w:styleId="FootnoteReference">
    <w:name w:val="footnote reference"/>
    <w:basedOn w:val="DefaultParagraphFont"/>
    <w:uiPriority w:val="99"/>
    <w:unhideWhenUsed/>
    <w:rsid w:val="006B49B0"/>
    <w:rPr>
      <w:vertAlign w:val="superscript"/>
    </w:rPr>
  </w:style>
  <w:style w:type="character" w:styleId="Hyperlink">
    <w:name w:val="Hyperlink"/>
    <w:basedOn w:val="DefaultParagraphFont"/>
    <w:uiPriority w:val="99"/>
    <w:unhideWhenUsed/>
    <w:rsid w:val="00C56A23"/>
    <w:rPr>
      <w:color w:val="0000FF" w:themeColor="hyperlink"/>
      <w:u w:val="single"/>
    </w:rPr>
  </w:style>
  <w:style w:type="paragraph" w:styleId="EndnoteText">
    <w:name w:val="endnote text"/>
    <w:basedOn w:val="Normal"/>
    <w:link w:val="EndnoteTextChar"/>
    <w:uiPriority w:val="99"/>
    <w:semiHidden/>
    <w:unhideWhenUsed/>
    <w:rsid w:val="003C2B55"/>
    <w:rPr>
      <w:sz w:val="20"/>
      <w:szCs w:val="20"/>
    </w:rPr>
  </w:style>
  <w:style w:type="character" w:customStyle="1" w:styleId="EndnoteTextChar">
    <w:name w:val="Endnote Text Char"/>
    <w:basedOn w:val="DefaultParagraphFont"/>
    <w:link w:val="EndnoteText"/>
    <w:uiPriority w:val="99"/>
    <w:semiHidden/>
    <w:rsid w:val="003C2B55"/>
    <w:rPr>
      <w:sz w:val="20"/>
      <w:szCs w:val="20"/>
    </w:rPr>
  </w:style>
  <w:style w:type="character" w:styleId="EndnoteReference">
    <w:name w:val="endnote reference"/>
    <w:basedOn w:val="DefaultParagraphFont"/>
    <w:uiPriority w:val="99"/>
    <w:semiHidden/>
    <w:unhideWhenUsed/>
    <w:rsid w:val="003C2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65"/>
    <w:rPr>
      <w:sz w:val="24"/>
      <w:szCs w:val="24"/>
    </w:rPr>
  </w:style>
  <w:style w:type="paragraph" w:styleId="Heading1">
    <w:name w:val="heading 1"/>
    <w:basedOn w:val="Normal"/>
    <w:next w:val="Normal"/>
    <w:link w:val="Heading1Char"/>
    <w:uiPriority w:val="9"/>
    <w:qFormat/>
    <w:rsid w:val="003B10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10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10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10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10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10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1065"/>
    <w:pPr>
      <w:spacing w:before="240" w:after="60"/>
      <w:outlineLvl w:val="6"/>
    </w:pPr>
  </w:style>
  <w:style w:type="paragraph" w:styleId="Heading8">
    <w:name w:val="heading 8"/>
    <w:basedOn w:val="Normal"/>
    <w:next w:val="Normal"/>
    <w:link w:val="Heading8Char"/>
    <w:uiPriority w:val="9"/>
    <w:semiHidden/>
    <w:unhideWhenUsed/>
    <w:qFormat/>
    <w:rsid w:val="003B1065"/>
    <w:pPr>
      <w:spacing w:before="240" w:after="60"/>
      <w:outlineLvl w:val="7"/>
    </w:pPr>
    <w:rPr>
      <w:i/>
      <w:iCs/>
    </w:rPr>
  </w:style>
  <w:style w:type="paragraph" w:styleId="Heading9">
    <w:name w:val="heading 9"/>
    <w:basedOn w:val="Normal"/>
    <w:next w:val="Normal"/>
    <w:link w:val="Heading9Char"/>
    <w:uiPriority w:val="9"/>
    <w:semiHidden/>
    <w:unhideWhenUsed/>
    <w:qFormat/>
    <w:rsid w:val="003B10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10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10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1065"/>
    <w:rPr>
      <w:b/>
      <w:bCs/>
      <w:sz w:val="28"/>
      <w:szCs w:val="28"/>
    </w:rPr>
  </w:style>
  <w:style w:type="character" w:customStyle="1" w:styleId="Heading5Char">
    <w:name w:val="Heading 5 Char"/>
    <w:basedOn w:val="DefaultParagraphFont"/>
    <w:link w:val="Heading5"/>
    <w:uiPriority w:val="9"/>
    <w:semiHidden/>
    <w:rsid w:val="003B1065"/>
    <w:rPr>
      <w:b/>
      <w:bCs/>
      <w:i/>
      <w:iCs/>
      <w:sz w:val="26"/>
      <w:szCs w:val="26"/>
    </w:rPr>
  </w:style>
  <w:style w:type="character" w:customStyle="1" w:styleId="Heading6Char">
    <w:name w:val="Heading 6 Char"/>
    <w:basedOn w:val="DefaultParagraphFont"/>
    <w:link w:val="Heading6"/>
    <w:uiPriority w:val="9"/>
    <w:semiHidden/>
    <w:rsid w:val="003B1065"/>
    <w:rPr>
      <w:b/>
      <w:bCs/>
    </w:rPr>
  </w:style>
  <w:style w:type="character" w:customStyle="1" w:styleId="Heading7Char">
    <w:name w:val="Heading 7 Char"/>
    <w:basedOn w:val="DefaultParagraphFont"/>
    <w:link w:val="Heading7"/>
    <w:uiPriority w:val="9"/>
    <w:semiHidden/>
    <w:rsid w:val="003B1065"/>
    <w:rPr>
      <w:sz w:val="24"/>
      <w:szCs w:val="24"/>
    </w:rPr>
  </w:style>
  <w:style w:type="character" w:customStyle="1" w:styleId="Heading8Char">
    <w:name w:val="Heading 8 Char"/>
    <w:basedOn w:val="DefaultParagraphFont"/>
    <w:link w:val="Heading8"/>
    <w:uiPriority w:val="9"/>
    <w:semiHidden/>
    <w:rsid w:val="003B1065"/>
    <w:rPr>
      <w:i/>
      <w:iCs/>
      <w:sz w:val="24"/>
      <w:szCs w:val="24"/>
    </w:rPr>
  </w:style>
  <w:style w:type="character" w:customStyle="1" w:styleId="Heading9Char">
    <w:name w:val="Heading 9 Char"/>
    <w:basedOn w:val="DefaultParagraphFont"/>
    <w:link w:val="Heading9"/>
    <w:uiPriority w:val="9"/>
    <w:semiHidden/>
    <w:rsid w:val="003B1065"/>
    <w:rPr>
      <w:rFonts w:asciiTheme="majorHAnsi" w:eastAsiaTheme="majorEastAsia" w:hAnsiTheme="majorHAnsi"/>
    </w:rPr>
  </w:style>
  <w:style w:type="paragraph" w:styleId="Title">
    <w:name w:val="Title"/>
    <w:basedOn w:val="Normal"/>
    <w:next w:val="Normal"/>
    <w:link w:val="TitleChar"/>
    <w:uiPriority w:val="10"/>
    <w:qFormat/>
    <w:rsid w:val="003B10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10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10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1065"/>
    <w:rPr>
      <w:rFonts w:asciiTheme="majorHAnsi" w:eastAsiaTheme="majorEastAsia" w:hAnsiTheme="majorHAnsi"/>
      <w:sz w:val="24"/>
      <w:szCs w:val="24"/>
    </w:rPr>
  </w:style>
  <w:style w:type="character" w:styleId="Strong">
    <w:name w:val="Strong"/>
    <w:basedOn w:val="DefaultParagraphFont"/>
    <w:uiPriority w:val="22"/>
    <w:qFormat/>
    <w:rsid w:val="003B1065"/>
    <w:rPr>
      <w:b/>
      <w:bCs/>
    </w:rPr>
  </w:style>
  <w:style w:type="character" w:styleId="Emphasis">
    <w:name w:val="Emphasis"/>
    <w:basedOn w:val="DefaultParagraphFont"/>
    <w:uiPriority w:val="20"/>
    <w:qFormat/>
    <w:rsid w:val="003B1065"/>
    <w:rPr>
      <w:rFonts w:asciiTheme="minorHAnsi" w:hAnsiTheme="minorHAnsi"/>
      <w:b/>
      <w:i/>
      <w:iCs/>
    </w:rPr>
  </w:style>
  <w:style w:type="paragraph" w:styleId="NoSpacing">
    <w:name w:val="No Spacing"/>
    <w:basedOn w:val="Normal"/>
    <w:uiPriority w:val="1"/>
    <w:qFormat/>
    <w:rsid w:val="003B1065"/>
    <w:rPr>
      <w:szCs w:val="32"/>
    </w:rPr>
  </w:style>
  <w:style w:type="paragraph" w:styleId="ListParagraph">
    <w:name w:val="List Paragraph"/>
    <w:basedOn w:val="Normal"/>
    <w:uiPriority w:val="34"/>
    <w:qFormat/>
    <w:rsid w:val="003B1065"/>
    <w:pPr>
      <w:ind w:left="720"/>
      <w:contextualSpacing/>
    </w:pPr>
  </w:style>
  <w:style w:type="paragraph" w:styleId="Quote">
    <w:name w:val="Quote"/>
    <w:basedOn w:val="Normal"/>
    <w:next w:val="Normal"/>
    <w:link w:val="QuoteChar"/>
    <w:uiPriority w:val="29"/>
    <w:qFormat/>
    <w:rsid w:val="003B1065"/>
    <w:rPr>
      <w:i/>
    </w:rPr>
  </w:style>
  <w:style w:type="character" w:customStyle="1" w:styleId="QuoteChar">
    <w:name w:val="Quote Char"/>
    <w:basedOn w:val="DefaultParagraphFont"/>
    <w:link w:val="Quote"/>
    <w:uiPriority w:val="29"/>
    <w:rsid w:val="003B1065"/>
    <w:rPr>
      <w:i/>
      <w:sz w:val="24"/>
      <w:szCs w:val="24"/>
    </w:rPr>
  </w:style>
  <w:style w:type="paragraph" w:styleId="IntenseQuote">
    <w:name w:val="Intense Quote"/>
    <w:basedOn w:val="Normal"/>
    <w:next w:val="Normal"/>
    <w:link w:val="IntenseQuoteChar"/>
    <w:uiPriority w:val="30"/>
    <w:qFormat/>
    <w:rsid w:val="003B1065"/>
    <w:pPr>
      <w:ind w:left="720" w:right="720"/>
    </w:pPr>
    <w:rPr>
      <w:b/>
      <w:i/>
      <w:szCs w:val="22"/>
    </w:rPr>
  </w:style>
  <w:style w:type="character" w:customStyle="1" w:styleId="IntenseQuoteChar">
    <w:name w:val="Intense Quote Char"/>
    <w:basedOn w:val="DefaultParagraphFont"/>
    <w:link w:val="IntenseQuote"/>
    <w:uiPriority w:val="30"/>
    <w:rsid w:val="003B1065"/>
    <w:rPr>
      <w:b/>
      <w:i/>
      <w:sz w:val="24"/>
    </w:rPr>
  </w:style>
  <w:style w:type="character" w:styleId="SubtleEmphasis">
    <w:name w:val="Subtle Emphasis"/>
    <w:uiPriority w:val="19"/>
    <w:qFormat/>
    <w:rsid w:val="003B1065"/>
    <w:rPr>
      <w:i/>
      <w:color w:val="5A5A5A" w:themeColor="text1" w:themeTint="A5"/>
    </w:rPr>
  </w:style>
  <w:style w:type="character" w:styleId="IntenseEmphasis">
    <w:name w:val="Intense Emphasis"/>
    <w:basedOn w:val="DefaultParagraphFont"/>
    <w:uiPriority w:val="21"/>
    <w:qFormat/>
    <w:rsid w:val="003B1065"/>
    <w:rPr>
      <w:b/>
      <w:i/>
      <w:sz w:val="24"/>
      <w:szCs w:val="24"/>
      <w:u w:val="single"/>
    </w:rPr>
  </w:style>
  <w:style w:type="character" w:styleId="SubtleReference">
    <w:name w:val="Subtle Reference"/>
    <w:basedOn w:val="DefaultParagraphFont"/>
    <w:uiPriority w:val="31"/>
    <w:qFormat/>
    <w:rsid w:val="003B1065"/>
    <w:rPr>
      <w:sz w:val="24"/>
      <w:szCs w:val="24"/>
      <w:u w:val="single"/>
    </w:rPr>
  </w:style>
  <w:style w:type="character" w:styleId="IntenseReference">
    <w:name w:val="Intense Reference"/>
    <w:basedOn w:val="DefaultParagraphFont"/>
    <w:uiPriority w:val="32"/>
    <w:qFormat/>
    <w:rsid w:val="003B1065"/>
    <w:rPr>
      <w:b/>
      <w:sz w:val="24"/>
      <w:u w:val="single"/>
    </w:rPr>
  </w:style>
  <w:style w:type="character" w:styleId="BookTitle">
    <w:name w:val="Book Title"/>
    <w:basedOn w:val="DefaultParagraphFont"/>
    <w:uiPriority w:val="33"/>
    <w:qFormat/>
    <w:rsid w:val="003B10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1065"/>
    <w:pPr>
      <w:outlineLvl w:val="9"/>
    </w:pPr>
  </w:style>
  <w:style w:type="paragraph" w:styleId="Header">
    <w:name w:val="header"/>
    <w:basedOn w:val="Normal"/>
    <w:link w:val="HeaderChar"/>
    <w:uiPriority w:val="99"/>
    <w:unhideWhenUsed/>
    <w:rsid w:val="004B40A2"/>
    <w:pPr>
      <w:tabs>
        <w:tab w:val="center" w:pos="4513"/>
        <w:tab w:val="right" w:pos="9026"/>
      </w:tabs>
    </w:pPr>
  </w:style>
  <w:style w:type="character" w:customStyle="1" w:styleId="HeaderChar">
    <w:name w:val="Header Char"/>
    <w:basedOn w:val="DefaultParagraphFont"/>
    <w:link w:val="Header"/>
    <w:uiPriority w:val="99"/>
    <w:rsid w:val="004B40A2"/>
    <w:rPr>
      <w:sz w:val="24"/>
      <w:szCs w:val="24"/>
    </w:rPr>
  </w:style>
  <w:style w:type="paragraph" w:styleId="Footer">
    <w:name w:val="footer"/>
    <w:basedOn w:val="Normal"/>
    <w:link w:val="FooterChar"/>
    <w:uiPriority w:val="99"/>
    <w:unhideWhenUsed/>
    <w:rsid w:val="004B40A2"/>
    <w:pPr>
      <w:tabs>
        <w:tab w:val="center" w:pos="4513"/>
        <w:tab w:val="right" w:pos="9026"/>
      </w:tabs>
    </w:pPr>
  </w:style>
  <w:style w:type="character" w:customStyle="1" w:styleId="FooterChar">
    <w:name w:val="Footer Char"/>
    <w:basedOn w:val="DefaultParagraphFont"/>
    <w:link w:val="Footer"/>
    <w:uiPriority w:val="99"/>
    <w:rsid w:val="004B40A2"/>
    <w:rPr>
      <w:sz w:val="24"/>
      <w:szCs w:val="24"/>
    </w:rPr>
  </w:style>
  <w:style w:type="paragraph" w:styleId="FootnoteText">
    <w:name w:val="footnote text"/>
    <w:basedOn w:val="Normal"/>
    <w:link w:val="FootnoteTextChar"/>
    <w:uiPriority w:val="99"/>
    <w:unhideWhenUsed/>
    <w:rsid w:val="006B49B0"/>
    <w:rPr>
      <w:sz w:val="20"/>
      <w:szCs w:val="20"/>
    </w:rPr>
  </w:style>
  <w:style w:type="character" w:customStyle="1" w:styleId="FootnoteTextChar">
    <w:name w:val="Footnote Text Char"/>
    <w:basedOn w:val="DefaultParagraphFont"/>
    <w:link w:val="FootnoteText"/>
    <w:uiPriority w:val="99"/>
    <w:rsid w:val="006B49B0"/>
    <w:rPr>
      <w:sz w:val="20"/>
      <w:szCs w:val="20"/>
    </w:rPr>
  </w:style>
  <w:style w:type="character" w:styleId="FootnoteReference">
    <w:name w:val="footnote reference"/>
    <w:basedOn w:val="DefaultParagraphFont"/>
    <w:uiPriority w:val="99"/>
    <w:unhideWhenUsed/>
    <w:rsid w:val="006B49B0"/>
    <w:rPr>
      <w:vertAlign w:val="superscript"/>
    </w:rPr>
  </w:style>
  <w:style w:type="character" w:styleId="Hyperlink">
    <w:name w:val="Hyperlink"/>
    <w:basedOn w:val="DefaultParagraphFont"/>
    <w:uiPriority w:val="99"/>
    <w:unhideWhenUsed/>
    <w:rsid w:val="00C56A23"/>
    <w:rPr>
      <w:color w:val="0000FF" w:themeColor="hyperlink"/>
      <w:u w:val="single"/>
    </w:rPr>
  </w:style>
  <w:style w:type="paragraph" w:styleId="EndnoteText">
    <w:name w:val="endnote text"/>
    <w:basedOn w:val="Normal"/>
    <w:link w:val="EndnoteTextChar"/>
    <w:uiPriority w:val="99"/>
    <w:semiHidden/>
    <w:unhideWhenUsed/>
    <w:rsid w:val="003C2B55"/>
    <w:rPr>
      <w:sz w:val="20"/>
      <w:szCs w:val="20"/>
    </w:rPr>
  </w:style>
  <w:style w:type="character" w:customStyle="1" w:styleId="EndnoteTextChar">
    <w:name w:val="Endnote Text Char"/>
    <w:basedOn w:val="DefaultParagraphFont"/>
    <w:link w:val="EndnoteText"/>
    <w:uiPriority w:val="99"/>
    <w:semiHidden/>
    <w:rsid w:val="003C2B55"/>
    <w:rPr>
      <w:sz w:val="20"/>
      <w:szCs w:val="20"/>
    </w:rPr>
  </w:style>
  <w:style w:type="character" w:styleId="EndnoteReference">
    <w:name w:val="endnote reference"/>
    <w:basedOn w:val="DefaultParagraphFont"/>
    <w:uiPriority w:val="99"/>
    <w:semiHidden/>
    <w:unhideWhenUsed/>
    <w:rsid w:val="003C2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375">
      <w:bodyDiv w:val="1"/>
      <w:marLeft w:val="0"/>
      <w:marRight w:val="0"/>
      <w:marTop w:val="0"/>
      <w:marBottom w:val="0"/>
      <w:divBdr>
        <w:top w:val="none" w:sz="0" w:space="0" w:color="auto"/>
        <w:left w:val="none" w:sz="0" w:space="0" w:color="auto"/>
        <w:bottom w:val="none" w:sz="0" w:space="0" w:color="auto"/>
        <w:right w:val="none" w:sz="0" w:space="0" w:color="auto"/>
      </w:divBdr>
    </w:div>
    <w:div w:id="758211691">
      <w:bodyDiv w:val="1"/>
      <w:marLeft w:val="0"/>
      <w:marRight w:val="0"/>
      <w:marTop w:val="0"/>
      <w:marBottom w:val="0"/>
      <w:divBdr>
        <w:top w:val="none" w:sz="0" w:space="0" w:color="auto"/>
        <w:left w:val="none" w:sz="0" w:space="0" w:color="auto"/>
        <w:bottom w:val="none" w:sz="0" w:space="0" w:color="auto"/>
        <w:right w:val="none" w:sz="0" w:space="0" w:color="auto"/>
      </w:divBdr>
      <w:divsChild>
        <w:div w:id="68963690">
          <w:marLeft w:val="0"/>
          <w:marRight w:val="0"/>
          <w:marTop w:val="0"/>
          <w:marBottom w:val="0"/>
          <w:divBdr>
            <w:top w:val="none" w:sz="0" w:space="0" w:color="auto"/>
            <w:left w:val="none" w:sz="0" w:space="0" w:color="auto"/>
            <w:bottom w:val="none" w:sz="0" w:space="0" w:color="auto"/>
            <w:right w:val="none" w:sz="0" w:space="0" w:color="auto"/>
          </w:divBdr>
        </w:div>
        <w:div w:id="2033262976">
          <w:marLeft w:val="0"/>
          <w:marRight w:val="0"/>
          <w:marTop w:val="0"/>
          <w:marBottom w:val="0"/>
          <w:divBdr>
            <w:top w:val="none" w:sz="0" w:space="0" w:color="auto"/>
            <w:left w:val="none" w:sz="0" w:space="0" w:color="auto"/>
            <w:bottom w:val="none" w:sz="0" w:space="0" w:color="auto"/>
            <w:right w:val="none" w:sz="0" w:space="0" w:color="auto"/>
          </w:divBdr>
        </w:div>
      </w:divsChild>
    </w:div>
    <w:div w:id="15267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j.r.gibs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8223</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Matt147</dc:creator>
  <cp:lastModifiedBy>Matt147</cp:lastModifiedBy>
  <cp:revision>4</cp:revision>
  <dcterms:created xsi:type="dcterms:W3CDTF">2016-07-19T11:17:00Z</dcterms:created>
  <dcterms:modified xsi:type="dcterms:W3CDTF">2016-07-21T11:33:00Z</dcterms:modified>
</cp:coreProperties>
</file>