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A3796" w14:textId="1B1A3B49" w:rsidR="000007D2" w:rsidRPr="001B5E98" w:rsidRDefault="00A63168" w:rsidP="009D3D9B">
      <w:pPr>
        <w:pStyle w:val="Title"/>
      </w:pPr>
      <w:r w:rsidRPr="00A63168">
        <w:t>Under the influence</w:t>
      </w:r>
      <w:r w:rsidR="00B20036" w:rsidRPr="00A63168">
        <w:t>?</w:t>
      </w:r>
      <w:r w:rsidR="00B20036">
        <w:t xml:space="preserve"> </w:t>
      </w:r>
      <w:r>
        <w:t>T</w:t>
      </w:r>
      <w:r w:rsidR="005B37F3">
        <w:t xml:space="preserve">he problems </w:t>
      </w:r>
      <w:r w:rsidR="00FE326F">
        <w:t xml:space="preserve">alcohol </w:t>
      </w:r>
      <w:r>
        <w:t>industry involvement in</w:t>
      </w:r>
      <w:r w:rsidR="005B37F3">
        <w:t xml:space="preserve"> policy making poses for</w:t>
      </w:r>
      <w:r w:rsidR="001B5E98">
        <w:t xml:space="preserve"> implementing</w:t>
      </w:r>
      <w:r>
        <w:t xml:space="preserve"> alcohol</w:t>
      </w:r>
      <w:r w:rsidR="001B5E98">
        <w:t xml:space="preserve"> advertising bans </w:t>
      </w:r>
    </w:p>
    <w:p w14:paraId="0C392229" w14:textId="6E6C3EAB" w:rsidR="006F1397" w:rsidRPr="00CA3C50" w:rsidRDefault="00CA3C50" w:rsidP="006F1397">
      <w:pPr>
        <w:rPr>
          <w:i/>
          <w:sz w:val="32"/>
        </w:rPr>
      </w:pPr>
      <w:r w:rsidRPr="00CA3C50">
        <w:rPr>
          <w:i/>
          <w:sz w:val="32"/>
        </w:rPr>
        <w:t>Oliver Bartlett</w:t>
      </w:r>
      <w:r>
        <w:rPr>
          <w:rStyle w:val="FootnoteReference"/>
          <w:i/>
          <w:sz w:val="32"/>
        </w:rPr>
        <w:footnoteReference w:id="1"/>
      </w:r>
    </w:p>
    <w:p w14:paraId="0F0A4144" w14:textId="77777777" w:rsidR="00CA3C50" w:rsidRDefault="00CA3C50" w:rsidP="006F1397"/>
    <w:p w14:paraId="177695C7" w14:textId="77777777" w:rsidR="00CA3C50" w:rsidRPr="006F1397" w:rsidRDefault="00CA3C50" w:rsidP="006F1397"/>
    <w:p w14:paraId="51536E6D" w14:textId="76BA0BBA" w:rsidR="000007D2" w:rsidRPr="009D3D9B" w:rsidRDefault="000007D2" w:rsidP="00AB3065">
      <w:pPr>
        <w:spacing w:line="360" w:lineRule="auto"/>
        <w:rPr>
          <w:i/>
        </w:rPr>
      </w:pPr>
      <w:r w:rsidRPr="009D3D9B">
        <w:rPr>
          <w:i/>
        </w:rPr>
        <w:t xml:space="preserve">On 1 March 2013 an independent report called </w:t>
      </w:r>
      <w:r w:rsidR="009D3D9B">
        <w:rPr>
          <w:i/>
        </w:rPr>
        <w:t>“</w:t>
      </w:r>
      <w:r w:rsidRPr="009D3D9B">
        <w:rPr>
          <w:i/>
        </w:rPr>
        <w:t>Health First</w:t>
      </w:r>
      <w:r w:rsidR="009D3D9B">
        <w:rPr>
          <w:i/>
        </w:rPr>
        <w:t>”</w:t>
      </w:r>
      <w:r w:rsidRPr="009D3D9B">
        <w:rPr>
          <w:i/>
        </w:rPr>
        <w:t xml:space="preserve"> was published calling for, amongst other things, a total ban on alcohol advertising in the UK. </w:t>
      </w:r>
      <w:r w:rsidR="009D3D9B">
        <w:rPr>
          <w:i/>
        </w:rPr>
        <w:t>T</w:t>
      </w:r>
      <w:r w:rsidRPr="009D3D9B">
        <w:rPr>
          <w:i/>
        </w:rPr>
        <w:t>his article seeks to evaluate the major hurdles th</w:t>
      </w:r>
      <w:r w:rsidR="009D3D9B" w:rsidRPr="009D3D9B">
        <w:rPr>
          <w:i/>
        </w:rPr>
        <w:t>at would stand in the way of the UK, and indeed the</w:t>
      </w:r>
      <w:r w:rsidRPr="009D3D9B">
        <w:rPr>
          <w:i/>
        </w:rPr>
        <w:t xml:space="preserve"> EU</w:t>
      </w:r>
      <w:r w:rsidR="009D3D9B" w:rsidRPr="009D3D9B">
        <w:rPr>
          <w:i/>
        </w:rPr>
        <w:t xml:space="preserve"> itself,</w:t>
      </w:r>
      <w:r w:rsidRPr="009D3D9B">
        <w:rPr>
          <w:i/>
        </w:rPr>
        <w:t xml:space="preserve"> pursuing such a prohibition. It argues that </w:t>
      </w:r>
      <w:r w:rsidR="006F1397" w:rsidRPr="009D3D9B">
        <w:rPr>
          <w:i/>
        </w:rPr>
        <w:t>the involvement of the alcohol industr</w:t>
      </w:r>
      <w:r w:rsidR="009D3D9B">
        <w:rPr>
          <w:i/>
        </w:rPr>
        <w:t>y is the main roadblock preventing t</w:t>
      </w:r>
      <w:r w:rsidR="006F1397" w:rsidRPr="009D3D9B">
        <w:rPr>
          <w:i/>
        </w:rPr>
        <w:t>he enactment of a radical but much needed policy</w:t>
      </w:r>
      <w:r w:rsidRPr="009D3D9B">
        <w:rPr>
          <w:i/>
        </w:rPr>
        <w:t>. It advocates disassociation with the alcohol industry and a willingness</w:t>
      </w:r>
      <w:r w:rsidR="0056545A" w:rsidRPr="009D3D9B">
        <w:rPr>
          <w:i/>
        </w:rPr>
        <w:t xml:space="preserve"> on the part of EU policy makers</w:t>
      </w:r>
      <w:r w:rsidRPr="009D3D9B">
        <w:rPr>
          <w:i/>
        </w:rPr>
        <w:t xml:space="preserve"> to fight any challenges that the industry raise in opposition to strong alcohol advertising regulation. </w:t>
      </w:r>
    </w:p>
    <w:p w14:paraId="695C96BF" w14:textId="77777777" w:rsidR="00CA33D5" w:rsidRDefault="00CA33D5" w:rsidP="00AB3065">
      <w:pPr>
        <w:pStyle w:val="Heading1"/>
        <w:spacing w:line="360" w:lineRule="auto"/>
      </w:pPr>
      <w:r>
        <w:t>Introduction</w:t>
      </w:r>
    </w:p>
    <w:p w14:paraId="229B4458" w14:textId="77777777" w:rsidR="00A94634" w:rsidRDefault="00A94634" w:rsidP="00AB3065">
      <w:pPr>
        <w:spacing w:line="360" w:lineRule="auto"/>
      </w:pPr>
    </w:p>
    <w:p w14:paraId="2EE956E2" w14:textId="4AEA0171" w:rsidR="00951AAA" w:rsidRDefault="00951AAA" w:rsidP="00AB3065">
      <w:pPr>
        <w:spacing w:line="360" w:lineRule="auto"/>
      </w:pPr>
      <w:r>
        <w:t>On 1</w:t>
      </w:r>
      <w:r w:rsidR="00D54032">
        <w:t xml:space="preserve"> March 2013</w:t>
      </w:r>
      <w:r w:rsidR="00A15278">
        <w:t xml:space="preserve"> </w:t>
      </w:r>
      <w:r>
        <w:t>an independent group of experts, supported by over 70</w:t>
      </w:r>
      <w:r w:rsidR="00227C28">
        <w:t xml:space="preserve"> public health organisations, released a report entitled </w:t>
      </w:r>
      <w:r w:rsidR="00227C28">
        <w:rPr>
          <w:i/>
        </w:rPr>
        <w:t>Health First: An evidence-based alcohol strategy for the UK</w:t>
      </w:r>
      <w:r w:rsidR="00227C28">
        <w:t>,</w:t>
      </w:r>
      <w:r w:rsidR="00227C28">
        <w:rPr>
          <w:rStyle w:val="FootnoteReference"/>
        </w:rPr>
        <w:footnoteReference w:id="2"/>
      </w:r>
      <w:r w:rsidR="00227C28">
        <w:t xml:space="preserve"> which detailed recommendations for a more stringent set of alcohol control policies for the UK.</w:t>
      </w:r>
      <w:r w:rsidR="00CA3C50">
        <w:t xml:space="preserve"> beneficial</w:t>
      </w:r>
    </w:p>
    <w:p w14:paraId="47A8421E" w14:textId="77777777" w:rsidR="001B2839" w:rsidRDefault="001B2839" w:rsidP="00AB3065">
      <w:pPr>
        <w:spacing w:line="360" w:lineRule="auto"/>
      </w:pPr>
    </w:p>
    <w:p w14:paraId="72D49413" w14:textId="704377C6" w:rsidR="00D54032" w:rsidRDefault="001B2839" w:rsidP="00490929">
      <w:pPr>
        <w:spacing w:line="360" w:lineRule="auto"/>
      </w:pPr>
      <w:r>
        <w:lastRenderedPageBreak/>
        <w:t>One of the key recommendations put forward by the report was a complete ban on all alcohol advertising and sponsorship</w:t>
      </w:r>
      <w:r w:rsidR="009E0F4E">
        <w:t>,</w:t>
      </w:r>
      <w:r>
        <w:rPr>
          <w:rStyle w:val="FootnoteReference"/>
        </w:rPr>
        <w:footnoteReference w:id="3"/>
      </w:r>
      <w:r w:rsidR="009E0F4E">
        <w:t xml:space="preserve"> a </w:t>
      </w:r>
      <w:r w:rsidR="007F0888">
        <w:t>policy that</w:t>
      </w:r>
      <w:r w:rsidR="009E0F4E">
        <w:t xml:space="preserve"> would be a radical</w:t>
      </w:r>
      <w:r w:rsidR="00FA7C7D">
        <w:t xml:space="preserve"> development</w:t>
      </w:r>
      <w:r w:rsidR="007F0888">
        <w:t xml:space="preserve"> in terms of the </w:t>
      </w:r>
      <w:r w:rsidR="009E0F4E">
        <w:t>UK’s current approach to co</w:t>
      </w:r>
      <w:r w:rsidR="00AA7B57">
        <w:t>ntrolling alcohol advertising. Some</w:t>
      </w:r>
      <w:r w:rsidR="00344AD0">
        <w:t xml:space="preserve"> </w:t>
      </w:r>
      <w:r w:rsidR="009E0F4E">
        <w:t xml:space="preserve">states in Europe </w:t>
      </w:r>
      <w:r w:rsidR="006F1397">
        <w:t>already</w:t>
      </w:r>
      <w:r w:rsidR="009E0F4E">
        <w:t xml:space="preserve"> have a total ban on alcohol advertising, and further afield </w:t>
      </w:r>
      <w:r w:rsidR="006F1397">
        <w:t>more are steadily being enacted, such as the prohibition in Russia, in force from January 2013</w:t>
      </w:r>
      <w:r w:rsidR="009E0F4E">
        <w:t>.</w:t>
      </w:r>
      <w:r w:rsidR="001B7DBF">
        <w:t xml:space="preserve"> </w:t>
      </w:r>
      <w:r w:rsidR="007F0888">
        <w:t xml:space="preserve">It is against this background </w:t>
      </w:r>
      <w:r w:rsidR="00634B2F">
        <w:t>that</w:t>
      </w:r>
      <w:r w:rsidR="00A15278">
        <w:t xml:space="preserve"> this contribution reflects on</w:t>
      </w:r>
      <w:r w:rsidR="006F1397">
        <w:t xml:space="preserve"> what might stand in the way of imp</w:t>
      </w:r>
      <w:r w:rsidR="009951B5">
        <w:t>lementing such a ban</w:t>
      </w:r>
      <w:r w:rsidR="00FA7CC4">
        <w:t xml:space="preserve"> in countries such as the UK that currently have less stringent alcohol advertising </w:t>
      </w:r>
      <w:r w:rsidR="00344AD0">
        <w:t>rules</w:t>
      </w:r>
      <w:r w:rsidR="00FA7CC4">
        <w:t>, and also at</w:t>
      </w:r>
      <w:r w:rsidR="006F1397">
        <w:t xml:space="preserve"> EU level</w:t>
      </w:r>
      <w:r w:rsidR="00A230FF">
        <w:t xml:space="preserve"> where alcohol advertising is given a similarly soft treatment</w:t>
      </w:r>
      <w:r w:rsidR="00634B2F">
        <w:t>.</w:t>
      </w:r>
      <w:r w:rsidR="001B7DBF">
        <w:t xml:space="preserve"> </w:t>
      </w:r>
    </w:p>
    <w:p w14:paraId="4D2149FD" w14:textId="77777777" w:rsidR="00D54032" w:rsidRDefault="00D54032" w:rsidP="00490929">
      <w:pPr>
        <w:spacing w:line="360" w:lineRule="auto"/>
      </w:pPr>
    </w:p>
    <w:p w14:paraId="7AD80BE1" w14:textId="1DB8ADC2" w:rsidR="00D53CC6" w:rsidRDefault="00951B62" w:rsidP="00490929">
      <w:pPr>
        <w:spacing w:line="360" w:lineRule="auto"/>
      </w:pPr>
      <w:r>
        <w:t>Such a step</w:t>
      </w:r>
      <w:r w:rsidR="00104E84">
        <w:t xml:space="preserve"> </w:t>
      </w:r>
      <w:r w:rsidR="00720FDF">
        <w:t xml:space="preserve">is </w:t>
      </w:r>
      <w:r w:rsidR="00104E84">
        <w:t xml:space="preserve">certainly desirable – according to </w:t>
      </w:r>
      <w:r w:rsidR="003F3174">
        <w:t>WHO figures</w:t>
      </w:r>
      <w:r w:rsidR="00664602">
        <w:t xml:space="preserve">, alcohol-related causes </w:t>
      </w:r>
      <w:r w:rsidR="00720FDF">
        <w:t>accounted</w:t>
      </w:r>
      <w:r w:rsidR="00664602">
        <w:t xml:space="preserve"> for 11.8 per cent of all deaths for the age group 15 to 64 years in the EU in 2004</w:t>
      </w:r>
      <w:r w:rsidR="00C5693A">
        <w:t>.</w:t>
      </w:r>
      <w:r w:rsidR="00664602">
        <w:rPr>
          <w:rStyle w:val="FootnoteReference"/>
        </w:rPr>
        <w:footnoteReference w:id="4"/>
      </w:r>
      <w:r w:rsidR="00664602">
        <w:t xml:space="preserve"> </w:t>
      </w:r>
      <w:r w:rsidR="003974D8">
        <w:t xml:space="preserve">Excessive alcohol consumption </w:t>
      </w:r>
      <w:r w:rsidR="00C5693A">
        <w:t>is also the primary cause for many non-communicable diseases, for example causing between 75 and 80 per cent of liver cirrhosis in the EU.</w:t>
      </w:r>
      <w:r w:rsidR="00C5693A">
        <w:rPr>
          <w:rStyle w:val="FootnoteReference"/>
        </w:rPr>
        <w:footnoteReference w:id="5"/>
      </w:r>
      <w:r w:rsidR="000B4020">
        <w:t xml:space="preserve"> Although it is not necessarily the case that an increase in the general level of </w:t>
      </w:r>
      <w:r w:rsidR="0018039B">
        <w:t>alcohol consumption will relate to an increase in the level of alcohol related harm experienced by a population, studies exist which conclude that ‘both average volume of alcohol consumption and patterns of drinking have been shown to influence alcohol-related burden of disease’.</w:t>
      </w:r>
      <w:r w:rsidR="00A6771C">
        <w:rPr>
          <w:rStyle w:val="FootnoteReference"/>
        </w:rPr>
        <w:footnoteReference w:id="6"/>
      </w:r>
      <w:r w:rsidR="0018039B">
        <w:t xml:space="preserve"> Thus, any increase in consumption must at least be seen as likely to contribute to an increased level of excessive consumption. </w:t>
      </w:r>
      <w:r w:rsidR="00C5693A">
        <w:t xml:space="preserve"> </w:t>
      </w:r>
    </w:p>
    <w:p w14:paraId="0F477903" w14:textId="77777777" w:rsidR="00D53CC6" w:rsidRDefault="00D53CC6" w:rsidP="00490929">
      <w:pPr>
        <w:spacing w:line="360" w:lineRule="auto"/>
      </w:pPr>
    </w:p>
    <w:p w14:paraId="55A28A36" w14:textId="714900AE" w:rsidR="004E6862" w:rsidRDefault="00D53CC6" w:rsidP="00490929">
      <w:pPr>
        <w:spacing w:line="360" w:lineRule="auto"/>
      </w:pPr>
      <w:r>
        <w:t>The evidence base suggests strong links between a</w:t>
      </w:r>
      <w:r w:rsidR="003974D8">
        <w:t xml:space="preserve">lcohol advertising to </w:t>
      </w:r>
      <w:r w:rsidR="00932650">
        <w:t>higher consumption rates</w:t>
      </w:r>
      <w:r>
        <w:t>. Numerous reviews and</w:t>
      </w:r>
      <w:r w:rsidR="00D54032">
        <w:t xml:space="preserve"> studies have reported findings that </w:t>
      </w:r>
      <w:r w:rsidR="00D54032">
        <w:lastRenderedPageBreak/>
        <w:t>show exposure to alcohol advertising to be related to increased consumption,</w:t>
      </w:r>
      <w:r w:rsidR="00932650">
        <w:rPr>
          <w:rStyle w:val="FootnoteReference"/>
        </w:rPr>
        <w:footnoteReference w:id="7"/>
      </w:r>
      <w:r w:rsidR="00932650">
        <w:t xml:space="preserve"> with the Science Group of the European Alcohol and Health Forum concluding in an Opinion in 2009 </w:t>
      </w:r>
      <w:r w:rsidR="00D54032">
        <w:t>in relation to</w:t>
      </w:r>
      <w:r w:rsidR="00490929">
        <w:t xml:space="preserve"> young people</w:t>
      </w:r>
      <w:r w:rsidR="00D54032">
        <w:t xml:space="preserve"> as a particularly vulnerable group that</w:t>
      </w:r>
      <w:r w:rsidR="00932650">
        <w:t xml:space="preserve"> </w:t>
      </w:r>
      <w:r w:rsidR="00490929">
        <w:t>there was “consistent evidence to demonstrate an impact of alcohol advertising on the uptake of drinking among non-drinking young people, and increased consumption among their drinking peers”.</w:t>
      </w:r>
      <w:r w:rsidR="00490929">
        <w:rPr>
          <w:rStyle w:val="FootnoteReference"/>
        </w:rPr>
        <w:footnoteReference w:id="8"/>
      </w:r>
      <w:r w:rsidR="00490929">
        <w:t xml:space="preserve"> </w:t>
      </w:r>
    </w:p>
    <w:p w14:paraId="332A5A01" w14:textId="77777777" w:rsidR="00D54032" w:rsidRDefault="00D54032" w:rsidP="00490929">
      <w:pPr>
        <w:spacing w:line="360" w:lineRule="auto"/>
      </w:pPr>
    </w:p>
    <w:p w14:paraId="4F2E1FA9" w14:textId="6756DF6A" w:rsidR="009E0F4E" w:rsidRDefault="009E1313" w:rsidP="00490929">
      <w:pPr>
        <w:spacing w:line="360" w:lineRule="auto"/>
      </w:pPr>
      <w:r>
        <w:t>A total ban</w:t>
      </w:r>
      <w:r w:rsidR="00844954">
        <w:t xml:space="preserve"> could therefore contribute significantly to lowering drinking rates in Europe, and would certainly be progress on t</w:t>
      </w:r>
      <w:r w:rsidR="00E04F13">
        <w:t>he largely</w:t>
      </w:r>
      <w:r w:rsidR="006D4409">
        <w:t xml:space="preserve"> inadequate Articles 9(1)(e) and 22 of the Audiovisual Media Services Directive</w:t>
      </w:r>
      <w:r w:rsidR="00FA7C7D">
        <w:t>,</w:t>
      </w:r>
      <w:r>
        <w:rPr>
          <w:rStyle w:val="FootnoteReference"/>
        </w:rPr>
        <w:footnoteReference w:id="9"/>
      </w:r>
      <w:r w:rsidR="00E04F13">
        <w:t xml:space="preserve"> </w:t>
      </w:r>
      <w:r w:rsidR="00844954">
        <w:t xml:space="preserve">which </w:t>
      </w:r>
      <w:r w:rsidR="00BA1956">
        <w:t>remain</w:t>
      </w:r>
      <w:r w:rsidR="00E04F13">
        <w:t xml:space="preserve"> the</w:t>
      </w:r>
      <w:r w:rsidR="00844954">
        <w:t xml:space="preserve"> EU’s</w:t>
      </w:r>
      <w:r w:rsidR="00E04F13">
        <w:t xml:space="preserve"> only attempt to direct</w:t>
      </w:r>
      <w:r w:rsidR="00345DA7">
        <w:t>ly regulate alcohol advertising</w:t>
      </w:r>
      <w:r w:rsidR="00C46A29">
        <w:t>.</w:t>
      </w:r>
      <w:r w:rsidR="001B48A6" w:rsidRPr="001B48A6">
        <w:rPr>
          <w:rStyle w:val="FootnoteReference"/>
        </w:rPr>
        <w:t xml:space="preserve"> </w:t>
      </w:r>
      <w:r w:rsidR="001B48A6">
        <w:rPr>
          <w:rStyle w:val="FootnoteReference"/>
        </w:rPr>
        <w:footnoteReference w:id="10"/>
      </w:r>
      <w:r w:rsidR="001B48A6">
        <w:t xml:space="preserve"> </w:t>
      </w:r>
      <w:r w:rsidR="001B7DBF">
        <w:t xml:space="preserve">This </w:t>
      </w:r>
      <w:r w:rsidR="00844954">
        <w:t>report</w:t>
      </w:r>
      <w:r w:rsidR="001B7DBF">
        <w:t xml:space="preserve"> seeks to </w:t>
      </w:r>
      <w:r w:rsidR="0050155B">
        <w:t>highlight</w:t>
      </w:r>
      <w:r w:rsidR="001B7DBF">
        <w:t xml:space="preserve"> </w:t>
      </w:r>
      <w:r w:rsidR="00FF25F6">
        <w:t>however</w:t>
      </w:r>
      <w:r w:rsidR="00B16ADF">
        <w:t xml:space="preserve"> </w:t>
      </w:r>
      <w:r w:rsidR="009E0F4E">
        <w:t>tha</w:t>
      </w:r>
      <w:r w:rsidR="00E43F0F">
        <w:t>t</w:t>
      </w:r>
      <w:r w:rsidR="004F50FD">
        <w:t xml:space="preserve"> the </w:t>
      </w:r>
      <w:r w:rsidR="00844954">
        <w:t>regulatory process for alcohol</w:t>
      </w:r>
      <w:r w:rsidR="004F50FD">
        <w:t xml:space="preserve"> </w:t>
      </w:r>
      <w:r w:rsidR="00BA1956">
        <w:t>control</w:t>
      </w:r>
      <w:r w:rsidR="004F50FD">
        <w:t xml:space="preserve"> </w:t>
      </w:r>
      <w:r w:rsidR="004E6862">
        <w:t>cedes much influence to the producers of alcoholic beverages themselves</w:t>
      </w:r>
      <w:r w:rsidR="00466711">
        <w:t xml:space="preserve">, and that </w:t>
      </w:r>
      <w:r w:rsidR="00B16ADF">
        <w:t xml:space="preserve">unfortunately this constitutes a major problem for </w:t>
      </w:r>
      <w:r w:rsidR="001B48A6">
        <w:t xml:space="preserve">making such improvements a reality. </w:t>
      </w:r>
      <w:r w:rsidR="001B7DBF">
        <w:t xml:space="preserve"> </w:t>
      </w:r>
    </w:p>
    <w:p w14:paraId="7E873F43" w14:textId="77777777" w:rsidR="009E0F4E" w:rsidRDefault="009E0F4E" w:rsidP="00AB3065">
      <w:pPr>
        <w:spacing w:line="360" w:lineRule="auto"/>
      </w:pPr>
    </w:p>
    <w:p w14:paraId="074F655E" w14:textId="72C4B6EE" w:rsidR="00456762" w:rsidRDefault="0039689C" w:rsidP="00AB3065">
      <w:pPr>
        <w:spacing w:line="360" w:lineRule="auto"/>
      </w:pPr>
      <w:r>
        <w:t xml:space="preserve">The </w:t>
      </w:r>
      <w:r w:rsidR="00844954">
        <w:t>report</w:t>
      </w:r>
      <w:r>
        <w:t xml:space="preserve"> will advance this argument </w:t>
      </w:r>
      <w:r w:rsidR="00844954">
        <w:t>in two parts</w:t>
      </w:r>
      <w:r>
        <w:t xml:space="preserve">: </w:t>
      </w:r>
      <w:r w:rsidR="00BA1956">
        <w:t>the reasons why industry</w:t>
      </w:r>
      <w:r w:rsidR="006C509C">
        <w:t xml:space="preserve"> involvement</w:t>
      </w:r>
      <w:r w:rsidR="00BA1956">
        <w:t xml:space="preserve"> in alcohol control policy </w:t>
      </w:r>
      <w:r w:rsidR="006C509C">
        <w:t>leads to difficulties</w:t>
      </w:r>
      <w:r w:rsidR="00BA1956">
        <w:t xml:space="preserve"> </w:t>
      </w:r>
      <w:r w:rsidR="000403AA">
        <w:t xml:space="preserve">will first be analysed, </w:t>
      </w:r>
      <w:r w:rsidR="000403AA">
        <w:lastRenderedPageBreak/>
        <w:t>followed by a discussion of</w:t>
      </w:r>
      <w:r w:rsidR="002D1F7F">
        <w:t xml:space="preserve"> what </w:t>
      </w:r>
      <w:r w:rsidR="00A230FF">
        <w:t>policy makers need</w:t>
      </w:r>
      <w:r w:rsidR="002D1F7F">
        <w:t xml:space="preserve"> to</w:t>
      </w:r>
      <w:r w:rsidR="00A230FF">
        <w:t xml:space="preserve"> ta</w:t>
      </w:r>
      <w:r w:rsidR="006D6BC5">
        <w:t>k</w:t>
      </w:r>
      <w:r w:rsidR="00A230FF">
        <w:t xml:space="preserve">e into consideration if they are to </w:t>
      </w:r>
      <w:r w:rsidR="002D1F7F">
        <w:t>overcome these</w:t>
      </w:r>
      <w:r w:rsidR="00BA1956">
        <w:t xml:space="preserve"> obstacles</w:t>
      </w:r>
      <w:r w:rsidR="002D1F7F">
        <w:t xml:space="preserve">. It will conclude that </w:t>
      </w:r>
      <w:r w:rsidR="00A230FF">
        <w:t>if either the UK or the EU</w:t>
      </w:r>
      <w:r w:rsidR="0050155B">
        <w:t xml:space="preserve"> </w:t>
      </w:r>
      <w:r w:rsidR="00B16ADF">
        <w:t>does</w:t>
      </w:r>
      <w:r w:rsidR="003E6B7C">
        <w:t xml:space="preserve"> wish to seriously consider a</w:t>
      </w:r>
      <w:r w:rsidR="009F73F9">
        <w:t xml:space="preserve"> total ban o</w:t>
      </w:r>
      <w:r w:rsidR="00A230FF">
        <w:t xml:space="preserve">n alcohol advertising, </w:t>
      </w:r>
      <w:r w:rsidR="00E7111B">
        <w:t>EU and national alcohol policy</w:t>
      </w:r>
      <w:r w:rsidR="006C509C">
        <w:t xml:space="preserve"> makers</w:t>
      </w:r>
      <w:r w:rsidR="00E7111B">
        <w:t xml:space="preserve"> </w:t>
      </w:r>
      <w:r w:rsidR="006C509C">
        <w:t xml:space="preserve">must stop </w:t>
      </w:r>
      <w:r w:rsidR="00492A76">
        <w:t>affording</w:t>
      </w:r>
      <w:r w:rsidR="006C509C">
        <w:t xml:space="preserve"> the industry the level of influence</w:t>
      </w:r>
      <w:r w:rsidR="00E7111B">
        <w:t xml:space="preserve"> on policy making</w:t>
      </w:r>
      <w:r w:rsidR="006C509C">
        <w:t xml:space="preserve"> that it is currently allowed to exert</w:t>
      </w:r>
      <w:r w:rsidR="00E7111B">
        <w:t>.</w:t>
      </w:r>
    </w:p>
    <w:p w14:paraId="12E646D0" w14:textId="6F864880" w:rsidR="00CA33D5" w:rsidRDefault="00BA1956" w:rsidP="00AB3065">
      <w:pPr>
        <w:pStyle w:val="Heading1"/>
        <w:spacing w:line="360" w:lineRule="auto"/>
      </w:pPr>
      <w:r>
        <w:t xml:space="preserve">Why implementing a total ban is made extremely difficult </w:t>
      </w:r>
      <w:r w:rsidR="00FF2A58">
        <w:t>by industry</w:t>
      </w:r>
      <w:r w:rsidR="00140C72">
        <w:t>’s undue</w:t>
      </w:r>
      <w:r w:rsidR="00E7111B">
        <w:t xml:space="preserve"> influence </w:t>
      </w:r>
      <w:r w:rsidR="00FF2A58">
        <w:t>in policy making</w:t>
      </w:r>
    </w:p>
    <w:p w14:paraId="4A151256" w14:textId="77777777" w:rsidR="00471618" w:rsidRDefault="00471618" w:rsidP="00AB3065">
      <w:pPr>
        <w:spacing w:line="360" w:lineRule="auto"/>
      </w:pPr>
    </w:p>
    <w:p w14:paraId="04555A40" w14:textId="4B3D97F2" w:rsidR="007E31CB" w:rsidRDefault="00254D7B" w:rsidP="00AB3065">
      <w:pPr>
        <w:spacing w:line="360" w:lineRule="auto"/>
      </w:pPr>
      <w:r>
        <w:t xml:space="preserve">This section </w:t>
      </w:r>
      <w:r w:rsidR="00A114CE">
        <w:t>argues that</w:t>
      </w:r>
      <w:r>
        <w:t xml:space="preserve"> at </w:t>
      </w:r>
      <w:r w:rsidR="003F3D30">
        <w:t xml:space="preserve">both national and </w:t>
      </w:r>
      <w:r>
        <w:t xml:space="preserve">EU level the industry is </w:t>
      </w:r>
      <w:r w:rsidR="000403AA">
        <w:t>too</w:t>
      </w:r>
      <w:r w:rsidR="00717E0F">
        <w:t xml:space="preserve"> close to the policy making process</w:t>
      </w:r>
      <w:r w:rsidR="00A114CE">
        <w:t xml:space="preserve"> and</w:t>
      </w:r>
      <w:r w:rsidR="000403AA">
        <w:t xml:space="preserve"> that therefore, considering</w:t>
      </w:r>
      <w:r w:rsidR="006D6BC5">
        <w:t xml:space="preserve"> their active opposition to restrictive p</w:t>
      </w:r>
      <w:r w:rsidR="00A114CE">
        <w:t>olicies such as total bans</w:t>
      </w:r>
      <w:r w:rsidR="000403AA">
        <w:t>,</w:t>
      </w:r>
      <w:r w:rsidR="003974D8">
        <w:t xml:space="preserve"> the more influence </w:t>
      </w:r>
      <w:r w:rsidR="000403AA">
        <w:t xml:space="preserve">policy makers allow them </w:t>
      </w:r>
      <w:r w:rsidR="00E7111B">
        <w:t xml:space="preserve">the </w:t>
      </w:r>
      <w:r w:rsidR="006D6BC5">
        <w:t xml:space="preserve">more </w:t>
      </w:r>
      <w:r w:rsidR="00BA1956">
        <w:t>problematic</w:t>
      </w:r>
      <w:r w:rsidR="006D6BC5">
        <w:t xml:space="preserve"> pushing through a total ban will be</w:t>
      </w:r>
      <w:r w:rsidR="00B16ADF">
        <w:t>.</w:t>
      </w:r>
      <w:r w:rsidR="00471618">
        <w:t xml:space="preserve"> The </w:t>
      </w:r>
      <w:r w:rsidR="00471618">
        <w:rPr>
          <w:i/>
        </w:rPr>
        <w:t>Health First</w:t>
      </w:r>
      <w:r w:rsidR="00471618">
        <w:t xml:space="preserve"> report does acknowledge</w:t>
      </w:r>
      <w:r w:rsidR="000B517C">
        <w:t xml:space="preserve"> that “</w:t>
      </w:r>
      <w:r w:rsidR="00471618">
        <w:t>to be effective, regulation must be independent of</w:t>
      </w:r>
      <w:r w:rsidR="00EE30F3">
        <w:t xml:space="preserve"> the alcohol industry</w:t>
      </w:r>
      <w:r w:rsidR="000B517C">
        <w:t>”</w:t>
      </w:r>
      <w:r w:rsidR="00EE30F3">
        <w:t>,</w:t>
      </w:r>
      <w:r w:rsidR="00C42C8B">
        <w:rPr>
          <w:rStyle w:val="FootnoteReference"/>
        </w:rPr>
        <w:footnoteReference w:id="11"/>
      </w:r>
      <w:r w:rsidR="00E13C28">
        <w:t xml:space="preserve"> however this</w:t>
      </w:r>
      <w:r w:rsidR="000403AA">
        <w:t xml:space="preserve"> is not currently reflected in policy making</w:t>
      </w:r>
      <w:r w:rsidR="00EE30F3">
        <w:t xml:space="preserve">. </w:t>
      </w:r>
    </w:p>
    <w:p w14:paraId="6299A4ED" w14:textId="77777777" w:rsidR="000579C3" w:rsidRDefault="000579C3" w:rsidP="00AB3065">
      <w:pPr>
        <w:spacing w:line="360" w:lineRule="auto"/>
      </w:pPr>
    </w:p>
    <w:p w14:paraId="7ED3F30C" w14:textId="1D9AF6A2" w:rsidR="00CA4428" w:rsidRDefault="000579C3" w:rsidP="00AB3065">
      <w:pPr>
        <w:spacing w:line="360" w:lineRule="auto"/>
      </w:pPr>
      <w:r>
        <w:t>Unlike the tobacco industry, who have been ostracised from international to</w:t>
      </w:r>
      <w:r w:rsidR="009D1FBD">
        <w:t>bacco policy making through</w:t>
      </w:r>
      <w:r>
        <w:t xml:space="preserve"> Article 5(3) of the Framework Convention on Tobacco Control</w:t>
      </w:r>
      <w:r w:rsidR="00131E10">
        <w:t xml:space="preserve"> (FCTC)</w:t>
      </w:r>
      <w:r>
        <w:t>,</w:t>
      </w:r>
      <w:r w:rsidR="00A75140">
        <w:rPr>
          <w:rStyle w:val="FootnoteReference"/>
        </w:rPr>
        <w:footnoteReference w:id="12"/>
      </w:r>
      <w:r>
        <w:t xml:space="preserve"> the alcohol industry is freely allowed to mix w</w:t>
      </w:r>
      <w:r w:rsidR="009D1FBD">
        <w:t>ith policy makers</w:t>
      </w:r>
      <w:r>
        <w:t xml:space="preserve"> and is even actively invited </w:t>
      </w:r>
      <w:r w:rsidR="009D1FBD">
        <w:t xml:space="preserve">to </w:t>
      </w:r>
      <w:r w:rsidR="00AC7850">
        <w:t xml:space="preserve">contribute in regulatory terms to </w:t>
      </w:r>
      <w:r w:rsidR="009D1FBD">
        <w:t xml:space="preserve">the control of its own promotional </w:t>
      </w:r>
      <w:r w:rsidR="00A230FF">
        <w:t>activities</w:t>
      </w:r>
      <w:r w:rsidR="00B16ADF">
        <w:t>.</w:t>
      </w:r>
    </w:p>
    <w:p w14:paraId="7D33D1B6" w14:textId="77777777" w:rsidR="00CA4428" w:rsidRDefault="00CA4428" w:rsidP="00AB3065">
      <w:pPr>
        <w:spacing w:line="360" w:lineRule="auto"/>
      </w:pPr>
    </w:p>
    <w:p w14:paraId="63BB238B" w14:textId="4D75DF3F" w:rsidR="007E31CB" w:rsidRDefault="000576D0" w:rsidP="00AB3065">
      <w:pPr>
        <w:spacing w:line="360" w:lineRule="auto"/>
      </w:pPr>
      <w:r>
        <w:t>At EU level t</w:t>
      </w:r>
      <w:r w:rsidR="00E977FE">
        <w:t>his mainly occurs</w:t>
      </w:r>
      <w:r w:rsidR="00B4465E">
        <w:t xml:space="preserve"> through</w:t>
      </w:r>
      <w:r w:rsidR="00C44F65">
        <w:t xml:space="preserve"> the EU Alcohol and Hea</w:t>
      </w:r>
      <w:r w:rsidR="00A114CE">
        <w:t>lth Forum, which</w:t>
      </w:r>
      <w:r w:rsidR="001465E2">
        <w:t xml:space="preserve"> was set up following the adoption of the EU Alcohol Strategy</w:t>
      </w:r>
      <w:r w:rsidR="00147577">
        <w:rPr>
          <w:rStyle w:val="FootnoteReference"/>
        </w:rPr>
        <w:footnoteReference w:id="13"/>
      </w:r>
      <w:r w:rsidR="001465E2">
        <w:t xml:space="preserve"> </w:t>
      </w:r>
      <w:r w:rsidR="00E977FE">
        <w:t>and aims</w:t>
      </w:r>
      <w:r w:rsidR="00147577">
        <w:t xml:space="preserve"> to </w:t>
      </w:r>
      <w:r w:rsidR="000B517C">
        <w:t>“</w:t>
      </w:r>
      <w:r w:rsidR="00147577">
        <w:t>support, provide input for and monitor the</w:t>
      </w:r>
      <w:r w:rsidR="000B517C">
        <w:t xml:space="preserve"> implementation of the strategy”</w:t>
      </w:r>
      <w:r w:rsidR="00147577">
        <w:t>.</w:t>
      </w:r>
      <w:r w:rsidR="00147577">
        <w:rPr>
          <w:rStyle w:val="FootnoteReference"/>
        </w:rPr>
        <w:footnoteReference w:id="14"/>
      </w:r>
      <w:r w:rsidR="00147577">
        <w:t xml:space="preserve"> </w:t>
      </w:r>
      <w:r w:rsidR="00EB1A32">
        <w:t>Industry operators</w:t>
      </w:r>
      <w:r w:rsidR="00E977FE">
        <w:t xml:space="preserve"> and associations</w:t>
      </w:r>
      <w:r w:rsidR="00624CDA">
        <w:t xml:space="preserve"> alone</w:t>
      </w:r>
      <w:r w:rsidR="00EB1A32">
        <w:t xml:space="preserve"> comprise</w:t>
      </w:r>
      <w:r w:rsidR="00E977FE">
        <w:t xml:space="preserve"> over</w:t>
      </w:r>
      <w:r w:rsidR="00EB1A32">
        <w:t xml:space="preserve"> 25 per cent of the </w:t>
      </w:r>
      <w:r w:rsidR="002A2380">
        <w:lastRenderedPageBreak/>
        <w:t xml:space="preserve">current </w:t>
      </w:r>
      <w:r w:rsidR="00624CDA">
        <w:t>membership of the Forum</w:t>
      </w:r>
      <w:r w:rsidR="00EB1A32">
        <w:t xml:space="preserve">, </w:t>
      </w:r>
      <w:r w:rsidR="00624CDA">
        <w:t>which</w:t>
      </w:r>
      <w:r w:rsidR="002A2380">
        <w:t xml:space="preserve"> at the time of the Forum’s inception led to concerns of </w:t>
      </w:r>
      <w:r w:rsidR="000B517C">
        <w:t>“</w:t>
      </w:r>
      <w:r w:rsidR="002642A7">
        <w:t xml:space="preserve">appearing to sanction industry </w:t>
      </w:r>
      <w:r w:rsidR="000B517C">
        <w:t>involvement in EU Health policy”</w:t>
      </w:r>
      <w:r w:rsidR="002642A7">
        <w:t>.</w:t>
      </w:r>
      <w:r w:rsidR="002A2380">
        <w:rPr>
          <w:rStyle w:val="FootnoteReference"/>
        </w:rPr>
        <w:footnoteReference w:id="15"/>
      </w:r>
      <w:r w:rsidR="002642A7">
        <w:t xml:space="preserve"> </w:t>
      </w:r>
      <w:r w:rsidR="002A2380">
        <w:t>Six year</w:t>
      </w:r>
      <w:r w:rsidR="00B77149">
        <w:t>s</w:t>
      </w:r>
      <w:r w:rsidR="002A2380">
        <w:t xml:space="preserve"> later, it is evident </w:t>
      </w:r>
      <w:r w:rsidR="003F3D30">
        <w:t>that fears that</w:t>
      </w:r>
      <w:r w:rsidR="000B517C">
        <w:t xml:space="preserve"> “</w:t>
      </w:r>
      <w:r w:rsidR="00C74879">
        <w:t>ineffective approaches favoured by industry will become de facto EU policy</w:t>
      </w:r>
      <w:r w:rsidR="000B517C">
        <w:t>”</w:t>
      </w:r>
      <w:r w:rsidR="00C74879">
        <w:rPr>
          <w:rStyle w:val="FootnoteReference"/>
        </w:rPr>
        <w:footnoteReference w:id="16"/>
      </w:r>
      <w:r w:rsidR="006A5CC1">
        <w:t xml:space="preserve"> have now been realised. </w:t>
      </w:r>
      <w:r w:rsidR="009C09AC">
        <w:t>The publication released</w:t>
      </w:r>
      <w:r w:rsidR="00F65D71">
        <w:rPr>
          <w:rStyle w:val="FootnoteReference"/>
        </w:rPr>
        <w:footnoteReference w:id="17"/>
      </w:r>
      <w:r w:rsidR="009C09AC">
        <w:t xml:space="preserve"> d</w:t>
      </w:r>
      <w:r w:rsidR="006A5CC1">
        <w:t>etailing the highlights of the 4</w:t>
      </w:r>
      <w:r w:rsidR="006A5CC1" w:rsidRPr="009C09AC">
        <w:rPr>
          <w:vertAlign w:val="superscript"/>
        </w:rPr>
        <w:t>th</w:t>
      </w:r>
      <w:r w:rsidR="006A5CC1">
        <w:t xml:space="preserve"> Open Forum on Alcohol and Health </w:t>
      </w:r>
      <w:r w:rsidR="008A3801">
        <w:t>contains no</w:t>
      </w:r>
      <w:r w:rsidR="009C09AC">
        <w:t xml:space="preserve"> commitment</w:t>
      </w:r>
      <w:r w:rsidR="008A3801">
        <w:t>s</w:t>
      </w:r>
      <w:r w:rsidR="009C09AC">
        <w:t xml:space="preserve"> </w:t>
      </w:r>
      <w:r w:rsidR="00624CDA">
        <w:t>promoting</w:t>
      </w:r>
      <w:r w:rsidR="00E977FE">
        <w:t xml:space="preserve"> strategies that are known to be effective </w:t>
      </w:r>
      <w:r w:rsidR="009C09AC">
        <w:t xml:space="preserve">– instead </w:t>
      </w:r>
      <w:r w:rsidR="002A2380">
        <w:t xml:space="preserve">the </w:t>
      </w:r>
      <w:r w:rsidR="00676410">
        <w:t>lead commitment from The Brewers of Europe has</w:t>
      </w:r>
      <w:r w:rsidR="000B517C">
        <w:t xml:space="preserve"> “</w:t>
      </w:r>
      <w:r w:rsidR="00651577">
        <w:t>set about ensuring that fully integrated, consumer-friendly national self-regulatory systems for beer advertising exist</w:t>
      </w:r>
      <w:r w:rsidR="00F65D71">
        <w:t>[</w:t>
      </w:r>
      <w:r w:rsidR="00651577">
        <w:t>ed</w:t>
      </w:r>
      <w:r w:rsidR="00F65D71">
        <w:t>]</w:t>
      </w:r>
      <w:r w:rsidR="000B517C">
        <w:t xml:space="preserve"> across Europe”</w:t>
      </w:r>
      <w:r w:rsidR="00651577">
        <w:t>,</w:t>
      </w:r>
      <w:r w:rsidR="00F65D71">
        <w:rPr>
          <w:rStyle w:val="FootnoteReference"/>
        </w:rPr>
        <w:footnoteReference w:id="18"/>
      </w:r>
      <w:r w:rsidR="00651577">
        <w:t xml:space="preserve"> the result</w:t>
      </w:r>
      <w:r w:rsidR="00F65D71">
        <w:t xml:space="preserve"> of which has been that </w:t>
      </w:r>
      <w:r w:rsidR="00194DF4">
        <w:t>self-regulation, an approach shown to be ineffective at preventing alcohol advertising from reaching or appealing to children,</w:t>
      </w:r>
      <w:r w:rsidR="00272673">
        <w:rPr>
          <w:rStyle w:val="FootnoteReference"/>
        </w:rPr>
        <w:footnoteReference w:id="19"/>
      </w:r>
      <w:r w:rsidR="00194DF4">
        <w:t xml:space="preserve"> </w:t>
      </w:r>
      <w:r w:rsidR="002A2380">
        <w:t xml:space="preserve">is </w:t>
      </w:r>
      <w:r w:rsidR="00BA1956">
        <w:t>being pushed to the vanguard of alcohol advertising control policy.</w:t>
      </w:r>
      <w:r w:rsidR="00194DF4">
        <w:t xml:space="preserve"> </w:t>
      </w:r>
      <w:r w:rsidR="00DA6380">
        <w:t xml:space="preserve">The fact that the integration of an ineffective strategy championed by the industry is done under the auspices of the European Union </w:t>
      </w:r>
      <w:r w:rsidR="00194DF4">
        <w:t xml:space="preserve">will make it considerably more difficult to </w:t>
      </w:r>
      <w:r w:rsidR="00E977FE">
        <w:t>initiate a</w:t>
      </w:r>
      <w:r w:rsidR="00194DF4">
        <w:t xml:space="preserve"> </w:t>
      </w:r>
      <w:r w:rsidR="00BA1956">
        <w:t>counter-</w:t>
      </w:r>
      <w:r w:rsidR="00194DF4">
        <w:t xml:space="preserve">drive for effective </w:t>
      </w:r>
      <w:r w:rsidR="00964C11">
        <w:t>legislative</w:t>
      </w:r>
      <w:r w:rsidR="00194DF4">
        <w:t xml:space="preserve"> standards</w:t>
      </w:r>
      <w:r w:rsidR="00E977FE">
        <w:t>.</w:t>
      </w:r>
      <w:r w:rsidR="00194DF4">
        <w:t xml:space="preserve"> </w:t>
      </w:r>
    </w:p>
    <w:p w14:paraId="3E0749B4" w14:textId="77777777" w:rsidR="000576D0" w:rsidRDefault="000576D0" w:rsidP="00AB3065">
      <w:pPr>
        <w:spacing w:line="360" w:lineRule="auto"/>
      </w:pPr>
    </w:p>
    <w:p w14:paraId="38A354C9" w14:textId="5F83D05E" w:rsidR="000576D0" w:rsidRDefault="000576D0" w:rsidP="002A5E11">
      <w:pPr>
        <w:spacing w:line="360" w:lineRule="auto"/>
      </w:pPr>
      <w:r>
        <w:t xml:space="preserve">In the UK as well, the industry is </w:t>
      </w:r>
      <w:r w:rsidR="00BA1956">
        <w:t xml:space="preserve">actively relied upon </w:t>
      </w:r>
      <w:r>
        <w:t>to play a key role in shaping alcohol po</w:t>
      </w:r>
      <w:r w:rsidR="00BA1956">
        <w:t>licy</w:t>
      </w:r>
      <w:r>
        <w:t xml:space="preserve">. The UK Government’s Public Health Responsibility Deal, launched in July 2010, </w:t>
      </w:r>
      <w:r w:rsidR="009D1FBD">
        <w:t>encourages</w:t>
      </w:r>
      <w:r>
        <w:t xml:space="preserve"> a new approach to dealing with alcohol related harm centred around partnership with the industry, and this forms an integral part of the Government’s approach to tackling advertising in its new Alcohol Strategy, published in March 2012, to which the </w:t>
      </w:r>
      <w:r>
        <w:rPr>
          <w:i/>
        </w:rPr>
        <w:t xml:space="preserve">Health First </w:t>
      </w:r>
      <w:r>
        <w:t xml:space="preserve">report cited above has been a </w:t>
      </w:r>
      <w:r>
        <w:lastRenderedPageBreak/>
        <w:t>response. It seems that the UK Government refuses to acknowledge that bans can be a proportionate response,</w:t>
      </w:r>
      <w:r>
        <w:rPr>
          <w:rStyle w:val="FootnoteReference"/>
        </w:rPr>
        <w:footnoteReference w:id="20"/>
      </w:r>
      <w:r>
        <w:t xml:space="preserve"> and </w:t>
      </w:r>
      <w:r w:rsidR="009D1FBD">
        <w:t>instead of initiating a much needed overhaul of the</w:t>
      </w:r>
      <w:r w:rsidR="002A5E11">
        <w:t xml:space="preserve"> current self-regulatory scheme </w:t>
      </w:r>
      <w:r w:rsidR="002E7173">
        <w:t xml:space="preserve">favours </w:t>
      </w:r>
      <w:r w:rsidR="00E03085">
        <w:t>‘</w:t>
      </w:r>
      <w:r w:rsidR="002A5E11">
        <w:t>work</w:t>
      </w:r>
      <w:r w:rsidR="002E7173">
        <w:t>[ing]</w:t>
      </w:r>
      <w:r w:rsidR="002A5E11">
        <w:t xml:space="preserve"> with industry and other relevant bodies to help raise public awarene</w:t>
      </w:r>
      <w:r w:rsidR="00E03085">
        <w:t>ss of the controls’.</w:t>
      </w:r>
      <w:r w:rsidR="009D1FBD">
        <w:rPr>
          <w:rStyle w:val="FootnoteReference"/>
        </w:rPr>
        <w:footnoteReference w:id="21"/>
      </w:r>
      <w:r w:rsidR="00E03085">
        <w:t xml:space="preserve"> </w:t>
      </w:r>
      <w:r w:rsidR="00915C4E">
        <w:t xml:space="preserve">Involving </w:t>
      </w:r>
      <w:r w:rsidR="00393AAF">
        <w:t xml:space="preserve">the industry in this way </w:t>
      </w:r>
      <w:r w:rsidR="002460C7">
        <w:t>permits them</w:t>
      </w:r>
      <w:r w:rsidR="00E03085">
        <w:t xml:space="preserve"> to</w:t>
      </w:r>
      <w:r w:rsidR="002E7173">
        <w:t xml:space="preserve"> not only repudiate </w:t>
      </w:r>
      <w:r w:rsidR="00E03085">
        <w:t xml:space="preserve">criticisms that </w:t>
      </w:r>
      <w:r w:rsidR="002E7173">
        <w:t>the industry</w:t>
      </w:r>
      <w:r w:rsidR="00393AAF">
        <w:t xml:space="preserve"> facilitate</w:t>
      </w:r>
      <w:r w:rsidR="002E7173">
        <w:t>s</w:t>
      </w:r>
      <w:r w:rsidR="00393AAF">
        <w:t xml:space="preserve"> alcohol related harm, but at the same time to weave</w:t>
      </w:r>
      <w:r w:rsidR="00ED7B51">
        <w:t xml:space="preserve"> low-impact interventions into the fabric of the UK’s alcohol control policy. </w:t>
      </w:r>
      <w:r w:rsidR="00393AAF">
        <w:t xml:space="preserve">Thus, the </w:t>
      </w:r>
      <w:r w:rsidR="002E7173">
        <w:t xml:space="preserve">platform </w:t>
      </w:r>
      <w:r w:rsidR="001D5372">
        <w:t>given to industry</w:t>
      </w:r>
      <w:r w:rsidR="002E7173">
        <w:t xml:space="preserve"> </w:t>
      </w:r>
      <w:r w:rsidR="00E91520">
        <w:t xml:space="preserve">at the heart of the </w:t>
      </w:r>
      <w:r w:rsidR="002E7173">
        <w:t>UK</w:t>
      </w:r>
      <w:r w:rsidR="00E91520">
        <w:t>’s</w:t>
      </w:r>
      <w:r w:rsidR="002E7173">
        <w:t xml:space="preserve"> regulatory approach </w:t>
      </w:r>
      <w:r w:rsidR="001D5372">
        <w:t xml:space="preserve">constitutes </w:t>
      </w:r>
      <w:r w:rsidR="00E91520">
        <w:t xml:space="preserve">a substantial blocking factor on attempts to convince the Government that </w:t>
      </w:r>
      <w:r w:rsidR="001D5372">
        <w:t>radical measure</w:t>
      </w:r>
      <w:r w:rsidR="002460C7">
        <w:t>s</w:t>
      </w:r>
      <w:r w:rsidR="001D5372">
        <w:t xml:space="preserve"> such as bans should be pursued instead</w:t>
      </w:r>
      <w:r w:rsidR="00E91520">
        <w:t>.</w:t>
      </w:r>
      <w:r w:rsidR="002E7173">
        <w:t xml:space="preserve"> </w:t>
      </w:r>
    </w:p>
    <w:p w14:paraId="20605BF9" w14:textId="77777777" w:rsidR="000576D0" w:rsidRDefault="000576D0" w:rsidP="00AB3065">
      <w:pPr>
        <w:spacing w:line="360" w:lineRule="auto"/>
      </w:pPr>
    </w:p>
    <w:p w14:paraId="29C71D88" w14:textId="71974A9E" w:rsidR="0093331B" w:rsidRDefault="002E7173" w:rsidP="00AB3065">
      <w:pPr>
        <w:spacing w:line="360" w:lineRule="auto"/>
      </w:pPr>
      <w:r>
        <w:t>Aside from their direct involvement in</w:t>
      </w:r>
      <w:r w:rsidR="00B12FDA">
        <w:t xml:space="preserve"> the regulatory process, </w:t>
      </w:r>
      <w:r w:rsidR="00E91520">
        <w:t xml:space="preserve">the industry </w:t>
      </w:r>
      <w:r w:rsidR="001D77F0">
        <w:t>have also exploited</w:t>
      </w:r>
      <w:r w:rsidR="00E91520">
        <w:t xml:space="preserve"> the many pressure points</w:t>
      </w:r>
      <w:r w:rsidR="00B12FDA">
        <w:t xml:space="preserve"> that have been </w:t>
      </w:r>
      <w:r w:rsidR="00E91520">
        <w:t xml:space="preserve">established through the </w:t>
      </w:r>
      <w:r w:rsidR="0023541B">
        <w:t xml:space="preserve">development of a close relationship </w:t>
      </w:r>
      <w:r w:rsidR="00E977FE">
        <w:t>with policy makers</w:t>
      </w:r>
      <w:r w:rsidR="00E91520">
        <w:t xml:space="preserve">. </w:t>
      </w:r>
      <w:r w:rsidR="00131E10">
        <w:t xml:space="preserve">A specific </w:t>
      </w:r>
      <w:r w:rsidR="001D5372">
        <w:t>example</w:t>
      </w:r>
      <w:r w:rsidR="00131E10">
        <w:t xml:space="preserve"> of this unprecedented access </w:t>
      </w:r>
      <w:r w:rsidR="00E977FE">
        <w:t>occurred</w:t>
      </w:r>
      <w:r w:rsidR="006573F1">
        <w:t xml:space="preserve"> prior to the adoption of the EU Alcohol Strategy, </w:t>
      </w:r>
      <w:r w:rsidR="00E977FE">
        <w:t xml:space="preserve">when </w:t>
      </w:r>
      <w:r w:rsidR="006573F1">
        <w:t xml:space="preserve">the industry managed to secure an input into the report </w:t>
      </w:r>
      <w:r w:rsidR="006573F1">
        <w:rPr>
          <w:i/>
        </w:rPr>
        <w:t>Alcohol in Europe</w:t>
      </w:r>
      <w:r w:rsidR="00931CB4" w:rsidRPr="00931CB4">
        <w:rPr>
          <w:rStyle w:val="FootnoteReference"/>
        </w:rPr>
        <w:footnoteReference w:id="22"/>
      </w:r>
      <w:r w:rsidR="006573F1" w:rsidRPr="00931CB4">
        <w:t xml:space="preserve"> </w:t>
      </w:r>
      <w:r w:rsidR="001D5372">
        <w:t xml:space="preserve">which formed the </w:t>
      </w:r>
      <w:r w:rsidR="006573F1">
        <w:t xml:space="preserve">evidence base for the future Strategy. In a later article, the report’s authors note that due to </w:t>
      </w:r>
      <w:r w:rsidR="001D5372">
        <w:t>formidable industry</w:t>
      </w:r>
      <w:r w:rsidR="006573F1">
        <w:t xml:space="preserve"> lobbying before </w:t>
      </w:r>
      <w:r w:rsidR="000B517C">
        <w:t>the publication of the report, “the Commission agreed to ‘peer-review’</w:t>
      </w:r>
      <w:r w:rsidR="006573F1">
        <w:t xml:space="preserve"> [the] report, unlike</w:t>
      </w:r>
      <w:r w:rsidR="00931CB4">
        <w:t xml:space="preserve"> for any of their</w:t>
      </w:r>
      <w:r w:rsidR="000B517C">
        <w:t xml:space="preserve"> previous public health reports”</w:t>
      </w:r>
      <w:r w:rsidR="00931CB4">
        <w:t>,</w:t>
      </w:r>
      <w:r w:rsidR="00444D95">
        <w:rPr>
          <w:rStyle w:val="FootnoteReference"/>
        </w:rPr>
        <w:footnoteReference w:id="23"/>
      </w:r>
      <w:r w:rsidR="000B517C">
        <w:t xml:space="preserve"> and that “</w:t>
      </w:r>
      <w:r w:rsidR="00931CB4">
        <w:t>astonishingly, the industry was allowed to nominate half of the s</w:t>
      </w:r>
      <w:r w:rsidR="000B517C">
        <w:t>cientists invited to the review”</w:t>
      </w:r>
      <w:r w:rsidR="00931CB4">
        <w:t>.</w:t>
      </w:r>
      <w:r w:rsidR="00131E10">
        <w:rPr>
          <w:rStyle w:val="FootnoteReference"/>
        </w:rPr>
        <w:footnoteReference w:id="24"/>
      </w:r>
      <w:r w:rsidR="00931CB4">
        <w:t xml:space="preserve"> This indicated that the</w:t>
      </w:r>
      <w:r w:rsidR="00964C11">
        <w:t xml:space="preserve"> C</w:t>
      </w:r>
      <w:r w:rsidR="004A0F19">
        <w:t xml:space="preserve">ommission </w:t>
      </w:r>
      <w:r w:rsidR="002E0C91">
        <w:t>are not only sens</w:t>
      </w:r>
      <w:r w:rsidR="001D5372">
        <w:t>itive to the pressure exerted by</w:t>
      </w:r>
      <w:r w:rsidR="002E0C91">
        <w:t xml:space="preserve"> the alcohol industry, but </w:t>
      </w:r>
      <w:r w:rsidR="00AE230C">
        <w:t>were moreover willing to</w:t>
      </w:r>
      <w:r w:rsidR="002E0C91">
        <w:t xml:space="preserve"> accommodate their demands</w:t>
      </w:r>
      <w:r w:rsidR="00AE230C">
        <w:t>, raising the question of what else the industry could achieve</w:t>
      </w:r>
      <w:r w:rsidR="000E32FD">
        <w:t>.</w:t>
      </w:r>
      <w:r w:rsidR="00AE230C">
        <w:t xml:space="preserve"> </w:t>
      </w:r>
    </w:p>
    <w:p w14:paraId="14CFBC06" w14:textId="26C1DA78" w:rsidR="00CA33D5" w:rsidRDefault="00FF2A58" w:rsidP="00AB3065">
      <w:pPr>
        <w:pStyle w:val="Heading1"/>
        <w:spacing w:line="360" w:lineRule="auto"/>
      </w:pPr>
      <w:r>
        <w:lastRenderedPageBreak/>
        <w:t xml:space="preserve">What </w:t>
      </w:r>
      <w:r w:rsidR="003E6B7C">
        <w:t>policy makers m</w:t>
      </w:r>
      <w:r>
        <w:t>ust consider in order to overcome these obstacles</w:t>
      </w:r>
      <w:r w:rsidR="002779B5">
        <w:t xml:space="preserve"> </w:t>
      </w:r>
      <w:r w:rsidR="002D77BD">
        <w:t xml:space="preserve"> </w:t>
      </w:r>
      <w:r w:rsidR="00B62265">
        <w:t xml:space="preserve"> </w:t>
      </w:r>
    </w:p>
    <w:p w14:paraId="006CF88B" w14:textId="77777777" w:rsidR="00CA33D5" w:rsidRDefault="00CA33D5" w:rsidP="00AB3065">
      <w:pPr>
        <w:spacing w:line="360" w:lineRule="auto"/>
      </w:pPr>
    </w:p>
    <w:p w14:paraId="782190FF" w14:textId="5FBD85D4" w:rsidR="00A213C9" w:rsidRDefault="000E32FD" w:rsidP="00AB3065">
      <w:pPr>
        <w:spacing w:line="360" w:lineRule="auto"/>
      </w:pPr>
      <w:r>
        <w:t>Given that</w:t>
      </w:r>
      <w:r w:rsidR="00BA39AC">
        <w:t xml:space="preserve"> much of the industry’s access to policy making is attributable to governmental invitation, a</w:t>
      </w:r>
      <w:r w:rsidR="005023AA">
        <w:t xml:space="preserve"> total ban</w:t>
      </w:r>
      <w:r w:rsidR="00BA39AC">
        <w:t xml:space="preserve"> as mooted by the </w:t>
      </w:r>
      <w:r w:rsidR="00BA39AC">
        <w:rPr>
          <w:i/>
        </w:rPr>
        <w:t xml:space="preserve">Health First </w:t>
      </w:r>
      <w:r w:rsidR="00BA39AC">
        <w:t>report</w:t>
      </w:r>
      <w:r w:rsidR="005023AA">
        <w:t xml:space="preserve"> is only as far out of </w:t>
      </w:r>
      <w:r w:rsidR="00C85B89">
        <w:t xml:space="preserve">reach as </w:t>
      </w:r>
      <w:r w:rsidR="00BA39AC">
        <w:t>policy makers</w:t>
      </w:r>
      <w:r>
        <w:t xml:space="preserve"> would like it to be. This section </w:t>
      </w:r>
      <w:r w:rsidR="00BA39AC">
        <w:t>will</w:t>
      </w:r>
      <w:r w:rsidR="00340735">
        <w:t xml:space="preserve"> therefore seek to </w:t>
      </w:r>
      <w:r w:rsidR="005A45D7">
        <w:t>suggest</w:t>
      </w:r>
      <w:r w:rsidR="00340735">
        <w:t xml:space="preserve"> </w:t>
      </w:r>
      <w:r w:rsidR="005A45D7">
        <w:t xml:space="preserve">what </w:t>
      </w:r>
      <w:r w:rsidR="00BA39AC">
        <w:t>policy makers must</w:t>
      </w:r>
      <w:r w:rsidR="00FA7C7D">
        <w:t xml:space="preserve"> start considering</w:t>
      </w:r>
      <w:r w:rsidR="005A45D7">
        <w:t xml:space="preserve"> if they wish to </w:t>
      </w:r>
      <w:r>
        <w:t>reduce</w:t>
      </w:r>
      <w:r w:rsidR="00BA39AC">
        <w:t xml:space="preserve"> industry influence and </w:t>
      </w:r>
      <w:r w:rsidR="005A45D7">
        <w:t>place themselves in a stronger position from which a total ban on alcohol advertising could realistically be enacted.</w:t>
      </w:r>
      <w:r w:rsidR="00340735">
        <w:t xml:space="preserve"> </w:t>
      </w:r>
    </w:p>
    <w:p w14:paraId="3084517A" w14:textId="77777777" w:rsidR="008E52D0" w:rsidRDefault="008E52D0" w:rsidP="00AB3065">
      <w:pPr>
        <w:spacing w:line="360" w:lineRule="auto"/>
      </w:pPr>
    </w:p>
    <w:p w14:paraId="119C62EC" w14:textId="5871A564" w:rsidR="002D09E9" w:rsidRDefault="00DC3AB1" w:rsidP="002D09E9">
      <w:pPr>
        <w:spacing w:line="360" w:lineRule="auto"/>
      </w:pPr>
      <w:r>
        <w:t>A</w:t>
      </w:r>
      <w:r w:rsidR="008E52D0">
        <w:t>n effort must</w:t>
      </w:r>
      <w:r w:rsidR="000E32FD">
        <w:t xml:space="preserve"> primarily</w:t>
      </w:r>
      <w:r w:rsidR="008E52D0">
        <w:t xml:space="preserve"> be</w:t>
      </w:r>
      <w:r>
        <w:t xml:space="preserve"> made </w:t>
      </w:r>
      <w:r w:rsidR="008E52D0">
        <w:t xml:space="preserve">to reverse </w:t>
      </w:r>
      <w:r w:rsidR="00FA7C7D">
        <w:t>the practice</w:t>
      </w:r>
      <w:r w:rsidR="006E3CAE">
        <w:t xml:space="preserve"> of viewing the </w:t>
      </w:r>
      <w:r w:rsidR="00E40930">
        <w:t>ind</w:t>
      </w:r>
      <w:r w:rsidR="006E3CAE">
        <w:t xml:space="preserve">ustry </w:t>
      </w:r>
      <w:r w:rsidR="00E40930">
        <w:t>as a partner</w:t>
      </w:r>
      <w:r w:rsidR="006E1878">
        <w:t xml:space="preserve"> in </w:t>
      </w:r>
      <w:r w:rsidR="00E40930">
        <w:t>the fight against</w:t>
      </w:r>
      <w:r w:rsidR="006E1878">
        <w:t xml:space="preserve"> alcohol-related harm.</w:t>
      </w:r>
      <w:r w:rsidR="00413F53">
        <w:t xml:space="preserve"> So far this outlook has </w:t>
      </w:r>
      <w:r w:rsidR="00FA7C7D">
        <w:t xml:space="preserve">led </w:t>
      </w:r>
      <w:r w:rsidR="00413F53">
        <w:t xml:space="preserve">at EU level to the fact that </w:t>
      </w:r>
      <w:r w:rsidR="00C753D6">
        <w:t xml:space="preserve">the </w:t>
      </w:r>
      <w:r w:rsidR="002D09E9">
        <w:t>“industry’s self-regulatory regime is endorsed by the Commission”</w:t>
      </w:r>
      <w:r w:rsidR="002D09E9">
        <w:rPr>
          <w:rStyle w:val="FootnoteReference"/>
        </w:rPr>
        <w:footnoteReference w:id="25"/>
      </w:r>
      <w:r w:rsidR="002D09E9">
        <w:t xml:space="preserve"> </w:t>
      </w:r>
      <w:r w:rsidR="00C753D6">
        <w:t>resulting in an</w:t>
      </w:r>
      <w:r w:rsidR="002D09E9">
        <w:t xml:space="preserve"> Alcohol Strategy that “bears the hallmark of a massive compromise between the health argument and the commercial interests”</w:t>
      </w:r>
      <w:r w:rsidR="00C753D6">
        <w:t>.</w:t>
      </w:r>
      <w:r w:rsidR="002D09E9">
        <w:rPr>
          <w:rStyle w:val="FootnoteReference"/>
        </w:rPr>
        <w:footnoteReference w:id="26"/>
      </w:r>
      <w:r w:rsidR="00E40930">
        <w:t xml:space="preserve"> </w:t>
      </w:r>
      <w:r w:rsidR="00C753D6">
        <w:t>A</w:t>
      </w:r>
      <w:r w:rsidR="00E40930">
        <w:t xml:space="preserve">t national level, particularly in the </w:t>
      </w:r>
      <w:r w:rsidR="00C753D6">
        <w:t>UK,</w:t>
      </w:r>
      <w:r w:rsidR="009D3D9B">
        <w:t xml:space="preserve"> </w:t>
      </w:r>
      <w:r w:rsidR="00413F53">
        <w:t xml:space="preserve">it has led to </w:t>
      </w:r>
      <w:r w:rsidR="009D3D9B">
        <w:t xml:space="preserve">a blindness to evidence based regulation </w:t>
      </w:r>
      <w:r w:rsidR="00D65686">
        <w:t>whereb</w:t>
      </w:r>
      <w:r w:rsidR="009D3D9B">
        <w:t>y the Health Secretary</w:t>
      </w:r>
      <w:r w:rsidR="00EE1AE3">
        <w:t xml:space="preserve"> has defended the Responsibility Deal by declaring</w:t>
      </w:r>
      <w:r w:rsidR="006E3CAE">
        <w:t xml:space="preserve"> that </w:t>
      </w:r>
      <w:r w:rsidR="006E057B">
        <w:t xml:space="preserve"> </w:t>
      </w:r>
      <w:r w:rsidR="00D65686">
        <w:t>“</w:t>
      </w:r>
      <w:r w:rsidR="00EE1AE3">
        <w:t>we will not treat the food and drink industry [and by implication the other industries in the deal including alcohol] as if it was comparable to the tobacco industry”,</w:t>
      </w:r>
      <w:r w:rsidR="000B7BD1">
        <w:rPr>
          <w:rStyle w:val="FootnoteReference"/>
        </w:rPr>
        <w:footnoteReference w:id="27"/>
      </w:r>
      <w:r w:rsidR="00EE1AE3">
        <w:t xml:space="preserve"> </w:t>
      </w:r>
      <w:r w:rsidR="009D3D9B">
        <w:t>completely failing</w:t>
      </w:r>
      <w:r w:rsidR="009951B5">
        <w:t xml:space="preserve"> to recognise that</w:t>
      </w:r>
      <w:r w:rsidR="00EE1AE3">
        <w:t xml:space="preserve"> the</w:t>
      </w:r>
      <w:r w:rsidR="001222C3">
        <w:t xml:space="preserve"> “there is now evidence to show that the food, drink and alcohol industries use similar tactics and strategies to the tobacco companies to undermine public health interventions”</w:t>
      </w:r>
      <w:r w:rsidR="00EE1AE3">
        <w:t>.</w:t>
      </w:r>
      <w:r w:rsidR="001222C3">
        <w:rPr>
          <w:rStyle w:val="FootnoteReference"/>
        </w:rPr>
        <w:footnoteReference w:id="28"/>
      </w:r>
      <w:r w:rsidR="00EE1AE3">
        <w:t xml:space="preserve"> This trust in </w:t>
      </w:r>
      <w:r w:rsidR="002D09E9">
        <w:t xml:space="preserve">the alcohol industry must </w:t>
      </w:r>
      <w:r w:rsidR="002D09E9">
        <w:lastRenderedPageBreak/>
        <w:t>be tempered, or else we risk allowing the industry to “establish itself as a partner to an extent that may be difficult to reverse”.</w:t>
      </w:r>
      <w:r w:rsidR="002D09E9">
        <w:rPr>
          <w:rStyle w:val="FootnoteReference"/>
        </w:rPr>
        <w:footnoteReference w:id="29"/>
      </w:r>
      <w:r w:rsidR="002D09E9">
        <w:t xml:space="preserve"> </w:t>
      </w:r>
    </w:p>
    <w:p w14:paraId="7AAEB52E" w14:textId="77777777" w:rsidR="00F678E3" w:rsidRDefault="00F678E3" w:rsidP="00AB3065">
      <w:pPr>
        <w:spacing w:line="360" w:lineRule="auto"/>
      </w:pPr>
    </w:p>
    <w:p w14:paraId="0425E7CE" w14:textId="3ED43D84" w:rsidR="00413F53" w:rsidRDefault="00F678E3" w:rsidP="00941698">
      <w:pPr>
        <w:spacing w:line="360" w:lineRule="auto"/>
      </w:pPr>
      <w:r>
        <w:t>There has been recent discussion on whether to move towards the adoption of a Framework Convention on Alcohol Control, taking a lead from the FCTC.</w:t>
      </w:r>
      <w:r>
        <w:rPr>
          <w:rStyle w:val="FootnoteReference"/>
        </w:rPr>
        <w:footnoteReference w:id="30"/>
      </w:r>
      <w:r w:rsidR="006B6D06">
        <w:t xml:space="preserve"> </w:t>
      </w:r>
      <w:r w:rsidR="00197F86">
        <w:t>One benefit that might</w:t>
      </w:r>
      <w:r w:rsidR="00E00ECB">
        <w:t xml:space="preserve"> arise from such a development could be the enactment of </w:t>
      </w:r>
      <w:r>
        <w:t xml:space="preserve">a provision </w:t>
      </w:r>
      <w:r w:rsidR="00E00ECB">
        <w:t>similar to Article 5(3) of the FCTC</w:t>
      </w:r>
      <w:r w:rsidR="003E6B7C">
        <w:t xml:space="preserve">. This would </w:t>
      </w:r>
      <w:r w:rsidR="008E52D0">
        <w:t xml:space="preserve">bar </w:t>
      </w:r>
      <w:r w:rsidR="00E20B27">
        <w:t xml:space="preserve">all </w:t>
      </w:r>
      <w:r w:rsidR="00624CDA">
        <w:t xml:space="preserve">policy </w:t>
      </w:r>
      <w:r w:rsidR="00E20B27">
        <w:t>collaboration</w:t>
      </w:r>
      <w:r w:rsidR="008E52D0">
        <w:t xml:space="preserve"> with the industry, </w:t>
      </w:r>
      <w:r w:rsidR="00624CDA">
        <w:t>securing</w:t>
      </w:r>
      <w:r w:rsidR="008E52D0">
        <w:t xml:space="preserve"> a reduction in the </w:t>
      </w:r>
      <w:r w:rsidR="00624CDA">
        <w:t xml:space="preserve">substantive input of </w:t>
      </w:r>
      <w:r w:rsidR="008E52D0">
        <w:t xml:space="preserve">industry </w:t>
      </w:r>
      <w:r w:rsidR="00AC7850">
        <w:t xml:space="preserve">operators </w:t>
      </w:r>
      <w:r w:rsidR="00624CDA">
        <w:t>into</w:t>
      </w:r>
      <w:r w:rsidR="008E52D0">
        <w:t xml:space="preserve"> alcohol policy making</w:t>
      </w:r>
      <w:r>
        <w:t>.  Taylor and Dhillon note</w:t>
      </w:r>
      <w:r w:rsidR="00AC7850">
        <w:t xml:space="preserve"> that</w:t>
      </w:r>
      <w:r>
        <w:t xml:space="preserve"> “achieving multilateral agreement is especially challenging in the context of alcohol due to industry influence”.</w:t>
      </w:r>
      <w:r>
        <w:rPr>
          <w:rStyle w:val="FootnoteReference"/>
        </w:rPr>
        <w:footnoteReference w:id="31"/>
      </w:r>
      <w:r>
        <w:t xml:space="preserve"> However, as others </w:t>
      </w:r>
      <w:r w:rsidR="00624CDA">
        <w:t>rightly</w:t>
      </w:r>
      <w:r>
        <w:t xml:space="preserve"> point out, “experience with other industries, especially through tobacco control efforts, can also teach us a lot about how to critically examine and resist the alcohol industry’s behavior and practices”</w:t>
      </w:r>
      <w:r w:rsidR="00EC5BCB">
        <w:t>.</w:t>
      </w:r>
      <w:r>
        <w:rPr>
          <w:rStyle w:val="FootnoteReference"/>
        </w:rPr>
        <w:footnoteReference w:id="32"/>
      </w:r>
      <w:r>
        <w:t xml:space="preserve"> </w:t>
      </w:r>
      <w:r w:rsidR="00EC5BCB">
        <w:t>Consequently, an international commitment to move alcohol policy forward without the input of the alcohol industry, inspired by the provisions of the FCTC, is not something that should be shied away from</w:t>
      </w:r>
      <w:r w:rsidR="009F53AB">
        <w:t xml:space="preserve">. </w:t>
      </w:r>
    </w:p>
    <w:p w14:paraId="088FD01C" w14:textId="77777777" w:rsidR="00413F53" w:rsidRDefault="00413F53" w:rsidP="00941698">
      <w:pPr>
        <w:spacing w:line="360" w:lineRule="auto"/>
      </w:pPr>
    </w:p>
    <w:p w14:paraId="103351D7" w14:textId="304EDACB" w:rsidR="00F678E3" w:rsidRDefault="009F53AB" w:rsidP="00941698">
      <w:pPr>
        <w:spacing w:line="360" w:lineRule="auto"/>
      </w:pPr>
      <w:r>
        <w:t xml:space="preserve">Of course </w:t>
      </w:r>
      <w:r w:rsidR="00624CDA">
        <w:t>thought must be given to</w:t>
      </w:r>
      <w:r>
        <w:t xml:space="preserve"> the inevitable counter argument to an analogy with tobacco</w:t>
      </w:r>
      <w:r w:rsidR="00E20B27">
        <w:t xml:space="preserve"> policy</w:t>
      </w:r>
      <w:r>
        <w:t xml:space="preserve">, which </w:t>
      </w:r>
      <w:r w:rsidR="00413F53">
        <w:t>correctly</w:t>
      </w:r>
      <w:r>
        <w:t xml:space="preserve"> points out that tobacco and alcohol as substances differ </w:t>
      </w:r>
      <w:r w:rsidR="00E20B27">
        <w:t>fundamentally</w:t>
      </w:r>
      <w:r>
        <w:t xml:space="preserve"> since tobacco is always harmful whatever the dose whereas it is only excessive consumption of alcohol that is harmful, with research even suggesting that low leve</w:t>
      </w:r>
      <w:r w:rsidR="00F3792E">
        <w:t>ls of alcohol consumption may have beneficial health effects</w:t>
      </w:r>
      <w:r w:rsidR="00EF0FEC">
        <w:t>.</w:t>
      </w:r>
      <w:r w:rsidR="00F3792E">
        <w:rPr>
          <w:rStyle w:val="FootnoteReference"/>
        </w:rPr>
        <w:footnoteReference w:id="33"/>
      </w:r>
      <w:r>
        <w:t xml:space="preserve"> However, e</w:t>
      </w:r>
      <w:r w:rsidR="00907BAC">
        <w:t xml:space="preserve">xcessive consumption of alcohol is a </w:t>
      </w:r>
      <w:r w:rsidR="00907BAC">
        <w:lastRenderedPageBreak/>
        <w:t xml:space="preserve">greater </w:t>
      </w:r>
      <w:r w:rsidR="003F38C1">
        <w:t>problem than is generally acknowledged. In the European Union the average adult consumption of alcohol according to WHO figures was 12.5 litres of pure alcohol, or 27g (nearly three drinks) per day, which is more than double the world average.</w:t>
      </w:r>
      <w:r w:rsidR="003F38C1">
        <w:rPr>
          <w:rStyle w:val="FootnoteReference"/>
        </w:rPr>
        <w:footnoteReference w:id="34"/>
      </w:r>
      <w:r w:rsidR="003F38C1">
        <w:t xml:space="preserve"> In many Member States such as the UK</w:t>
      </w:r>
      <w:r w:rsidR="00FF25F6">
        <w:t xml:space="preserve"> </w:t>
      </w:r>
      <w:r w:rsidR="003847C3">
        <w:t>excessive consumption of alcohol is</w:t>
      </w:r>
      <w:r w:rsidR="003F38C1">
        <w:t xml:space="preserve"> common</w:t>
      </w:r>
      <w:r w:rsidR="004B2DFF">
        <w:t>,</w:t>
      </w:r>
      <w:r w:rsidR="00E7464D">
        <w:rPr>
          <w:rStyle w:val="FootnoteReference"/>
        </w:rPr>
        <w:footnoteReference w:id="35"/>
      </w:r>
      <w:r w:rsidR="004B2DFF">
        <w:t xml:space="preserve"> to the extent that the UK Prime Minister acknowledged in the Government</w:t>
      </w:r>
      <w:r w:rsidR="00EC5BCB">
        <w:t>’</w:t>
      </w:r>
      <w:r w:rsidR="004B2DFF">
        <w:t xml:space="preserve">s </w:t>
      </w:r>
      <w:r w:rsidR="00EC5BCB">
        <w:t>new</w:t>
      </w:r>
      <w:r w:rsidR="004B2DFF">
        <w:t xml:space="preserve"> Alcohol Strategy that binge drinking accounts for half of all alcohol consumed in the UK.</w:t>
      </w:r>
      <w:r w:rsidR="00EC5BCB">
        <w:rPr>
          <w:rStyle w:val="FootnoteReference"/>
        </w:rPr>
        <w:footnoteReference w:id="36"/>
      </w:r>
      <w:r w:rsidR="004B2DFF">
        <w:t xml:space="preserve"> </w:t>
      </w:r>
      <w:r w:rsidR="00EF0FEC">
        <w:t xml:space="preserve"> </w:t>
      </w:r>
      <w:r w:rsidR="00140C72">
        <w:t xml:space="preserve">The levels of excessive alcohol consumption that exist lead alcohol to be the third leading risk factor for disease and mortality in Europe directly after tobacco and high blood pressure, which </w:t>
      </w:r>
      <w:r w:rsidR="006B6D06">
        <w:t>therefore indicates that to</w:t>
      </w:r>
      <w:r w:rsidR="003D0B0E">
        <w:t xml:space="preserve"> apply principles</w:t>
      </w:r>
      <w:r w:rsidR="00140C72">
        <w:t xml:space="preserve"> developed </w:t>
      </w:r>
      <w:r w:rsidR="00140C72" w:rsidRPr="00140C72">
        <w:t>in</w:t>
      </w:r>
      <w:r w:rsidR="00140C72">
        <w:t xml:space="preserve"> relation to the </w:t>
      </w:r>
      <w:r w:rsidR="003D0B0E">
        <w:t xml:space="preserve">regulation of tobacco to the regulation of alcohol </w:t>
      </w:r>
      <w:r w:rsidR="00197F86">
        <w:t>is not disproportionate</w:t>
      </w:r>
      <w:r w:rsidR="00C964F0">
        <w:t>.</w:t>
      </w:r>
    </w:p>
    <w:p w14:paraId="3927E69A" w14:textId="77777777" w:rsidR="006E1878" w:rsidRDefault="006E1878" w:rsidP="00AB3065">
      <w:pPr>
        <w:spacing w:line="360" w:lineRule="auto"/>
      </w:pPr>
    </w:p>
    <w:p w14:paraId="3D3A5335" w14:textId="5C2C66BA" w:rsidR="00BD4C38" w:rsidRDefault="00951B62" w:rsidP="00AB3065">
      <w:pPr>
        <w:spacing w:line="360" w:lineRule="auto"/>
      </w:pPr>
      <w:r>
        <w:t>P</w:t>
      </w:r>
      <w:r w:rsidR="00541EFD">
        <w:t>olicy makers</w:t>
      </w:r>
      <w:r w:rsidR="006B6D06">
        <w:t xml:space="preserve"> must</w:t>
      </w:r>
      <w:r w:rsidR="00541EFD">
        <w:t xml:space="preserve"> </w:t>
      </w:r>
      <w:r>
        <w:t xml:space="preserve">also </w:t>
      </w:r>
      <w:r w:rsidR="00413F53">
        <w:t>be careful to prepare for the inevitable</w:t>
      </w:r>
      <w:r>
        <w:t xml:space="preserve"> </w:t>
      </w:r>
      <w:r w:rsidR="00413F53">
        <w:t>legal challenge to any strong alcohol policy</w:t>
      </w:r>
      <w:r w:rsidR="009F73F9">
        <w:t xml:space="preserve">. </w:t>
      </w:r>
      <w:r w:rsidR="003467CD">
        <w:t>S</w:t>
      </w:r>
      <w:r w:rsidR="00F339FC">
        <w:t>everal</w:t>
      </w:r>
      <w:r w:rsidR="001841F9">
        <w:t xml:space="preserve"> national</w:t>
      </w:r>
      <w:r w:rsidR="00F339FC">
        <w:t xml:space="preserve"> </w:t>
      </w:r>
      <w:r w:rsidR="001F2D08">
        <w:t>alcohol advertising</w:t>
      </w:r>
      <w:r w:rsidR="00F339FC">
        <w:t xml:space="preserve"> bans have been disputed directly by t</w:t>
      </w:r>
      <w:r w:rsidR="001F2D08">
        <w:t>he industry in domestic courts</w:t>
      </w:r>
      <w:r w:rsidR="001841F9">
        <w:t>, including</w:t>
      </w:r>
      <w:r w:rsidR="00F339FC">
        <w:t xml:space="preserve"> the French Loi Evin</w:t>
      </w:r>
      <w:r w:rsidR="008122AD">
        <w:t xml:space="preserve"> in </w:t>
      </w:r>
      <w:r w:rsidR="008122AD">
        <w:rPr>
          <w:i/>
        </w:rPr>
        <w:t>Bacardi France</w:t>
      </w:r>
      <w:r w:rsidR="003812B5">
        <w:t>,</w:t>
      </w:r>
      <w:r w:rsidR="008122AD" w:rsidRPr="000D0E6F">
        <w:rPr>
          <w:rStyle w:val="FootnoteReference"/>
        </w:rPr>
        <w:footnoteReference w:id="37"/>
      </w:r>
      <w:r w:rsidR="008122AD">
        <w:t xml:space="preserve"> the Swedish </w:t>
      </w:r>
      <w:r w:rsidR="003812B5">
        <w:t xml:space="preserve">total </w:t>
      </w:r>
      <w:r w:rsidR="008122AD">
        <w:t xml:space="preserve">ban in </w:t>
      </w:r>
      <w:r w:rsidR="008122AD">
        <w:rPr>
          <w:i/>
        </w:rPr>
        <w:t>Gourmet</w:t>
      </w:r>
      <w:r w:rsidR="003812B5">
        <w:t>,</w:t>
      </w:r>
      <w:r w:rsidR="008122AD">
        <w:rPr>
          <w:rStyle w:val="FootnoteReference"/>
        </w:rPr>
        <w:footnoteReference w:id="38"/>
      </w:r>
      <w:r w:rsidR="003812B5">
        <w:t xml:space="preserve"> and the Norwegian total ban in </w:t>
      </w:r>
      <w:r w:rsidR="003812B5">
        <w:rPr>
          <w:i/>
        </w:rPr>
        <w:t>Pedicel</w:t>
      </w:r>
      <w:r w:rsidR="003812B5">
        <w:t>.</w:t>
      </w:r>
      <w:r w:rsidR="003812B5">
        <w:rPr>
          <w:rStyle w:val="FootnoteReference"/>
        </w:rPr>
        <w:footnoteReference w:id="39"/>
      </w:r>
      <w:r w:rsidR="003467CD">
        <w:t xml:space="preserve"> Furthermore, the challenge to the EU’s total ban on cigarette advertising</w:t>
      </w:r>
      <w:r w:rsidR="003467CD">
        <w:rPr>
          <w:rStyle w:val="FootnoteReference"/>
        </w:rPr>
        <w:footnoteReference w:id="40"/>
      </w:r>
      <w:r w:rsidR="003467CD">
        <w:t xml:space="preserve"> tells us that EU measures on alcohol might come under fire as well.</w:t>
      </w:r>
      <w:r w:rsidR="005B16F4">
        <w:t xml:space="preserve"> The proportionality assessments made by the Court of Justice of the European Union of these bans</w:t>
      </w:r>
      <w:r w:rsidR="005E3916">
        <w:t xml:space="preserve">, which determine whether or not the legislator has gone too far in promoting public health at the expense of other interests, </w:t>
      </w:r>
      <w:r w:rsidR="005B16F4">
        <w:t xml:space="preserve">have been somewhat erratic. </w:t>
      </w:r>
      <w:r w:rsidR="00BD7579">
        <w:t xml:space="preserve">In </w:t>
      </w:r>
      <w:r w:rsidR="005B16F4">
        <w:rPr>
          <w:i/>
        </w:rPr>
        <w:t>Tobacco Advertising 2</w:t>
      </w:r>
      <w:r w:rsidR="005E3916">
        <w:t>,</w:t>
      </w:r>
      <w:r w:rsidR="005B16F4" w:rsidRPr="002E4B5B">
        <w:rPr>
          <w:rStyle w:val="FootnoteReference"/>
        </w:rPr>
        <w:footnoteReference w:id="41"/>
      </w:r>
      <w:r w:rsidR="007F4485" w:rsidRPr="005B16F4">
        <w:t xml:space="preserve"> </w:t>
      </w:r>
      <w:r w:rsidR="005E3916">
        <w:t xml:space="preserve">although the Directive was eventually struck down </w:t>
      </w:r>
      <w:r w:rsidR="00415DBF">
        <w:t xml:space="preserve">for the reason that some of its prohibitions on static </w:t>
      </w:r>
      <w:r w:rsidR="00415DBF">
        <w:lastRenderedPageBreak/>
        <w:t>forms of advertising (i</w:t>
      </w:r>
      <w:r w:rsidR="00415004">
        <w:t>.</w:t>
      </w:r>
      <w:r w:rsidR="00415DBF">
        <w:t>e</w:t>
      </w:r>
      <w:r w:rsidR="00415004">
        <w:t>.</w:t>
      </w:r>
      <w:r w:rsidR="00415DBF">
        <w:t xml:space="preserve"> non cross-border) advertising ‘in no way help to facilitate trade in the products concerned’</w:t>
      </w:r>
      <w:r w:rsidR="00415DBF">
        <w:rPr>
          <w:rStyle w:val="FootnoteReference"/>
        </w:rPr>
        <w:footnoteReference w:id="42"/>
      </w:r>
      <w:r w:rsidR="00415DBF">
        <w:t xml:space="preserve"> and thus did not meet the conditions of recourse to the chosen legal basis of Article 114 TFEU because </w:t>
      </w:r>
      <w:r w:rsidR="00FB1411">
        <w:t>they</w:t>
      </w:r>
      <w:r w:rsidR="00415DBF">
        <w:t xml:space="preserve"> did not ‘genuinely have as </w:t>
      </w:r>
      <w:r w:rsidR="00FB1411">
        <w:t>[their]</w:t>
      </w:r>
      <w:r w:rsidR="00415DBF">
        <w:t xml:space="preserve"> object the improvement of the conditions for the establishment and functioning of the internal market’,</w:t>
      </w:r>
      <w:r w:rsidR="00415DBF">
        <w:rPr>
          <w:rStyle w:val="FootnoteReference"/>
        </w:rPr>
        <w:footnoteReference w:id="43"/>
      </w:r>
      <w:r w:rsidR="00415DBF">
        <w:t xml:space="preserve"> </w:t>
      </w:r>
      <w:r w:rsidR="005B16F4">
        <w:t>the</w:t>
      </w:r>
      <w:r w:rsidR="00415DBF">
        <w:t xml:space="preserve"> </w:t>
      </w:r>
      <w:r w:rsidR="005B16F4">
        <w:t xml:space="preserve">engagement with </w:t>
      </w:r>
      <w:r w:rsidR="00415DBF">
        <w:t xml:space="preserve">the </w:t>
      </w:r>
      <w:r w:rsidR="005B16F4">
        <w:t>proportionality</w:t>
      </w:r>
      <w:r w:rsidR="00413F53">
        <w:t xml:space="preserve"> in the case</w:t>
      </w:r>
      <w:r w:rsidR="005B16F4">
        <w:t xml:space="preserve"> was weak</w:t>
      </w:r>
      <w:r w:rsidR="00832927">
        <w:t>,</w:t>
      </w:r>
      <w:r w:rsidR="005B16F4">
        <w:t xml:space="preserve"> did not sufficiently engage with the evidence</w:t>
      </w:r>
      <w:r w:rsidR="00832927">
        <w:t xml:space="preserve"> and ‘may cut both ways’</w:t>
      </w:r>
      <w:r w:rsidR="005B16F4">
        <w:rPr>
          <w:rStyle w:val="FootnoteReference"/>
        </w:rPr>
        <w:footnoteReference w:id="44"/>
      </w:r>
      <w:r w:rsidR="00415DBF">
        <w:t xml:space="preserve"> when relied on in later judgements.</w:t>
      </w:r>
      <w:r w:rsidR="006C2A26">
        <w:t xml:space="preserve"> Although this was the first and only time the Court had struck down a piece of EU legislation, the</w:t>
      </w:r>
      <w:r w:rsidR="00832927">
        <w:t xml:space="preserve"> refusal to discuss proportionality in any depth may have set the tone for future assessments</w:t>
      </w:r>
      <w:r w:rsidR="006C2A26">
        <w:t xml:space="preserve"> of public health legislation</w:t>
      </w:r>
      <w:r w:rsidR="00832927">
        <w:t xml:space="preserve">. The Court in </w:t>
      </w:r>
      <w:r w:rsidR="00832927">
        <w:rPr>
          <w:i/>
        </w:rPr>
        <w:t>Gourmet</w:t>
      </w:r>
      <w:r w:rsidR="00832927">
        <w:t xml:space="preserve"> did not engage with proportionality at all, instead regrettably leaving it to the national court, which then declared the</w:t>
      </w:r>
      <w:r w:rsidR="00BD7579">
        <w:t xml:space="preserve"> Swedish ban disproportionate. However the </w:t>
      </w:r>
      <w:r w:rsidR="00832927">
        <w:t xml:space="preserve">Court did </w:t>
      </w:r>
      <w:r>
        <w:t xml:space="preserve">do so </w:t>
      </w:r>
      <w:r w:rsidR="00832927">
        <w:t xml:space="preserve">in </w:t>
      </w:r>
      <w:r w:rsidR="00832927">
        <w:rPr>
          <w:i/>
        </w:rPr>
        <w:t>Bacardi France</w:t>
      </w:r>
      <w:r w:rsidR="002E4B5B">
        <w:t xml:space="preserve">, </w:t>
      </w:r>
      <w:r w:rsidR="00BD7579">
        <w:t>although</w:t>
      </w:r>
      <w:r w:rsidR="00832927">
        <w:t xml:space="preserve"> again not with any level of detail</w:t>
      </w:r>
      <w:r w:rsidR="002E4B5B">
        <w:t xml:space="preserve"> – it ‘merely observed’</w:t>
      </w:r>
      <w:r w:rsidR="002E4B5B">
        <w:rPr>
          <w:rStyle w:val="FootnoteReference"/>
        </w:rPr>
        <w:footnoteReference w:id="45"/>
      </w:r>
      <w:r w:rsidR="00BD7579">
        <w:t xml:space="preserve"> </w:t>
      </w:r>
      <w:r w:rsidR="002E4B5B">
        <w:t>that the French prohibition was appropriate</w:t>
      </w:r>
      <w:r w:rsidR="00FB1411">
        <w:t>, which led to the French ban surviving</w:t>
      </w:r>
      <w:r w:rsidR="00832927">
        <w:t xml:space="preserve">. </w:t>
      </w:r>
      <w:r w:rsidR="002E4B5B">
        <w:t xml:space="preserve">Given </w:t>
      </w:r>
      <w:r w:rsidR="00BD7579">
        <w:t xml:space="preserve">this inconsistent treatment of </w:t>
      </w:r>
      <w:r w:rsidR="002E4B5B">
        <w:t xml:space="preserve">the proportionality of bans adopted in the name of public health, policy makers must ensure that the evidence supporting such measures is engaged with </w:t>
      </w:r>
      <w:r w:rsidR="00BD7579">
        <w:t>early on</w:t>
      </w:r>
      <w:r w:rsidR="002E4B5B">
        <w:t xml:space="preserve">, in order to leave no doubt that advertising bans are a </w:t>
      </w:r>
      <w:r w:rsidR="00BD7579">
        <w:t>proportionate</w:t>
      </w:r>
      <w:r w:rsidR="002E4B5B">
        <w:t xml:space="preserve"> </w:t>
      </w:r>
      <w:r w:rsidR="00BD7579">
        <w:t>response to protect</w:t>
      </w:r>
      <w:r w:rsidR="002E4B5B">
        <w:t xml:space="preserve"> public health. </w:t>
      </w:r>
      <w:r w:rsidR="00493DD9">
        <w:t xml:space="preserve">The </w:t>
      </w:r>
      <w:r w:rsidR="001F2D08">
        <w:t>more that is learn</w:t>
      </w:r>
      <w:r w:rsidR="00541EFD">
        <w:t>t</w:t>
      </w:r>
      <w:r w:rsidR="001F2D08">
        <w:t xml:space="preserve"> from </w:t>
      </w:r>
      <w:r w:rsidR="00BD7579">
        <w:t>legal precedent</w:t>
      </w:r>
      <w:r w:rsidR="001F2D08">
        <w:t xml:space="preserve">, the </w:t>
      </w:r>
      <w:r w:rsidR="00493DD9">
        <w:t xml:space="preserve">better </w:t>
      </w:r>
      <w:r w:rsidR="00BD7579">
        <w:t xml:space="preserve">the </w:t>
      </w:r>
      <w:r w:rsidR="001F2D08">
        <w:t xml:space="preserve">chance </w:t>
      </w:r>
      <w:r w:rsidR="00BD7579">
        <w:t>policy makers</w:t>
      </w:r>
      <w:r w:rsidR="001F2D08">
        <w:t xml:space="preserve"> will have of </w:t>
      </w:r>
      <w:r w:rsidR="00541EFD">
        <w:t>defending</w:t>
      </w:r>
      <w:r w:rsidR="002627D7">
        <w:t xml:space="preserve"> strong policies. </w:t>
      </w:r>
    </w:p>
    <w:p w14:paraId="3E8A223B" w14:textId="77777777" w:rsidR="00CA33D5" w:rsidRPr="00CA33D5" w:rsidRDefault="00CA33D5" w:rsidP="00AB3065">
      <w:pPr>
        <w:pStyle w:val="Heading1"/>
        <w:spacing w:line="360" w:lineRule="auto"/>
      </w:pPr>
      <w:r>
        <w:t>Conclusion</w:t>
      </w:r>
    </w:p>
    <w:p w14:paraId="544FF697" w14:textId="77777777" w:rsidR="00CA33D5" w:rsidRDefault="00CA33D5" w:rsidP="00AB3065">
      <w:pPr>
        <w:spacing w:line="360" w:lineRule="auto"/>
      </w:pPr>
    </w:p>
    <w:p w14:paraId="08CD6322" w14:textId="7C136380" w:rsidR="00136FBF" w:rsidRDefault="00F76F3E" w:rsidP="00AB3065">
      <w:pPr>
        <w:spacing w:line="360" w:lineRule="auto"/>
      </w:pPr>
      <w:r>
        <w:t>The current EU Alcohol Strategy was d</w:t>
      </w:r>
      <w:r w:rsidR="00461D2B">
        <w:t xml:space="preserve">ue to expire in 2012, </w:t>
      </w:r>
      <w:r w:rsidR="00BD5D53">
        <w:t>and we are</w:t>
      </w:r>
      <w:r w:rsidR="00461D2B">
        <w:t xml:space="preserve"> now</w:t>
      </w:r>
      <w:r w:rsidR="00BD5D53">
        <w:t xml:space="preserve"> awaiting a new Strategy from the Commission</w:t>
      </w:r>
      <w:r>
        <w:t xml:space="preserve">. </w:t>
      </w:r>
      <w:r w:rsidR="00461D2B">
        <w:t>In the meantime, i</w:t>
      </w:r>
      <w:r w:rsidR="00E770F3">
        <w:t>ni</w:t>
      </w:r>
      <w:r w:rsidR="001F2D08">
        <w:t xml:space="preserve">tiatives such as the </w:t>
      </w:r>
      <w:r w:rsidR="001F2D08">
        <w:rPr>
          <w:i/>
        </w:rPr>
        <w:t xml:space="preserve">Health First </w:t>
      </w:r>
      <w:r w:rsidR="00461D2B">
        <w:t>report are very welcome</w:t>
      </w:r>
      <w:r w:rsidR="00E770F3">
        <w:t xml:space="preserve">, both at national and EU level. </w:t>
      </w:r>
      <w:r w:rsidR="00E770F3">
        <w:lastRenderedPageBreak/>
        <w:t>However if we want to see the Commission and national governments make the strong commitment to legislation that is called for</w:t>
      </w:r>
      <w:r w:rsidR="00461D2B">
        <w:t xml:space="preserve"> by this report, much</w:t>
      </w:r>
      <w:r w:rsidR="00E770F3">
        <w:t xml:space="preserve"> effort is needed to persuade them to </w:t>
      </w:r>
      <w:r w:rsidR="00461D2B">
        <w:t xml:space="preserve">first </w:t>
      </w:r>
      <w:r w:rsidR="00E770F3">
        <w:t xml:space="preserve">cut loose the alcohol industry </w:t>
      </w:r>
      <w:r w:rsidR="00136FBF">
        <w:t>who for years have managed t</w:t>
      </w:r>
      <w:r w:rsidR="00461D2B">
        <w:t>o exert considerable</w:t>
      </w:r>
      <w:r w:rsidR="00136FBF">
        <w:t xml:space="preserve"> influence</w:t>
      </w:r>
      <w:r w:rsidR="00E062C5">
        <w:t xml:space="preserve"> at all levels</w:t>
      </w:r>
      <w:r w:rsidR="00136FBF">
        <w:t xml:space="preserve"> in order to block effective regulation.</w:t>
      </w:r>
    </w:p>
    <w:p w14:paraId="08E48EBE" w14:textId="77777777" w:rsidR="00F76F3E" w:rsidRDefault="00F76F3E" w:rsidP="00AB3065">
      <w:pPr>
        <w:spacing w:line="360" w:lineRule="auto"/>
      </w:pPr>
    </w:p>
    <w:p w14:paraId="61CBD773" w14:textId="16E02DC5" w:rsidR="00CA33D5" w:rsidRDefault="002A330E" w:rsidP="00AB3065">
      <w:pPr>
        <w:spacing w:line="360" w:lineRule="auto"/>
      </w:pPr>
      <w:r>
        <w:t xml:space="preserve">One American judge has summed up </w:t>
      </w:r>
      <w:r w:rsidR="00E770F3">
        <w:t xml:space="preserve">the </w:t>
      </w:r>
      <w:r w:rsidR="00E062C5">
        <w:t xml:space="preserve">nature of </w:t>
      </w:r>
      <w:r w:rsidR="00461D2B">
        <w:t xml:space="preserve">all </w:t>
      </w:r>
      <w:r w:rsidR="00E062C5">
        <w:t>dangerous consumption industries</w:t>
      </w:r>
      <w:r>
        <w:t xml:space="preserve"> in the context of tobacco</w:t>
      </w:r>
      <w:r w:rsidR="0025146D">
        <w:t xml:space="preserve"> bluntly but, i</w:t>
      </w:r>
      <w:r w:rsidR="00A650F5">
        <w:t>t is submitted here,</w:t>
      </w:r>
      <w:r w:rsidR="0025146D">
        <w:t xml:space="preserve"> truthfully: </w:t>
      </w:r>
      <w:r w:rsidR="000B517C">
        <w:t>“</w:t>
      </w:r>
      <w:r w:rsidR="00A93E62">
        <w:t>Who are these persons who knowingly and secretly decide to put the buying public at risk solely for the purpose of making profits an</w:t>
      </w:r>
      <w:r w:rsidR="0013712B">
        <w:t xml:space="preserve">d who believe that illness and </w:t>
      </w:r>
      <w:r w:rsidR="00A93E62">
        <w:t>death of consumers is a</w:t>
      </w:r>
      <w:r>
        <w:t>n</w:t>
      </w:r>
      <w:r w:rsidR="00A93E62">
        <w:t xml:space="preserve"> appropriate cos</w:t>
      </w:r>
      <w:r w:rsidR="000B517C">
        <w:t>t of their own prosperity”</w:t>
      </w:r>
      <w:r w:rsidR="00A93E62">
        <w:t>.</w:t>
      </w:r>
      <w:r w:rsidR="00A93E62">
        <w:rPr>
          <w:rStyle w:val="FootnoteReference"/>
        </w:rPr>
        <w:footnoteReference w:id="46"/>
      </w:r>
      <w:r w:rsidR="003B34C0">
        <w:t xml:space="preserve"> It is not until policy makers </w:t>
      </w:r>
      <w:r w:rsidR="006C3A1B">
        <w:t>realise</w:t>
      </w:r>
      <w:r w:rsidR="00E770F3">
        <w:t xml:space="preserve"> that </w:t>
      </w:r>
      <w:r w:rsidR="00A52A8A">
        <w:t xml:space="preserve">there is no reconciling </w:t>
      </w:r>
      <w:r w:rsidR="00CB3A24">
        <w:t>this identity</w:t>
      </w:r>
      <w:r w:rsidR="00E062C5">
        <w:t xml:space="preserve"> with effective public health regulation</w:t>
      </w:r>
      <w:r w:rsidR="006C3A1B">
        <w:t>, and start managing this conflict of interest</w:t>
      </w:r>
      <w:r w:rsidR="00461D2B">
        <w:t xml:space="preserve"> in the alcohol field</w:t>
      </w:r>
      <w:r w:rsidR="006C3A1B">
        <w:t xml:space="preserve"> appropriately,</w:t>
      </w:r>
      <w:r w:rsidR="00E770F3">
        <w:t xml:space="preserve"> </w:t>
      </w:r>
      <w:r w:rsidR="003B34C0">
        <w:t xml:space="preserve">that policies </w:t>
      </w:r>
      <w:r>
        <w:t>as bold as a total ban on</w:t>
      </w:r>
      <w:r w:rsidR="003B34C0">
        <w:t xml:space="preserve"> alcohol</w:t>
      </w:r>
      <w:r>
        <w:t xml:space="preserve"> advertising</w:t>
      </w:r>
      <w:r w:rsidR="00DF2FB1">
        <w:t xml:space="preserve"> can</w:t>
      </w:r>
      <w:r>
        <w:t xml:space="preserve"> be p</w:t>
      </w:r>
      <w:r w:rsidR="00CB3A24">
        <w:t>ut into action</w:t>
      </w:r>
      <w:r w:rsidR="00642CE0">
        <w:t>.</w:t>
      </w:r>
    </w:p>
    <w:p w14:paraId="3F2C84DF" w14:textId="77777777" w:rsidR="00CF482A" w:rsidRDefault="00CF482A" w:rsidP="00AB3065">
      <w:pPr>
        <w:spacing w:line="360" w:lineRule="auto"/>
      </w:pPr>
    </w:p>
    <w:p w14:paraId="5FE4DDE4" w14:textId="77777777" w:rsidR="005C3051" w:rsidRDefault="005C3051" w:rsidP="00AB3065">
      <w:pPr>
        <w:spacing w:line="360" w:lineRule="auto"/>
      </w:pPr>
    </w:p>
    <w:p w14:paraId="375EF407" w14:textId="6288E975" w:rsidR="006E3CAE" w:rsidRDefault="006E3CAE" w:rsidP="00AB3065">
      <w:pPr>
        <w:spacing w:line="360" w:lineRule="auto"/>
      </w:pPr>
    </w:p>
    <w:p w14:paraId="18ABFA2A" w14:textId="77777777" w:rsidR="00D54032" w:rsidRDefault="00D54032" w:rsidP="00AB3065">
      <w:pPr>
        <w:spacing w:line="360" w:lineRule="auto"/>
      </w:pPr>
    </w:p>
    <w:p w14:paraId="18A8E6EA" w14:textId="77777777" w:rsidR="00D54032" w:rsidRDefault="00D54032" w:rsidP="00AB3065">
      <w:pPr>
        <w:spacing w:line="360" w:lineRule="auto"/>
      </w:pPr>
    </w:p>
    <w:p w14:paraId="22AF67B1" w14:textId="77777777" w:rsidR="00D54032" w:rsidRDefault="00D54032" w:rsidP="00AB3065">
      <w:pPr>
        <w:spacing w:line="360" w:lineRule="auto"/>
      </w:pPr>
    </w:p>
    <w:p w14:paraId="3E29AC1F" w14:textId="77777777" w:rsidR="00D54032" w:rsidRDefault="00D54032" w:rsidP="00AB3065">
      <w:pPr>
        <w:spacing w:line="360" w:lineRule="auto"/>
      </w:pPr>
    </w:p>
    <w:p w14:paraId="5FBCEB4A" w14:textId="77777777" w:rsidR="00D54032" w:rsidRDefault="00D54032" w:rsidP="00AB3065">
      <w:pPr>
        <w:spacing w:line="360" w:lineRule="auto"/>
      </w:pPr>
    </w:p>
    <w:p w14:paraId="6D9B6167" w14:textId="77777777" w:rsidR="00D54032" w:rsidRDefault="00D54032" w:rsidP="00AB3065">
      <w:pPr>
        <w:spacing w:line="360" w:lineRule="auto"/>
      </w:pPr>
    </w:p>
    <w:p w14:paraId="7CF49F5B" w14:textId="77777777" w:rsidR="00D54032" w:rsidRDefault="00D54032" w:rsidP="00AB3065">
      <w:pPr>
        <w:spacing w:line="360" w:lineRule="auto"/>
      </w:pPr>
    </w:p>
    <w:p w14:paraId="4F925879" w14:textId="77777777" w:rsidR="00D54032" w:rsidRDefault="00D54032" w:rsidP="00AB3065">
      <w:pPr>
        <w:spacing w:line="360" w:lineRule="auto"/>
      </w:pPr>
    </w:p>
    <w:p w14:paraId="3C5901E2" w14:textId="77777777" w:rsidR="00D54032" w:rsidRDefault="00D54032" w:rsidP="00AB3065">
      <w:pPr>
        <w:spacing w:line="360" w:lineRule="auto"/>
      </w:pPr>
    </w:p>
    <w:p w14:paraId="3DAA1278" w14:textId="403184EB" w:rsidR="00D54032" w:rsidRDefault="00D54032" w:rsidP="00AB3065">
      <w:pPr>
        <w:spacing w:line="360" w:lineRule="auto"/>
      </w:pPr>
    </w:p>
    <w:sectPr w:rsidR="00D54032" w:rsidSect="00842F9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7A9BD" w14:textId="77777777" w:rsidR="002A679D" w:rsidRDefault="002A679D" w:rsidP="006D40AC">
      <w:r>
        <w:separator/>
      </w:r>
    </w:p>
  </w:endnote>
  <w:endnote w:type="continuationSeparator" w:id="0">
    <w:p w14:paraId="2A3B2232" w14:textId="77777777" w:rsidR="002A679D" w:rsidRDefault="002A679D" w:rsidP="006D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EA1BD" w14:textId="77777777" w:rsidR="002A679D" w:rsidRDefault="002A679D" w:rsidP="006D40AC">
      <w:r>
        <w:separator/>
      </w:r>
    </w:p>
  </w:footnote>
  <w:footnote w:type="continuationSeparator" w:id="0">
    <w:p w14:paraId="187C77AF" w14:textId="77777777" w:rsidR="002A679D" w:rsidRDefault="002A679D" w:rsidP="006D40AC">
      <w:r>
        <w:continuationSeparator/>
      </w:r>
    </w:p>
  </w:footnote>
  <w:footnote w:id="1">
    <w:p w14:paraId="49AD1C82" w14:textId="53EC4317" w:rsidR="002A679D" w:rsidRPr="002A679D" w:rsidRDefault="002A679D">
      <w:pPr>
        <w:pStyle w:val="FootnoteText"/>
        <w:rPr>
          <w:i/>
          <w:sz w:val="22"/>
          <w:szCs w:val="22"/>
          <w:lang w:val="en-US"/>
        </w:rPr>
      </w:pPr>
      <w:r w:rsidRPr="002A679D">
        <w:rPr>
          <w:rStyle w:val="FootnoteReference"/>
        </w:rPr>
        <w:footnoteRef/>
      </w:r>
      <w:r w:rsidRPr="002A679D">
        <w:t xml:space="preserve"> </w:t>
      </w:r>
      <w:r w:rsidRPr="002A679D">
        <w:rPr>
          <w:sz w:val="22"/>
          <w:szCs w:val="22"/>
          <w:lang w:val="en-US"/>
        </w:rPr>
        <w:t xml:space="preserve">Durham Law School. </w:t>
      </w:r>
      <w:r w:rsidRPr="002A679D">
        <w:rPr>
          <w:i/>
          <w:sz w:val="22"/>
          <w:szCs w:val="22"/>
          <w:lang w:val="en-US"/>
        </w:rPr>
        <w:t xml:space="preserve">The author would like to thank the anonymous reviewers for their helpful comments. He would like to also offer grateful thanks to Prof. Amandine Garde (Liverpool Law School) for her support and valuable comments on drafts of this report. All mistakes remain the author’s own.  </w:t>
      </w:r>
    </w:p>
  </w:footnote>
  <w:footnote w:id="2">
    <w:p w14:paraId="49EC5C88" w14:textId="77777777" w:rsidR="001E5607" w:rsidRPr="002A679D" w:rsidRDefault="001E5607" w:rsidP="00BD7579">
      <w:pPr>
        <w:pStyle w:val="FootnoteText"/>
        <w:spacing w:line="276" w:lineRule="auto"/>
        <w:rPr>
          <w:sz w:val="22"/>
          <w:szCs w:val="22"/>
        </w:rPr>
      </w:pPr>
    </w:p>
    <w:p w14:paraId="6B8F2701" w14:textId="0BA6BC87" w:rsidR="002A679D" w:rsidRPr="002A679D" w:rsidRDefault="002A679D" w:rsidP="00BD7579">
      <w:pPr>
        <w:pStyle w:val="FootnoteText"/>
        <w:spacing w:line="276" w:lineRule="auto"/>
        <w:rPr>
          <w:sz w:val="22"/>
          <w:szCs w:val="22"/>
        </w:rPr>
      </w:pPr>
      <w:r w:rsidRPr="002A679D">
        <w:rPr>
          <w:rStyle w:val="FootnoteReference"/>
          <w:sz w:val="22"/>
          <w:szCs w:val="22"/>
        </w:rPr>
        <w:footnoteRef/>
      </w:r>
      <w:r w:rsidRPr="002A679D">
        <w:rPr>
          <w:sz w:val="22"/>
          <w:szCs w:val="22"/>
        </w:rPr>
        <w:t xml:space="preserve"> </w:t>
      </w:r>
      <w:r w:rsidRPr="002A679D">
        <w:rPr>
          <w:i/>
          <w:sz w:val="22"/>
          <w:szCs w:val="22"/>
        </w:rPr>
        <w:t xml:space="preserve">Health First: an evidence based alcohol strategy for the UK </w:t>
      </w:r>
      <w:r w:rsidRPr="002A679D">
        <w:rPr>
          <w:sz w:val="22"/>
          <w:szCs w:val="22"/>
        </w:rPr>
        <w:t xml:space="preserve">(The University of Stirling 2013) </w:t>
      </w:r>
      <w:r w:rsidRPr="002A679D">
        <w:rPr>
          <w:i/>
          <w:sz w:val="22"/>
          <w:szCs w:val="22"/>
        </w:rPr>
        <w:t xml:space="preserve">www.stir.ac.uk/management/about/social-marketing  </w:t>
      </w:r>
      <w:r w:rsidRPr="002A679D">
        <w:rPr>
          <w:sz w:val="22"/>
          <w:szCs w:val="22"/>
        </w:rPr>
        <w:t>(last accessed on 18 March 2012)</w:t>
      </w:r>
      <w:r w:rsidR="001E5607">
        <w:rPr>
          <w:sz w:val="22"/>
          <w:szCs w:val="22"/>
        </w:rPr>
        <w:t>.</w:t>
      </w:r>
    </w:p>
  </w:footnote>
  <w:footnote w:id="3">
    <w:p w14:paraId="34E098BA" w14:textId="2BDE77BF" w:rsidR="002A679D" w:rsidRPr="002A679D" w:rsidRDefault="002A679D" w:rsidP="00BD7579">
      <w:pPr>
        <w:pStyle w:val="FootnoteText"/>
        <w:spacing w:line="276" w:lineRule="auto"/>
        <w:rPr>
          <w:sz w:val="22"/>
          <w:szCs w:val="22"/>
        </w:rPr>
      </w:pPr>
      <w:r w:rsidRPr="002A679D">
        <w:rPr>
          <w:rStyle w:val="FootnoteReference"/>
          <w:sz w:val="22"/>
          <w:szCs w:val="22"/>
        </w:rPr>
        <w:footnoteRef/>
      </w:r>
      <w:r w:rsidRPr="002A679D">
        <w:rPr>
          <w:sz w:val="22"/>
          <w:szCs w:val="22"/>
        </w:rPr>
        <w:t xml:space="preserve"> </w:t>
      </w:r>
      <w:r w:rsidRPr="002A679D">
        <w:rPr>
          <w:i/>
          <w:sz w:val="22"/>
          <w:szCs w:val="22"/>
        </w:rPr>
        <w:t>Ibid</w:t>
      </w:r>
      <w:r w:rsidRPr="002A679D">
        <w:rPr>
          <w:sz w:val="22"/>
          <w:szCs w:val="22"/>
        </w:rPr>
        <w:t xml:space="preserve">., at p. 26. </w:t>
      </w:r>
    </w:p>
  </w:footnote>
  <w:footnote w:id="4">
    <w:p w14:paraId="6F0772A2" w14:textId="3C6AAEBF" w:rsidR="002A679D" w:rsidRPr="002A679D" w:rsidRDefault="002A679D" w:rsidP="00BD7579">
      <w:pPr>
        <w:pStyle w:val="FootnoteText"/>
        <w:spacing w:line="276" w:lineRule="auto"/>
        <w:rPr>
          <w:sz w:val="22"/>
          <w:szCs w:val="22"/>
          <w:lang w:val="en-US"/>
        </w:rPr>
      </w:pPr>
      <w:r w:rsidRPr="002A679D">
        <w:rPr>
          <w:rStyle w:val="FootnoteReference"/>
          <w:sz w:val="22"/>
          <w:szCs w:val="22"/>
        </w:rPr>
        <w:footnoteRef/>
      </w:r>
      <w:r w:rsidRPr="002A679D">
        <w:rPr>
          <w:sz w:val="22"/>
          <w:szCs w:val="22"/>
        </w:rPr>
        <w:t xml:space="preserve"> Peter Anderson, Lars Møller and Gauden Galea (eds), “Alcohol in the European Union: consumption, harm and policy approaches” (Copenhagen: World Health organisation Regional Office for Europe, 2012), at p. 17. </w:t>
      </w:r>
    </w:p>
  </w:footnote>
  <w:footnote w:id="5">
    <w:p w14:paraId="13E44730" w14:textId="293C3356" w:rsidR="002A679D" w:rsidRPr="002A679D" w:rsidRDefault="002A679D" w:rsidP="00BD7579">
      <w:pPr>
        <w:pStyle w:val="FootnoteText"/>
        <w:spacing w:line="276" w:lineRule="auto"/>
        <w:rPr>
          <w:sz w:val="22"/>
          <w:szCs w:val="22"/>
          <w:lang w:val="en-US"/>
        </w:rPr>
      </w:pPr>
      <w:r w:rsidRPr="002A679D">
        <w:rPr>
          <w:rStyle w:val="FootnoteReference"/>
          <w:sz w:val="22"/>
          <w:szCs w:val="22"/>
        </w:rPr>
        <w:footnoteRef/>
      </w:r>
      <w:r w:rsidRPr="002A679D">
        <w:rPr>
          <w:sz w:val="22"/>
          <w:szCs w:val="22"/>
        </w:rPr>
        <w:t xml:space="preserve"> </w:t>
      </w:r>
      <w:r w:rsidRPr="002A679D">
        <w:rPr>
          <w:i/>
          <w:sz w:val="22"/>
          <w:szCs w:val="22"/>
        </w:rPr>
        <w:t>Ibid</w:t>
      </w:r>
      <w:r w:rsidRPr="002A679D">
        <w:rPr>
          <w:sz w:val="22"/>
          <w:szCs w:val="22"/>
        </w:rPr>
        <w:t>, at p. 20.</w:t>
      </w:r>
    </w:p>
  </w:footnote>
  <w:footnote w:id="6">
    <w:p w14:paraId="48F72BF2" w14:textId="2B74EEAE" w:rsidR="002A679D" w:rsidRPr="002A679D" w:rsidRDefault="002A679D">
      <w:pPr>
        <w:pStyle w:val="FootnoteText"/>
        <w:rPr>
          <w:sz w:val="22"/>
          <w:szCs w:val="22"/>
          <w:lang w:val="en-US"/>
        </w:rPr>
      </w:pPr>
      <w:r w:rsidRPr="002A679D">
        <w:rPr>
          <w:rStyle w:val="FootnoteReference"/>
        </w:rPr>
        <w:footnoteRef/>
      </w:r>
      <w:r w:rsidRPr="002A679D">
        <w:t xml:space="preserve"> </w:t>
      </w:r>
      <w:r w:rsidRPr="002A679D">
        <w:rPr>
          <w:sz w:val="22"/>
          <w:szCs w:val="22"/>
        </w:rPr>
        <w:t xml:space="preserve">Jürgen Rehm, Robin Room, Kathryn Graham et al., “The relationship of average volume of alcohol consumption and patterns of drinking to burden of disease: an overview” 98 Addiction (2003), pp.1209 </w:t>
      </w:r>
      <w:r w:rsidRPr="002A679D">
        <w:rPr>
          <w:i/>
          <w:sz w:val="22"/>
          <w:szCs w:val="22"/>
        </w:rPr>
        <w:t xml:space="preserve">et seqq, </w:t>
      </w:r>
      <w:r w:rsidRPr="002A679D">
        <w:rPr>
          <w:sz w:val="22"/>
          <w:szCs w:val="22"/>
        </w:rPr>
        <w:t xml:space="preserve">at p. </w:t>
      </w:r>
      <w:r w:rsidRPr="002A679D">
        <w:rPr>
          <w:sz w:val="22"/>
          <w:szCs w:val="22"/>
          <w:lang w:val="en-US"/>
        </w:rPr>
        <w:t>1222.</w:t>
      </w:r>
    </w:p>
  </w:footnote>
  <w:footnote w:id="7">
    <w:p w14:paraId="79233B0F" w14:textId="77B4427B" w:rsidR="002A679D" w:rsidRPr="002A679D" w:rsidRDefault="002A679D" w:rsidP="00932650">
      <w:pPr>
        <w:pStyle w:val="FootnoteText"/>
        <w:spacing w:line="276" w:lineRule="auto"/>
        <w:rPr>
          <w:rFonts w:cs="Times New Roman"/>
          <w:sz w:val="22"/>
          <w:szCs w:val="22"/>
          <w:lang w:val="en-US"/>
        </w:rPr>
      </w:pPr>
      <w:r w:rsidRPr="002A679D">
        <w:rPr>
          <w:rStyle w:val="FootnoteReference"/>
          <w:sz w:val="22"/>
          <w:szCs w:val="22"/>
        </w:rPr>
        <w:footnoteRef/>
      </w:r>
      <w:r w:rsidRPr="002A679D">
        <w:rPr>
          <w:sz w:val="22"/>
          <w:szCs w:val="22"/>
        </w:rPr>
        <w:t xml:space="preserve"> Lesley Smith and David Foxcroft, “The effect of alcohol advertising, marketing and portrayal on drinking behaviour in young people: systematic review of prospective cohort studies” 9 B.M.C. Public Health (2009), pp. 51 </w:t>
      </w:r>
      <w:r w:rsidRPr="002A679D">
        <w:rPr>
          <w:i/>
          <w:sz w:val="22"/>
          <w:szCs w:val="22"/>
        </w:rPr>
        <w:t>et seqq</w:t>
      </w:r>
      <w:r w:rsidRPr="002A679D">
        <w:rPr>
          <w:sz w:val="22"/>
          <w:szCs w:val="22"/>
        </w:rPr>
        <w:t xml:space="preserve">; </w:t>
      </w:r>
      <w:r w:rsidRPr="002A679D">
        <w:rPr>
          <w:rFonts w:cs="Times New Roman"/>
          <w:sz w:val="22"/>
          <w:szCs w:val="22"/>
        </w:rPr>
        <w:t>Petra Meier, “Independent review of the effects of Alcohol pricing and promotion: Part A: Systematic Reviews” (2008) available online at &lt;</w:t>
      </w:r>
      <w:hyperlink r:id="rId1" w:history="1">
        <w:r w:rsidRPr="002A679D">
          <w:rPr>
            <w:rStyle w:val="Hyperlink"/>
            <w:rFonts w:cs="Times New Roman"/>
            <w:iCs/>
            <w:color w:val="auto"/>
            <w:sz w:val="22"/>
            <w:szCs w:val="22"/>
            <w:u w:val="none"/>
          </w:rPr>
          <w:t>http://www.dh.gov.uk/prod_consum_dh/groups/dh_digitalassets/documents/digitalasset/dh_091383.pdf</w:t>
        </w:r>
      </w:hyperlink>
      <w:r w:rsidRPr="002A679D">
        <w:rPr>
          <w:rFonts w:cs="Times New Roman"/>
          <w:sz w:val="22"/>
          <w:szCs w:val="22"/>
        </w:rPr>
        <w:t xml:space="preserve">&gt;(last accessed on 11 June 2013); </w:t>
      </w:r>
      <w:r w:rsidRPr="002A679D">
        <w:rPr>
          <w:rFonts w:cs="Times New Roman"/>
          <w:sz w:val="22"/>
          <w:szCs w:val="22"/>
          <w:lang w:val="en-US"/>
        </w:rPr>
        <w:t xml:space="preserve">Matthis Morgenstern et al., “Exposure to alcohol advertising and teen drinking” 52 Preventative Medicine (2011), pp. 146 </w:t>
      </w:r>
      <w:r w:rsidRPr="002A679D">
        <w:rPr>
          <w:rFonts w:cs="Times New Roman"/>
          <w:i/>
          <w:sz w:val="22"/>
          <w:szCs w:val="22"/>
          <w:lang w:val="en-US"/>
        </w:rPr>
        <w:t>et seqq</w:t>
      </w:r>
      <w:r w:rsidRPr="002A679D">
        <w:rPr>
          <w:rFonts w:cs="Times New Roman"/>
          <w:sz w:val="22"/>
          <w:szCs w:val="22"/>
          <w:lang w:val="en-US"/>
        </w:rPr>
        <w:t>.</w:t>
      </w:r>
    </w:p>
  </w:footnote>
  <w:footnote w:id="8">
    <w:p w14:paraId="449FD162" w14:textId="59BCB96A" w:rsidR="002A679D" w:rsidRPr="002A679D" w:rsidRDefault="002A679D" w:rsidP="00490929">
      <w:pPr>
        <w:pStyle w:val="FootnoteText"/>
        <w:spacing w:line="276" w:lineRule="auto"/>
        <w:rPr>
          <w:rFonts w:cs="Times New Roman"/>
          <w:sz w:val="22"/>
          <w:szCs w:val="22"/>
          <w:lang w:val="en-US"/>
        </w:rPr>
      </w:pPr>
      <w:r w:rsidRPr="002A679D">
        <w:rPr>
          <w:rStyle w:val="FootnoteReference"/>
          <w:sz w:val="22"/>
          <w:szCs w:val="22"/>
        </w:rPr>
        <w:footnoteRef/>
      </w:r>
      <w:r w:rsidRPr="002A679D">
        <w:rPr>
          <w:sz w:val="22"/>
          <w:szCs w:val="22"/>
        </w:rPr>
        <w:t xml:space="preserve"> </w:t>
      </w:r>
      <w:r w:rsidRPr="002A679D">
        <w:rPr>
          <w:rFonts w:cs="Times New Roman"/>
          <w:sz w:val="22"/>
          <w:szCs w:val="22"/>
        </w:rPr>
        <w:t>Science Group of the European Alcohol and Health Forum, “</w:t>
      </w:r>
      <w:r w:rsidRPr="002A679D">
        <w:rPr>
          <w:rFonts w:cs="Times New Roman"/>
          <w:sz w:val="22"/>
          <w:szCs w:val="22"/>
          <w:lang w:val="en-US"/>
        </w:rPr>
        <w:t>Does marketing communication impact on the volume and patterns of consumption of alcoholic beverages, especially by young people? – a review of longitudinal studies” (2009) available on the internet at &lt;</w:t>
      </w:r>
      <w:hyperlink r:id="rId2" w:history="1">
        <w:r w:rsidRPr="002A679D">
          <w:rPr>
            <w:rStyle w:val="Hyperlink"/>
            <w:rFonts w:cs="Times New Roman"/>
            <w:color w:val="auto"/>
            <w:sz w:val="22"/>
            <w:szCs w:val="22"/>
            <w:u w:val="none"/>
            <w:lang w:val="en-US"/>
          </w:rPr>
          <w:t>http://ec.europa.eu/health/ph_determinants/life_style/alcohol/Forum/docs/science_o01_en.pdf</w:t>
        </w:r>
      </w:hyperlink>
      <w:r w:rsidRPr="002A679D">
        <w:rPr>
          <w:rStyle w:val="Hyperlink"/>
          <w:rFonts w:cs="Times New Roman"/>
          <w:color w:val="auto"/>
          <w:sz w:val="22"/>
          <w:szCs w:val="22"/>
          <w:u w:val="none"/>
          <w:lang w:val="en-US"/>
        </w:rPr>
        <w:t>&gt; (last accessed 11 June 2013)</w:t>
      </w:r>
      <w:r w:rsidR="00AD7A7B">
        <w:rPr>
          <w:rStyle w:val="Hyperlink"/>
          <w:rFonts w:cs="Times New Roman"/>
          <w:color w:val="auto"/>
          <w:sz w:val="22"/>
          <w:szCs w:val="22"/>
          <w:u w:val="none"/>
          <w:lang w:val="en-US"/>
        </w:rPr>
        <w:t>.</w:t>
      </w:r>
    </w:p>
  </w:footnote>
  <w:footnote w:id="9">
    <w:p w14:paraId="49D3F033" w14:textId="7A49113D" w:rsidR="002A679D" w:rsidRPr="002A679D" w:rsidRDefault="002A679D">
      <w:pPr>
        <w:pStyle w:val="FootnoteText"/>
        <w:rPr>
          <w:sz w:val="22"/>
          <w:szCs w:val="22"/>
          <w:lang w:val="en-US"/>
        </w:rPr>
      </w:pPr>
      <w:r w:rsidRPr="002A679D">
        <w:rPr>
          <w:rStyle w:val="FootnoteReference"/>
          <w:sz w:val="22"/>
          <w:szCs w:val="22"/>
        </w:rPr>
        <w:footnoteRef/>
      </w:r>
      <w:r w:rsidRPr="002A679D">
        <w:rPr>
          <w:sz w:val="22"/>
          <w:szCs w:val="22"/>
        </w:rPr>
        <w:t xml:space="preserve"> Council and Parliament </w:t>
      </w:r>
      <w:r w:rsidRPr="002A679D">
        <w:rPr>
          <w:sz w:val="22"/>
          <w:szCs w:val="22"/>
          <w:lang w:val="en-US"/>
        </w:rPr>
        <w:t>Directive 2010/13/EU on Audiovisual Media Services, OJ 2010 L 95/1</w:t>
      </w:r>
    </w:p>
  </w:footnote>
  <w:footnote w:id="10">
    <w:p w14:paraId="4C9B4FDD" w14:textId="0879DD6A" w:rsidR="002A679D" w:rsidRPr="002A679D" w:rsidRDefault="002A679D" w:rsidP="00BD7579">
      <w:pPr>
        <w:pStyle w:val="FootnoteText"/>
        <w:spacing w:line="276" w:lineRule="auto"/>
        <w:rPr>
          <w:sz w:val="22"/>
          <w:szCs w:val="22"/>
          <w:lang w:val="en-US"/>
        </w:rPr>
      </w:pPr>
      <w:r w:rsidRPr="002A679D">
        <w:rPr>
          <w:rStyle w:val="FootnoteReference"/>
          <w:sz w:val="22"/>
          <w:szCs w:val="22"/>
        </w:rPr>
        <w:footnoteRef/>
      </w:r>
      <w:r w:rsidRPr="002A679D">
        <w:rPr>
          <w:sz w:val="22"/>
          <w:szCs w:val="22"/>
        </w:rPr>
        <w:t xml:space="preserve"> For more detail on the criticisms of Articles 9(1)(e) and 22, see the analysis in</w:t>
      </w:r>
      <w:r w:rsidRPr="002A679D">
        <w:rPr>
          <w:sz w:val="22"/>
          <w:szCs w:val="22"/>
          <w:lang w:val="en-US"/>
        </w:rPr>
        <w:t>: Oliver Bartlett and Amandine Garde, “Time to seize the (red) bull by the horns: the EU’s failure to protect children from alcohol and unhealthy food marketi</w:t>
      </w:r>
      <w:r w:rsidR="00AD7A7B">
        <w:rPr>
          <w:sz w:val="22"/>
          <w:szCs w:val="22"/>
          <w:lang w:val="en-US"/>
        </w:rPr>
        <w:t>ng” EL Rev (2013) (forthcoming).</w:t>
      </w:r>
    </w:p>
  </w:footnote>
  <w:footnote w:id="11">
    <w:p w14:paraId="3E896730" w14:textId="42D6D994" w:rsidR="002A679D" w:rsidRPr="002A679D" w:rsidRDefault="002A679D" w:rsidP="00BD7579">
      <w:pPr>
        <w:pStyle w:val="FootnoteText"/>
        <w:spacing w:line="276" w:lineRule="auto"/>
        <w:rPr>
          <w:sz w:val="22"/>
          <w:szCs w:val="22"/>
          <w:lang w:val="en-US"/>
        </w:rPr>
      </w:pPr>
      <w:r w:rsidRPr="002A679D">
        <w:rPr>
          <w:rStyle w:val="FootnoteReference"/>
          <w:sz w:val="22"/>
          <w:szCs w:val="22"/>
        </w:rPr>
        <w:footnoteRef/>
      </w:r>
      <w:r w:rsidRPr="002A679D">
        <w:rPr>
          <w:sz w:val="22"/>
          <w:szCs w:val="22"/>
        </w:rPr>
        <w:t xml:space="preserve"> </w:t>
      </w:r>
      <w:r w:rsidRPr="002A679D">
        <w:rPr>
          <w:i/>
          <w:sz w:val="22"/>
          <w:szCs w:val="22"/>
        </w:rPr>
        <w:t>Health First</w:t>
      </w:r>
      <w:r w:rsidRPr="002A679D">
        <w:rPr>
          <w:sz w:val="22"/>
          <w:szCs w:val="22"/>
        </w:rPr>
        <w:t>, supra note 1, at p. 27</w:t>
      </w:r>
    </w:p>
  </w:footnote>
  <w:footnote w:id="12">
    <w:p w14:paraId="61150D76" w14:textId="455F7B08" w:rsidR="002A679D" w:rsidRPr="002A679D" w:rsidRDefault="002A679D" w:rsidP="00BD7579">
      <w:pPr>
        <w:pStyle w:val="FootnoteText"/>
        <w:spacing w:line="276" w:lineRule="auto"/>
        <w:rPr>
          <w:sz w:val="22"/>
          <w:szCs w:val="22"/>
          <w:lang w:val="en-US"/>
        </w:rPr>
      </w:pPr>
      <w:r w:rsidRPr="002A679D">
        <w:rPr>
          <w:rStyle w:val="FootnoteReference"/>
          <w:sz w:val="22"/>
          <w:szCs w:val="22"/>
        </w:rPr>
        <w:footnoteRef/>
      </w:r>
      <w:r w:rsidRPr="002A679D">
        <w:rPr>
          <w:sz w:val="22"/>
          <w:szCs w:val="22"/>
        </w:rPr>
        <w:t xml:space="preserve"> </w:t>
      </w:r>
      <w:r w:rsidRPr="002A679D">
        <w:rPr>
          <w:sz w:val="22"/>
          <w:szCs w:val="22"/>
          <w:lang w:val="en-US"/>
        </w:rPr>
        <w:t xml:space="preserve">Framework Convention on Tobacco Control, 16 June 2003, in force 27 February 2005, Geneva, available at </w:t>
      </w:r>
      <w:r w:rsidRPr="002A679D">
        <w:rPr>
          <w:sz w:val="22"/>
          <w:szCs w:val="22"/>
          <w:lang w:val="en-US"/>
        </w:rPr>
        <w:t>&lt;</w:t>
      </w:r>
      <w:hyperlink r:id="rId3" w:history="1">
        <w:r w:rsidRPr="002A679D">
          <w:rPr>
            <w:rStyle w:val="Hyperlink"/>
            <w:color w:val="auto"/>
            <w:sz w:val="22"/>
            <w:szCs w:val="22"/>
            <w:u w:val="none"/>
            <w:lang w:val="en-US"/>
          </w:rPr>
          <w:t>http://whqlibdoc.who.int/publications/2003/9241591013.pdf</w:t>
        </w:r>
      </w:hyperlink>
      <w:r w:rsidRPr="002A679D">
        <w:rPr>
          <w:rStyle w:val="Hyperlink"/>
          <w:color w:val="auto"/>
          <w:sz w:val="22"/>
          <w:szCs w:val="22"/>
          <w:u w:val="none"/>
          <w:lang w:val="en-US"/>
        </w:rPr>
        <w:t>&gt;</w:t>
      </w:r>
      <w:r w:rsidRPr="002A679D">
        <w:rPr>
          <w:sz w:val="22"/>
          <w:szCs w:val="22"/>
          <w:lang w:val="en-US"/>
        </w:rPr>
        <w:t xml:space="preserve"> (last accessed on 19 March 2013)</w:t>
      </w:r>
    </w:p>
  </w:footnote>
  <w:footnote w:id="13">
    <w:p w14:paraId="1411C4CB" w14:textId="462FDDDC" w:rsidR="002A679D" w:rsidRPr="002A679D" w:rsidRDefault="002A679D" w:rsidP="00BD7579">
      <w:pPr>
        <w:pStyle w:val="FootnoteText"/>
        <w:spacing w:line="276" w:lineRule="auto"/>
        <w:rPr>
          <w:sz w:val="22"/>
          <w:szCs w:val="22"/>
          <w:lang w:val="en-US"/>
        </w:rPr>
      </w:pPr>
      <w:r w:rsidRPr="002A679D">
        <w:rPr>
          <w:rStyle w:val="FootnoteReference"/>
          <w:sz w:val="22"/>
          <w:szCs w:val="22"/>
        </w:rPr>
        <w:footnoteRef/>
      </w:r>
      <w:r w:rsidRPr="002A679D">
        <w:rPr>
          <w:sz w:val="22"/>
          <w:szCs w:val="22"/>
        </w:rPr>
        <w:t xml:space="preserve"> </w:t>
      </w:r>
      <w:r w:rsidRPr="002A679D">
        <w:rPr>
          <w:sz w:val="22"/>
          <w:szCs w:val="22"/>
          <w:lang w:val="en-US"/>
        </w:rPr>
        <w:t>Commission Communication on An EU strategy to support Member States in reducing alcohol related harm, COM(2006)625 final, at p. 16</w:t>
      </w:r>
      <w:r w:rsidR="00AD7A7B">
        <w:rPr>
          <w:sz w:val="22"/>
          <w:szCs w:val="22"/>
          <w:lang w:val="en-US"/>
        </w:rPr>
        <w:t>.</w:t>
      </w:r>
    </w:p>
  </w:footnote>
  <w:footnote w:id="14">
    <w:p w14:paraId="712F5B22" w14:textId="6C700E7F" w:rsidR="002A679D" w:rsidRPr="002A679D" w:rsidRDefault="002A679D" w:rsidP="00BD7579">
      <w:pPr>
        <w:pStyle w:val="FootnoteText"/>
        <w:spacing w:line="276" w:lineRule="auto"/>
        <w:rPr>
          <w:sz w:val="22"/>
          <w:szCs w:val="22"/>
          <w:lang w:val="en-US"/>
        </w:rPr>
      </w:pPr>
      <w:r w:rsidRPr="002A679D">
        <w:rPr>
          <w:rStyle w:val="FootnoteReference"/>
          <w:sz w:val="22"/>
          <w:szCs w:val="22"/>
        </w:rPr>
        <w:footnoteRef/>
      </w:r>
      <w:r w:rsidRPr="002A679D">
        <w:rPr>
          <w:sz w:val="22"/>
          <w:szCs w:val="22"/>
        </w:rPr>
        <w:t xml:space="preserve"> </w:t>
      </w:r>
      <w:r w:rsidRPr="002A679D">
        <w:rPr>
          <w:i/>
          <w:sz w:val="22"/>
          <w:szCs w:val="22"/>
          <w:lang w:val="en-US"/>
        </w:rPr>
        <w:t>Ibid</w:t>
      </w:r>
      <w:r w:rsidRPr="002A679D">
        <w:rPr>
          <w:sz w:val="22"/>
          <w:szCs w:val="22"/>
          <w:lang w:val="en-US"/>
        </w:rPr>
        <w:t>.</w:t>
      </w:r>
    </w:p>
  </w:footnote>
  <w:footnote w:id="15">
    <w:p w14:paraId="0F114A8A" w14:textId="07CBC60C" w:rsidR="002A679D" w:rsidRPr="002A679D" w:rsidRDefault="002A679D" w:rsidP="00BD7579">
      <w:pPr>
        <w:pStyle w:val="FootnoteText"/>
        <w:spacing w:line="276" w:lineRule="auto"/>
        <w:rPr>
          <w:sz w:val="22"/>
          <w:szCs w:val="22"/>
          <w:lang w:val="en-US"/>
        </w:rPr>
      </w:pPr>
      <w:r w:rsidRPr="002A679D">
        <w:rPr>
          <w:rStyle w:val="FootnoteReference"/>
          <w:sz w:val="22"/>
          <w:szCs w:val="22"/>
        </w:rPr>
        <w:footnoteRef/>
      </w:r>
      <w:r w:rsidRPr="002A679D">
        <w:rPr>
          <w:sz w:val="22"/>
          <w:szCs w:val="22"/>
        </w:rPr>
        <w:t xml:space="preserve"> </w:t>
      </w:r>
      <w:r w:rsidRPr="002A679D">
        <w:rPr>
          <w:sz w:val="22"/>
          <w:szCs w:val="22"/>
          <w:lang w:val="en-US"/>
        </w:rPr>
        <w:t xml:space="preserve">Nick Sheron, “Alcohol in Europe: the EU Alcohol Forum” 7 Clin Med (2007), pp. 323 </w:t>
      </w:r>
      <w:r w:rsidRPr="002A679D">
        <w:rPr>
          <w:i/>
          <w:sz w:val="22"/>
          <w:szCs w:val="22"/>
          <w:lang w:val="en-US"/>
        </w:rPr>
        <w:t>et seqq</w:t>
      </w:r>
      <w:r w:rsidRPr="002A679D">
        <w:rPr>
          <w:sz w:val="22"/>
          <w:szCs w:val="22"/>
          <w:lang w:val="en-US"/>
        </w:rPr>
        <w:t>, at p. 323.</w:t>
      </w:r>
    </w:p>
  </w:footnote>
  <w:footnote w:id="16">
    <w:p w14:paraId="08E901AE" w14:textId="71FAF3E2" w:rsidR="002A679D" w:rsidRPr="002A679D" w:rsidRDefault="002A679D" w:rsidP="00BD7579">
      <w:pPr>
        <w:pStyle w:val="FootnoteText"/>
        <w:spacing w:line="276" w:lineRule="auto"/>
        <w:rPr>
          <w:sz w:val="22"/>
          <w:szCs w:val="22"/>
          <w:lang w:val="en-US"/>
        </w:rPr>
      </w:pPr>
      <w:r w:rsidRPr="002A679D">
        <w:rPr>
          <w:rStyle w:val="FootnoteReference"/>
          <w:sz w:val="22"/>
          <w:szCs w:val="22"/>
        </w:rPr>
        <w:footnoteRef/>
      </w:r>
      <w:r w:rsidRPr="002A679D">
        <w:rPr>
          <w:sz w:val="22"/>
          <w:szCs w:val="22"/>
        </w:rPr>
        <w:t xml:space="preserve"> </w:t>
      </w:r>
      <w:r w:rsidRPr="002A679D">
        <w:rPr>
          <w:i/>
          <w:sz w:val="22"/>
          <w:szCs w:val="22"/>
          <w:lang w:val="en-US"/>
        </w:rPr>
        <w:t>Ibid</w:t>
      </w:r>
      <w:r w:rsidRPr="002A679D">
        <w:rPr>
          <w:sz w:val="22"/>
          <w:szCs w:val="22"/>
          <w:lang w:val="en-US"/>
        </w:rPr>
        <w:t xml:space="preserve">, at p. 324. </w:t>
      </w:r>
      <w:r w:rsidRPr="002A679D">
        <w:rPr>
          <w:sz w:val="22"/>
          <w:szCs w:val="22"/>
          <w:lang w:val="en-US"/>
        </w:rPr>
        <w:tab/>
      </w:r>
    </w:p>
  </w:footnote>
  <w:footnote w:id="17">
    <w:p w14:paraId="2ECD7D41" w14:textId="41566E9A" w:rsidR="002A679D" w:rsidRPr="002A679D" w:rsidRDefault="002A679D" w:rsidP="00BD7579">
      <w:pPr>
        <w:pStyle w:val="FootnoteText"/>
        <w:spacing w:line="276" w:lineRule="auto"/>
        <w:rPr>
          <w:sz w:val="22"/>
          <w:szCs w:val="22"/>
          <w:lang w:val="en-US"/>
        </w:rPr>
      </w:pPr>
      <w:r w:rsidRPr="002A679D">
        <w:rPr>
          <w:rStyle w:val="FootnoteReference"/>
          <w:sz w:val="22"/>
          <w:szCs w:val="22"/>
        </w:rPr>
        <w:footnoteRef/>
      </w:r>
      <w:r w:rsidRPr="002A679D">
        <w:rPr>
          <w:sz w:val="22"/>
          <w:szCs w:val="22"/>
        </w:rPr>
        <w:t xml:space="preserve"> European Union, </w:t>
      </w:r>
      <w:r w:rsidRPr="002A679D">
        <w:rPr>
          <w:sz w:val="22"/>
          <w:szCs w:val="22"/>
          <w:lang w:val="en-US"/>
        </w:rPr>
        <w:t>“European Alcohol and Health Forum Highlights: Open Alcohol and Health Forum 23 November 2012 –Brussels” (2012) available on the Internet at &lt;</w:t>
      </w:r>
      <w:hyperlink r:id="rId4" w:history="1">
        <w:r w:rsidRPr="002A679D">
          <w:rPr>
            <w:rStyle w:val="Hyperlink"/>
            <w:color w:val="auto"/>
            <w:sz w:val="22"/>
            <w:szCs w:val="22"/>
            <w:u w:val="none"/>
            <w:lang w:val="en-US"/>
          </w:rPr>
          <w:t>http://ec.europa.eu/health/alcohol/docs/alcohol_health_forum_highlights_en.pdf</w:t>
        </w:r>
      </w:hyperlink>
      <w:r w:rsidRPr="002A679D">
        <w:rPr>
          <w:rStyle w:val="Hyperlink"/>
          <w:color w:val="auto"/>
          <w:sz w:val="22"/>
          <w:szCs w:val="22"/>
          <w:u w:val="none"/>
          <w:lang w:val="en-US"/>
        </w:rPr>
        <w:t>&gt;</w:t>
      </w:r>
      <w:r w:rsidRPr="002A679D">
        <w:rPr>
          <w:sz w:val="22"/>
          <w:szCs w:val="22"/>
          <w:lang w:val="en-US"/>
        </w:rPr>
        <w:t xml:space="preserve"> ( last accessed on 22 March 2013).</w:t>
      </w:r>
    </w:p>
  </w:footnote>
  <w:footnote w:id="18">
    <w:p w14:paraId="5B903929" w14:textId="116406EC" w:rsidR="002A679D" w:rsidRPr="002A679D" w:rsidRDefault="002A679D" w:rsidP="00BD7579">
      <w:pPr>
        <w:pStyle w:val="FootnoteText"/>
        <w:spacing w:line="276" w:lineRule="auto"/>
        <w:rPr>
          <w:sz w:val="22"/>
          <w:szCs w:val="22"/>
          <w:lang w:val="en-US"/>
        </w:rPr>
      </w:pPr>
      <w:r w:rsidRPr="002A679D">
        <w:rPr>
          <w:rStyle w:val="FootnoteReference"/>
          <w:sz w:val="22"/>
          <w:szCs w:val="22"/>
        </w:rPr>
        <w:footnoteRef/>
      </w:r>
      <w:r w:rsidRPr="002A679D">
        <w:rPr>
          <w:sz w:val="22"/>
          <w:szCs w:val="22"/>
        </w:rPr>
        <w:t xml:space="preserve"> </w:t>
      </w:r>
      <w:r w:rsidRPr="002A679D">
        <w:rPr>
          <w:i/>
          <w:sz w:val="22"/>
          <w:szCs w:val="22"/>
          <w:lang w:val="en-US"/>
        </w:rPr>
        <w:t>Ibid</w:t>
      </w:r>
      <w:r w:rsidRPr="002A679D">
        <w:rPr>
          <w:sz w:val="22"/>
          <w:szCs w:val="22"/>
          <w:lang w:val="en-US"/>
        </w:rPr>
        <w:t>, at p. 21.</w:t>
      </w:r>
    </w:p>
  </w:footnote>
  <w:footnote w:id="19">
    <w:p w14:paraId="7B285DF2" w14:textId="355F1D29" w:rsidR="002A679D" w:rsidRPr="002A679D" w:rsidRDefault="002A679D" w:rsidP="00BD7579">
      <w:pPr>
        <w:pStyle w:val="FootnoteText"/>
        <w:spacing w:line="276" w:lineRule="auto"/>
        <w:rPr>
          <w:sz w:val="22"/>
          <w:szCs w:val="22"/>
          <w:lang w:val="en-US"/>
        </w:rPr>
      </w:pPr>
      <w:r w:rsidRPr="002A679D">
        <w:rPr>
          <w:rStyle w:val="FootnoteReference"/>
          <w:sz w:val="22"/>
          <w:szCs w:val="22"/>
        </w:rPr>
        <w:footnoteRef/>
      </w:r>
      <w:r w:rsidRPr="002A679D">
        <w:rPr>
          <w:sz w:val="22"/>
          <w:szCs w:val="22"/>
        </w:rPr>
        <w:t xml:space="preserve"> </w:t>
      </w:r>
      <w:r w:rsidRPr="002A679D">
        <w:rPr>
          <w:sz w:val="22"/>
          <w:szCs w:val="22"/>
          <w:lang w:val="en-US"/>
        </w:rPr>
        <w:t xml:space="preserve">For an independent evaluation of the effectiveness of self regulation, see Avalon de Bruijn, Esther van den Wildenberg and Anouk van den Broeck, </w:t>
      </w:r>
      <w:r w:rsidRPr="002A679D">
        <w:rPr>
          <w:i/>
          <w:sz w:val="22"/>
          <w:szCs w:val="22"/>
          <w:lang w:val="en-US"/>
        </w:rPr>
        <w:t>Commercial promotion of drinking in Europe: Key findings of independent monitoring of alcohol marketing in five European countries</w:t>
      </w:r>
      <w:r w:rsidRPr="002A679D">
        <w:rPr>
          <w:sz w:val="22"/>
          <w:szCs w:val="22"/>
          <w:lang w:val="en-US"/>
        </w:rPr>
        <w:t xml:space="preserve"> (Utrecht: STAP, 2012), available on the internet at &lt;</w:t>
      </w:r>
      <w:hyperlink r:id="rId5" w:history="1">
        <w:r w:rsidRPr="002A679D">
          <w:rPr>
            <w:rStyle w:val="Hyperlink"/>
            <w:i/>
            <w:color w:val="auto"/>
            <w:sz w:val="22"/>
            <w:szCs w:val="22"/>
            <w:u w:val="none"/>
            <w:lang w:val="en-US"/>
          </w:rPr>
          <w:t>www.eucam.info/content/bestanden/ammie-eu-rapport_final.pdf</w:t>
        </w:r>
      </w:hyperlink>
      <w:r w:rsidRPr="002A679D">
        <w:rPr>
          <w:rStyle w:val="Hyperlink"/>
          <w:color w:val="auto"/>
          <w:sz w:val="22"/>
          <w:szCs w:val="22"/>
          <w:u w:val="none"/>
          <w:lang w:val="en-US"/>
        </w:rPr>
        <w:t>&gt;</w:t>
      </w:r>
      <w:r w:rsidRPr="002A679D">
        <w:rPr>
          <w:iCs/>
          <w:sz w:val="22"/>
          <w:szCs w:val="22"/>
          <w:lang w:val="en-US"/>
        </w:rPr>
        <w:t xml:space="preserve"> </w:t>
      </w:r>
      <w:r w:rsidRPr="002A679D">
        <w:rPr>
          <w:sz w:val="22"/>
          <w:szCs w:val="22"/>
          <w:lang w:val="en-US"/>
        </w:rPr>
        <w:t>(last accessed on 26 March 2013)</w:t>
      </w:r>
      <w:r w:rsidR="00AD7A7B">
        <w:rPr>
          <w:sz w:val="22"/>
          <w:szCs w:val="22"/>
          <w:lang w:val="en-US"/>
        </w:rPr>
        <w:t>.</w:t>
      </w:r>
    </w:p>
  </w:footnote>
  <w:footnote w:id="20">
    <w:p w14:paraId="10965B3B" w14:textId="0665E8BA" w:rsidR="002A679D" w:rsidRPr="002A679D" w:rsidRDefault="002A679D" w:rsidP="00BD7579">
      <w:pPr>
        <w:pStyle w:val="FootnoteText"/>
        <w:spacing w:line="276" w:lineRule="auto"/>
        <w:rPr>
          <w:sz w:val="22"/>
          <w:szCs w:val="22"/>
          <w:lang w:val="en-US"/>
        </w:rPr>
      </w:pPr>
      <w:r w:rsidRPr="002A679D">
        <w:rPr>
          <w:rStyle w:val="FootnoteReference"/>
          <w:sz w:val="22"/>
          <w:szCs w:val="22"/>
        </w:rPr>
        <w:footnoteRef/>
      </w:r>
      <w:r w:rsidRPr="002A679D">
        <w:rPr>
          <w:sz w:val="22"/>
          <w:szCs w:val="22"/>
        </w:rPr>
        <w:t xml:space="preserve"> </w:t>
      </w:r>
      <w:r w:rsidRPr="002A679D">
        <w:rPr>
          <w:sz w:val="22"/>
          <w:szCs w:val="22"/>
          <w:lang w:val="en-US"/>
        </w:rPr>
        <w:t xml:space="preserve">See </w:t>
      </w:r>
      <w:r w:rsidRPr="002A679D">
        <w:rPr>
          <w:sz w:val="22"/>
          <w:szCs w:val="22"/>
        </w:rPr>
        <w:t>Home Office</w:t>
      </w:r>
      <w:r w:rsidRPr="002A679D">
        <w:rPr>
          <w:sz w:val="22"/>
          <w:szCs w:val="22"/>
          <w:lang w:val="en-US"/>
        </w:rPr>
        <w:t xml:space="preserve">, </w:t>
      </w:r>
      <w:r w:rsidRPr="002A679D">
        <w:rPr>
          <w:i/>
          <w:sz w:val="22"/>
          <w:szCs w:val="22"/>
          <w:lang w:val="en-US"/>
        </w:rPr>
        <w:t>The Government’s Alcohol Strategy</w:t>
      </w:r>
      <w:r w:rsidRPr="002A679D">
        <w:rPr>
          <w:sz w:val="22"/>
          <w:szCs w:val="22"/>
          <w:lang w:val="en-US"/>
        </w:rPr>
        <w:t xml:space="preserve"> (London: Home Office 2012), at p. 7.</w:t>
      </w:r>
    </w:p>
  </w:footnote>
  <w:footnote w:id="21">
    <w:p w14:paraId="096F8D63" w14:textId="58E5CAF6" w:rsidR="002A679D" w:rsidRPr="002A679D" w:rsidRDefault="002A679D" w:rsidP="00BD7579">
      <w:pPr>
        <w:pStyle w:val="FootnoteText"/>
        <w:spacing w:line="276" w:lineRule="auto"/>
        <w:rPr>
          <w:sz w:val="22"/>
          <w:szCs w:val="22"/>
          <w:lang w:val="en-US"/>
        </w:rPr>
      </w:pPr>
      <w:r w:rsidRPr="002A679D">
        <w:rPr>
          <w:rStyle w:val="FootnoteReference"/>
          <w:sz w:val="22"/>
          <w:szCs w:val="22"/>
        </w:rPr>
        <w:footnoteRef/>
      </w:r>
      <w:r w:rsidRPr="002A679D">
        <w:rPr>
          <w:sz w:val="22"/>
          <w:szCs w:val="22"/>
        </w:rPr>
        <w:t xml:space="preserve"> </w:t>
      </w:r>
      <w:r w:rsidRPr="002A679D">
        <w:rPr>
          <w:i/>
          <w:sz w:val="22"/>
          <w:szCs w:val="22"/>
          <w:lang w:val="en-US"/>
        </w:rPr>
        <w:t>Ibid</w:t>
      </w:r>
      <w:r w:rsidRPr="002A679D">
        <w:rPr>
          <w:sz w:val="22"/>
          <w:szCs w:val="22"/>
          <w:lang w:val="en-US"/>
        </w:rPr>
        <w:t>, at p. 8.</w:t>
      </w:r>
    </w:p>
  </w:footnote>
  <w:footnote w:id="22">
    <w:p w14:paraId="030E1867" w14:textId="5F05A7B4" w:rsidR="002A679D" w:rsidRPr="002A679D" w:rsidRDefault="002A679D" w:rsidP="00BD7579">
      <w:pPr>
        <w:pStyle w:val="FootnoteText"/>
        <w:spacing w:line="276" w:lineRule="auto"/>
        <w:rPr>
          <w:sz w:val="22"/>
          <w:szCs w:val="22"/>
          <w:lang w:val="en-US"/>
        </w:rPr>
      </w:pPr>
      <w:r w:rsidRPr="002A679D">
        <w:rPr>
          <w:rStyle w:val="FootnoteReference"/>
          <w:sz w:val="22"/>
          <w:szCs w:val="22"/>
        </w:rPr>
        <w:footnoteRef/>
      </w:r>
      <w:r w:rsidRPr="002A679D">
        <w:rPr>
          <w:sz w:val="22"/>
          <w:szCs w:val="22"/>
        </w:rPr>
        <w:t xml:space="preserve"> Peter Anderson and Ben Baumberg, </w:t>
      </w:r>
      <w:r w:rsidRPr="002A679D">
        <w:rPr>
          <w:i/>
          <w:sz w:val="22"/>
          <w:szCs w:val="22"/>
        </w:rPr>
        <w:t>Alcohol in Europe: A public health perspective</w:t>
      </w:r>
      <w:r w:rsidRPr="002A679D">
        <w:rPr>
          <w:sz w:val="22"/>
          <w:szCs w:val="22"/>
        </w:rPr>
        <w:t xml:space="preserve"> (London: Institute of Alcohol Studies 2006), available on the internet at http://ec. europa.eu/health-eu/news_alcoholineurope_en.htm (last accessed on 19</w:t>
      </w:r>
      <w:r w:rsidRPr="002A679D">
        <w:rPr>
          <w:sz w:val="22"/>
          <w:szCs w:val="22"/>
          <w:vertAlign w:val="superscript"/>
        </w:rPr>
        <w:t xml:space="preserve"> </w:t>
      </w:r>
      <w:r w:rsidRPr="002A679D">
        <w:rPr>
          <w:sz w:val="22"/>
          <w:szCs w:val="22"/>
        </w:rPr>
        <w:t>March 2013)</w:t>
      </w:r>
    </w:p>
  </w:footnote>
  <w:footnote w:id="23">
    <w:p w14:paraId="270B425D" w14:textId="038CC37C" w:rsidR="002A679D" w:rsidRPr="002A679D" w:rsidRDefault="002A679D" w:rsidP="00BD7579">
      <w:pPr>
        <w:pStyle w:val="FootnoteText"/>
        <w:spacing w:line="276" w:lineRule="auto"/>
        <w:rPr>
          <w:sz w:val="22"/>
          <w:szCs w:val="22"/>
          <w:lang w:val="en-US"/>
        </w:rPr>
      </w:pPr>
      <w:r w:rsidRPr="002A679D">
        <w:rPr>
          <w:rStyle w:val="FootnoteReference"/>
          <w:sz w:val="22"/>
          <w:szCs w:val="22"/>
        </w:rPr>
        <w:footnoteRef/>
      </w:r>
      <w:r w:rsidRPr="002A679D">
        <w:rPr>
          <w:sz w:val="22"/>
          <w:szCs w:val="22"/>
        </w:rPr>
        <w:t xml:space="preserve"> </w:t>
      </w:r>
      <w:r w:rsidRPr="002A679D">
        <w:rPr>
          <w:sz w:val="22"/>
          <w:szCs w:val="22"/>
          <w:lang w:val="en-US"/>
        </w:rPr>
        <w:t xml:space="preserve">Ben Baumberg and Peter Anderson, “The European strategy on alcohol: A landmark and a lesson” 42(1) Alcohol and Alcoholism(2007), pp. 1 </w:t>
      </w:r>
      <w:r w:rsidRPr="002A679D">
        <w:rPr>
          <w:i/>
          <w:sz w:val="22"/>
          <w:szCs w:val="22"/>
          <w:lang w:val="en-US"/>
        </w:rPr>
        <w:t>et seqq</w:t>
      </w:r>
      <w:r w:rsidRPr="002A679D">
        <w:rPr>
          <w:sz w:val="22"/>
          <w:szCs w:val="22"/>
          <w:lang w:val="en-US"/>
        </w:rPr>
        <w:t>, at p. 1</w:t>
      </w:r>
      <w:r w:rsidR="00AD7A7B">
        <w:rPr>
          <w:sz w:val="22"/>
          <w:szCs w:val="22"/>
          <w:lang w:val="en-US"/>
        </w:rPr>
        <w:t>.</w:t>
      </w:r>
    </w:p>
  </w:footnote>
  <w:footnote w:id="24">
    <w:p w14:paraId="454CCA1A" w14:textId="1CEE7860" w:rsidR="002A679D" w:rsidRPr="002A679D" w:rsidRDefault="002A679D" w:rsidP="00BD7579">
      <w:pPr>
        <w:pStyle w:val="FootnoteText"/>
        <w:spacing w:line="276" w:lineRule="auto"/>
        <w:rPr>
          <w:sz w:val="22"/>
          <w:szCs w:val="22"/>
          <w:lang w:val="en-US"/>
        </w:rPr>
      </w:pPr>
      <w:r w:rsidRPr="002A679D">
        <w:rPr>
          <w:rStyle w:val="FootnoteReference"/>
          <w:sz w:val="22"/>
          <w:szCs w:val="22"/>
        </w:rPr>
        <w:footnoteRef/>
      </w:r>
      <w:r w:rsidRPr="002A679D">
        <w:rPr>
          <w:sz w:val="22"/>
          <w:szCs w:val="22"/>
        </w:rPr>
        <w:t xml:space="preserve"> </w:t>
      </w:r>
      <w:r w:rsidRPr="002A679D">
        <w:rPr>
          <w:i/>
          <w:sz w:val="22"/>
          <w:szCs w:val="22"/>
          <w:lang w:val="en-US"/>
        </w:rPr>
        <w:t>Ibid</w:t>
      </w:r>
      <w:r w:rsidRPr="002A679D">
        <w:rPr>
          <w:sz w:val="22"/>
          <w:szCs w:val="22"/>
          <w:lang w:val="en-US"/>
        </w:rPr>
        <w:t>, at p. 1</w:t>
      </w:r>
      <w:r w:rsidR="00AD7A7B">
        <w:rPr>
          <w:sz w:val="22"/>
          <w:szCs w:val="22"/>
          <w:lang w:val="en-US"/>
        </w:rPr>
        <w:t>.</w:t>
      </w:r>
    </w:p>
  </w:footnote>
  <w:footnote w:id="25">
    <w:p w14:paraId="084395EC" w14:textId="4A341FE6" w:rsidR="002A679D" w:rsidRPr="002A679D" w:rsidRDefault="002A679D" w:rsidP="00BD7579">
      <w:pPr>
        <w:pStyle w:val="FootnoteText"/>
        <w:spacing w:line="276" w:lineRule="auto"/>
        <w:rPr>
          <w:sz w:val="22"/>
          <w:szCs w:val="22"/>
          <w:lang w:val="en-US"/>
        </w:rPr>
      </w:pPr>
      <w:r w:rsidRPr="002A679D">
        <w:rPr>
          <w:rStyle w:val="FootnoteReference"/>
          <w:sz w:val="22"/>
          <w:szCs w:val="22"/>
        </w:rPr>
        <w:footnoteRef/>
      </w:r>
      <w:r w:rsidRPr="002A679D">
        <w:rPr>
          <w:sz w:val="22"/>
          <w:szCs w:val="22"/>
        </w:rPr>
        <w:t xml:space="preserve"> </w:t>
      </w:r>
      <w:r w:rsidRPr="002A679D">
        <w:rPr>
          <w:i/>
          <w:sz w:val="22"/>
          <w:szCs w:val="22"/>
          <w:lang w:val="en-US"/>
        </w:rPr>
        <w:t>Ibid</w:t>
      </w:r>
      <w:r w:rsidRPr="002A679D">
        <w:rPr>
          <w:sz w:val="22"/>
          <w:szCs w:val="22"/>
          <w:lang w:val="en-US"/>
        </w:rPr>
        <w:t>. at p. 503</w:t>
      </w:r>
      <w:r w:rsidR="00AD7A7B">
        <w:rPr>
          <w:sz w:val="22"/>
          <w:szCs w:val="22"/>
          <w:lang w:val="en-US"/>
        </w:rPr>
        <w:t>.</w:t>
      </w:r>
    </w:p>
  </w:footnote>
  <w:footnote w:id="26">
    <w:p w14:paraId="23DB2A92" w14:textId="4CB888B4" w:rsidR="002A679D" w:rsidRPr="002A679D" w:rsidRDefault="002A679D" w:rsidP="00BD7579">
      <w:pPr>
        <w:pStyle w:val="FootnoteText"/>
        <w:spacing w:line="276" w:lineRule="auto"/>
        <w:rPr>
          <w:sz w:val="22"/>
          <w:szCs w:val="22"/>
          <w:lang w:val="en-US"/>
        </w:rPr>
      </w:pPr>
      <w:r w:rsidRPr="002A679D">
        <w:rPr>
          <w:rStyle w:val="FootnoteReference"/>
          <w:sz w:val="22"/>
          <w:szCs w:val="22"/>
        </w:rPr>
        <w:footnoteRef/>
      </w:r>
      <w:r w:rsidRPr="002A679D">
        <w:rPr>
          <w:sz w:val="22"/>
          <w:szCs w:val="22"/>
        </w:rPr>
        <w:t xml:space="preserve"> </w:t>
      </w:r>
      <w:r w:rsidRPr="002A679D">
        <w:rPr>
          <w:sz w:val="22"/>
          <w:szCs w:val="22"/>
          <w:lang w:val="en-US"/>
        </w:rPr>
        <w:t xml:space="preserve">Anders Ulstein, “No ordinary partner” 23(6) Nordic Studies on Alcohol and Drugs (2006), pp 499 </w:t>
      </w:r>
      <w:r w:rsidRPr="002A679D">
        <w:rPr>
          <w:i/>
          <w:sz w:val="22"/>
          <w:szCs w:val="22"/>
          <w:lang w:val="en-US"/>
        </w:rPr>
        <w:t>et seqq</w:t>
      </w:r>
      <w:r w:rsidRPr="002A679D">
        <w:rPr>
          <w:sz w:val="22"/>
          <w:szCs w:val="22"/>
          <w:lang w:val="en-US"/>
        </w:rPr>
        <w:t>, at p. 502</w:t>
      </w:r>
      <w:r w:rsidR="00AD7A7B">
        <w:rPr>
          <w:sz w:val="22"/>
          <w:szCs w:val="22"/>
          <w:lang w:val="en-US"/>
        </w:rPr>
        <w:t>.</w:t>
      </w:r>
    </w:p>
  </w:footnote>
  <w:footnote w:id="27">
    <w:p w14:paraId="34A7674C" w14:textId="0757DBDA" w:rsidR="002A679D" w:rsidRPr="002A679D" w:rsidRDefault="002A679D" w:rsidP="00BD7579">
      <w:pPr>
        <w:pStyle w:val="FootnoteText"/>
        <w:spacing w:line="276" w:lineRule="auto"/>
        <w:rPr>
          <w:sz w:val="22"/>
          <w:szCs w:val="22"/>
          <w:lang w:val="en-US"/>
        </w:rPr>
      </w:pPr>
      <w:r w:rsidRPr="002A679D">
        <w:rPr>
          <w:rStyle w:val="FootnoteReference"/>
          <w:sz w:val="22"/>
          <w:szCs w:val="22"/>
        </w:rPr>
        <w:footnoteRef/>
      </w:r>
      <w:r w:rsidRPr="002A679D">
        <w:rPr>
          <w:sz w:val="22"/>
          <w:szCs w:val="22"/>
        </w:rPr>
        <w:t xml:space="preserve"> </w:t>
      </w:r>
      <w:r w:rsidRPr="002A679D">
        <w:rPr>
          <w:sz w:val="22"/>
          <w:szCs w:val="22"/>
          <w:lang w:val="en-US"/>
        </w:rPr>
        <w:t xml:space="preserve">See Ian Quinn, “Lansley: ‘Responsibility Deal is achieving big results’”, The Grocer, 20 April 2012, available on the internet at &lt;http://www.thegrocer.co.uk/topics/health/lansley-responsibility-deal-is-achieving-big-results/228388.article&gt; (last accessed on 11 April 2013). </w:t>
      </w:r>
    </w:p>
  </w:footnote>
  <w:footnote w:id="28">
    <w:p w14:paraId="5D5528E8" w14:textId="0971EE54" w:rsidR="002A679D" w:rsidRPr="002A679D" w:rsidRDefault="002A679D" w:rsidP="00BD7579">
      <w:pPr>
        <w:pStyle w:val="FootnoteText"/>
        <w:spacing w:line="276" w:lineRule="auto"/>
        <w:rPr>
          <w:sz w:val="22"/>
          <w:szCs w:val="22"/>
          <w:lang w:val="en-US"/>
        </w:rPr>
      </w:pPr>
      <w:r w:rsidRPr="002A679D">
        <w:rPr>
          <w:rStyle w:val="FootnoteReference"/>
          <w:sz w:val="22"/>
          <w:szCs w:val="22"/>
        </w:rPr>
        <w:footnoteRef/>
      </w:r>
      <w:r w:rsidRPr="002A679D">
        <w:rPr>
          <w:sz w:val="22"/>
          <w:szCs w:val="22"/>
        </w:rPr>
        <w:t xml:space="preserve"> Rob Moodie, David Stuckler, Carlos Monteiro et al., “Profits and pandemics: prevention of harmful effects of tobacco, alcohol, and ultra-processed food and drink industries” 381 Lancet (2013), pp. 670 </w:t>
      </w:r>
      <w:r w:rsidRPr="002A679D">
        <w:rPr>
          <w:i/>
          <w:sz w:val="22"/>
          <w:szCs w:val="22"/>
        </w:rPr>
        <w:t>et seqq</w:t>
      </w:r>
      <w:r w:rsidRPr="002A679D">
        <w:rPr>
          <w:sz w:val="22"/>
          <w:szCs w:val="22"/>
        </w:rPr>
        <w:t>, at p. 672</w:t>
      </w:r>
    </w:p>
  </w:footnote>
  <w:footnote w:id="29">
    <w:p w14:paraId="29FCE07B" w14:textId="5E614C89" w:rsidR="002A679D" w:rsidRPr="002A679D" w:rsidRDefault="002A679D" w:rsidP="00BD7579">
      <w:pPr>
        <w:pStyle w:val="FootnoteText"/>
        <w:spacing w:line="276" w:lineRule="auto"/>
        <w:rPr>
          <w:sz w:val="22"/>
          <w:szCs w:val="22"/>
          <w:lang w:val="en-US"/>
        </w:rPr>
      </w:pPr>
      <w:r w:rsidRPr="002A679D">
        <w:rPr>
          <w:rStyle w:val="FootnoteReference"/>
          <w:sz w:val="22"/>
          <w:szCs w:val="22"/>
        </w:rPr>
        <w:footnoteRef/>
      </w:r>
      <w:r w:rsidRPr="002A679D">
        <w:rPr>
          <w:sz w:val="22"/>
          <w:szCs w:val="22"/>
        </w:rPr>
        <w:t xml:space="preserve"> </w:t>
      </w:r>
      <w:r w:rsidRPr="002A679D">
        <w:rPr>
          <w:sz w:val="22"/>
          <w:szCs w:val="22"/>
          <w:lang w:val="en-US"/>
        </w:rPr>
        <w:t xml:space="preserve">Anders Ulstein, “No ordinary partner”, </w:t>
      </w:r>
      <w:r w:rsidRPr="002A679D">
        <w:rPr>
          <w:i/>
          <w:sz w:val="22"/>
          <w:szCs w:val="22"/>
          <w:lang w:val="en-US"/>
        </w:rPr>
        <w:t>supra</w:t>
      </w:r>
      <w:r w:rsidRPr="002A679D">
        <w:rPr>
          <w:sz w:val="22"/>
          <w:szCs w:val="22"/>
          <w:lang w:val="en-US"/>
        </w:rPr>
        <w:t xml:space="preserve"> note 24, at p. 503</w:t>
      </w:r>
      <w:r w:rsidR="00AD7A7B">
        <w:rPr>
          <w:sz w:val="22"/>
          <w:szCs w:val="22"/>
          <w:lang w:val="en-US"/>
        </w:rPr>
        <w:t>.</w:t>
      </w:r>
    </w:p>
  </w:footnote>
  <w:footnote w:id="30">
    <w:p w14:paraId="0D5663DF" w14:textId="42B2D9A8" w:rsidR="002A679D" w:rsidRPr="002A679D" w:rsidRDefault="002A679D" w:rsidP="00BD7579">
      <w:pPr>
        <w:pStyle w:val="FootnoteText"/>
        <w:spacing w:line="276" w:lineRule="auto"/>
        <w:rPr>
          <w:sz w:val="22"/>
          <w:szCs w:val="22"/>
          <w:lang w:val="en-US"/>
        </w:rPr>
      </w:pPr>
      <w:r w:rsidRPr="002A679D">
        <w:rPr>
          <w:rStyle w:val="FootnoteReference"/>
          <w:sz w:val="22"/>
          <w:szCs w:val="22"/>
        </w:rPr>
        <w:footnoteRef/>
      </w:r>
      <w:r w:rsidRPr="002A679D">
        <w:rPr>
          <w:sz w:val="22"/>
          <w:szCs w:val="22"/>
        </w:rPr>
        <w:t xml:space="preserve"> </w:t>
      </w:r>
      <w:r w:rsidRPr="002A679D">
        <w:rPr>
          <w:sz w:val="22"/>
          <w:szCs w:val="22"/>
          <w:lang w:val="en-US"/>
        </w:rPr>
        <w:t xml:space="preserve">See for instance: A Taylor and Ibadat Dhillon, “An international legal strategy for alcohol control: not a framework convention – at least not yet” 108 Addiction (2012), pp. 450 </w:t>
      </w:r>
      <w:r w:rsidRPr="002A679D">
        <w:rPr>
          <w:i/>
          <w:sz w:val="22"/>
          <w:szCs w:val="22"/>
          <w:lang w:val="en-US"/>
        </w:rPr>
        <w:t>et seqq</w:t>
      </w:r>
      <w:r w:rsidRPr="002A679D">
        <w:rPr>
          <w:sz w:val="22"/>
          <w:szCs w:val="22"/>
          <w:lang w:val="en-US"/>
        </w:rPr>
        <w:t xml:space="preserve">; Robin Room, “Healthy is as healthy does: where will a voluntary code get us on international alcohol control?” 108 Addiction (2013), pp. 456 </w:t>
      </w:r>
      <w:r w:rsidRPr="002A679D">
        <w:rPr>
          <w:i/>
          <w:sz w:val="22"/>
          <w:szCs w:val="22"/>
          <w:lang w:val="en-US"/>
        </w:rPr>
        <w:t>et seqq</w:t>
      </w:r>
    </w:p>
  </w:footnote>
  <w:footnote w:id="31">
    <w:p w14:paraId="46422B37" w14:textId="6254E4DC" w:rsidR="002A679D" w:rsidRPr="002A679D" w:rsidRDefault="002A679D" w:rsidP="00BD7579">
      <w:pPr>
        <w:pStyle w:val="FootnoteText"/>
        <w:spacing w:line="276" w:lineRule="auto"/>
        <w:rPr>
          <w:sz w:val="22"/>
          <w:szCs w:val="22"/>
          <w:lang w:val="en-US"/>
        </w:rPr>
      </w:pPr>
      <w:r w:rsidRPr="002A679D">
        <w:rPr>
          <w:rStyle w:val="FootnoteReference"/>
          <w:sz w:val="22"/>
          <w:szCs w:val="22"/>
        </w:rPr>
        <w:footnoteRef/>
      </w:r>
      <w:r w:rsidRPr="002A679D">
        <w:rPr>
          <w:sz w:val="22"/>
          <w:szCs w:val="22"/>
        </w:rPr>
        <w:t xml:space="preserve"> </w:t>
      </w:r>
      <w:r w:rsidRPr="002A679D">
        <w:rPr>
          <w:sz w:val="22"/>
          <w:szCs w:val="22"/>
          <w:lang w:val="en-US"/>
        </w:rPr>
        <w:t xml:space="preserve">Allyn Taylor and Ibadat Dhillon, “An international legal strategy for alcohol control”, </w:t>
      </w:r>
      <w:r w:rsidRPr="002A679D">
        <w:rPr>
          <w:i/>
          <w:sz w:val="22"/>
          <w:szCs w:val="22"/>
          <w:lang w:val="en-US"/>
        </w:rPr>
        <w:t>supra</w:t>
      </w:r>
      <w:r w:rsidRPr="002A679D">
        <w:rPr>
          <w:sz w:val="22"/>
          <w:szCs w:val="22"/>
          <w:lang w:val="en-US"/>
        </w:rPr>
        <w:t xml:space="preserve"> note 28, at p. 451.</w:t>
      </w:r>
    </w:p>
  </w:footnote>
  <w:footnote w:id="32">
    <w:p w14:paraId="7380C893" w14:textId="0B8127D5" w:rsidR="002A679D" w:rsidRPr="002A679D" w:rsidRDefault="002A679D" w:rsidP="00BD7579">
      <w:pPr>
        <w:pStyle w:val="FootnoteText"/>
        <w:spacing w:line="276" w:lineRule="auto"/>
        <w:rPr>
          <w:sz w:val="22"/>
          <w:szCs w:val="22"/>
          <w:lang w:val="en-US"/>
        </w:rPr>
      </w:pPr>
      <w:r w:rsidRPr="002A679D">
        <w:rPr>
          <w:rStyle w:val="FootnoteReference"/>
          <w:sz w:val="22"/>
          <w:szCs w:val="22"/>
        </w:rPr>
        <w:footnoteRef/>
      </w:r>
      <w:r w:rsidRPr="002A679D">
        <w:rPr>
          <w:sz w:val="22"/>
          <w:szCs w:val="22"/>
        </w:rPr>
        <w:t xml:space="preserve"> Virginia Barbour et al., “Let’s be straight up about the alcohol industry” 8(5) PLoS Med (2011), pp. e1001041 </w:t>
      </w:r>
      <w:r w:rsidRPr="002A679D">
        <w:rPr>
          <w:i/>
          <w:sz w:val="22"/>
          <w:szCs w:val="22"/>
        </w:rPr>
        <w:t>et seqq</w:t>
      </w:r>
      <w:r w:rsidRPr="002A679D">
        <w:rPr>
          <w:sz w:val="22"/>
          <w:szCs w:val="22"/>
        </w:rPr>
        <w:t>, at p. e1001041</w:t>
      </w:r>
      <w:r w:rsidR="00AD7A7B">
        <w:rPr>
          <w:sz w:val="22"/>
          <w:szCs w:val="22"/>
        </w:rPr>
        <w:t>.</w:t>
      </w:r>
    </w:p>
  </w:footnote>
  <w:footnote w:id="33">
    <w:p w14:paraId="510D27BE" w14:textId="773CCDB5" w:rsidR="002A679D" w:rsidRPr="002A679D" w:rsidRDefault="002A679D">
      <w:pPr>
        <w:pStyle w:val="FootnoteText"/>
        <w:rPr>
          <w:lang w:val="en-US"/>
        </w:rPr>
      </w:pPr>
      <w:r w:rsidRPr="002A679D">
        <w:rPr>
          <w:rStyle w:val="FootnoteReference"/>
        </w:rPr>
        <w:footnoteRef/>
      </w:r>
      <w:r w:rsidRPr="002A679D">
        <w:t xml:space="preserve"> </w:t>
      </w:r>
      <w:r w:rsidRPr="002A679D">
        <w:rPr>
          <w:sz w:val="22"/>
          <w:szCs w:val="22"/>
          <w:lang w:val="en-US"/>
        </w:rPr>
        <w:t xml:space="preserve">See for example: Francois Booyse and Dale Parks, “Moderate wine and alcohol consumption: Beneficial effects on cardiovascular disease” 86(2) Thrombosis and Haemostasis (2001), pp. 509 </w:t>
      </w:r>
      <w:r w:rsidRPr="002A679D">
        <w:rPr>
          <w:i/>
          <w:sz w:val="22"/>
          <w:szCs w:val="22"/>
          <w:lang w:val="en-US"/>
        </w:rPr>
        <w:t>et seqq.</w:t>
      </w:r>
    </w:p>
  </w:footnote>
  <w:footnote w:id="34">
    <w:p w14:paraId="60376862" w14:textId="30DE6EB4" w:rsidR="002A679D" w:rsidRPr="002A679D" w:rsidRDefault="002A679D" w:rsidP="00BD7579">
      <w:pPr>
        <w:pStyle w:val="FootnoteText"/>
        <w:spacing w:line="276" w:lineRule="auto"/>
        <w:rPr>
          <w:sz w:val="22"/>
          <w:szCs w:val="22"/>
          <w:lang w:val="en-US"/>
        </w:rPr>
      </w:pPr>
      <w:r w:rsidRPr="002A679D">
        <w:rPr>
          <w:rStyle w:val="FootnoteReference"/>
          <w:sz w:val="22"/>
          <w:szCs w:val="22"/>
        </w:rPr>
        <w:footnoteRef/>
      </w:r>
      <w:r w:rsidRPr="002A679D">
        <w:rPr>
          <w:sz w:val="22"/>
          <w:szCs w:val="22"/>
        </w:rPr>
        <w:t xml:space="preserve"> </w:t>
      </w:r>
      <w:r w:rsidRPr="002A679D">
        <w:rPr>
          <w:sz w:val="22"/>
          <w:szCs w:val="22"/>
          <w:lang w:val="en-US"/>
        </w:rPr>
        <w:t xml:space="preserve">World Health Organisation, </w:t>
      </w:r>
      <w:r w:rsidRPr="002A679D">
        <w:rPr>
          <w:i/>
          <w:sz w:val="22"/>
          <w:szCs w:val="22"/>
          <w:lang w:val="en-US"/>
        </w:rPr>
        <w:t>Alcohol in the European Union: Consumption, harm and policy approaches</w:t>
      </w:r>
      <w:r w:rsidRPr="002A679D">
        <w:rPr>
          <w:sz w:val="22"/>
          <w:szCs w:val="22"/>
          <w:lang w:val="en-US"/>
        </w:rPr>
        <w:t>, (Copenhagen: WHO Regional Office for Europe 2012), at p. 1.</w:t>
      </w:r>
    </w:p>
  </w:footnote>
  <w:footnote w:id="35">
    <w:p w14:paraId="5202AADC" w14:textId="26D36BF4" w:rsidR="002A679D" w:rsidRPr="002A679D" w:rsidRDefault="002A679D" w:rsidP="00BD7579">
      <w:pPr>
        <w:pStyle w:val="FootnoteText"/>
        <w:spacing w:line="276" w:lineRule="auto"/>
        <w:rPr>
          <w:sz w:val="22"/>
          <w:szCs w:val="22"/>
          <w:lang w:val="en-US"/>
        </w:rPr>
      </w:pPr>
      <w:r w:rsidRPr="002A679D">
        <w:rPr>
          <w:rStyle w:val="FootnoteReference"/>
          <w:sz w:val="22"/>
          <w:szCs w:val="22"/>
        </w:rPr>
        <w:footnoteRef/>
      </w:r>
      <w:r w:rsidRPr="002A679D">
        <w:rPr>
          <w:sz w:val="22"/>
          <w:szCs w:val="22"/>
        </w:rPr>
        <w:t xml:space="preserve"> </w:t>
      </w:r>
      <w:r w:rsidRPr="002A679D">
        <w:rPr>
          <w:sz w:val="22"/>
          <w:szCs w:val="22"/>
          <w:lang w:val="en-US"/>
        </w:rPr>
        <w:t xml:space="preserve">D Craig, M Dakkak, I Gilmore et al., “A drunk and disorderly country: a nationwide cross-sectional survey of alcohol use and misuse in Great Britain” 3 Frontline Gastroenterology (2012), pp. 57 </w:t>
      </w:r>
      <w:r w:rsidRPr="002A679D">
        <w:rPr>
          <w:i/>
          <w:sz w:val="22"/>
          <w:szCs w:val="22"/>
          <w:lang w:val="en-US"/>
        </w:rPr>
        <w:t>et seqq</w:t>
      </w:r>
      <w:r w:rsidRPr="002A679D">
        <w:rPr>
          <w:sz w:val="22"/>
          <w:szCs w:val="22"/>
          <w:lang w:val="en-US"/>
        </w:rPr>
        <w:t>.</w:t>
      </w:r>
    </w:p>
  </w:footnote>
  <w:footnote w:id="36">
    <w:p w14:paraId="18F3BF6E" w14:textId="0D487B03" w:rsidR="002A679D" w:rsidRPr="002A679D" w:rsidRDefault="002A679D" w:rsidP="00BD7579">
      <w:pPr>
        <w:pStyle w:val="FootnoteText"/>
        <w:spacing w:line="276" w:lineRule="auto"/>
        <w:rPr>
          <w:i/>
          <w:sz w:val="22"/>
          <w:szCs w:val="22"/>
          <w:lang w:val="en-US"/>
        </w:rPr>
      </w:pPr>
      <w:r w:rsidRPr="002A679D">
        <w:rPr>
          <w:rStyle w:val="FootnoteReference"/>
          <w:sz w:val="22"/>
          <w:szCs w:val="22"/>
        </w:rPr>
        <w:footnoteRef/>
      </w:r>
      <w:r w:rsidRPr="002A679D">
        <w:rPr>
          <w:sz w:val="22"/>
          <w:szCs w:val="22"/>
        </w:rPr>
        <w:t xml:space="preserve"> </w:t>
      </w:r>
      <w:r w:rsidRPr="002A679D">
        <w:rPr>
          <w:i/>
          <w:sz w:val="22"/>
          <w:szCs w:val="22"/>
          <w:lang w:val="en-US"/>
        </w:rPr>
        <w:t>The Government’s Alcohol Strategy, supra</w:t>
      </w:r>
      <w:r w:rsidRPr="002A679D">
        <w:rPr>
          <w:sz w:val="22"/>
          <w:szCs w:val="22"/>
          <w:lang w:val="en-US"/>
        </w:rPr>
        <w:t xml:space="preserve"> note 18, at p. 2.</w:t>
      </w:r>
      <w:r w:rsidRPr="002A679D">
        <w:rPr>
          <w:i/>
          <w:sz w:val="22"/>
          <w:szCs w:val="22"/>
          <w:lang w:val="en-US"/>
        </w:rPr>
        <w:t xml:space="preserve"> </w:t>
      </w:r>
    </w:p>
  </w:footnote>
  <w:footnote w:id="37">
    <w:p w14:paraId="3A9B03DB" w14:textId="74E1CA4D" w:rsidR="002A679D" w:rsidRPr="002A679D" w:rsidRDefault="002A679D" w:rsidP="00BD7579">
      <w:pPr>
        <w:pStyle w:val="FootnoteText"/>
        <w:spacing w:line="276" w:lineRule="auto"/>
        <w:rPr>
          <w:sz w:val="22"/>
          <w:szCs w:val="22"/>
          <w:lang w:val="en-US"/>
        </w:rPr>
      </w:pPr>
      <w:r w:rsidRPr="002A679D">
        <w:rPr>
          <w:rStyle w:val="FootnoteReference"/>
          <w:sz w:val="22"/>
          <w:szCs w:val="22"/>
        </w:rPr>
        <w:footnoteRef/>
      </w:r>
      <w:r w:rsidRPr="002A679D">
        <w:rPr>
          <w:sz w:val="22"/>
          <w:szCs w:val="22"/>
        </w:rPr>
        <w:t xml:space="preserve"> </w:t>
      </w:r>
      <w:r w:rsidRPr="002A679D">
        <w:rPr>
          <w:sz w:val="22"/>
          <w:szCs w:val="22"/>
          <w:lang w:val="en-US"/>
        </w:rPr>
        <w:t>Case C-429/02 Bacardi France [2004] ECR I-06613</w:t>
      </w:r>
      <w:r w:rsidR="00AD7A7B">
        <w:rPr>
          <w:sz w:val="22"/>
          <w:szCs w:val="22"/>
          <w:lang w:val="en-US"/>
        </w:rPr>
        <w:t>.</w:t>
      </w:r>
    </w:p>
  </w:footnote>
  <w:footnote w:id="38">
    <w:p w14:paraId="797191BF" w14:textId="151AE775" w:rsidR="002A679D" w:rsidRPr="002A679D" w:rsidRDefault="002A679D" w:rsidP="00BD7579">
      <w:pPr>
        <w:pStyle w:val="FootnoteText"/>
        <w:spacing w:line="276" w:lineRule="auto"/>
        <w:rPr>
          <w:bCs/>
          <w:sz w:val="22"/>
          <w:szCs w:val="22"/>
        </w:rPr>
      </w:pPr>
      <w:r w:rsidRPr="002A679D">
        <w:rPr>
          <w:rStyle w:val="FootnoteReference"/>
          <w:sz w:val="22"/>
          <w:szCs w:val="22"/>
        </w:rPr>
        <w:footnoteRef/>
      </w:r>
      <w:r w:rsidRPr="002A679D">
        <w:rPr>
          <w:sz w:val="22"/>
          <w:szCs w:val="22"/>
        </w:rPr>
        <w:t xml:space="preserve"> Case C-405/98 </w:t>
      </w:r>
      <w:r w:rsidRPr="002A679D">
        <w:rPr>
          <w:bCs/>
          <w:sz w:val="22"/>
          <w:szCs w:val="22"/>
        </w:rPr>
        <w:t>Konsumentombudsmannen (KO) v Gourmet International Products AB (GIP) [2001] ECR I-01795</w:t>
      </w:r>
      <w:r w:rsidR="00AD7A7B">
        <w:rPr>
          <w:bCs/>
          <w:sz w:val="22"/>
          <w:szCs w:val="22"/>
        </w:rPr>
        <w:t>.</w:t>
      </w:r>
    </w:p>
  </w:footnote>
  <w:footnote w:id="39">
    <w:p w14:paraId="27BA4967" w14:textId="442E342B" w:rsidR="002A679D" w:rsidRPr="002A679D" w:rsidRDefault="002A679D" w:rsidP="00BD7579">
      <w:pPr>
        <w:pStyle w:val="FootnoteText"/>
        <w:spacing w:line="276" w:lineRule="auto"/>
        <w:rPr>
          <w:sz w:val="22"/>
          <w:szCs w:val="22"/>
          <w:lang w:val="en-US"/>
        </w:rPr>
      </w:pPr>
      <w:r w:rsidRPr="002A679D">
        <w:rPr>
          <w:rStyle w:val="FootnoteReference"/>
          <w:sz w:val="22"/>
          <w:szCs w:val="22"/>
        </w:rPr>
        <w:footnoteRef/>
      </w:r>
      <w:r w:rsidRPr="002A679D">
        <w:rPr>
          <w:sz w:val="22"/>
          <w:szCs w:val="22"/>
        </w:rPr>
        <w:t xml:space="preserve"> </w:t>
      </w:r>
      <w:r w:rsidRPr="002A679D">
        <w:rPr>
          <w:sz w:val="22"/>
          <w:szCs w:val="22"/>
          <w:lang w:val="en-US"/>
        </w:rPr>
        <w:t>Case E-4/04 Pedicel AS v Sosial-og helsedirektoratet (Directorate for Health and Social Affairs) [2005]</w:t>
      </w:r>
      <w:r w:rsidR="00AD7A7B">
        <w:rPr>
          <w:sz w:val="22"/>
          <w:szCs w:val="22"/>
          <w:lang w:val="en-US"/>
        </w:rPr>
        <w:t>.</w:t>
      </w:r>
    </w:p>
  </w:footnote>
  <w:footnote w:id="40">
    <w:p w14:paraId="3F6D57A7" w14:textId="77777777" w:rsidR="002A679D" w:rsidRPr="002A679D" w:rsidRDefault="002A679D" w:rsidP="003467CD">
      <w:pPr>
        <w:pStyle w:val="FootnoteText"/>
        <w:spacing w:line="276" w:lineRule="auto"/>
        <w:rPr>
          <w:sz w:val="22"/>
          <w:szCs w:val="22"/>
          <w:lang w:val="en-US"/>
        </w:rPr>
      </w:pPr>
      <w:r w:rsidRPr="002A679D">
        <w:rPr>
          <w:rStyle w:val="FootnoteReference"/>
          <w:sz w:val="22"/>
          <w:szCs w:val="22"/>
        </w:rPr>
        <w:footnoteRef/>
      </w:r>
      <w:r w:rsidRPr="002A679D">
        <w:rPr>
          <w:sz w:val="22"/>
          <w:szCs w:val="22"/>
        </w:rPr>
        <w:t xml:space="preserve"> </w:t>
      </w:r>
      <w:r w:rsidRPr="002A679D">
        <w:rPr>
          <w:sz w:val="22"/>
          <w:szCs w:val="22"/>
          <w:lang w:val="en-US"/>
        </w:rPr>
        <w:t xml:space="preserve">See Case C376/98 Germany v Parliament and Council [2000] ECR I-08419. </w:t>
      </w:r>
    </w:p>
  </w:footnote>
  <w:footnote w:id="41">
    <w:p w14:paraId="30615877" w14:textId="5BFB5E56" w:rsidR="002A679D" w:rsidRPr="002A679D" w:rsidRDefault="002A679D" w:rsidP="00BD7579">
      <w:pPr>
        <w:pStyle w:val="FootnoteText"/>
        <w:spacing w:line="276" w:lineRule="auto"/>
        <w:rPr>
          <w:sz w:val="22"/>
          <w:szCs w:val="22"/>
          <w:lang w:val="en-US"/>
        </w:rPr>
      </w:pPr>
      <w:r w:rsidRPr="002A679D">
        <w:rPr>
          <w:rStyle w:val="FootnoteReference"/>
          <w:sz w:val="22"/>
          <w:szCs w:val="22"/>
        </w:rPr>
        <w:footnoteRef/>
      </w:r>
      <w:r w:rsidRPr="002A679D">
        <w:rPr>
          <w:sz w:val="22"/>
          <w:szCs w:val="22"/>
        </w:rPr>
        <w:t xml:space="preserve"> </w:t>
      </w:r>
      <w:r w:rsidRPr="002A679D">
        <w:rPr>
          <w:sz w:val="22"/>
          <w:szCs w:val="22"/>
          <w:lang w:val="en-US"/>
        </w:rPr>
        <w:t xml:space="preserve">Case 380/03 Germany v Parliament and Council [2006] ECR I-11573. </w:t>
      </w:r>
    </w:p>
  </w:footnote>
  <w:footnote w:id="42">
    <w:p w14:paraId="68188975" w14:textId="3B942618" w:rsidR="002A679D" w:rsidRPr="002A679D" w:rsidRDefault="002A679D" w:rsidP="00415DBF">
      <w:pPr>
        <w:pStyle w:val="FootnoteText"/>
        <w:rPr>
          <w:sz w:val="22"/>
          <w:szCs w:val="22"/>
          <w:lang w:val="en-US"/>
        </w:rPr>
      </w:pPr>
      <w:r w:rsidRPr="002A679D">
        <w:rPr>
          <w:rStyle w:val="FootnoteReference"/>
          <w:sz w:val="22"/>
          <w:szCs w:val="22"/>
        </w:rPr>
        <w:footnoteRef/>
      </w:r>
      <w:r w:rsidRPr="002A679D">
        <w:rPr>
          <w:sz w:val="22"/>
          <w:szCs w:val="22"/>
        </w:rPr>
        <w:t xml:space="preserve"> </w:t>
      </w:r>
      <w:r w:rsidRPr="002A679D">
        <w:rPr>
          <w:sz w:val="22"/>
          <w:szCs w:val="22"/>
          <w:lang w:val="en-US"/>
        </w:rPr>
        <w:t xml:space="preserve">Case C-376/98 </w:t>
      </w:r>
      <w:r w:rsidRPr="002A679D">
        <w:rPr>
          <w:i/>
          <w:sz w:val="22"/>
          <w:szCs w:val="22"/>
          <w:lang w:val="en-US"/>
        </w:rPr>
        <w:t>Commission v Parliament and Council (Tobacco Advertising 1)</w:t>
      </w:r>
      <w:r w:rsidRPr="002A679D">
        <w:rPr>
          <w:sz w:val="22"/>
          <w:szCs w:val="22"/>
          <w:lang w:val="en-US"/>
        </w:rPr>
        <w:t xml:space="preserve"> [2000] ECR I-08419, para 99</w:t>
      </w:r>
      <w:r w:rsidR="00AD7A7B">
        <w:rPr>
          <w:sz w:val="22"/>
          <w:szCs w:val="22"/>
          <w:lang w:val="en-US"/>
        </w:rPr>
        <w:t>.</w:t>
      </w:r>
    </w:p>
  </w:footnote>
  <w:footnote w:id="43">
    <w:p w14:paraId="51306A7F" w14:textId="3D8643B5" w:rsidR="002A679D" w:rsidRPr="002A679D" w:rsidRDefault="002A679D" w:rsidP="00415DBF">
      <w:pPr>
        <w:pStyle w:val="FootnoteText"/>
        <w:rPr>
          <w:sz w:val="22"/>
          <w:szCs w:val="22"/>
          <w:lang w:val="en-US"/>
        </w:rPr>
      </w:pPr>
      <w:r w:rsidRPr="002A679D">
        <w:rPr>
          <w:rStyle w:val="FootnoteReference"/>
          <w:sz w:val="22"/>
          <w:szCs w:val="22"/>
        </w:rPr>
        <w:footnoteRef/>
      </w:r>
      <w:r w:rsidRPr="002A679D">
        <w:rPr>
          <w:sz w:val="22"/>
          <w:szCs w:val="22"/>
        </w:rPr>
        <w:t xml:space="preserve"> </w:t>
      </w:r>
      <w:r w:rsidRPr="002A679D">
        <w:rPr>
          <w:sz w:val="22"/>
          <w:szCs w:val="22"/>
          <w:lang w:val="en-US"/>
        </w:rPr>
        <w:t xml:space="preserve">Case C-376/98 </w:t>
      </w:r>
      <w:r w:rsidRPr="002A679D">
        <w:rPr>
          <w:i/>
          <w:sz w:val="22"/>
          <w:szCs w:val="22"/>
          <w:lang w:val="en-US"/>
        </w:rPr>
        <w:t>Commission v Parliament and Council (Tobacco Advertising 1)</w:t>
      </w:r>
      <w:r w:rsidRPr="002A679D">
        <w:rPr>
          <w:sz w:val="22"/>
          <w:szCs w:val="22"/>
          <w:lang w:val="en-US"/>
        </w:rPr>
        <w:t xml:space="preserve"> [2000] ECR I-08419, para 84</w:t>
      </w:r>
      <w:r w:rsidR="00AD7A7B">
        <w:rPr>
          <w:sz w:val="22"/>
          <w:szCs w:val="22"/>
          <w:lang w:val="en-US"/>
        </w:rPr>
        <w:t>.</w:t>
      </w:r>
    </w:p>
  </w:footnote>
  <w:footnote w:id="44">
    <w:p w14:paraId="5B186742" w14:textId="62E03A30" w:rsidR="002A679D" w:rsidRPr="002A679D" w:rsidRDefault="002A679D" w:rsidP="00BD7579">
      <w:pPr>
        <w:pStyle w:val="FootnoteText"/>
        <w:spacing w:line="276" w:lineRule="auto"/>
        <w:rPr>
          <w:sz w:val="22"/>
          <w:szCs w:val="22"/>
        </w:rPr>
      </w:pPr>
      <w:r w:rsidRPr="002A679D">
        <w:rPr>
          <w:rStyle w:val="FootnoteReference"/>
          <w:sz w:val="22"/>
          <w:szCs w:val="22"/>
        </w:rPr>
        <w:footnoteRef/>
      </w:r>
      <w:r w:rsidRPr="002A679D">
        <w:rPr>
          <w:sz w:val="22"/>
          <w:szCs w:val="22"/>
        </w:rPr>
        <w:t xml:space="preserve"> </w:t>
      </w:r>
      <w:r w:rsidRPr="002A679D">
        <w:rPr>
          <w:sz w:val="22"/>
          <w:szCs w:val="22"/>
          <w:lang w:val="en-US"/>
        </w:rPr>
        <w:t xml:space="preserve">See Amandine Garde, “Freedom of commercial expression and public health protection: the principle of proportionality as a tool to strike the balance” in </w:t>
      </w:r>
      <w:r w:rsidRPr="002A679D">
        <w:rPr>
          <w:sz w:val="22"/>
          <w:szCs w:val="22"/>
        </w:rPr>
        <w:t>Laurence Gormley and Niamh Nic Shuibhne (eds), </w:t>
      </w:r>
      <w:r w:rsidRPr="002A679D">
        <w:rPr>
          <w:i/>
          <w:iCs/>
          <w:sz w:val="22"/>
          <w:szCs w:val="22"/>
        </w:rPr>
        <w:t>From Single Market to Economic Union – Essays in Honour of John Usher</w:t>
      </w:r>
      <w:r w:rsidRPr="002A679D">
        <w:rPr>
          <w:sz w:val="22"/>
          <w:szCs w:val="22"/>
        </w:rPr>
        <w:t> (Oxford: Oxford University Press, 2012), at p. 122</w:t>
      </w:r>
      <w:r w:rsidR="00AD7A7B">
        <w:rPr>
          <w:sz w:val="22"/>
          <w:szCs w:val="22"/>
        </w:rPr>
        <w:t>.</w:t>
      </w:r>
    </w:p>
  </w:footnote>
  <w:footnote w:id="45">
    <w:p w14:paraId="38668A81" w14:textId="5A7679F9" w:rsidR="002A679D" w:rsidRPr="002A679D" w:rsidRDefault="002A679D" w:rsidP="00BD7579">
      <w:pPr>
        <w:pStyle w:val="FootnoteText"/>
        <w:spacing w:line="276" w:lineRule="auto"/>
        <w:rPr>
          <w:sz w:val="22"/>
          <w:szCs w:val="22"/>
          <w:lang w:val="en-US"/>
        </w:rPr>
      </w:pPr>
      <w:r w:rsidRPr="002A679D">
        <w:rPr>
          <w:rStyle w:val="FootnoteReference"/>
          <w:sz w:val="22"/>
          <w:szCs w:val="22"/>
        </w:rPr>
        <w:footnoteRef/>
      </w:r>
      <w:r w:rsidRPr="002A679D">
        <w:rPr>
          <w:sz w:val="22"/>
          <w:szCs w:val="22"/>
        </w:rPr>
        <w:t xml:space="preserve"> </w:t>
      </w:r>
      <w:r w:rsidRPr="002A679D">
        <w:rPr>
          <w:i/>
          <w:sz w:val="22"/>
          <w:szCs w:val="22"/>
          <w:lang w:val="en-US"/>
        </w:rPr>
        <w:t>Ibid</w:t>
      </w:r>
      <w:r w:rsidRPr="002A679D">
        <w:rPr>
          <w:sz w:val="22"/>
          <w:szCs w:val="22"/>
          <w:lang w:val="en-US"/>
        </w:rPr>
        <w:t xml:space="preserve">, at p. 129. </w:t>
      </w:r>
    </w:p>
  </w:footnote>
  <w:footnote w:id="46">
    <w:p w14:paraId="35764E4A" w14:textId="4F252F8F" w:rsidR="002A679D" w:rsidRPr="002A679D" w:rsidRDefault="002A679D" w:rsidP="00BD7579">
      <w:pPr>
        <w:pStyle w:val="FootnoteText"/>
        <w:spacing w:line="276" w:lineRule="auto"/>
        <w:rPr>
          <w:sz w:val="22"/>
          <w:szCs w:val="22"/>
          <w:lang w:val="en-US"/>
        </w:rPr>
      </w:pPr>
      <w:r w:rsidRPr="002A679D">
        <w:rPr>
          <w:rStyle w:val="FootnoteReference"/>
          <w:sz w:val="22"/>
          <w:szCs w:val="22"/>
        </w:rPr>
        <w:footnoteRef/>
      </w:r>
      <w:r w:rsidRPr="002A679D">
        <w:rPr>
          <w:sz w:val="22"/>
          <w:szCs w:val="22"/>
        </w:rPr>
        <w:t xml:space="preserve"> </w:t>
      </w:r>
      <w:r w:rsidRPr="002A679D">
        <w:rPr>
          <w:sz w:val="22"/>
          <w:szCs w:val="22"/>
          <w:lang w:val="en-US"/>
        </w:rPr>
        <w:t xml:space="preserve">Opinion of Judge H Lee Sarokin, </w:t>
      </w:r>
      <w:r w:rsidRPr="002A679D">
        <w:rPr>
          <w:i/>
          <w:sz w:val="22"/>
          <w:szCs w:val="22"/>
          <w:lang w:val="en-US"/>
        </w:rPr>
        <w:t>Haynes v Liggett Group Inc</w:t>
      </w:r>
      <w:r w:rsidRPr="002A679D">
        <w:rPr>
          <w:sz w:val="22"/>
          <w:szCs w:val="22"/>
          <w:lang w:val="en-US"/>
        </w:rPr>
        <w:t>. 140 F.R.D.  681 (D.N.J. 1992), at p. 683</w:t>
      </w:r>
      <w:r w:rsidR="00AD7A7B">
        <w:rPr>
          <w:sz w:val="22"/>
          <w:szCs w:val="22"/>
          <w:lang w:val="en-US"/>
        </w:rPr>
        <w:t>.</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3D5"/>
    <w:rsid w:val="000007D2"/>
    <w:rsid w:val="00004161"/>
    <w:rsid w:val="00007437"/>
    <w:rsid w:val="00017912"/>
    <w:rsid w:val="00023766"/>
    <w:rsid w:val="000302C6"/>
    <w:rsid w:val="000349F9"/>
    <w:rsid w:val="000365DE"/>
    <w:rsid w:val="000403AA"/>
    <w:rsid w:val="000576D0"/>
    <w:rsid w:val="000579C3"/>
    <w:rsid w:val="000720AD"/>
    <w:rsid w:val="000739F4"/>
    <w:rsid w:val="000956B9"/>
    <w:rsid w:val="000B2EDE"/>
    <w:rsid w:val="000B4020"/>
    <w:rsid w:val="000B4B59"/>
    <w:rsid w:val="000B517C"/>
    <w:rsid w:val="000B7BD1"/>
    <w:rsid w:val="000C625E"/>
    <w:rsid w:val="000D0E6F"/>
    <w:rsid w:val="000D7253"/>
    <w:rsid w:val="000D7934"/>
    <w:rsid w:val="000E2A42"/>
    <w:rsid w:val="000E32FD"/>
    <w:rsid w:val="00102FDE"/>
    <w:rsid w:val="00104E84"/>
    <w:rsid w:val="00113220"/>
    <w:rsid w:val="001171A5"/>
    <w:rsid w:val="001222C3"/>
    <w:rsid w:val="00131E10"/>
    <w:rsid w:val="00136B66"/>
    <w:rsid w:val="00136FBF"/>
    <w:rsid w:val="0013712B"/>
    <w:rsid w:val="00140C72"/>
    <w:rsid w:val="001465E2"/>
    <w:rsid w:val="00147577"/>
    <w:rsid w:val="0018039B"/>
    <w:rsid w:val="001841F9"/>
    <w:rsid w:val="00191BC3"/>
    <w:rsid w:val="00193144"/>
    <w:rsid w:val="00194DF4"/>
    <w:rsid w:val="00195CE2"/>
    <w:rsid w:val="00197F86"/>
    <w:rsid w:val="001A0D4E"/>
    <w:rsid w:val="001A700D"/>
    <w:rsid w:val="001B1456"/>
    <w:rsid w:val="001B2839"/>
    <w:rsid w:val="001B48A6"/>
    <w:rsid w:val="001B5E98"/>
    <w:rsid w:val="001B7DBF"/>
    <w:rsid w:val="001C358E"/>
    <w:rsid w:val="001C3E2E"/>
    <w:rsid w:val="001D1510"/>
    <w:rsid w:val="001D1599"/>
    <w:rsid w:val="001D5372"/>
    <w:rsid w:val="001D77F0"/>
    <w:rsid w:val="001E34DF"/>
    <w:rsid w:val="001E5101"/>
    <w:rsid w:val="001E5607"/>
    <w:rsid w:val="001F2D08"/>
    <w:rsid w:val="001F6100"/>
    <w:rsid w:val="001F63B7"/>
    <w:rsid w:val="001F7AA4"/>
    <w:rsid w:val="002032B7"/>
    <w:rsid w:val="00203579"/>
    <w:rsid w:val="002137E6"/>
    <w:rsid w:val="00216807"/>
    <w:rsid w:val="00222302"/>
    <w:rsid w:val="00223D86"/>
    <w:rsid w:val="00227C28"/>
    <w:rsid w:val="0023541B"/>
    <w:rsid w:val="002460C7"/>
    <w:rsid w:val="0025146D"/>
    <w:rsid w:val="00254D7B"/>
    <w:rsid w:val="002627D7"/>
    <w:rsid w:val="002642A7"/>
    <w:rsid w:val="00272673"/>
    <w:rsid w:val="002769EA"/>
    <w:rsid w:val="002776C6"/>
    <w:rsid w:val="002779B5"/>
    <w:rsid w:val="00293B4E"/>
    <w:rsid w:val="00296E1D"/>
    <w:rsid w:val="002A2380"/>
    <w:rsid w:val="002A330E"/>
    <w:rsid w:val="002A5E11"/>
    <w:rsid w:val="002A679D"/>
    <w:rsid w:val="002A7EF9"/>
    <w:rsid w:val="002B4975"/>
    <w:rsid w:val="002B6E0A"/>
    <w:rsid w:val="002D09E9"/>
    <w:rsid w:val="002D1F7F"/>
    <w:rsid w:val="002D77BD"/>
    <w:rsid w:val="002E0C91"/>
    <w:rsid w:val="002E408B"/>
    <w:rsid w:val="002E4B5B"/>
    <w:rsid w:val="002E7173"/>
    <w:rsid w:val="002F0635"/>
    <w:rsid w:val="002F1F3E"/>
    <w:rsid w:val="002F2868"/>
    <w:rsid w:val="002F5B37"/>
    <w:rsid w:val="0031239A"/>
    <w:rsid w:val="00313495"/>
    <w:rsid w:val="00317D64"/>
    <w:rsid w:val="003237E3"/>
    <w:rsid w:val="00323D89"/>
    <w:rsid w:val="00340735"/>
    <w:rsid w:val="00344AD0"/>
    <w:rsid w:val="00345DA7"/>
    <w:rsid w:val="003467CD"/>
    <w:rsid w:val="0037381C"/>
    <w:rsid w:val="00380E8E"/>
    <w:rsid w:val="003812B5"/>
    <w:rsid w:val="003847C3"/>
    <w:rsid w:val="00393AAF"/>
    <w:rsid w:val="0039689C"/>
    <w:rsid w:val="003974D8"/>
    <w:rsid w:val="003A4AA6"/>
    <w:rsid w:val="003B34C0"/>
    <w:rsid w:val="003D0B0E"/>
    <w:rsid w:val="003E13E3"/>
    <w:rsid w:val="003E6B7C"/>
    <w:rsid w:val="003F3174"/>
    <w:rsid w:val="003F38C1"/>
    <w:rsid w:val="003F3D30"/>
    <w:rsid w:val="003F3EC0"/>
    <w:rsid w:val="00413F53"/>
    <w:rsid w:val="00414D1F"/>
    <w:rsid w:val="00415004"/>
    <w:rsid w:val="00415DBF"/>
    <w:rsid w:val="00420B1F"/>
    <w:rsid w:val="004355FD"/>
    <w:rsid w:val="00444D95"/>
    <w:rsid w:val="004545D5"/>
    <w:rsid w:val="00456762"/>
    <w:rsid w:val="00461D2B"/>
    <w:rsid w:val="00465050"/>
    <w:rsid w:val="00466711"/>
    <w:rsid w:val="00471618"/>
    <w:rsid w:val="00490929"/>
    <w:rsid w:val="00492A76"/>
    <w:rsid w:val="00493DD9"/>
    <w:rsid w:val="004A0F19"/>
    <w:rsid w:val="004A4AEE"/>
    <w:rsid w:val="004A6672"/>
    <w:rsid w:val="004B2DFF"/>
    <w:rsid w:val="004B5F6C"/>
    <w:rsid w:val="004B701D"/>
    <w:rsid w:val="004C2001"/>
    <w:rsid w:val="004D2A2D"/>
    <w:rsid w:val="004D485E"/>
    <w:rsid w:val="004D548F"/>
    <w:rsid w:val="004D6893"/>
    <w:rsid w:val="004D704B"/>
    <w:rsid w:val="004E3B99"/>
    <w:rsid w:val="004E4465"/>
    <w:rsid w:val="004E4BE2"/>
    <w:rsid w:val="004E6862"/>
    <w:rsid w:val="004F1DAA"/>
    <w:rsid w:val="004F4631"/>
    <w:rsid w:val="004F50FD"/>
    <w:rsid w:val="0050155B"/>
    <w:rsid w:val="005023AA"/>
    <w:rsid w:val="00524648"/>
    <w:rsid w:val="00541EFD"/>
    <w:rsid w:val="0055121D"/>
    <w:rsid w:val="00551F10"/>
    <w:rsid w:val="0055477C"/>
    <w:rsid w:val="0056545A"/>
    <w:rsid w:val="00565EFE"/>
    <w:rsid w:val="00574C05"/>
    <w:rsid w:val="00575A0E"/>
    <w:rsid w:val="00576DA4"/>
    <w:rsid w:val="005826DC"/>
    <w:rsid w:val="00590C60"/>
    <w:rsid w:val="00592F08"/>
    <w:rsid w:val="005941A2"/>
    <w:rsid w:val="00597552"/>
    <w:rsid w:val="005A45D7"/>
    <w:rsid w:val="005A475C"/>
    <w:rsid w:val="005B019B"/>
    <w:rsid w:val="005B0F25"/>
    <w:rsid w:val="005B16F4"/>
    <w:rsid w:val="005B37F3"/>
    <w:rsid w:val="005C3051"/>
    <w:rsid w:val="005E3916"/>
    <w:rsid w:val="005E39AB"/>
    <w:rsid w:val="005F0EB5"/>
    <w:rsid w:val="005F2141"/>
    <w:rsid w:val="005F36E9"/>
    <w:rsid w:val="00607640"/>
    <w:rsid w:val="00612767"/>
    <w:rsid w:val="00624CDA"/>
    <w:rsid w:val="00626ED4"/>
    <w:rsid w:val="00634B2F"/>
    <w:rsid w:val="00641CFE"/>
    <w:rsid w:val="00642CE0"/>
    <w:rsid w:val="00651577"/>
    <w:rsid w:val="00655D5F"/>
    <w:rsid w:val="006573F1"/>
    <w:rsid w:val="00657C2C"/>
    <w:rsid w:val="00664602"/>
    <w:rsid w:val="006706C1"/>
    <w:rsid w:val="0067305F"/>
    <w:rsid w:val="0067341B"/>
    <w:rsid w:val="006740B6"/>
    <w:rsid w:val="00676332"/>
    <w:rsid w:val="00676410"/>
    <w:rsid w:val="0067695E"/>
    <w:rsid w:val="00682B9F"/>
    <w:rsid w:val="00686BDC"/>
    <w:rsid w:val="006A4E09"/>
    <w:rsid w:val="006A5CC1"/>
    <w:rsid w:val="006B2425"/>
    <w:rsid w:val="006B42FD"/>
    <w:rsid w:val="006B67B0"/>
    <w:rsid w:val="006B6D06"/>
    <w:rsid w:val="006C2A26"/>
    <w:rsid w:val="006C3A1B"/>
    <w:rsid w:val="006C509C"/>
    <w:rsid w:val="006D40AC"/>
    <w:rsid w:val="006D4409"/>
    <w:rsid w:val="006D6BC5"/>
    <w:rsid w:val="006E0244"/>
    <w:rsid w:val="006E057B"/>
    <w:rsid w:val="006E1878"/>
    <w:rsid w:val="006E3CAE"/>
    <w:rsid w:val="006E4259"/>
    <w:rsid w:val="006F1397"/>
    <w:rsid w:val="006F3237"/>
    <w:rsid w:val="007029CA"/>
    <w:rsid w:val="007044B6"/>
    <w:rsid w:val="00717E0F"/>
    <w:rsid w:val="00720FDF"/>
    <w:rsid w:val="00723B05"/>
    <w:rsid w:val="00724336"/>
    <w:rsid w:val="0072646C"/>
    <w:rsid w:val="007272F5"/>
    <w:rsid w:val="007351F1"/>
    <w:rsid w:val="00745877"/>
    <w:rsid w:val="00775F19"/>
    <w:rsid w:val="00783A2D"/>
    <w:rsid w:val="0078653A"/>
    <w:rsid w:val="007A018F"/>
    <w:rsid w:val="007C3CA7"/>
    <w:rsid w:val="007E31CB"/>
    <w:rsid w:val="007E456E"/>
    <w:rsid w:val="007F0888"/>
    <w:rsid w:val="007F4485"/>
    <w:rsid w:val="007F7540"/>
    <w:rsid w:val="008122AD"/>
    <w:rsid w:val="00814BB3"/>
    <w:rsid w:val="008204BF"/>
    <w:rsid w:val="00826B5E"/>
    <w:rsid w:val="00832927"/>
    <w:rsid w:val="00832F76"/>
    <w:rsid w:val="00842F9E"/>
    <w:rsid w:val="00844954"/>
    <w:rsid w:val="0085066A"/>
    <w:rsid w:val="0086650E"/>
    <w:rsid w:val="00875908"/>
    <w:rsid w:val="008817D4"/>
    <w:rsid w:val="00886BAE"/>
    <w:rsid w:val="00894D09"/>
    <w:rsid w:val="008A22A3"/>
    <w:rsid w:val="008A231C"/>
    <w:rsid w:val="008A3801"/>
    <w:rsid w:val="008B472E"/>
    <w:rsid w:val="008D10D3"/>
    <w:rsid w:val="008D31A7"/>
    <w:rsid w:val="008E52D0"/>
    <w:rsid w:val="008E6946"/>
    <w:rsid w:val="008F04E8"/>
    <w:rsid w:val="00907BAC"/>
    <w:rsid w:val="00915C4E"/>
    <w:rsid w:val="00925794"/>
    <w:rsid w:val="00931CB4"/>
    <w:rsid w:val="00932650"/>
    <w:rsid w:val="0093331B"/>
    <w:rsid w:val="00934AE6"/>
    <w:rsid w:val="00941698"/>
    <w:rsid w:val="00942BDF"/>
    <w:rsid w:val="00951AAA"/>
    <w:rsid w:val="00951B62"/>
    <w:rsid w:val="009614E8"/>
    <w:rsid w:val="00964C11"/>
    <w:rsid w:val="0098167F"/>
    <w:rsid w:val="00983AB8"/>
    <w:rsid w:val="009951B5"/>
    <w:rsid w:val="009A5B73"/>
    <w:rsid w:val="009B4297"/>
    <w:rsid w:val="009B765E"/>
    <w:rsid w:val="009C09AC"/>
    <w:rsid w:val="009C3AF8"/>
    <w:rsid w:val="009D1FBD"/>
    <w:rsid w:val="009D2DF9"/>
    <w:rsid w:val="009D3D9B"/>
    <w:rsid w:val="009E0F4E"/>
    <w:rsid w:val="009E1313"/>
    <w:rsid w:val="009F0048"/>
    <w:rsid w:val="009F53AB"/>
    <w:rsid w:val="009F73F9"/>
    <w:rsid w:val="00A02669"/>
    <w:rsid w:val="00A114CE"/>
    <w:rsid w:val="00A15278"/>
    <w:rsid w:val="00A20460"/>
    <w:rsid w:val="00A213C9"/>
    <w:rsid w:val="00A230FF"/>
    <w:rsid w:val="00A26522"/>
    <w:rsid w:val="00A52A8A"/>
    <w:rsid w:val="00A53F05"/>
    <w:rsid w:val="00A541B8"/>
    <w:rsid w:val="00A56BEE"/>
    <w:rsid w:val="00A62DD9"/>
    <w:rsid w:val="00A63168"/>
    <w:rsid w:val="00A650F5"/>
    <w:rsid w:val="00A66123"/>
    <w:rsid w:val="00A6771C"/>
    <w:rsid w:val="00A747D8"/>
    <w:rsid w:val="00A75140"/>
    <w:rsid w:val="00A83786"/>
    <w:rsid w:val="00A85D41"/>
    <w:rsid w:val="00A873B5"/>
    <w:rsid w:val="00A91C5A"/>
    <w:rsid w:val="00A93E62"/>
    <w:rsid w:val="00A94634"/>
    <w:rsid w:val="00A95AD1"/>
    <w:rsid w:val="00AA0DC6"/>
    <w:rsid w:val="00AA22BE"/>
    <w:rsid w:val="00AA32DC"/>
    <w:rsid w:val="00AA63CC"/>
    <w:rsid w:val="00AA7B57"/>
    <w:rsid w:val="00AB3065"/>
    <w:rsid w:val="00AB3A31"/>
    <w:rsid w:val="00AB6FDB"/>
    <w:rsid w:val="00AC0828"/>
    <w:rsid w:val="00AC194F"/>
    <w:rsid w:val="00AC4F23"/>
    <w:rsid w:val="00AC7850"/>
    <w:rsid w:val="00AD7A7B"/>
    <w:rsid w:val="00AE230C"/>
    <w:rsid w:val="00B016D4"/>
    <w:rsid w:val="00B060E4"/>
    <w:rsid w:val="00B12FDA"/>
    <w:rsid w:val="00B16ADF"/>
    <w:rsid w:val="00B20036"/>
    <w:rsid w:val="00B358D2"/>
    <w:rsid w:val="00B373C0"/>
    <w:rsid w:val="00B42B05"/>
    <w:rsid w:val="00B4465E"/>
    <w:rsid w:val="00B52E0B"/>
    <w:rsid w:val="00B56FB4"/>
    <w:rsid w:val="00B62265"/>
    <w:rsid w:val="00B66AFF"/>
    <w:rsid w:val="00B77149"/>
    <w:rsid w:val="00B80C57"/>
    <w:rsid w:val="00BA1956"/>
    <w:rsid w:val="00BA39AC"/>
    <w:rsid w:val="00BB59E7"/>
    <w:rsid w:val="00BC73BB"/>
    <w:rsid w:val="00BD4C38"/>
    <w:rsid w:val="00BD5D53"/>
    <w:rsid w:val="00BD750F"/>
    <w:rsid w:val="00BD7579"/>
    <w:rsid w:val="00BD7F3A"/>
    <w:rsid w:val="00BF0E6E"/>
    <w:rsid w:val="00BF748F"/>
    <w:rsid w:val="00C05088"/>
    <w:rsid w:val="00C065B8"/>
    <w:rsid w:val="00C20324"/>
    <w:rsid w:val="00C22B22"/>
    <w:rsid w:val="00C259FA"/>
    <w:rsid w:val="00C26DE2"/>
    <w:rsid w:val="00C35025"/>
    <w:rsid w:val="00C42C8B"/>
    <w:rsid w:val="00C44F65"/>
    <w:rsid w:val="00C46A29"/>
    <w:rsid w:val="00C53FB5"/>
    <w:rsid w:val="00C54789"/>
    <w:rsid w:val="00C5693A"/>
    <w:rsid w:val="00C56DDE"/>
    <w:rsid w:val="00C74879"/>
    <w:rsid w:val="00C753D6"/>
    <w:rsid w:val="00C801D3"/>
    <w:rsid w:val="00C855FC"/>
    <w:rsid w:val="00C85B89"/>
    <w:rsid w:val="00C86525"/>
    <w:rsid w:val="00C964F0"/>
    <w:rsid w:val="00CA33D5"/>
    <w:rsid w:val="00CA3C50"/>
    <w:rsid w:val="00CA4428"/>
    <w:rsid w:val="00CA65E0"/>
    <w:rsid w:val="00CB3A24"/>
    <w:rsid w:val="00CC10D2"/>
    <w:rsid w:val="00CD059A"/>
    <w:rsid w:val="00CD27BF"/>
    <w:rsid w:val="00CD5B3F"/>
    <w:rsid w:val="00CE0DC3"/>
    <w:rsid w:val="00CE23A9"/>
    <w:rsid w:val="00CF41E0"/>
    <w:rsid w:val="00CF482A"/>
    <w:rsid w:val="00CF57E3"/>
    <w:rsid w:val="00D11516"/>
    <w:rsid w:val="00D17311"/>
    <w:rsid w:val="00D223AD"/>
    <w:rsid w:val="00D457CF"/>
    <w:rsid w:val="00D53CC6"/>
    <w:rsid w:val="00D54032"/>
    <w:rsid w:val="00D61CB6"/>
    <w:rsid w:val="00D63A97"/>
    <w:rsid w:val="00D65686"/>
    <w:rsid w:val="00D711B6"/>
    <w:rsid w:val="00D95ECD"/>
    <w:rsid w:val="00D96730"/>
    <w:rsid w:val="00DA3029"/>
    <w:rsid w:val="00DA6380"/>
    <w:rsid w:val="00DB0904"/>
    <w:rsid w:val="00DC3AB1"/>
    <w:rsid w:val="00DC72D3"/>
    <w:rsid w:val="00DD0F44"/>
    <w:rsid w:val="00DE00F6"/>
    <w:rsid w:val="00DF2FB1"/>
    <w:rsid w:val="00E00ECB"/>
    <w:rsid w:val="00E03085"/>
    <w:rsid w:val="00E04F13"/>
    <w:rsid w:val="00E062C5"/>
    <w:rsid w:val="00E13C28"/>
    <w:rsid w:val="00E20B27"/>
    <w:rsid w:val="00E23AF6"/>
    <w:rsid w:val="00E328E1"/>
    <w:rsid w:val="00E4034A"/>
    <w:rsid w:val="00E40930"/>
    <w:rsid w:val="00E43F0F"/>
    <w:rsid w:val="00E55AC4"/>
    <w:rsid w:val="00E66664"/>
    <w:rsid w:val="00E7111B"/>
    <w:rsid w:val="00E7464D"/>
    <w:rsid w:val="00E74F47"/>
    <w:rsid w:val="00E770F3"/>
    <w:rsid w:val="00E91520"/>
    <w:rsid w:val="00E977FE"/>
    <w:rsid w:val="00EB1A32"/>
    <w:rsid w:val="00EC5BCB"/>
    <w:rsid w:val="00ED25D0"/>
    <w:rsid w:val="00ED76E7"/>
    <w:rsid w:val="00ED7B51"/>
    <w:rsid w:val="00EE1AE3"/>
    <w:rsid w:val="00EE30F3"/>
    <w:rsid w:val="00EF0FEC"/>
    <w:rsid w:val="00EF26AA"/>
    <w:rsid w:val="00EF6A2E"/>
    <w:rsid w:val="00F03913"/>
    <w:rsid w:val="00F04701"/>
    <w:rsid w:val="00F1153D"/>
    <w:rsid w:val="00F339FC"/>
    <w:rsid w:val="00F3714D"/>
    <w:rsid w:val="00F3792E"/>
    <w:rsid w:val="00F4189E"/>
    <w:rsid w:val="00F44A70"/>
    <w:rsid w:val="00F472C4"/>
    <w:rsid w:val="00F554EE"/>
    <w:rsid w:val="00F65D71"/>
    <w:rsid w:val="00F678E3"/>
    <w:rsid w:val="00F76F3E"/>
    <w:rsid w:val="00F851BA"/>
    <w:rsid w:val="00F914B8"/>
    <w:rsid w:val="00FA7C7D"/>
    <w:rsid w:val="00FA7CC4"/>
    <w:rsid w:val="00FB1411"/>
    <w:rsid w:val="00FB647B"/>
    <w:rsid w:val="00FD04B0"/>
    <w:rsid w:val="00FD7D8D"/>
    <w:rsid w:val="00FE28B3"/>
    <w:rsid w:val="00FE326F"/>
    <w:rsid w:val="00FF1A53"/>
    <w:rsid w:val="00FF2469"/>
    <w:rsid w:val="00FF25F6"/>
    <w:rsid w:val="00FF2A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132B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33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E31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97552"/>
    <w:pPr>
      <w:spacing w:after="200" w:line="276" w:lineRule="auto"/>
      <w:ind w:left="567" w:right="567" w:hanging="567"/>
    </w:pPr>
    <w:rPr>
      <w:i/>
      <w:iCs/>
    </w:rPr>
  </w:style>
  <w:style w:type="character" w:customStyle="1" w:styleId="QuoteChar">
    <w:name w:val="Quote Char"/>
    <w:link w:val="Quote"/>
    <w:uiPriority w:val="29"/>
    <w:rsid w:val="00597552"/>
    <w:rPr>
      <w:i/>
      <w:iCs/>
    </w:rPr>
  </w:style>
  <w:style w:type="character" w:customStyle="1" w:styleId="Heading1Char">
    <w:name w:val="Heading 1 Char"/>
    <w:basedOn w:val="DefaultParagraphFont"/>
    <w:link w:val="Heading1"/>
    <w:uiPriority w:val="9"/>
    <w:rsid w:val="00CA33D5"/>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6D40AC"/>
  </w:style>
  <w:style w:type="character" w:customStyle="1" w:styleId="FootnoteTextChar">
    <w:name w:val="Footnote Text Char"/>
    <w:basedOn w:val="DefaultParagraphFont"/>
    <w:link w:val="FootnoteText"/>
    <w:uiPriority w:val="99"/>
    <w:rsid w:val="006D40AC"/>
  </w:style>
  <w:style w:type="character" w:styleId="FootnoteReference">
    <w:name w:val="footnote reference"/>
    <w:basedOn w:val="DefaultParagraphFont"/>
    <w:uiPriority w:val="99"/>
    <w:unhideWhenUsed/>
    <w:rsid w:val="006D40AC"/>
    <w:rPr>
      <w:vertAlign w:val="superscript"/>
    </w:rPr>
  </w:style>
  <w:style w:type="character" w:styleId="Hyperlink">
    <w:name w:val="Hyperlink"/>
    <w:basedOn w:val="DefaultParagraphFont"/>
    <w:uiPriority w:val="99"/>
    <w:unhideWhenUsed/>
    <w:rsid w:val="006D40AC"/>
    <w:rPr>
      <w:color w:val="0000FF" w:themeColor="hyperlink"/>
      <w:u w:val="single"/>
    </w:rPr>
  </w:style>
  <w:style w:type="character" w:styleId="FollowedHyperlink">
    <w:name w:val="FollowedHyperlink"/>
    <w:basedOn w:val="DefaultParagraphFont"/>
    <w:uiPriority w:val="99"/>
    <w:semiHidden/>
    <w:unhideWhenUsed/>
    <w:rsid w:val="00B56FB4"/>
    <w:rPr>
      <w:color w:val="800080" w:themeColor="followedHyperlink"/>
      <w:u w:val="single"/>
    </w:rPr>
  </w:style>
  <w:style w:type="character" w:customStyle="1" w:styleId="Heading2Char">
    <w:name w:val="Heading 2 Char"/>
    <w:basedOn w:val="DefaultParagraphFont"/>
    <w:link w:val="Heading2"/>
    <w:uiPriority w:val="9"/>
    <w:rsid w:val="007E31C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D3D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3D9B"/>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344AD0"/>
    <w:rPr>
      <w:sz w:val="16"/>
      <w:szCs w:val="16"/>
    </w:rPr>
  </w:style>
  <w:style w:type="paragraph" w:styleId="CommentText">
    <w:name w:val="annotation text"/>
    <w:basedOn w:val="Normal"/>
    <w:link w:val="CommentTextChar"/>
    <w:uiPriority w:val="99"/>
    <w:semiHidden/>
    <w:unhideWhenUsed/>
    <w:rsid w:val="00344AD0"/>
    <w:rPr>
      <w:sz w:val="20"/>
      <w:szCs w:val="20"/>
    </w:rPr>
  </w:style>
  <w:style w:type="character" w:customStyle="1" w:styleId="CommentTextChar">
    <w:name w:val="Comment Text Char"/>
    <w:basedOn w:val="DefaultParagraphFont"/>
    <w:link w:val="CommentText"/>
    <w:uiPriority w:val="99"/>
    <w:semiHidden/>
    <w:rsid w:val="00344AD0"/>
    <w:rPr>
      <w:sz w:val="20"/>
      <w:szCs w:val="20"/>
    </w:rPr>
  </w:style>
  <w:style w:type="paragraph" w:styleId="CommentSubject">
    <w:name w:val="annotation subject"/>
    <w:basedOn w:val="CommentText"/>
    <w:next w:val="CommentText"/>
    <w:link w:val="CommentSubjectChar"/>
    <w:uiPriority w:val="99"/>
    <w:semiHidden/>
    <w:unhideWhenUsed/>
    <w:rsid w:val="00344AD0"/>
    <w:rPr>
      <w:b/>
      <w:bCs/>
    </w:rPr>
  </w:style>
  <w:style w:type="character" w:customStyle="1" w:styleId="CommentSubjectChar">
    <w:name w:val="Comment Subject Char"/>
    <w:basedOn w:val="CommentTextChar"/>
    <w:link w:val="CommentSubject"/>
    <w:uiPriority w:val="99"/>
    <w:semiHidden/>
    <w:rsid w:val="00344AD0"/>
    <w:rPr>
      <w:b/>
      <w:bCs/>
      <w:sz w:val="20"/>
      <w:szCs w:val="20"/>
    </w:rPr>
  </w:style>
  <w:style w:type="paragraph" w:styleId="BalloonText">
    <w:name w:val="Balloon Text"/>
    <w:basedOn w:val="Normal"/>
    <w:link w:val="BalloonTextChar"/>
    <w:uiPriority w:val="99"/>
    <w:semiHidden/>
    <w:unhideWhenUsed/>
    <w:rsid w:val="00344AD0"/>
    <w:rPr>
      <w:rFonts w:ascii="Tahoma" w:hAnsi="Tahoma" w:cs="Tahoma"/>
      <w:sz w:val="16"/>
      <w:szCs w:val="16"/>
    </w:rPr>
  </w:style>
  <w:style w:type="character" w:customStyle="1" w:styleId="BalloonTextChar">
    <w:name w:val="Balloon Text Char"/>
    <w:basedOn w:val="DefaultParagraphFont"/>
    <w:link w:val="BalloonText"/>
    <w:uiPriority w:val="99"/>
    <w:semiHidden/>
    <w:rsid w:val="00344AD0"/>
    <w:rPr>
      <w:rFonts w:ascii="Tahoma" w:hAnsi="Tahoma" w:cs="Tahoma"/>
      <w:sz w:val="16"/>
      <w:szCs w:val="16"/>
    </w:rPr>
  </w:style>
  <w:style w:type="paragraph" w:styleId="Revision">
    <w:name w:val="Revision"/>
    <w:hidden/>
    <w:uiPriority w:val="99"/>
    <w:semiHidden/>
    <w:rsid w:val="00BD7579"/>
  </w:style>
  <w:style w:type="character" w:styleId="Strong">
    <w:name w:val="Strong"/>
    <w:basedOn w:val="DefaultParagraphFont"/>
    <w:uiPriority w:val="22"/>
    <w:qFormat/>
    <w:rsid w:val="005C3051"/>
    <w:rPr>
      <w:b/>
      <w:bCs/>
    </w:rPr>
  </w:style>
  <w:style w:type="paragraph" w:styleId="NormalWeb">
    <w:name w:val="Normal (Web)"/>
    <w:basedOn w:val="Normal"/>
    <w:uiPriority w:val="99"/>
    <w:semiHidden/>
    <w:unhideWhenUsed/>
    <w:rsid w:val="005C305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C30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33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E31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97552"/>
    <w:pPr>
      <w:spacing w:after="200" w:line="276" w:lineRule="auto"/>
      <w:ind w:left="567" w:right="567" w:hanging="567"/>
    </w:pPr>
    <w:rPr>
      <w:i/>
      <w:iCs/>
    </w:rPr>
  </w:style>
  <w:style w:type="character" w:customStyle="1" w:styleId="QuoteChar">
    <w:name w:val="Quote Char"/>
    <w:link w:val="Quote"/>
    <w:uiPriority w:val="29"/>
    <w:rsid w:val="00597552"/>
    <w:rPr>
      <w:i/>
      <w:iCs/>
    </w:rPr>
  </w:style>
  <w:style w:type="character" w:customStyle="1" w:styleId="Heading1Char">
    <w:name w:val="Heading 1 Char"/>
    <w:basedOn w:val="DefaultParagraphFont"/>
    <w:link w:val="Heading1"/>
    <w:uiPriority w:val="9"/>
    <w:rsid w:val="00CA33D5"/>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6D40AC"/>
  </w:style>
  <w:style w:type="character" w:customStyle="1" w:styleId="FootnoteTextChar">
    <w:name w:val="Footnote Text Char"/>
    <w:basedOn w:val="DefaultParagraphFont"/>
    <w:link w:val="FootnoteText"/>
    <w:uiPriority w:val="99"/>
    <w:rsid w:val="006D40AC"/>
  </w:style>
  <w:style w:type="character" w:styleId="FootnoteReference">
    <w:name w:val="footnote reference"/>
    <w:basedOn w:val="DefaultParagraphFont"/>
    <w:uiPriority w:val="99"/>
    <w:unhideWhenUsed/>
    <w:rsid w:val="006D40AC"/>
    <w:rPr>
      <w:vertAlign w:val="superscript"/>
    </w:rPr>
  </w:style>
  <w:style w:type="character" w:styleId="Hyperlink">
    <w:name w:val="Hyperlink"/>
    <w:basedOn w:val="DefaultParagraphFont"/>
    <w:uiPriority w:val="99"/>
    <w:unhideWhenUsed/>
    <w:rsid w:val="006D40AC"/>
    <w:rPr>
      <w:color w:val="0000FF" w:themeColor="hyperlink"/>
      <w:u w:val="single"/>
    </w:rPr>
  </w:style>
  <w:style w:type="character" w:styleId="FollowedHyperlink">
    <w:name w:val="FollowedHyperlink"/>
    <w:basedOn w:val="DefaultParagraphFont"/>
    <w:uiPriority w:val="99"/>
    <w:semiHidden/>
    <w:unhideWhenUsed/>
    <w:rsid w:val="00B56FB4"/>
    <w:rPr>
      <w:color w:val="800080" w:themeColor="followedHyperlink"/>
      <w:u w:val="single"/>
    </w:rPr>
  </w:style>
  <w:style w:type="character" w:customStyle="1" w:styleId="Heading2Char">
    <w:name w:val="Heading 2 Char"/>
    <w:basedOn w:val="DefaultParagraphFont"/>
    <w:link w:val="Heading2"/>
    <w:uiPriority w:val="9"/>
    <w:rsid w:val="007E31C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D3D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3D9B"/>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344AD0"/>
    <w:rPr>
      <w:sz w:val="16"/>
      <w:szCs w:val="16"/>
    </w:rPr>
  </w:style>
  <w:style w:type="paragraph" w:styleId="CommentText">
    <w:name w:val="annotation text"/>
    <w:basedOn w:val="Normal"/>
    <w:link w:val="CommentTextChar"/>
    <w:uiPriority w:val="99"/>
    <w:semiHidden/>
    <w:unhideWhenUsed/>
    <w:rsid w:val="00344AD0"/>
    <w:rPr>
      <w:sz w:val="20"/>
      <w:szCs w:val="20"/>
    </w:rPr>
  </w:style>
  <w:style w:type="character" w:customStyle="1" w:styleId="CommentTextChar">
    <w:name w:val="Comment Text Char"/>
    <w:basedOn w:val="DefaultParagraphFont"/>
    <w:link w:val="CommentText"/>
    <w:uiPriority w:val="99"/>
    <w:semiHidden/>
    <w:rsid w:val="00344AD0"/>
    <w:rPr>
      <w:sz w:val="20"/>
      <w:szCs w:val="20"/>
    </w:rPr>
  </w:style>
  <w:style w:type="paragraph" w:styleId="CommentSubject">
    <w:name w:val="annotation subject"/>
    <w:basedOn w:val="CommentText"/>
    <w:next w:val="CommentText"/>
    <w:link w:val="CommentSubjectChar"/>
    <w:uiPriority w:val="99"/>
    <w:semiHidden/>
    <w:unhideWhenUsed/>
    <w:rsid w:val="00344AD0"/>
    <w:rPr>
      <w:b/>
      <w:bCs/>
    </w:rPr>
  </w:style>
  <w:style w:type="character" w:customStyle="1" w:styleId="CommentSubjectChar">
    <w:name w:val="Comment Subject Char"/>
    <w:basedOn w:val="CommentTextChar"/>
    <w:link w:val="CommentSubject"/>
    <w:uiPriority w:val="99"/>
    <w:semiHidden/>
    <w:rsid w:val="00344AD0"/>
    <w:rPr>
      <w:b/>
      <w:bCs/>
      <w:sz w:val="20"/>
      <w:szCs w:val="20"/>
    </w:rPr>
  </w:style>
  <w:style w:type="paragraph" w:styleId="BalloonText">
    <w:name w:val="Balloon Text"/>
    <w:basedOn w:val="Normal"/>
    <w:link w:val="BalloonTextChar"/>
    <w:uiPriority w:val="99"/>
    <w:semiHidden/>
    <w:unhideWhenUsed/>
    <w:rsid w:val="00344AD0"/>
    <w:rPr>
      <w:rFonts w:ascii="Tahoma" w:hAnsi="Tahoma" w:cs="Tahoma"/>
      <w:sz w:val="16"/>
      <w:szCs w:val="16"/>
    </w:rPr>
  </w:style>
  <w:style w:type="character" w:customStyle="1" w:styleId="BalloonTextChar">
    <w:name w:val="Balloon Text Char"/>
    <w:basedOn w:val="DefaultParagraphFont"/>
    <w:link w:val="BalloonText"/>
    <w:uiPriority w:val="99"/>
    <w:semiHidden/>
    <w:rsid w:val="00344AD0"/>
    <w:rPr>
      <w:rFonts w:ascii="Tahoma" w:hAnsi="Tahoma" w:cs="Tahoma"/>
      <w:sz w:val="16"/>
      <w:szCs w:val="16"/>
    </w:rPr>
  </w:style>
  <w:style w:type="paragraph" w:styleId="Revision">
    <w:name w:val="Revision"/>
    <w:hidden/>
    <w:uiPriority w:val="99"/>
    <w:semiHidden/>
    <w:rsid w:val="00BD7579"/>
  </w:style>
  <w:style w:type="character" w:styleId="Strong">
    <w:name w:val="Strong"/>
    <w:basedOn w:val="DefaultParagraphFont"/>
    <w:uiPriority w:val="22"/>
    <w:qFormat/>
    <w:rsid w:val="005C3051"/>
    <w:rPr>
      <w:b/>
      <w:bCs/>
    </w:rPr>
  </w:style>
  <w:style w:type="paragraph" w:styleId="NormalWeb">
    <w:name w:val="Normal (Web)"/>
    <w:basedOn w:val="Normal"/>
    <w:uiPriority w:val="99"/>
    <w:semiHidden/>
    <w:unhideWhenUsed/>
    <w:rsid w:val="005C305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C3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4991">
      <w:bodyDiv w:val="1"/>
      <w:marLeft w:val="0"/>
      <w:marRight w:val="0"/>
      <w:marTop w:val="0"/>
      <w:marBottom w:val="0"/>
      <w:divBdr>
        <w:top w:val="none" w:sz="0" w:space="0" w:color="auto"/>
        <w:left w:val="none" w:sz="0" w:space="0" w:color="auto"/>
        <w:bottom w:val="none" w:sz="0" w:space="0" w:color="auto"/>
        <w:right w:val="none" w:sz="0" w:space="0" w:color="auto"/>
      </w:divBdr>
    </w:div>
    <w:div w:id="201677098">
      <w:bodyDiv w:val="1"/>
      <w:marLeft w:val="0"/>
      <w:marRight w:val="0"/>
      <w:marTop w:val="0"/>
      <w:marBottom w:val="0"/>
      <w:divBdr>
        <w:top w:val="none" w:sz="0" w:space="0" w:color="auto"/>
        <w:left w:val="none" w:sz="0" w:space="0" w:color="auto"/>
        <w:bottom w:val="none" w:sz="0" w:space="0" w:color="auto"/>
        <w:right w:val="none" w:sz="0" w:space="0" w:color="auto"/>
      </w:divBdr>
    </w:div>
    <w:div w:id="241988771">
      <w:bodyDiv w:val="1"/>
      <w:marLeft w:val="0"/>
      <w:marRight w:val="0"/>
      <w:marTop w:val="0"/>
      <w:marBottom w:val="0"/>
      <w:divBdr>
        <w:top w:val="none" w:sz="0" w:space="0" w:color="auto"/>
        <w:left w:val="none" w:sz="0" w:space="0" w:color="auto"/>
        <w:bottom w:val="none" w:sz="0" w:space="0" w:color="auto"/>
        <w:right w:val="none" w:sz="0" w:space="0" w:color="auto"/>
      </w:divBdr>
    </w:div>
    <w:div w:id="273289002">
      <w:bodyDiv w:val="1"/>
      <w:marLeft w:val="0"/>
      <w:marRight w:val="0"/>
      <w:marTop w:val="0"/>
      <w:marBottom w:val="0"/>
      <w:divBdr>
        <w:top w:val="none" w:sz="0" w:space="0" w:color="auto"/>
        <w:left w:val="none" w:sz="0" w:space="0" w:color="auto"/>
        <w:bottom w:val="none" w:sz="0" w:space="0" w:color="auto"/>
        <w:right w:val="none" w:sz="0" w:space="0" w:color="auto"/>
      </w:divBdr>
    </w:div>
    <w:div w:id="676081790">
      <w:bodyDiv w:val="1"/>
      <w:marLeft w:val="0"/>
      <w:marRight w:val="0"/>
      <w:marTop w:val="0"/>
      <w:marBottom w:val="0"/>
      <w:divBdr>
        <w:top w:val="none" w:sz="0" w:space="0" w:color="auto"/>
        <w:left w:val="none" w:sz="0" w:space="0" w:color="auto"/>
        <w:bottom w:val="none" w:sz="0" w:space="0" w:color="auto"/>
        <w:right w:val="none" w:sz="0" w:space="0" w:color="auto"/>
      </w:divBdr>
    </w:div>
    <w:div w:id="1253664342">
      <w:bodyDiv w:val="1"/>
      <w:marLeft w:val="0"/>
      <w:marRight w:val="0"/>
      <w:marTop w:val="0"/>
      <w:marBottom w:val="0"/>
      <w:divBdr>
        <w:top w:val="none" w:sz="0" w:space="0" w:color="auto"/>
        <w:left w:val="none" w:sz="0" w:space="0" w:color="auto"/>
        <w:bottom w:val="none" w:sz="0" w:space="0" w:color="auto"/>
        <w:right w:val="none" w:sz="0" w:space="0" w:color="auto"/>
      </w:divBdr>
    </w:div>
    <w:div w:id="1310131305">
      <w:bodyDiv w:val="1"/>
      <w:marLeft w:val="0"/>
      <w:marRight w:val="0"/>
      <w:marTop w:val="0"/>
      <w:marBottom w:val="0"/>
      <w:divBdr>
        <w:top w:val="none" w:sz="0" w:space="0" w:color="auto"/>
        <w:left w:val="none" w:sz="0" w:space="0" w:color="auto"/>
        <w:bottom w:val="none" w:sz="0" w:space="0" w:color="auto"/>
        <w:right w:val="none" w:sz="0" w:space="0" w:color="auto"/>
      </w:divBdr>
    </w:div>
    <w:div w:id="1363744199">
      <w:bodyDiv w:val="1"/>
      <w:marLeft w:val="0"/>
      <w:marRight w:val="0"/>
      <w:marTop w:val="0"/>
      <w:marBottom w:val="0"/>
      <w:divBdr>
        <w:top w:val="none" w:sz="0" w:space="0" w:color="auto"/>
        <w:left w:val="none" w:sz="0" w:space="0" w:color="auto"/>
        <w:bottom w:val="none" w:sz="0" w:space="0" w:color="auto"/>
        <w:right w:val="none" w:sz="0" w:space="0" w:color="auto"/>
      </w:divBdr>
    </w:div>
    <w:div w:id="1486363212">
      <w:bodyDiv w:val="1"/>
      <w:marLeft w:val="0"/>
      <w:marRight w:val="0"/>
      <w:marTop w:val="0"/>
      <w:marBottom w:val="0"/>
      <w:divBdr>
        <w:top w:val="none" w:sz="0" w:space="0" w:color="auto"/>
        <w:left w:val="none" w:sz="0" w:space="0" w:color="auto"/>
        <w:bottom w:val="none" w:sz="0" w:space="0" w:color="auto"/>
        <w:right w:val="none" w:sz="0" w:space="0" w:color="auto"/>
      </w:divBdr>
    </w:div>
    <w:div w:id="1613245810">
      <w:bodyDiv w:val="1"/>
      <w:marLeft w:val="0"/>
      <w:marRight w:val="0"/>
      <w:marTop w:val="0"/>
      <w:marBottom w:val="0"/>
      <w:divBdr>
        <w:top w:val="none" w:sz="0" w:space="0" w:color="auto"/>
        <w:left w:val="none" w:sz="0" w:space="0" w:color="auto"/>
        <w:bottom w:val="none" w:sz="0" w:space="0" w:color="auto"/>
        <w:right w:val="none" w:sz="0" w:space="0" w:color="auto"/>
      </w:divBdr>
    </w:div>
    <w:div w:id="1736120408">
      <w:bodyDiv w:val="1"/>
      <w:marLeft w:val="0"/>
      <w:marRight w:val="0"/>
      <w:marTop w:val="0"/>
      <w:marBottom w:val="0"/>
      <w:divBdr>
        <w:top w:val="none" w:sz="0" w:space="0" w:color="auto"/>
        <w:left w:val="none" w:sz="0" w:space="0" w:color="auto"/>
        <w:bottom w:val="none" w:sz="0" w:space="0" w:color="auto"/>
        <w:right w:val="none" w:sz="0" w:space="0" w:color="auto"/>
      </w:divBdr>
    </w:div>
    <w:div w:id="2092655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hqlibdoc.who.int/publications/2003/9241591013.pdf" TargetMode="External"/><Relationship Id="rId4" Type="http://schemas.openxmlformats.org/officeDocument/2006/relationships/hyperlink" Target="http://ec.europa.eu/health/alcohol/docs/alcohol_health_forum_highlights_en.pdf" TargetMode="External"/><Relationship Id="rId5" Type="http://schemas.openxmlformats.org/officeDocument/2006/relationships/hyperlink" Target="http://www.eucam.info/content/bestanden/ammie-eu-rapport_final.pdf" TargetMode="External"/><Relationship Id="rId1" Type="http://schemas.openxmlformats.org/officeDocument/2006/relationships/hyperlink" Target="http://www.dh.gov.uk/prod_consum_dh/groups/dh_digitalassets/documents/digitalasset/dh_091383.pdf" TargetMode="External"/><Relationship Id="rId2" Type="http://schemas.openxmlformats.org/officeDocument/2006/relationships/hyperlink" Target="http://ec.europa.eu/health/ph_determinants/life_style/alcohol/Forum/docs/science_o01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9AFA7-7977-174D-8C89-4A1BE23C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2599</Words>
  <Characters>14192</Characters>
  <Application>Microsoft Macintosh Word</Application>
  <DocSecurity>0</DocSecurity>
  <Lines>262</Lines>
  <Paragraphs>50</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16741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Bartlett</dc:creator>
  <cp:lastModifiedBy>Oliver Bartlett</cp:lastModifiedBy>
  <cp:revision>9</cp:revision>
  <dcterms:created xsi:type="dcterms:W3CDTF">2013-06-13T13:51:00Z</dcterms:created>
  <dcterms:modified xsi:type="dcterms:W3CDTF">2013-06-25T12:35:00Z</dcterms:modified>
</cp:coreProperties>
</file>