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427A2" w14:textId="183517B8" w:rsidR="00AA28BD" w:rsidRDefault="002F276C" w:rsidP="00C37FD0">
      <w:pPr>
        <w:pStyle w:val="Heading1"/>
      </w:pPr>
      <w:r>
        <w:t xml:space="preserve">Distilling </w:t>
      </w:r>
      <w:r w:rsidR="00712C63">
        <w:t>P</w:t>
      </w:r>
      <w:r w:rsidR="008F0D05">
        <w:t>rospects</w:t>
      </w:r>
      <w:r w:rsidR="00D01D81">
        <w:t xml:space="preserve">: </w:t>
      </w:r>
      <w:r w:rsidR="00712C63">
        <w:t>R</w:t>
      </w:r>
      <w:r w:rsidR="00FD5C43">
        <w:t>eflections on the</w:t>
      </w:r>
      <w:r w:rsidR="00712C63">
        <w:t xml:space="preserve"> P</w:t>
      </w:r>
      <w:r w:rsidR="00AE157B">
        <w:t>roportionality of</w:t>
      </w:r>
      <w:r w:rsidR="00FD5C43">
        <w:t xml:space="preserve"> </w:t>
      </w:r>
      <w:r>
        <w:t>Minimum Unit P</w:t>
      </w:r>
      <w:r w:rsidR="00320235">
        <w:t xml:space="preserve">ricing </w:t>
      </w:r>
      <w:r w:rsidR="00FD5C43">
        <w:t>under EU law</w:t>
      </w:r>
    </w:p>
    <w:p w14:paraId="3BC083E2" w14:textId="77777777" w:rsidR="000B4660" w:rsidRPr="000B4660" w:rsidRDefault="000B4660" w:rsidP="000B4660">
      <w:pPr>
        <w:rPr>
          <w:b/>
          <w:i/>
        </w:rPr>
      </w:pPr>
    </w:p>
    <w:p w14:paraId="788D6D16" w14:textId="4E97535E" w:rsidR="000B4660" w:rsidRPr="0040407A" w:rsidRDefault="000B4660" w:rsidP="000B4660">
      <w:pPr>
        <w:rPr>
          <w:b/>
          <w:i/>
          <w:vertAlign w:val="superscript"/>
        </w:rPr>
      </w:pPr>
      <w:r w:rsidRPr="000B4660">
        <w:rPr>
          <w:b/>
          <w:i/>
        </w:rPr>
        <w:t>Oliver Bartlett</w:t>
      </w:r>
      <w:r w:rsidR="0040407A">
        <w:rPr>
          <w:b/>
          <w:i/>
          <w:vertAlign w:val="superscript"/>
        </w:rPr>
        <w:t>*</w:t>
      </w:r>
    </w:p>
    <w:p w14:paraId="7941483E" w14:textId="77777777" w:rsidR="00842F9E" w:rsidRDefault="00C37FD0" w:rsidP="00C37FD0">
      <w:pPr>
        <w:pStyle w:val="Heading1"/>
      </w:pPr>
      <w:r>
        <w:t>Introduction</w:t>
      </w:r>
    </w:p>
    <w:p w14:paraId="587D5CEC" w14:textId="77777777" w:rsidR="00C37FD0" w:rsidRDefault="00C37FD0" w:rsidP="00C37FD0"/>
    <w:p w14:paraId="5C62A0E0" w14:textId="3EA6A2CA" w:rsidR="00395FED" w:rsidRDefault="00582449" w:rsidP="00C37FD0">
      <w:r>
        <w:t>On 3 May 2013</w:t>
      </w:r>
      <w:r w:rsidR="00395FED">
        <w:t xml:space="preserve"> the Scottish Court of Session ruled</w:t>
      </w:r>
      <w:r w:rsidR="005153C7">
        <w:t xml:space="preserve"> that minimum unit pricing</w:t>
      </w:r>
      <w:r w:rsidR="00395FED">
        <w:t xml:space="preserve"> of alcoholic beverages did not breach EU law on the free movement of goods. </w:t>
      </w:r>
    </w:p>
    <w:p w14:paraId="4EC294BB" w14:textId="77777777" w:rsidR="00395FED" w:rsidRDefault="00395FED" w:rsidP="00C37FD0"/>
    <w:p w14:paraId="19D09E3B" w14:textId="599ADEB7" w:rsidR="00395FED" w:rsidRDefault="00395FED" w:rsidP="00C37FD0">
      <w:r>
        <w:t xml:space="preserve">It held that the </w:t>
      </w:r>
      <w:r w:rsidR="00582449">
        <w:t>Alcohol (Minimum Pricing)(Scotland) Act 2012,</w:t>
      </w:r>
      <w:r w:rsidR="008D5A6D">
        <w:rPr>
          <w:rStyle w:val="FootnoteReference"/>
        </w:rPr>
        <w:footnoteReference w:id="1"/>
      </w:r>
      <w:r w:rsidR="00582449">
        <w:t xml:space="preserve"> passed in </w:t>
      </w:r>
      <w:r w:rsidR="008D5A6D">
        <w:t>June</w:t>
      </w:r>
      <w:r w:rsidR="00582449">
        <w:t xml:space="preserve"> 2012 but not implement</w:t>
      </w:r>
      <w:r w:rsidR="00E064D1">
        <w:t>ed pending the completion of</w:t>
      </w:r>
      <w:r w:rsidR="00582449">
        <w:t xml:space="preserve"> legal action, did constitute a measure having equivalent effect to a quantitative restriction under Article 34 TFEU, but that such a restriction of trade was justified as proportionate under Articl</w:t>
      </w:r>
      <w:r w:rsidR="001D314E">
        <w:t xml:space="preserve">e 36 TFEU as it was </w:t>
      </w:r>
      <w:r w:rsidR="00582449">
        <w:t xml:space="preserve">the most effective way of achieving the legitimate aim of </w:t>
      </w:r>
      <w:r w:rsidR="00E064D1">
        <w:t xml:space="preserve">reducing the </w:t>
      </w:r>
      <w:r w:rsidR="0009560E">
        <w:t>consumption</w:t>
      </w:r>
      <w:r w:rsidR="00E064D1">
        <w:t xml:space="preserve"> levels</w:t>
      </w:r>
      <w:r w:rsidR="0009560E">
        <w:t xml:space="preserve"> of harmful and hazardous drinkers.</w:t>
      </w:r>
      <w:r w:rsidR="00582449">
        <w:t xml:space="preserve"> </w:t>
      </w:r>
    </w:p>
    <w:p w14:paraId="7352FE2B" w14:textId="77777777" w:rsidR="00582449" w:rsidRDefault="00582449" w:rsidP="00C37FD0"/>
    <w:p w14:paraId="0CE6B6BE" w14:textId="1B61DC34" w:rsidR="009F622D" w:rsidRDefault="00582449" w:rsidP="00C37FD0">
      <w:r>
        <w:t xml:space="preserve">While the Scottish Government </w:t>
      </w:r>
      <w:r w:rsidR="00695BCD">
        <w:t>hailed</w:t>
      </w:r>
      <w:r w:rsidR="002C1E53">
        <w:t xml:space="preserve"> this ruling as a victory, the Scotch Whisky Association</w:t>
      </w:r>
      <w:r w:rsidR="009F622D">
        <w:t>,</w:t>
      </w:r>
      <w:r w:rsidR="00695BCD">
        <w:t xml:space="preserve"> who le</w:t>
      </w:r>
      <w:r w:rsidR="00AA756E">
        <w:t>d the legal challenge</w:t>
      </w:r>
      <w:r w:rsidR="009F622D">
        <w:t>, have on 6</w:t>
      </w:r>
      <w:r w:rsidR="009F622D">
        <w:rPr>
          <w:vertAlign w:val="superscript"/>
        </w:rPr>
        <w:t xml:space="preserve"> </w:t>
      </w:r>
      <w:r w:rsidR="009F622D">
        <w:t>February 2014 appealed this decision</w:t>
      </w:r>
      <w:r w:rsidR="00B75BF6">
        <w:t xml:space="preserve"> to the Inner House of the Court of Session, </w:t>
      </w:r>
      <w:r w:rsidR="00457581">
        <w:t xml:space="preserve">and </w:t>
      </w:r>
      <w:r w:rsidR="009F622D">
        <w:t>will ask for a reconsideration of the</w:t>
      </w:r>
      <w:r w:rsidR="00B75BF6">
        <w:t xml:space="preserve"> </w:t>
      </w:r>
      <w:r w:rsidR="00473CD4">
        <w:t>choice</w:t>
      </w:r>
      <w:r w:rsidR="00B75BF6">
        <w:t xml:space="preserve"> of the Outer House</w:t>
      </w:r>
      <w:r w:rsidR="0016200C">
        <w:t xml:space="preserve"> not to </w:t>
      </w:r>
      <w:r w:rsidR="00457581">
        <w:t>refer the matter to the Court of Justi</w:t>
      </w:r>
      <w:r w:rsidR="0016200C">
        <w:t>ce of the European Union</w:t>
      </w:r>
      <w:r w:rsidR="00207A1F">
        <w:t xml:space="preserve"> (CJEU)</w:t>
      </w:r>
      <w:r w:rsidR="0016200C">
        <w:t>.</w:t>
      </w:r>
    </w:p>
    <w:p w14:paraId="2755EF8A" w14:textId="77777777" w:rsidR="00582449" w:rsidRDefault="00582449" w:rsidP="00C37FD0"/>
    <w:p w14:paraId="036EAB5C" w14:textId="395B5D96" w:rsidR="00BC76DB" w:rsidRDefault="00E1300F" w:rsidP="00C37FD0">
      <w:r>
        <w:t>This report seeks to support the cas</w:t>
      </w:r>
      <w:r w:rsidR="00F20460">
        <w:t>e for minimum unit pricing</w:t>
      </w:r>
      <w:r w:rsidR="00D01D81">
        <w:t>.</w:t>
      </w:r>
      <w:r w:rsidR="00F20460">
        <w:t xml:space="preserve"> It will first</w:t>
      </w:r>
      <w:r w:rsidR="00AA28BD">
        <w:t xml:space="preserve"> provide a brief summary of the </w:t>
      </w:r>
      <w:r>
        <w:t>legislation</w:t>
      </w:r>
      <w:r w:rsidR="00AA28BD">
        <w:t xml:space="preserve"> and the </w:t>
      </w:r>
      <w:r w:rsidR="00F20460">
        <w:t xml:space="preserve">supporting </w:t>
      </w:r>
      <w:r w:rsidR="00AA28BD">
        <w:t>evidence</w:t>
      </w:r>
      <w:r>
        <w:t>.</w:t>
      </w:r>
      <w:r w:rsidR="00D01D81">
        <w:t xml:space="preserve"> Second, </w:t>
      </w:r>
      <w:r w:rsidR="00F20460">
        <w:t xml:space="preserve">it will </w:t>
      </w:r>
      <w:r w:rsidR="00BC76DB">
        <w:t>analyse</w:t>
      </w:r>
      <w:r w:rsidR="00AA28BD">
        <w:t xml:space="preserve"> </w:t>
      </w:r>
      <w:r w:rsidR="00812F86">
        <w:t>the</w:t>
      </w:r>
      <w:r w:rsidR="00AA28BD">
        <w:t xml:space="preserve"> arguments</w:t>
      </w:r>
      <w:r w:rsidR="005153C7">
        <w:t xml:space="preserve"> </w:t>
      </w:r>
      <w:r w:rsidR="00812F86">
        <w:t>relating specifically to</w:t>
      </w:r>
      <w:r w:rsidR="005153C7">
        <w:t xml:space="preserve"> the </w:t>
      </w:r>
      <w:r w:rsidR="00BB4078">
        <w:t>proportionality</w:t>
      </w:r>
      <w:r w:rsidR="005153C7">
        <w:t xml:space="preserve"> of minimum unit pricing</w:t>
      </w:r>
      <w:r w:rsidR="00AA28BD">
        <w:t xml:space="preserve"> </w:t>
      </w:r>
      <w:r w:rsidR="00BB4078">
        <w:t>under</w:t>
      </w:r>
      <w:r w:rsidR="00AA28BD">
        <w:t xml:space="preserve"> EU </w:t>
      </w:r>
      <w:r w:rsidR="00473CD4">
        <w:t>free movement of goods law</w:t>
      </w:r>
      <w:r w:rsidR="00D01D81">
        <w:t xml:space="preserve"> </w:t>
      </w:r>
      <w:r w:rsidR="00BC76DB">
        <w:t>in order to show that the Scottish court</w:t>
      </w:r>
      <w:r w:rsidR="00F20460">
        <w:t>’s decision was correct. Finally it will</w:t>
      </w:r>
      <w:r w:rsidR="00BC76DB">
        <w:t xml:space="preserve"> </w:t>
      </w:r>
      <w:r w:rsidR="007D478C">
        <w:t>consider</w:t>
      </w:r>
      <w:r w:rsidR="00AA28BD">
        <w:t xml:space="preserve"> the </w:t>
      </w:r>
      <w:r w:rsidR="007D478C">
        <w:t xml:space="preserve">implications that success for </w:t>
      </w:r>
      <w:r w:rsidR="00224FDF">
        <w:t xml:space="preserve">minimum unit pricing might have for alcohol control </w:t>
      </w:r>
      <w:r w:rsidR="00861BFD">
        <w:t xml:space="preserve">policy </w:t>
      </w:r>
      <w:r w:rsidR="00224FDF">
        <w:t>and why the indu</w:t>
      </w:r>
      <w:r w:rsidR="001A2C72">
        <w:t>stry vehemently oppose</w:t>
      </w:r>
      <w:r w:rsidR="00D35613">
        <w:t>s</w:t>
      </w:r>
      <w:r w:rsidR="00224FDF">
        <w:t xml:space="preserve"> it.</w:t>
      </w:r>
      <w:r w:rsidR="00BC76DB">
        <w:t xml:space="preserve"> </w:t>
      </w:r>
    </w:p>
    <w:p w14:paraId="291B1CAC" w14:textId="77777777" w:rsidR="00D25034" w:rsidRDefault="00D25034" w:rsidP="00C37FD0"/>
    <w:p w14:paraId="3C735B84" w14:textId="05DC3CD7" w:rsidR="00C37FD0" w:rsidRDefault="00C37FD0" w:rsidP="00D25034">
      <w:pPr>
        <w:pStyle w:val="Heading1"/>
      </w:pPr>
      <w:r>
        <w:t xml:space="preserve">The </w:t>
      </w:r>
      <w:r w:rsidR="001A28AD">
        <w:t>Disputed Legislation and Supporting E</w:t>
      </w:r>
      <w:r w:rsidR="00D25034">
        <w:t>vidence</w:t>
      </w:r>
    </w:p>
    <w:p w14:paraId="4A678968" w14:textId="77777777" w:rsidR="002C26AF" w:rsidRDefault="002C26AF" w:rsidP="002C26AF"/>
    <w:p w14:paraId="79165C79" w14:textId="1CDE3508" w:rsidR="002C26AF" w:rsidRPr="002C26AF" w:rsidRDefault="002C26AF" w:rsidP="002C26AF">
      <w:r>
        <w:t xml:space="preserve">The </w:t>
      </w:r>
      <w:r w:rsidR="00812F86">
        <w:t>dispute over</w:t>
      </w:r>
      <w:r>
        <w:t xml:space="preserve"> the legality of </w:t>
      </w:r>
      <w:r w:rsidR="005153C7">
        <w:t>minimum unit pricing</w:t>
      </w:r>
      <w:r w:rsidR="007D478C">
        <w:t xml:space="preserve"> concerns</w:t>
      </w:r>
      <w:r>
        <w:t xml:space="preserve"> the Alcohol (Minim</w:t>
      </w:r>
      <w:r w:rsidR="000A05FC">
        <w:t>um Pricing)(Scotland) Act 2012</w:t>
      </w:r>
      <w:r>
        <w:t>.</w:t>
      </w:r>
      <w:r w:rsidR="0075034F">
        <w:t xml:space="preserve"> </w:t>
      </w:r>
      <w:r w:rsidR="006E727A">
        <w:t>Section 1(2)</w:t>
      </w:r>
      <w:r w:rsidR="00043FD2">
        <w:t xml:space="preserve"> of the Act</w:t>
      </w:r>
      <w:r w:rsidR="006E727A">
        <w:t xml:space="preserve"> amends schedule 3 of the Licencing (Scotland) Act 2005 to include the provision that ‘alcohol must </w:t>
      </w:r>
      <w:r w:rsidR="006E727A">
        <w:lastRenderedPageBreak/>
        <w:t>not be sold on the premises at a price below its minimum price’. The formula to be used to calculate minimum price is</w:t>
      </w:r>
      <w:r w:rsidR="00923ECC">
        <w:t xml:space="preserve"> set as the minimum price per unit x strength of the alcohol x volume of alcohol in litres</w:t>
      </w:r>
      <w:r w:rsidR="00043FD2">
        <w:t xml:space="preserve"> x 100</w:t>
      </w:r>
      <w:r w:rsidR="00923ECC">
        <w:t xml:space="preserve">. The minimum price per unit is </w:t>
      </w:r>
      <w:r w:rsidR="00043FD2">
        <w:t>provisionally set at 50 pence by Section 2 of the Draft</w:t>
      </w:r>
      <w:r w:rsidR="00923ECC">
        <w:t xml:space="preserve"> </w:t>
      </w:r>
      <w:r w:rsidR="00043FD2">
        <w:t>Alcohol (Minimum Price per Unit)(Scotland) Order 2013.</w:t>
      </w:r>
      <w:r w:rsidR="005153C7">
        <w:rPr>
          <w:rStyle w:val="FootnoteReference"/>
        </w:rPr>
        <w:footnoteReference w:id="2"/>
      </w:r>
      <w:r w:rsidR="00043FD2">
        <w:t xml:space="preserve"> </w:t>
      </w:r>
      <w:r w:rsidR="00923ECC">
        <w:t xml:space="preserve">Thus, the minimum price for a bottle of wine </w:t>
      </w:r>
      <w:r w:rsidR="00043FD2">
        <w:t>with an alcoholic strength of 12.5</w:t>
      </w:r>
      <w:r w:rsidR="00923ECC">
        <w:t>% abv</w:t>
      </w:r>
      <w:r w:rsidR="00043FD2">
        <w:t xml:space="preserve">, </w:t>
      </w:r>
      <w:r w:rsidR="00923ECC">
        <w:t xml:space="preserve">would be </w:t>
      </w:r>
      <w:r w:rsidR="00043FD2">
        <w:t>0.</w:t>
      </w:r>
      <w:r w:rsidR="009F091B">
        <w:t>50 x 0.125 x 0.75 x 100 = £4.69, and</w:t>
      </w:r>
      <w:r w:rsidR="00473CD4">
        <w:t xml:space="preserve"> for a</w:t>
      </w:r>
      <w:r w:rsidR="009F091B">
        <w:t xml:space="preserve"> pint of cider at</w:t>
      </w:r>
      <w:r w:rsidR="00473B16">
        <w:t xml:space="preserve"> 4.5% abv would be 0.50 x 0.045 x 0.568 x 100 = £1.28</w:t>
      </w:r>
      <w:r w:rsidR="00B3067D">
        <w:t>.</w:t>
      </w:r>
    </w:p>
    <w:p w14:paraId="4DB8EAF9" w14:textId="77777777" w:rsidR="00FD54EE" w:rsidRDefault="00FD54EE" w:rsidP="00C37FD0"/>
    <w:p w14:paraId="588A666C" w14:textId="2DEADD51" w:rsidR="002C4830" w:rsidRDefault="0071789A" w:rsidP="00CC2C18">
      <w:r>
        <w:t>Evidence suggest</w:t>
      </w:r>
      <w:r w:rsidR="00BF52E7">
        <w:t>s</w:t>
      </w:r>
      <w:r>
        <w:t xml:space="preserve"> minimum pricing could be an effective tool in combatting alcohol related harm</w:t>
      </w:r>
      <w:r w:rsidR="00956AD1">
        <w:t xml:space="preserve">. </w:t>
      </w:r>
      <w:r w:rsidR="008146D3">
        <w:t>Since</w:t>
      </w:r>
      <w:r w:rsidR="00FD54EE">
        <w:t xml:space="preserve"> higher levels of alcohol consumption</w:t>
      </w:r>
      <w:r w:rsidR="008146D3">
        <w:t xml:space="preserve"> </w:t>
      </w:r>
      <w:r w:rsidR="0095743D">
        <w:t>lead to</w:t>
      </w:r>
      <w:r w:rsidR="00FD54EE">
        <w:t xml:space="preserve"> higher levels of alcohol related harm</w:t>
      </w:r>
      <w:r w:rsidR="008146D3">
        <w:t>,</w:t>
      </w:r>
      <w:r w:rsidR="001B4E26">
        <w:t xml:space="preserve"> both in terms of average volumes and certain specific patterns of drinking,</w:t>
      </w:r>
      <w:r w:rsidR="00FD54EE">
        <w:rPr>
          <w:rStyle w:val="FootnoteReference"/>
        </w:rPr>
        <w:footnoteReference w:id="3"/>
      </w:r>
      <w:r w:rsidR="00FD54EE">
        <w:t xml:space="preserve"> </w:t>
      </w:r>
      <w:r w:rsidR="001B4E26">
        <w:t xml:space="preserve">seeking to reduce consumption </w:t>
      </w:r>
      <w:r w:rsidR="00116488">
        <w:t>through imposing</w:t>
      </w:r>
      <w:r w:rsidR="008146D3">
        <w:t xml:space="preserve"> higher prices</w:t>
      </w:r>
      <w:r w:rsidR="00161E89">
        <w:t xml:space="preserve"> on cheaper alcohol</w:t>
      </w:r>
      <w:r w:rsidR="001B4E26">
        <w:t xml:space="preserve"> would seem to be one </w:t>
      </w:r>
      <w:r w:rsidR="008146D3">
        <w:t>way of consequently reducing harm.</w:t>
      </w:r>
      <w:r w:rsidR="00116488">
        <w:t xml:space="preserve"> R</w:t>
      </w:r>
      <w:r w:rsidR="00C93184">
        <w:t>ecent data analy</w:t>
      </w:r>
      <w:r w:rsidR="001B4E26">
        <w:t>sed by Sheffield University in</w:t>
      </w:r>
      <w:r w:rsidR="00C93184">
        <w:t xml:space="preserve"> 2012</w:t>
      </w:r>
      <w:r w:rsidR="00116488">
        <w:t xml:space="preserve"> supports this idea,</w:t>
      </w:r>
      <w:r w:rsidR="00C93184">
        <w:t xml:space="preserve"> </w:t>
      </w:r>
      <w:r w:rsidR="001B4E26">
        <w:t>indicating</w:t>
      </w:r>
      <w:r w:rsidR="00C93184">
        <w:t xml:space="preserve"> that </w:t>
      </w:r>
      <w:r w:rsidR="007D172D">
        <w:t>setting a minimum price</w:t>
      </w:r>
      <w:r w:rsidR="00C460C0">
        <w:t xml:space="preserve"> for alcohol </w:t>
      </w:r>
      <w:r w:rsidR="007D172D">
        <w:t xml:space="preserve">of </w:t>
      </w:r>
      <w:r w:rsidR="00C460C0">
        <w:t>50p</w:t>
      </w:r>
      <w:r w:rsidR="007D172D">
        <w:t xml:space="preserve"> wou</w:t>
      </w:r>
      <w:r w:rsidR="00C57812">
        <w:t xml:space="preserve">ld result in a </w:t>
      </w:r>
      <w:r w:rsidR="00296F51">
        <w:t xml:space="preserve">5.7% </w:t>
      </w:r>
      <w:r w:rsidR="00C57812">
        <w:t xml:space="preserve">reduction </w:t>
      </w:r>
      <w:r w:rsidR="00296F51">
        <w:t>in general consumption</w:t>
      </w:r>
      <w:r w:rsidR="007D172D">
        <w:t>.</w:t>
      </w:r>
      <w:r w:rsidR="007C10C3">
        <w:rPr>
          <w:rStyle w:val="FootnoteReference"/>
        </w:rPr>
        <w:footnoteReference w:id="4"/>
      </w:r>
      <w:r w:rsidR="007D172D">
        <w:t xml:space="preserve"> </w:t>
      </w:r>
      <w:r w:rsidR="00296F51">
        <w:t>Such drops come specifically from reducing ‘</w:t>
      </w:r>
      <w:r w:rsidR="00AB5FC1">
        <w:t>the consumption of heavier drinkers who prefer these beverages’.</w:t>
      </w:r>
      <w:r w:rsidR="00AC4C64">
        <w:rPr>
          <w:rStyle w:val="FootnoteReference"/>
        </w:rPr>
        <w:footnoteReference w:id="5"/>
      </w:r>
      <w:r w:rsidR="00FC01F5">
        <w:t xml:space="preserve"> </w:t>
      </w:r>
      <w:r w:rsidR="00296F51">
        <w:t>R</w:t>
      </w:r>
      <w:r w:rsidR="00394A04">
        <w:t>esearch s</w:t>
      </w:r>
      <w:r w:rsidR="00296F51">
        <w:t xml:space="preserve">uggests that such a sub-population target is </w:t>
      </w:r>
      <w:r w:rsidR="00394A04">
        <w:t xml:space="preserve">legitimate </w:t>
      </w:r>
      <w:r w:rsidR="00296F51">
        <w:t>and can result in meaningful harm reductions</w:t>
      </w:r>
      <w:r w:rsidR="00116488">
        <w:t>.</w:t>
      </w:r>
      <w:r w:rsidR="00394A04">
        <w:t xml:space="preserve"> </w:t>
      </w:r>
      <w:r w:rsidR="00FC01F5">
        <w:t>Black et al have surveyed</w:t>
      </w:r>
      <w:r w:rsidR="003C06F0">
        <w:t xml:space="preserve"> patients admitted to </w:t>
      </w:r>
      <w:r w:rsidR="00FC01F5">
        <w:t xml:space="preserve">Edinburgh </w:t>
      </w:r>
      <w:r w:rsidR="003C06F0">
        <w:t>hospital</w:t>
      </w:r>
      <w:r w:rsidR="00FC01F5">
        <w:t>s</w:t>
      </w:r>
      <w:r w:rsidR="003C06F0">
        <w:t xml:space="preserve"> due t</w:t>
      </w:r>
      <w:r w:rsidR="00FC01F5">
        <w:t>o alcohol related harm</w:t>
      </w:r>
      <w:r w:rsidR="003C06F0">
        <w:t xml:space="preserve"> and found that ‘this patient population purchases alcohol units on average at £0.29 less per unit than that paid on average by the general Scottish population’</w:t>
      </w:r>
      <w:r w:rsidR="00394A04">
        <w:t>,</w:t>
      </w:r>
      <w:r w:rsidR="002D2FBD">
        <w:rPr>
          <w:rStyle w:val="FootnoteReference"/>
        </w:rPr>
        <w:footnoteReference w:id="6"/>
      </w:r>
      <w:r w:rsidR="00394A04">
        <w:t xml:space="preserve"> that</w:t>
      </w:r>
      <w:r w:rsidR="00CC2C18">
        <w:t xml:space="preserve"> ‘of these patients, those who pay the lowest prices per unit tend to consume the greatest number of units’</w:t>
      </w:r>
      <w:r w:rsidR="002D2FBD">
        <w:rPr>
          <w:rStyle w:val="FootnoteReference"/>
        </w:rPr>
        <w:footnoteReference w:id="7"/>
      </w:r>
      <w:r w:rsidR="00CC2C18">
        <w:t xml:space="preserve"> and finally that ‘this patient population purchase 83% of their alcohol at or below £0.50/unit’.</w:t>
      </w:r>
      <w:r w:rsidR="002D2FBD">
        <w:rPr>
          <w:rStyle w:val="FootnoteReference"/>
        </w:rPr>
        <w:footnoteReference w:id="8"/>
      </w:r>
      <w:r w:rsidR="00CC2C18">
        <w:t xml:space="preserve"> </w:t>
      </w:r>
      <w:r w:rsidR="002C4830">
        <w:t xml:space="preserve">Further research supports the predicted effectiveness of minimum pricing policies targeting a reduction in the consumption </w:t>
      </w:r>
      <w:r w:rsidR="00116488">
        <w:t>and thus harm of heavy drinkers. A</w:t>
      </w:r>
      <w:r w:rsidR="002C4830">
        <w:t xml:space="preserve"> study examining the relationship between minimum prices and alcohol-attributable deaths in British Columbia between 2002 and </w:t>
      </w:r>
      <w:r w:rsidR="00116488">
        <w:t>2009 suggests</w:t>
      </w:r>
      <w:r w:rsidR="002C4830">
        <w:t xml:space="preserve"> that there is ‘credible evidence of (i) large and significant reductions in wholly [alcohol-attributable] deaths associated with co-occurring minimum price increases and (ii) significant lagged effects for chronic [alcohol-attributable] deaths’.</w:t>
      </w:r>
      <w:r w:rsidR="002C4830">
        <w:rPr>
          <w:rStyle w:val="FootnoteReference"/>
        </w:rPr>
        <w:footnoteReference w:id="9"/>
      </w:r>
    </w:p>
    <w:p w14:paraId="1048E14F" w14:textId="77777777" w:rsidR="002C4830" w:rsidRDefault="002C4830" w:rsidP="00CC2C18"/>
    <w:p w14:paraId="39635B44" w14:textId="5CEDE1D9" w:rsidR="00F8714C" w:rsidRDefault="00520E23" w:rsidP="00CC2C18">
      <w:r>
        <w:t xml:space="preserve">Such studies cannot </w:t>
      </w:r>
      <w:r w:rsidR="00D83D30">
        <w:t>predict</w:t>
      </w:r>
      <w:r w:rsidR="002C4830">
        <w:t xml:space="preserve"> all </w:t>
      </w:r>
      <w:r w:rsidR="00D83D30">
        <w:t>eventualities</w:t>
      </w:r>
      <w:r w:rsidR="000D4DF1">
        <w:t>, and Black’s study</w:t>
      </w:r>
      <w:r w:rsidR="00201B9B">
        <w:t xml:space="preserve"> </w:t>
      </w:r>
      <w:r w:rsidR="00473B16">
        <w:t>recognise</w:t>
      </w:r>
      <w:r w:rsidR="000D4DF1">
        <w:t xml:space="preserve"> that it</w:t>
      </w:r>
      <w:r w:rsidR="00F148B5">
        <w:t xml:space="preserve"> does not represent all harmful drinkers in Scotland</w:t>
      </w:r>
      <w:r w:rsidR="00201B9B">
        <w:t>, and could not cover all those patients admitted to hospital.</w:t>
      </w:r>
      <w:r w:rsidR="00201B9B">
        <w:rPr>
          <w:rStyle w:val="FootnoteReference"/>
        </w:rPr>
        <w:footnoteReference w:id="10"/>
      </w:r>
      <w:r>
        <w:t xml:space="preserve"> One must also consider that</w:t>
      </w:r>
      <w:r w:rsidR="00AD7002">
        <w:t xml:space="preserve"> the effecti</w:t>
      </w:r>
      <w:r w:rsidR="0084454D">
        <w:t>veness of minimum pricing may be influenced by</w:t>
      </w:r>
      <w:r w:rsidR="00AD7002">
        <w:t xml:space="preserve"> the reaction of the ind</w:t>
      </w:r>
      <w:r w:rsidR="00D83D30">
        <w:t>ustry</w:t>
      </w:r>
      <w:r w:rsidR="00AD7002">
        <w:t xml:space="preserve">, who will seek to </w:t>
      </w:r>
      <w:r w:rsidR="000D4DF1">
        <w:t>maintain</w:t>
      </w:r>
      <w:r w:rsidR="00AD7002">
        <w:t xml:space="preserve"> consumption levels through new marketing strategies </w:t>
      </w:r>
      <w:r w:rsidR="0084454D">
        <w:t>that</w:t>
      </w:r>
      <w:r w:rsidR="00AD7002">
        <w:t xml:space="preserve"> will not materialise until the policy comes into force. Further evidence </w:t>
      </w:r>
      <w:r w:rsidR="004F104A">
        <w:t>is</w:t>
      </w:r>
      <w:r w:rsidR="0084454D">
        <w:t xml:space="preserve"> always beneficial. T</w:t>
      </w:r>
      <w:r w:rsidR="00F52BF2">
        <w:t xml:space="preserve">o this end the Scottish policy should be monitored, so that it can be observed whether results on the ground reflect the modelling. </w:t>
      </w:r>
    </w:p>
    <w:p w14:paraId="3E6CAD92" w14:textId="77777777" w:rsidR="006561E8" w:rsidRDefault="006561E8" w:rsidP="00C37FD0"/>
    <w:p w14:paraId="6A4B8E7B" w14:textId="248CD2D6" w:rsidR="006561E8" w:rsidRDefault="00616CFF" w:rsidP="00C37FD0">
      <w:r>
        <w:t xml:space="preserve">Taking these caveats into account, we still might conclude </w:t>
      </w:r>
      <w:r w:rsidR="00D35613">
        <w:t xml:space="preserve">that the evidence </w:t>
      </w:r>
      <w:r w:rsidR="006C6A56">
        <w:t>so</w:t>
      </w:r>
      <w:r w:rsidR="00D35613">
        <w:t xml:space="preserve"> far accrued</w:t>
      </w:r>
      <w:r>
        <w:t xml:space="preserve"> indicates that</w:t>
      </w:r>
      <w:r w:rsidR="00201B9B">
        <w:t xml:space="preserve"> minimum pricing </w:t>
      </w:r>
      <w:r>
        <w:t>has great potential to</w:t>
      </w:r>
      <w:r w:rsidR="00201B9B">
        <w:t xml:space="preserve"> be an effective policy tool to reduce alcohol </w:t>
      </w:r>
      <w:r w:rsidR="00D35613">
        <w:t>related harm</w:t>
      </w:r>
      <w:r>
        <w:t>. T</w:t>
      </w:r>
      <w:r w:rsidR="00B84322">
        <w:t>he following section examines</w:t>
      </w:r>
      <w:r w:rsidR="00424257">
        <w:t xml:space="preserve"> </w:t>
      </w:r>
      <w:r w:rsidR="001D226C">
        <w:t xml:space="preserve">whether minimum unit pricing is justified as </w:t>
      </w:r>
      <w:r w:rsidR="00FE1A20">
        <w:t xml:space="preserve">a </w:t>
      </w:r>
      <w:r w:rsidR="001D226C">
        <w:t xml:space="preserve">proportionate </w:t>
      </w:r>
      <w:r w:rsidR="00FE1A20">
        <w:t xml:space="preserve">restriction of trade </w:t>
      </w:r>
      <w:r w:rsidR="001D226C">
        <w:t>under the conditions set out by EU free movement</w:t>
      </w:r>
      <w:r w:rsidR="00473CD4">
        <w:t xml:space="preserve"> of goods</w:t>
      </w:r>
      <w:r w:rsidR="001D226C">
        <w:t xml:space="preserve"> law.</w:t>
      </w:r>
    </w:p>
    <w:p w14:paraId="2342CB92" w14:textId="426C15BB" w:rsidR="00C37FD0" w:rsidRDefault="001A28AD" w:rsidP="00C37FD0">
      <w:pPr>
        <w:pStyle w:val="Heading1"/>
      </w:pPr>
      <w:r>
        <w:t>Proportionality of Minimum Unit P</w:t>
      </w:r>
      <w:r w:rsidR="00C37FD0">
        <w:t>ricing</w:t>
      </w:r>
    </w:p>
    <w:p w14:paraId="54886353" w14:textId="77777777" w:rsidR="00C37FD0" w:rsidRDefault="00C37FD0" w:rsidP="00C37FD0"/>
    <w:p w14:paraId="0F574557" w14:textId="25F6EF10" w:rsidR="00C37FD0" w:rsidRDefault="001A28AD" w:rsidP="00C37FD0">
      <w:pPr>
        <w:pStyle w:val="Heading2"/>
      </w:pPr>
      <w:r>
        <w:t>The D</w:t>
      </w:r>
      <w:r w:rsidR="00F114CD">
        <w:t>ecision of the Court of Session</w:t>
      </w:r>
    </w:p>
    <w:p w14:paraId="3BC817F6" w14:textId="77777777" w:rsidR="00C37FD0" w:rsidRDefault="00C37FD0" w:rsidP="00C37FD0"/>
    <w:p w14:paraId="3623FBC1" w14:textId="47CF2D9D" w:rsidR="00414F0D" w:rsidRDefault="00E564CD" w:rsidP="00C37FD0">
      <w:r>
        <w:t>The SWA’</w:t>
      </w:r>
      <w:r w:rsidR="00B351DC">
        <w:t>s</w:t>
      </w:r>
      <w:r w:rsidR="00C721D4">
        <w:t xml:space="preserve"> petition for judicial review of the </w:t>
      </w:r>
      <w:r w:rsidR="00E306B1">
        <w:t>Scottish Act</w:t>
      </w:r>
      <w:r w:rsidR="00414F0D">
        <w:rPr>
          <w:rStyle w:val="FootnoteReference"/>
        </w:rPr>
        <w:footnoteReference w:id="11"/>
      </w:r>
      <w:r w:rsidR="00E674E8">
        <w:t xml:space="preserve"> argued</w:t>
      </w:r>
      <w:r>
        <w:t xml:space="preserve"> </w:t>
      </w:r>
      <w:r w:rsidR="00E306B1">
        <w:t xml:space="preserve">that </w:t>
      </w:r>
      <w:r w:rsidR="006339EB">
        <w:t>the conditions for recourse to</w:t>
      </w:r>
      <w:r w:rsidR="00C721D4">
        <w:t xml:space="preserve"> Article 36, which permits</w:t>
      </w:r>
      <w:r w:rsidR="006339EB">
        <w:t xml:space="preserve"> restrictions on trade</w:t>
      </w:r>
      <w:r w:rsidR="00605210">
        <w:t xml:space="preserve"> caught by Article 34</w:t>
      </w:r>
      <w:r w:rsidR="00C721D4">
        <w:t xml:space="preserve"> to stand provided they are justified</w:t>
      </w:r>
      <w:r w:rsidR="00AB044E">
        <w:t xml:space="preserve"> as proportionate</w:t>
      </w:r>
      <w:r w:rsidR="00C721D4">
        <w:t xml:space="preserve"> according to </w:t>
      </w:r>
      <w:r w:rsidR="006339EB">
        <w:t xml:space="preserve">certain public interest grounds, could not be </w:t>
      </w:r>
      <w:r w:rsidR="000279C9">
        <w:t>satisfied</w:t>
      </w:r>
      <w:r w:rsidR="00CA775F">
        <w:t>.</w:t>
      </w:r>
      <w:r w:rsidR="006339EB">
        <w:t xml:space="preserve"> </w:t>
      </w:r>
      <w:r w:rsidR="00E674E8">
        <w:t>M</w:t>
      </w:r>
      <w:r w:rsidR="00AC6E13">
        <w:t>inimum pricing was</w:t>
      </w:r>
      <w:r w:rsidR="00E674E8">
        <w:t xml:space="preserve"> accused of</w:t>
      </w:r>
      <w:r w:rsidR="00AC6E13">
        <w:t xml:space="preserve"> </w:t>
      </w:r>
      <w:r w:rsidR="00E674E8">
        <w:t>being</w:t>
      </w:r>
      <w:r w:rsidR="00AC6E13">
        <w:t xml:space="preserve"> </w:t>
      </w:r>
      <w:r w:rsidR="00605210">
        <w:t>dis</w:t>
      </w:r>
      <w:r w:rsidR="008626DB">
        <w:t>proportionate</w:t>
      </w:r>
      <w:r w:rsidR="000871EE">
        <w:t xml:space="preserve"> </w:t>
      </w:r>
      <w:r w:rsidR="00E674E8">
        <w:t>on grounds that</w:t>
      </w:r>
      <w:r w:rsidR="000871EE">
        <w:t xml:space="preserve"> the legislative </w:t>
      </w:r>
      <w:r w:rsidR="00D039F0">
        <w:t xml:space="preserve">aims were </w:t>
      </w:r>
      <w:r w:rsidR="00AC6E13">
        <w:t>confused</w:t>
      </w:r>
      <w:r w:rsidR="000871EE">
        <w:t xml:space="preserve">, </w:t>
      </w:r>
      <w:r w:rsidR="00411CAD">
        <w:t>the measures did</w:t>
      </w:r>
      <w:r w:rsidR="000871EE">
        <w:t xml:space="preserve"> not target harmful and heavy drinkers, and less restrictive measures such as ta</w:t>
      </w:r>
      <w:r w:rsidR="00695ED7">
        <w:t>xation could be used.</w:t>
      </w:r>
      <w:r w:rsidR="00695ED7">
        <w:rPr>
          <w:rStyle w:val="FootnoteReference"/>
        </w:rPr>
        <w:footnoteReference w:id="12"/>
      </w:r>
      <w:r w:rsidR="00695ED7">
        <w:t xml:space="preserve"> It was furthermore asserted that </w:t>
      </w:r>
      <w:r w:rsidR="000871EE">
        <w:t xml:space="preserve">it would be wrong to allow </w:t>
      </w:r>
      <w:r w:rsidR="00605210">
        <w:t>the Scottish Government any margin of discretion</w:t>
      </w:r>
      <w:r w:rsidR="00695ED7">
        <w:t>.</w:t>
      </w:r>
      <w:r w:rsidR="008060B6">
        <w:rPr>
          <w:rStyle w:val="FootnoteReference"/>
        </w:rPr>
        <w:footnoteReference w:id="13"/>
      </w:r>
      <w:r w:rsidR="00695ED7">
        <w:t xml:space="preserve"> </w:t>
      </w:r>
      <w:r w:rsidR="000871EE">
        <w:t xml:space="preserve">          </w:t>
      </w:r>
      <w:r w:rsidR="00AC6E13">
        <w:t xml:space="preserve"> </w:t>
      </w:r>
      <w:r w:rsidR="00414F0D">
        <w:t xml:space="preserve"> </w:t>
      </w:r>
    </w:p>
    <w:p w14:paraId="1CFEFEE8" w14:textId="77777777" w:rsidR="00C721D4" w:rsidRDefault="00C721D4" w:rsidP="00C37FD0"/>
    <w:p w14:paraId="70DF767A" w14:textId="2D1BDF0A" w:rsidR="008615CC" w:rsidRDefault="006C6A56" w:rsidP="00C37FD0">
      <w:r>
        <w:t>A</w:t>
      </w:r>
      <w:r w:rsidR="0077510B">
        <w:t>fter agreeing that the measure was a restriction on trade under Article 34,</w:t>
      </w:r>
      <w:r w:rsidR="00BC5F6B">
        <w:t xml:space="preserve"> </w:t>
      </w:r>
      <w:r w:rsidR="00EB5803">
        <w:t>Lord Doherty</w:t>
      </w:r>
      <w:r w:rsidR="00F35962">
        <w:t xml:space="preserve"> </w:t>
      </w:r>
      <w:r w:rsidR="00F15535">
        <w:t>observed</w:t>
      </w:r>
      <w:r w:rsidR="00CE1282">
        <w:t xml:space="preserve"> that </w:t>
      </w:r>
      <w:r w:rsidR="00605210">
        <w:t xml:space="preserve">the </w:t>
      </w:r>
      <w:r w:rsidR="0000283C">
        <w:t>‘</w:t>
      </w:r>
      <w:r w:rsidR="0000283C" w:rsidRPr="0000283C">
        <w:t>crucial question is whether there is objective justification for the</w:t>
      </w:r>
      <w:r w:rsidR="009F3308">
        <w:t xml:space="preserve"> measures</w:t>
      </w:r>
      <w:r w:rsidR="0000283C">
        <w:t>’.</w:t>
      </w:r>
      <w:r w:rsidR="0000283C">
        <w:rPr>
          <w:rStyle w:val="FootnoteReference"/>
        </w:rPr>
        <w:footnoteReference w:id="14"/>
      </w:r>
      <w:r w:rsidR="004A3938">
        <w:t xml:space="preserve"> </w:t>
      </w:r>
      <w:r w:rsidR="00327CE6">
        <w:t xml:space="preserve">To be </w:t>
      </w:r>
      <w:r w:rsidR="00C5140A">
        <w:t>proportionate</w:t>
      </w:r>
      <w:r w:rsidR="00327CE6">
        <w:t xml:space="preserve"> for the purposes of Article 36</w:t>
      </w:r>
      <w:r w:rsidR="00C5140A">
        <w:t xml:space="preserve">, a measure must be </w:t>
      </w:r>
      <w:r w:rsidR="0000394C">
        <w:t>appropriate</w:t>
      </w:r>
      <w:r w:rsidR="00C5140A">
        <w:t xml:space="preserve"> and </w:t>
      </w:r>
      <w:r w:rsidR="0000394C">
        <w:t>necessary</w:t>
      </w:r>
      <w:r w:rsidR="00C5140A">
        <w:t xml:space="preserve"> to achieve the legitimate aims claimed.</w:t>
      </w:r>
      <w:r w:rsidR="00327CE6">
        <w:rPr>
          <w:rStyle w:val="FootnoteReference"/>
        </w:rPr>
        <w:footnoteReference w:id="15"/>
      </w:r>
      <w:r w:rsidR="00C5140A">
        <w:t xml:space="preserve"> </w:t>
      </w:r>
      <w:r w:rsidR="00467065">
        <w:t>Since m</w:t>
      </w:r>
      <w:r w:rsidR="008615CC">
        <w:t xml:space="preserve">inimum pricing </w:t>
      </w:r>
      <w:r w:rsidR="00032522">
        <w:t xml:space="preserve">was </w:t>
      </w:r>
      <w:r w:rsidR="008615CC">
        <w:t xml:space="preserve">aimed </w:t>
      </w:r>
      <w:r w:rsidR="00032522">
        <w:t>at reducing</w:t>
      </w:r>
      <w:r w:rsidR="008615CC">
        <w:t xml:space="preserve"> alcohol misuse and overconsumption</w:t>
      </w:r>
      <w:r w:rsidR="00467065">
        <w:t>,</w:t>
      </w:r>
      <w:r w:rsidR="00032522">
        <w:t xml:space="preserve"> focusing on harmful and heavy drinkers</w:t>
      </w:r>
      <w:r w:rsidR="00467065">
        <w:t xml:space="preserve"> rather than eradicating</w:t>
      </w:r>
      <w:r w:rsidR="008615CC">
        <w:t xml:space="preserve"> consumption,</w:t>
      </w:r>
      <w:r w:rsidR="008615CC">
        <w:rPr>
          <w:rStyle w:val="FootnoteReference"/>
        </w:rPr>
        <w:footnoteReference w:id="16"/>
      </w:r>
      <w:r w:rsidR="008615CC">
        <w:t xml:space="preserve"> </w:t>
      </w:r>
      <w:r w:rsidR="00467065">
        <w:t>it was considered that</w:t>
      </w:r>
      <w:r w:rsidR="008615CC">
        <w:t xml:space="preserve"> </w:t>
      </w:r>
      <w:r w:rsidR="00032522">
        <w:t>the policy pursued</w:t>
      </w:r>
      <w:r w:rsidR="008615CC">
        <w:t xml:space="preserve"> legitimate aims under Article 36.</w:t>
      </w:r>
      <w:r w:rsidR="004A3938">
        <w:t xml:space="preserve"> </w:t>
      </w:r>
    </w:p>
    <w:p w14:paraId="3AEE34D0" w14:textId="77777777" w:rsidR="008615CC" w:rsidRDefault="008615CC" w:rsidP="00C37FD0"/>
    <w:p w14:paraId="54BFF3BA" w14:textId="2E337E4A" w:rsidR="00122A3A" w:rsidRDefault="00C5140A" w:rsidP="00C37FD0">
      <w:r>
        <w:t xml:space="preserve">On </w:t>
      </w:r>
      <w:r w:rsidR="0000394C">
        <w:t>appropriateness</w:t>
      </w:r>
      <w:r>
        <w:t>, Lord Doherty cons</w:t>
      </w:r>
      <w:r w:rsidR="00246FF1">
        <w:t xml:space="preserve">idered </w:t>
      </w:r>
      <w:r w:rsidR="0000394C">
        <w:t>the evidence to show that</w:t>
      </w:r>
      <w:r>
        <w:t xml:space="preserve"> harmful drinkers across the income spectrum tend to buy cheap alcohol, and that low income harmful drinkers consume far more per head and are a sou</w:t>
      </w:r>
      <w:r w:rsidR="00246FF1">
        <w:t>rce of much greater health harm. H</w:t>
      </w:r>
      <w:r>
        <w:t>e therefore concluded there was objective evidence that the measures were appropriate to achieve their aims.</w:t>
      </w:r>
      <w:r>
        <w:rPr>
          <w:rStyle w:val="FootnoteReference"/>
        </w:rPr>
        <w:footnoteReference w:id="17"/>
      </w:r>
      <w:r>
        <w:t xml:space="preserve">  </w:t>
      </w:r>
    </w:p>
    <w:p w14:paraId="09985F20" w14:textId="77777777" w:rsidR="00C5140A" w:rsidRDefault="00C5140A" w:rsidP="00C37FD0"/>
    <w:p w14:paraId="3585F404" w14:textId="56623531" w:rsidR="00C5140A" w:rsidRDefault="00246FF1" w:rsidP="00C37FD0">
      <w:r>
        <w:t>On necessity,</w:t>
      </w:r>
      <w:r w:rsidR="00232001">
        <w:t xml:space="preserve"> </w:t>
      </w:r>
      <w:r w:rsidR="007B3899">
        <w:t>the critical issue</w:t>
      </w:r>
      <w:r w:rsidR="00232001">
        <w:t xml:space="preserve"> for Lord Doherty</w:t>
      </w:r>
      <w:r w:rsidR="007B3899">
        <w:t xml:space="preserve"> was</w:t>
      </w:r>
      <w:r w:rsidR="00473711">
        <w:t xml:space="preserve"> ‘</w:t>
      </w:r>
      <w:r w:rsidR="00473711" w:rsidRPr="00473711">
        <w:t>the comparative effectiveness of minimum pricing and the alternative measures</w:t>
      </w:r>
      <w:r w:rsidR="00473711">
        <w:t>’</w:t>
      </w:r>
      <w:r w:rsidR="007B3899">
        <w:t>.</w:t>
      </w:r>
      <w:r w:rsidR="007B3899">
        <w:rPr>
          <w:rStyle w:val="FootnoteReference"/>
        </w:rPr>
        <w:footnoteReference w:id="18"/>
      </w:r>
      <w:r w:rsidR="00B848EE">
        <w:t xml:space="preserve"> </w:t>
      </w:r>
      <w:r w:rsidR="00DD1B16">
        <w:t>He</w:t>
      </w:r>
      <w:r w:rsidR="00B848EE">
        <w:t xml:space="preserve"> </w:t>
      </w:r>
      <w:r>
        <w:t>supported</w:t>
      </w:r>
      <w:r w:rsidR="00DD1B16">
        <w:t xml:space="preserve"> </w:t>
      </w:r>
      <w:r w:rsidR="00B848EE">
        <w:t>arguments that minimum pricing w</w:t>
      </w:r>
      <w:r w:rsidR="00E02A25">
        <w:t>ould be more effective than increasing</w:t>
      </w:r>
      <w:r w:rsidR="00B848EE">
        <w:t xml:space="preserve"> excise duties on alcoholic beverages because</w:t>
      </w:r>
      <w:r w:rsidR="00B3456F">
        <w:t>,</w:t>
      </w:r>
      <w:r w:rsidR="00ED02C6">
        <w:t xml:space="preserve"> amongst other considerations</w:t>
      </w:r>
      <w:r w:rsidR="00B3456F">
        <w:t>,</w:t>
      </w:r>
      <w:r w:rsidR="00ED02C6">
        <w:t xml:space="preserve"> it</w:t>
      </w:r>
      <w:r w:rsidR="00B848EE">
        <w:t xml:space="preserve"> would not be subject to the same constraints as excise duties are under EU excise duty direct</w:t>
      </w:r>
      <w:r w:rsidR="00B3456F">
        <w:t xml:space="preserve">ives and </w:t>
      </w:r>
      <w:r w:rsidR="00B848EE">
        <w:t>would apply exclusively to lower price</w:t>
      </w:r>
      <w:r w:rsidR="00EE0532">
        <w:t>d</w:t>
      </w:r>
      <w:r w:rsidR="00B3456F">
        <w:t xml:space="preserve"> alcohol</w:t>
      </w:r>
      <w:r w:rsidR="00B848EE">
        <w:t>.</w:t>
      </w:r>
      <w:r w:rsidR="00B848EE">
        <w:rPr>
          <w:rStyle w:val="FootnoteReference"/>
        </w:rPr>
        <w:footnoteReference w:id="19"/>
      </w:r>
      <w:r w:rsidR="00F31B05">
        <w:t xml:space="preserve"> He opined that </w:t>
      </w:r>
      <w:r w:rsidR="009469DE">
        <w:t>‘</w:t>
      </w:r>
      <w:r>
        <w:t>[a]</w:t>
      </w:r>
      <w:r w:rsidR="009469DE" w:rsidRPr="009469DE">
        <w:t xml:space="preserve"> system which results in higher prices for higher strength alcohol appears to be more consistent with the legitimate aims</w:t>
      </w:r>
      <w:r w:rsidR="009469DE">
        <w:t>’,</w:t>
      </w:r>
      <w:r w:rsidR="009469DE">
        <w:rPr>
          <w:rStyle w:val="FootnoteReference"/>
        </w:rPr>
        <w:footnoteReference w:id="20"/>
      </w:r>
      <w:r w:rsidR="009469DE">
        <w:t xml:space="preserve"> </w:t>
      </w:r>
      <w:r w:rsidR="00B3456F">
        <w:t>namely reducing</w:t>
      </w:r>
      <w:r w:rsidR="009469DE">
        <w:t xml:space="preserve"> the number of units consumed by harmful and heavy drinkers.</w:t>
      </w:r>
      <w:r w:rsidR="009469DE">
        <w:rPr>
          <w:rStyle w:val="FootnoteReference"/>
        </w:rPr>
        <w:footnoteReference w:id="21"/>
      </w:r>
      <w:r w:rsidR="009469DE">
        <w:t xml:space="preserve"> </w:t>
      </w:r>
      <w:r w:rsidR="00ED02C6">
        <w:t xml:space="preserve">In light of </w:t>
      </w:r>
      <w:r w:rsidR="00B3456F">
        <w:t>the fact that</w:t>
      </w:r>
      <w:r w:rsidR="00706CBA">
        <w:t xml:space="preserve"> national authorities are </w:t>
      </w:r>
      <w:r w:rsidR="0077510B">
        <w:t>indeed</w:t>
      </w:r>
      <w:r w:rsidR="00706CBA">
        <w:t xml:space="preserve"> </w:t>
      </w:r>
      <w:r w:rsidR="0077510B">
        <w:t>afforded</w:t>
      </w:r>
      <w:r w:rsidR="00706CBA">
        <w:t xml:space="preserve"> a margin of </w:t>
      </w:r>
      <w:r w:rsidR="00CF6B5F">
        <w:t>discretion</w:t>
      </w:r>
      <w:r w:rsidR="00706CBA">
        <w:t xml:space="preserve"> when determining</w:t>
      </w:r>
      <w:r w:rsidR="00EE0532">
        <w:t xml:space="preserve"> to what extent they wish to protect</w:t>
      </w:r>
      <w:r w:rsidR="00706CBA">
        <w:t xml:space="preserve"> </w:t>
      </w:r>
      <w:r w:rsidR="00B3456F">
        <w:t xml:space="preserve">public </w:t>
      </w:r>
      <w:r w:rsidR="00706CBA">
        <w:t>health</w:t>
      </w:r>
      <w:r w:rsidR="0077510B">
        <w:t>,</w:t>
      </w:r>
      <w:r w:rsidR="00706CBA">
        <w:rPr>
          <w:rStyle w:val="FootnoteReference"/>
        </w:rPr>
        <w:footnoteReference w:id="22"/>
      </w:r>
      <w:r w:rsidR="00ED02C6">
        <w:t xml:space="preserve"> </w:t>
      </w:r>
      <w:r w:rsidR="00706CBA">
        <w:t>Lord Doherty concluded that there was objective justification that minimum pricing would be more effective</w:t>
      </w:r>
      <w:r w:rsidR="00D932BB">
        <w:t xml:space="preserve"> than the alternatives</w:t>
      </w:r>
      <w:r w:rsidR="00706CBA">
        <w:t xml:space="preserve"> in achieving the ai</w:t>
      </w:r>
      <w:r w:rsidR="00D932BB">
        <w:t>ms pursued</w:t>
      </w:r>
      <w:r w:rsidR="00706CBA">
        <w:t>.</w:t>
      </w:r>
      <w:r w:rsidR="00706CBA">
        <w:rPr>
          <w:rStyle w:val="FootnoteReference"/>
        </w:rPr>
        <w:footnoteReference w:id="23"/>
      </w:r>
      <w:r w:rsidR="00706CBA">
        <w:t xml:space="preserve"> </w:t>
      </w:r>
    </w:p>
    <w:p w14:paraId="7DCD53C5" w14:textId="77777777" w:rsidR="00F114CD" w:rsidRDefault="00F114CD" w:rsidP="00C37FD0"/>
    <w:p w14:paraId="064C1C53" w14:textId="0391FAB5" w:rsidR="00C37FD0" w:rsidRPr="00C37FD0" w:rsidRDefault="00F114CD" w:rsidP="00C37FD0">
      <w:pPr>
        <w:pStyle w:val="Heading2"/>
      </w:pPr>
      <w:r>
        <w:t>Did th</w:t>
      </w:r>
      <w:r w:rsidR="001A28AD">
        <w:t>e Court of Session Get It R</w:t>
      </w:r>
      <w:r w:rsidR="008A50FF">
        <w:t>ight</w:t>
      </w:r>
      <w:r w:rsidR="001A28AD">
        <w:t xml:space="preserve"> - Would the CJEU Agree on Proportionality and Does the Case Need R</w:t>
      </w:r>
      <w:r w:rsidR="00C37FD0">
        <w:t>eferring?</w:t>
      </w:r>
    </w:p>
    <w:p w14:paraId="30E75B78" w14:textId="77777777" w:rsidR="00C37FD0" w:rsidRDefault="00C37FD0" w:rsidP="00C37FD0"/>
    <w:p w14:paraId="0ACB7E53" w14:textId="32C1972E" w:rsidR="00CF791C" w:rsidRDefault="00531CC5" w:rsidP="00C37FD0">
      <w:r>
        <w:t>T</w:t>
      </w:r>
      <w:r w:rsidR="00652B5D">
        <w:t>he</w:t>
      </w:r>
      <w:r w:rsidR="00982460">
        <w:t xml:space="preserve"> Court of Session </w:t>
      </w:r>
      <w:r w:rsidR="00ED02C6">
        <w:t>was</w:t>
      </w:r>
      <w:r>
        <w:t xml:space="preserve"> correct to conclude</w:t>
      </w:r>
      <w:r w:rsidR="00982460">
        <w:t xml:space="preserve"> that minimum unit pricing fulfils the condi</w:t>
      </w:r>
      <w:r w:rsidR="00C07C44">
        <w:t xml:space="preserve">tions of Article 36 relating </w:t>
      </w:r>
      <w:r w:rsidR="00982460">
        <w:t xml:space="preserve">to proportionality. </w:t>
      </w:r>
      <w:r w:rsidR="00646F30">
        <w:t>In its Detailed Opinion</w:t>
      </w:r>
      <w:r w:rsidR="006542D5">
        <w:rPr>
          <w:rStyle w:val="FootnoteReference"/>
        </w:rPr>
        <w:footnoteReference w:id="24"/>
      </w:r>
      <w:r w:rsidR="00646F30">
        <w:t xml:space="preserve"> given in response to notification of the Scottish </w:t>
      </w:r>
      <w:r w:rsidR="001072AB">
        <w:t>policy,</w:t>
      </w:r>
      <w:r w:rsidR="00646F30">
        <w:t xml:space="preserve"> the Commission contended tha</w:t>
      </w:r>
      <w:r w:rsidR="00C07C44">
        <w:t>t minimum unit pricing appeared</w:t>
      </w:r>
      <w:r w:rsidR="00DD1B16">
        <w:t xml:space="preserve"> disproportionate because</w:t>
      </w:r>
      <w:r w:rsidR="001072AB">
        <w:t xml:space="preserve"> </w:t>
      </w:r>
      <w:r w:rsidR="006542D5">
        <w:t>‘if the goal is, for health policy reasons, to reduce alcohol consumption via increasing the prices of alcoholic beverage</w:t>
      </w:r>
      <w:r w:rsidR="00A9701C">
        <w:t xml:space="preserve">s that goal can be achieved by </w:t>
      </w:r>
      <w:r w:rsidR="006542D5">
        <w:t>raising alcohol taxation across the board’.</w:t>
      </w:r>
      <w:r w:rsidR="00A9701C">
        <w:rPr>
          <w:rStyle w:val="FootnoteReference"/>
        </w:rPr>
        <w:footnoteReference w:id="25"/>
      </w:r>
      <w:r w:rsidR="006542D5">
        <w:t xml:space="preserve"> However</w:t>
      </w:r>
      <w:r w:rsidR="005B7847">
        <w:t xml:space="preserve"> this</w:t>
      </w:r>
      <w:r>
        <w:t xml:space="preserve"> misinterpret</w:t>
      </w:r>
      <w:r w:rsidR="005B7847">
        <w:t>s</w:t>
      </w:r>
      <w:r>
        <w:t xml:space="preserve"> the aims</w:t>
      </w:r>
      <w:r w:rsidR="00D869C1">
        <w:t xml:space="preserve"> since </w:t>
      </w:r>
      <w:r w:rsidR="00F16079">
        <w:t>the</w:t>
      </w:r>
      <w:r w:rsidR="00D869C1">
        <w:t xml:space="preserve"> more important</w:t>
      </w:r>
      <w:r>
        <w:t xml:space="preserve"> goal,</w:t>
      </w:r>
      <w:r w:rsidR="00D869C1">
        <w:t xml:space="preserve"> as the</w:t>
      </w:r>
      <w:r w:rsidR="00626AEB">
        <w:t xml:space="preserve"> Scottish Gov</w:t>
      </w:r>
      <w:r w:rsidR="00F16079">
        <w:t xml:space="preserve">ernment stated in the </w:t>
      </w:r>
      <w:r w:rsidR="00626AEB">
        <w:t>case</w:t>
      </w:r>
      <w:r>
        <w:t>,</w:t>
      </w:r>
      <w:r w:rsidR="00F16079">
        <w:t xml:space="preserve"> </w:t>
      </w:r>
      <w:r>
        <w:t>was</w:t>
      </w:r>
      <w:r w:rsidR="00626AEB">
        <w:t xml:space="preserve"> ‘</w:t>
      </w:r>
      <w:r w:rsidR="00626AEB" w:rsidRPr="00626AEB">
        <w:t>to target harmful and hazardous drinkers and reduce their consumption</w:t>
      </w:r>
      <w:r w:rsidR="00626AEB">
        <w:t>’</w:t>
      </w:r>
      <w:r w:rsidR="00D869C1">
        <w:t>,</w:t>
      </w:r>
      <w:r w:rsidR="00D74D7B">
        <w:rPr>
          <w:rStyle w:val="FootnoteReference"/>
        </w:rPr>
        <w:footnoteReference w:id="26"/>
      </w:r>
      <w:r w:rsidR="008305F3">
        <w:t xml:space="preserve"> as well as </w:t>
      </w:r>
      <w:r w:rsidR="00F16079">
        <w:t>lower</w:t>
      </w:r>
      <w:r w:rsidR="00D869C1">
        <w:t>ing</w:t>
      </w:r>
      <w:r w:rsidR="00F16079">
        <w:t xml:space="preserve"> consumption generally.</w:t>
      </w:r>
      <w:r w:rsidR="00CF791C">
        <w:t xml:space="preserve"> S</w:t>
      </w:r>
      <w:r w:rsidR="00626AEB">
        <w:t>ince</w:t>
      </w:r>
      <w:r w:rsidR="008837F3">
        <w:t xml:space="preserve"> </w:t>
      </w:r>
      <w:r w:rsidR="00335AE8">
        <w:t xml:space="preserve">the </w:t>
      </w:r>
      <w:r w:rsidR="008837F3">
        <w:t>proportionality</w:t>
      </w:r>
      <w:r w:rsidR="00335AE8">
        <w:t xml:space="preserve"> principle</w:t>
      </w:r>
      <w:r w:rsidR="008837F3">
        <w:t xml:space="preserve"> requires that </w:t>
      </w:r>
      <w:r w:rsidR="00E574C6">
        <w:t xml:space="preserve">‘another </w:t>
      </w:r>
      <w:r w:rsidR="00E574C6" w:rsidRPr="00E574C6">
        <w:rPr>
          <w:i/>
        </w:rPr>
        <w:t>equally</w:t>
      </w:r>
      <w:r w:rsidR="00E574C6">
        <w:t xml:space="preserve"> effective, but significantly less restrictive measure, could not have been chosen’</w:t>
      </w:r>
      <w:r w:rsidR="00E574C6">
        <w:rPr>
          <w:rStyle w:val="FootnoteReference"/>
        </w:rPr>
        <w:footnoteReference w:id="27"/>
      </w:r>
      <w:r w:rsidR="008809D6">
        <w:t xml:space="preserve"> to achieve the aims,</w:t>
      </w:r>
      <w:r w:rsidR="00E574C6">
        <w:t xml:space="preserve"> not just that a less re</w:t>
      </w:r>
      <w:r w:rsidR="00CF791C">
        <w:t xml:space="preserve">strictive alternative exists, </w:t>
      </w:r>
      <w:r w:rsidR="008809D6">
        <w:t>the pro</w:t>
      </w:r>
      <w:r w:rsidR="00CF791C">
        <w:t xml:space="preserve">posed alternative measures must </w:t>
      </w:r>
      <w:r w:rsidR="00064AE4">
        <w:t>be as effective as minimum pricing at reducing</w:t>
      </w:r>
      <w:r w:rsidR="008809D6">
        <w:t xml:space="preserve"> consumption among harmful and heavy drinkers as well as amongst the population generally</w:t>
      </w:r>
      <w:r w:rsidR="00865C21">
        <w:t>, irrespective of whether th</w:t>
      </w:r>
      <w:r w:rsidR="00895EC8">
        <w:t>ey are less restrictive</w:t>
      </w:r>
      <w:r w:rsidR="008809D6">
        <w:t>.</w:t>
      </w:r>
      <w:r w:rsidR="00321242">
        <w:t xml:space="preserve"> </w:t>
      </w:r>
    </w:p>
    <w:p w14:paraId="652DC3B4" w14:textId="77777777" w:rsidR="00CF791C" w:rsidRDefault="00CF791C" w:rsidP="00C37FD0"/>
    <w:p w14:paraId="46802701" w14:textId="5BEC42C8" w:rsidR="00B107E5" w:rsidRDefault="00CF791C" w:rsidP="00C37FD0">
      <w:r>
        <w:t>Contrary</w:t>
      </w:r>
      <w:r w:rsidR="00321242">
        <w:t xml:space="preserve"> to the Commission’s claims,</w:t>
      </w:r>
      <w:r w:rsidR="008837F3">
        <w:t xml:space="preserve"> </w:t>
      </w:r>
      <w:r>
        <w:t xml:space="preserve">evidence suggests </w:t>
      </w:r>
      <w:r w:rsidR="00B85A63">
        <w:t>that taxation would not</w:t>
      </w:r>
      <w:r w:rsidR="008837F3">
        <w:t xml:space="preserve"> effectively achieve the </w:t>
      </w:r>
      <w:r w:rsidR="008809D6">
        <w:t>primary</w:t>
      </w:r>
      <w:r w:rsidR="008837F3">
        <w:t xml:space="preserve"> aim so</w:t>
      </w:r>
      <w:r w:rsidR="00374582">
        <w:t>ught</w:t>
      </w:r>
      <w:r w:rsidR="008837F3">
        <w:t>.</w:t>
      </w:r>
      <w:r w:rsidR="007104EA">
        <w:t xml:space="preserve"> </w:t>
      </w:r>
      <w:r w:rsidR="00321242">
        <w:t>If</w:t>
      </w:r>
      <w:r w:rsidR="007104EA">
        <w:t xml:space="preserve"> the </w:t>
      </w:r>
      <w:r w:rsidR="008809D6">
        <w:t xml:space="preserve">primary </w:t>
      </w:r>
      <w:r w:rsidR="007104EA">
        <w:t xml:space="preserve">aim is to reduce the consumption levels of harmful and hazardous drinkers, and </w:t>
      </w:r>
      <w:r w:rsidR="002F66AE">
        <w:t>evidence such as that cited above</w:t>
      </w:r>
      <w:r w:rsidR="006163E8">
        <w:t xml:space="preserve"> suggest</w:t>
      </w:r>
      <w:r w:rsidR="002F66AE">
        <w:t>s</w:t>
      </w:r>
      <w:r w:rsidR="006163E8">
        <w:t xml:space="preserve"> that such</w:t>
      </w:r>
      <w:r w:rsidR="007104EA">
        <w:t xml:space="preserve"> drinkers buy cheaper alcohol and consume more of it</w:t>
      </w:r>
      <w:r w:rsidR="006163E8">
        <w:t>, then a measure increasing</w:t>
      </w:r>
      <w:r w:rsidR="007104EA">
        <w:t xml:space="preserve"> the price of cheap alcohol only would app</w:t>
      </w:r>
      <w:r w:rsidR="00D92861">
        <w:t>ear to be more effective than a</w:t>
      </w:r>
      <w:r w:rsidR="007104EA">
        <w:t xml:space="preserve"> measure which cannot </w:t>
      </w:r>
      <w:r w:rsidR="002F66AE">
        <w:t>increase the price</w:t>
      </w:r>
      <w:r w:rsidR="005B13E1">
        <w:t xml:space="preserve"> of cheaper alcohol at a differential rate to </w:t>
      </w:r>
      <w:r w:rsidR="002F66AE">
        <w:t>more expensive alcohol</w:t>
      </w:r>
      <w:r w:rsidR="005B13E1">
        <w:t>.</w:t>
      </w:r>
      <w:r w:rsidR="005B13E1">
        <w:rPr>
          <w:rStyle w:val="FootnoteReference"/>
        </w:rPr>
        <w:footnoteReference w:id="28"/>
      </w:r>
      <w:r w:rsidR="00321242">
        <w:t xml:space="preserve"> The Commission raised</w:t>
      </w:r>
      <w:r w:rsidR="00472C5B">
        <w:t xml:space="preserve"> </w:t>
      </w:r>
      <w:r w:rsidR="00472C5B">
        <w:rPr>
          <w:i/>
        </w:rPr>
        <w:t>Commission v Greece</w:t>
      </w:r>
      <w:r w:rsidR="001213A5">
        <w:t>,</w:t>
      </w:r>
      <w:r w:rsidR="00472C5B" w:rsidRPr="001213A5">
        <w:rPr>
          <w:rStyle w:val="FootnoteReference"/>
        </w:rPr>
        <w:footnoteReference w:id="29"/>
      </w:r>
      <w:r w:rsidR="00472C5B">
        <w:t xml:space="preserve"> in which the Court observed that the objective of protecting public health was adequately attained by increasing tobacco prices</w:t>
      </w:r>
      <w:r w:rsidR="001213A5">
        <w:t>,</w:t>
      </w:r>
      <w:r w:rsidR="00321242">
        <w:t xml:space="preserve"> but this</w:t>
      </w:r>
      <w:r w:rsidR="001213A5">
        <w:t xml:space="preserve"> is </w:t>
      </w:r>
      <w:r w:rsidR="00F50EFF">
        <w:t>improper</w:t>
      </w:r>
      <w:r w:rsidR="00472C5B">
        <w:t xml:space="preserve"> authori</w:t>
      </w:r>
      <w:r w:rsidR="008809D6">
        <w:t>ty in this</w:t>
      </w:r>
      <w:r w:rsidR="004445DC">
        <w:t xml:space="preserve"> context. </w:t>
      </w:r>
      <w:r w:rsidR="006163E8">
        <w:t>Any</w:t>
      </w:r>
      <w:r w:rsidR="004445DC">
        <w:t xml:space="preserve"> level of tobacco consumption is </w:t>
      </w:r>
      <w:r w:rsidR="006163E8">
        <w:t>harmful</w:t>
      </w:r>
      <w:r w:rsidR="004445DC">
        <w:t>, therefore</w:t>
      </w:r>
      <w:r w:rsidR="006163E8">
        <w:t xml:space="preserve"> increasing</w:t>
      </w:r>
      <w:r w:rsidR="004445DC">
        <w:t xml:space="preserve"> prices across the board to cut consumption</w:t>
      </w:r>
      <w:r w:rsidR="008809D6">
        <w:t xml:space="preserve"> </w:t>
      </w:r>
      <w:r w:rsidR="004445DC">
        <w:t xml:space="preserve">would be </w:t>
      </w:r>
      <w:r w:rsidR="00EA50DE">
        <w:t>appropriate</w:t>
      </w:r>
      <w:r w:rsidR="006163E8">
        <w:t>. H</w:t>
      </w:r>
      <w:r w:rsidR="004445DC">
        <w:t>owever there are varying levels of alcohol consumption that cause varying levels of harm, thus addressing</w:t>
      </w:r>
      <w:r w:rsidR="006163E8">
        <w:t xml:space="preserve"> the most serious levels</w:t>
      </w:r>
      <w:r w:rsidR="004445DC">
        <w:t xml:space="preserve"> requires a </w:t>
      </w:r>
      <w:r w:rsidR="006163E8">
        <w:t>tailored</w:t>
      </w:r>
      <w:r w:rsidR="004445DC">
        <w:t xml:space="preserve"> intervention.</w:t>
      </w:r>
      <w:r w:rsidR="00531A38">
        <w:t xml:space="preserve"> The Commission states</w:t>
      </w:r>
      <w:r w:rsidR="005030D4">
        <w:t xml:space="preserve"> that increasing tax</w:t>
      </w:r>
      <w:r w:rsidR="008809D6">
        <w:t xml:space="preserve"> ‘would impact all products equally’</w:t>
      </w:r>
      <w:r w:rsidR="004D3E3D">
        <w:t>,</w:t>
      </w:r>
      <w:r w:rsidR="004F09F7">
        <w:rPr>
          <w:rStyle w:val="FootnoteReference"/>
        </w:rPr>
        <w:footnoteReference w:id="30"/>
      </w:r>
      <w:r w:rsidR="008809D6">
        <w:t xml:space="preserve"> however this is not the point of the</w:t>
      </w:r>
      <w:r w:rsidR="004F09F7">
        <w:t xml:space="preserve"> intervention. T</w:t>
      </w:r>
      <w:r w:rsidR="00E2742B">
        <w:t xml:space="preserve">he Scottish government </w:t>
      </w:r>
      <w:r w:rsidR="00967338">
        <w:t>have chosen</w:t>
      </w:r>
      <w:r w:rsidR="00531A38">
        <w:t xml:space="preserve"> to target</w:t>
      </w:r>
      <w:r w:rsidR="004F09F7">
        <w:t xml:space="preserve"> alcohol drunk by the heaviest drinkers, protecting public </w:t>
      </w:r>
      <w:r w:rsidR="00E2742B">
        <w:t xml:space="preserve">health to that </w:t>
      </w:r>
      <w:r w:rsidR="00967338">
        <w:t>extent</w:t>
      </w:r>
      <w:r w:rsidR="00121718">
        <w:t xml:space="preserve"> </w:t>
      </w:r>
      <w:r w:rsidR="00967338">
        <w:t xml:space="preserve">while balancing </w:t>
      </w:r>
      <w:r w:rsidR="004F09F7">
        <w:t>the</w:t>
      </w:r>
      <w:r w:rsidR="00967338">
        <w:t xml:space="preserve"> interests of moderate drinkers, a choice that</w:t>
      </w:r>
      <w:r w:rsidR="004F09F7">
        <w:t xml:space="preserve"> is within the discretion of national government</w:t>
      </w:r>
      <w:r w:rsidR="00E2742B">
        <w:t>s to make</w:t>
      </w:r>
      <w:r w:rsidR="004F09F7">
        <w:t>.</w:t>
      </w:r>
      <w:r w:rsidR="00982460">
        <w:t xml:space="preserve"> </w:t>
      </w:r>
      <w:r w:rsidR="00E2742B">
        <w:t xml:space="preserve">Consequently, </w:t>
      </w:r>
      <w:r w:rsidR="00B75870">
        <w:t xml:space="preserve">if </w:t>
      </w:r>
      <w:r w:rsidR="00E2742B">
        <w:t xml:space="preserve">minimum pricing </w:t>
      </w:r>
      <w:r w:rsidR="00B75870">
        <w:t>is on</w:t>
      </w:r>
      <w:r w:rsidR="00E2742B">
        <w:t xml:space="preserve"> available evidence the </w:t>
      </w:r>
      <w:r w:rsidR="00B75870">
        <w:t>most</w:t>
      </w:r>
      <w:r w:rsidR="00E2742B">
        <w:t xml:space="preserve"> effective way of achieving the specific aim sought </w:t>
      </w:r>
      <w:r w:rsidR="00B75870">
        <w:t>by the Scottish Government,</w:t>
      </w:r>
      <w:r w:rsidR="00E2742B">
        <w:t xml:space="preserve"> it must be necessary to achieve the aim and </w:t>
      </w:r>
      <w:r w:rsidR="00DA7353">
        <w:t>proportionate</w:t>
      </w:r>
      <w:r w:rsidR="00392354">
        <w:t>.</w:t>
      </w:r>
      <w:r w:rsidR="00E2742B">
        <w:t xml:space="preserve"> </w:t>
      </w:r>
    </w:p>
    <w:p w14:paraId="2A75927C" w14:textId="77777777" w:rsidR="005A7E6B" w:rsidRDefault="005A7E6B" w:rsidP="00C37FD0"/>
    <w:p w14:paraId="7F928F02" w14:textId="4DD5B745" w:rsidR="001E665B" w:rsidRPr="001A338E" w:rsidRDefault="001E665B" w:rsidP="00C37FD0">
      <w:pPr>
        <w:rPr>
          <w:i/>
        </w:rPr>
      </w:pPr>
      <w:r>
        <w:t>The CJEU</w:t>
      </w:r>
      <w:r w:rsidR="00622B05">
        <w:t xml:space="preserve"> would be unlikely to overturn the Court of Session’s ruling, should the case be referred</w:t>
      </w:r>
      <w:r w:rsidR="003E427C">
        <w:t xml:space="preserve">. The Court </w:t>
      </w:r>
      <w:r w:rsidR="00101C00">
        <w:t xml:space="preserve">has a history of </w:t>
      </w:r>
      <w:r w:rsidR="00570314">
        <w:t xml:space="preserve">allowing Member States a margin of discretion </w:t>
      </w:r>
      <w:r>
        <w:t xml:space="preserve">over the extent to which </w:t>
      </w:r>
      <w:r w:rsidR="003E427C">
        <w:t>they wish to protect public hea</w:t>
      </w:r>
      <w:r w:rsidR="000008B6">
        <w:t>lth and the way this is achieved</w:t>
      </w:r>
      <w:r>
        <w:t xml:space="preserve">. </w:t>
      </w:r>
      <w:r w:rsidR="003E427C">
        <w:t>I</w:t>
      </w:r>
      <w:r w:rsidR="00570314">
        <w:t xml:space="preserve">n </w:t>
      </w:r>
      <w:r>
        <w:rPr>
          <w:i/>
        </w:rPr>
        <w:t>Aragonesa</w:t>
      </w:r>
      <w:r w:rsidR="003E427C">
        <w:t>, involving</w:t>
      </w:r>
      <w:r>
        <w:t xml:space="preserve"> a Catalan ban on the advertising of alcohol above </w:t>
      </w:r>
      <w:r w:rsidR="00570314">
        <w:t>a cer</w:t>
      </w:r>
      <w:r w:rsidR="003E427C">
        <w:t xml:space="preserve">tain strength in public areas, the Court held that where </w:t>
      </w:r>
      <w:r>
        <w:t>no harmonised rules</w:t>
      </w:r>
      <w:r w:rsidR="003E427C">
        <w:t xml:space="preserve"> existed</w:t>
      </w:r>
      <w:r>
        <w:t xml:space="preserve"> in a particular area ‘it is for the Member States to decide on the degree of protection which they wish to afford to public health and on the way on which that protection is to be achieved’,</w:t>
      </w:r>
      <w:r>
        <w:rPr>
          <w:rStyle w:val="FootnoteReference"/>
        </w:rPr>
        <w:footnoteReference w:id="31"/>
      </w:r>
      <w:r w:rsidR="003E427C">
        <w:t xml:space="preserve"> provided</w:t>
      </w:r>
      <w:r>
        <w:t xml:space="preserve"> this is within the bounds of the</w:t>
      </w:r>
      <w:r w:rsidR="00625860">
        <w:t xml:space="preserve"> principle of proportionality, a decision which was followed in </w:t>
      </w:r>
      <w:r w:rsidRPr="00DC1728">
        <w:rPr>
          <w:i/>
        </w:rPr>
        <w:t>Commission v France</w:t>
      </w:r>
      <w:r>
        <w:t>.</w:t>
      </w:r>
      <w:r>
        <w:rPr>
          <w:rStyle w:val="FootnoteReference"/>
        </w:rPr>
        <w:footnoteReference w:id="32"/>
      </w:r>
      <w:r w:rsidR="008F6653">
        <w:t xml:space="preserve"> </w:t>
      </w:r>
      <w:r w:rsidR="006B08F8">
        <w:t xml:space="preserve">Furthermore, </w:t>
      </w:r>
      <w:r>
        <w:rPr>
          <w:i/>
        </w:rPr>
        <w:t>Commission v Portugal</w:t>
      </w:r>
      <w:r w:rsidR="008615CC">
        <w:t xml:space="preserve"> </w:t>
      </w:r>
      <w:r w:rsidR="006B08F8">
        <w:t>held</w:t>
      </w:r>
      <w:r w:rsidR="005B22F6">
        <w:t xml:space="preserve"> that</w:t>
      </w:r>
      <w:r w:rsidR="00F15535">
        <w:t xml:space="preserve"> the effective protection of health</w:t>
      </w:r>
      <w:r w:rsidR="005B22F6">
        <w:t xml:space="preserve"> </w:t>
      </w:r>
      <w:r>
        <w:t xml:space="preserve">‘requires a wide range of preventative measures </w:t>
      </w:r>
      <w:r w:rsidR="006B08F8">
        <w:t>…</w:t>
      </w:r>
      <w:r>
        <w:t xml:space="preserve"> with the result that the Member States have in principle complete discretion to determine how strict the checks to be carried out are to be’.</w:t>
      </w:r>
      <w:r>
        <w:rPr>
          <w:rStyle w:val="FootnoteReference"/>
        </w:rPr>
        <w:footnoteReference w:id="33"/>
      </w:r>
      <w:r>
        <w:t xml:space="preserve"> Member States </w:t>
      </w:r>
      <w:r w:rsidR="005B22F6">
        <w:t>therefore have the right to d</w:t>
      </w:r>
      <w:r w:rsidR="002F7033">
        <w:t>ecide what to prioritise</w:t>
      </w:r>
      <w:r w:rsidR="004C02F5">
        <w:t xml:space="preserve"> and how to pursue </w:t>
      </w:r>
      <w:r w:rsidR="002F7033">
        <w:t>this</w:t>
      </w:r>
      <w:r w:rsidR="005B22F6">
        <w:t xml:space="preserve"> where there is no</w:t>
      </w:r>
      <w:r w:rsidR="00372640">
        <w:t xml:space="preserve"> secondary</w:t>
      </w:r>
      <w:r w:rsidR="005B22F6">
        <w:t xml:space="preserve"> EU law to guide them</w:t>
      </w:r>
      <w:r w:rsidR="00964E4E">
        <w:t>, providing</w:t>
      </w:r>
      <w:r w:rsidR="005B22F6">
        <w:t xml:space="preserve"> </w:t>
      </w:r>
      <w:r w:rsidR="00964E4E">
        <w:t>trade restrictive measures are</w:t>
      </w:r>
      <w:r w:rsidR="006B08F8">
        <w:t xml:space="preserve"> proportionate</w:t>
      </w:r>
      <w:r w:rsidR="005B22F6">
        <w:t>.</w:t>
      </w:r>
      <w:r>
        <w:t xml:space="preserve"> </w:t>
      </w:r>
      <w:r w:rsidR="005B22F6">
        <w:t xml:space="preserve">The Scottish Government’s </w:t>
      </w:r>
      <w:r w:rsidR="008F6653">
        <w:t xml:space="preserve">choice to adopt minimum pricing measures in pursuit of </w:t>
      </w:r>
      <w:r w:rsidR="008615CC">
        <w:t>addressing the health problems posed by the heaviest drinkers</w:t>
      </w:r>
      <w:r w:rsidR="005B22F6">
        <w:t xml:space="preserve"> falls within this remit</w:t>
      </w:r>
      <w:r w:rsidR="005B6930">
        <w:t>.</w:t>
      </w:r>
      <w:r w:rsidR="00024166">
        <w:t>, and the Court of Session was correct in recognising this.</w:t>
      </w:r>
      <w:r w:rsidR="00742793">
        <w:t xml:space="preserve"> </w:t>
      </w:r>
    </w:p>
    <w:p w14:paraId="34852AF3" w14:textId="77777777" w:rsidR="001E665B" w:rsidRDefault="001E665B" w:rsidP="00C37FD0"/>
    <w:p w14:paraId="73CD836B" w14:textId="77777777" w:rsidR="001E665B" w:rsidRDefault="001E665B" w:rsidP="00C37FD0"/>
    <w:p w14:paraId="2EA19485" w14:textId="346B5EF3" w:rsidR="00DF4BA7" w:rsidRDefault="0026766A" w:rsidP="00C37FD0">
      <w:r>
        <w:t>The</w:t>
      </w:r>
      <w:r w:rsidR="00CF05D0">
        <w:t xml:space="preserve"> CJEU has</w:t>
      </w:r>
      <w:r w:rsidR="001A338E">
        <w:t xml:space="preserve"> also</w:t>
      </w:r>
      <w:r w:rsidR="00CF05D0">
        <w:t xml:space="preserve"> </w:t>
      </w:r>
      <w:r w:rsidR="001B20F9">
        <w:t>consistently held</w:t>
      </w:r>
      <w:r w:rsidR="003F6B9C">
        <w:t xml:space="preserve"> that </w:t>
      </w:r>
      <w:r w:rsidR="00A37681">
        <w:t>the evaluation of</w:t>
      </w:r>
      <w:r w:rsidR="005B22F6">
        <w:t xml:space="preserve"> </w:t>
      </w:r>
      <w:r w:rsidR="001B20F9">
        <w:t>the factual situation for the purpose o</w:t>
      </w:r>
      <w:r w:rsidR="00111F1C">
        <w:t xml:space="preserve">f assessing </w:t>
      </w:r>
      <w:r w:rsidR="00161E89">
        <w:t>proportionality</w:t>
      </w:r>
      <w:r w:rsidR="00A37681">
        <w:t xml:space="preserve"> </w:t>
      </w:r>
      <w:r w:rsidR="003F6B9C">
        <w:t>is</w:t>
      </w:r>
      <w:r w:rsidR="00A37681">
        <w:t xml:space="preserve"> for the national court to make</w:t>
      </w:r>
      <w:r w:rsidR="003F6B9C">
        <w:t xml:space="preserve">. </w:t>
      </w:r>
      <w:r w:rsidR="00565B12">
        <w:t>I</w:t>
      </w:r>
      <w:r w:rsidR="003F6B9C">
        <w:t xml:space="preserve">n </w:t>
      </w:r>
      <w:r w:rsidR="003F6B9C">
        <w:rPr>
          <w:i/>
        </w:rPr>
        <w:t>Gourmet</w:t>
      </w:r>
      <w:r w:rsidR="003F6B9C">
        <w:t xml:space="preserve"> </w:t>
      </w:r>
      <w:r w:rsidR="00565B12">
        <w:t xml:space="preserve">the Court infamously held </w:t>
      </w:r>
      <w:r w:rsidR="003F6B9C">
        <w:t>that the decision on proportionality, ‘calls for an analysis of the circumstances of law and fact which</w:t>
      </w:r>
      <w:r w:rsidR="00920580">
        <w:t xml:space="preserve"> characterise the situation in the Member States concerned, which the national court is in a better position than the Court of Justice to carry out’.</w:t>
      </w:r>
      <w:r w:rsidR="00920580">
        <w:rPr>
          <w:rStyle w:val="FootnoteReference"/>
        </w:rPr>
        <w:footnoteReference w:id="34"/>
      </w:r>
      <w:r w:rsidR="00920580">
        <w:t xml:space="preserve"> </w:t>
      </w:r>
      <w:r w:rsidR="0059631C">
        <w:t>Other cases echo this approach</w:t>
      </w:r>
      <w:r w:rsidR="00670DA8">
        <w:t xml:space="preserve">. </w:t>
      </w:r>
      <w:r w:rsidR="00DE4EC8">
        <w:t xml:space="preserve">In </w:t>
      </w:r>
      <w:r w:rsidR="00DE4EC8">
        <w:rPr>
          <w:i/>
        </w:rPr>
        <w:t>Greenham</w:t>
      </w:r>
      <w:r w:rsidR="00DE4EC8">
        <w:t xml:space="preserve"> </w:t>
      </w:r>
      <w:r>
        <w:t>the Court declared that the national court ‘</w:t>
      </w:r>
      <w:r w:rsidR="00DE4EC8">
        <w:t>alone has jurisdiction to determine and evaluate the facts in the proceeding</w:t>
      </w:r>
      <w:r>
        <w:t>s before it</w:t>
      </w:r>
      <w:r w:rsidR="00DE4EC8">
        <w:t>’.</w:t>
      </w:r>
      <w:r w:rsidR="00DE4EC8">
        <w:rPr>
          <w:rStyle w:val="FootnoteReference"/>
        </w:rPr>
        <w:footnoteReference w:id="35"/>
      </w:r>
      <w:r w:rsidR="001B20F9">
        <w:t xml:space="preserve"> I</w:t>
      </w:r>
      <w:r w:rsidR="00EA1A65">
        <w:t xml:space="preserve">n </w:t>
      </w:r>
      <w:r w:rsidR="000B20B1">
        <w:rPr>
          <w:i/>
        </w:rPr>
        <w:t>Mickelsson</w:t>
      </w:r>
      <w:r w:rsidR="00EA1A65" w:rsidRPr="00EA1A65">
        <w:rPr>
          <w:i/>
        </w:rPr>
        <w:t xml:space="preserve"> and Roos</w:t>
      </w:r>
      <w:r w:rsidR="00EA1A65">
        <w:t>, the</w:t>
      </w:r>
      <w:r w:rsidR="00DE4EC8">
        <w:t xml:space="preserve"> </w:t>
      </w:r>
      <w:r w:rsidR="00EA1A65">
        <w:t>Court found that it was for the national court to ascertain whether certain conditions necessary for the fulfilment of the proportionality test were made out</w:t>
      </w:r>
      <w:r w:rsidR="004C02F5">
        <w:t>.</w:t>
      </w:r>
      <w:r w:rsidR="00EA1A65">
        <w:rPr>
          <w:rStyle w:val="FootnoteReference"/>
        </w:rPr>
        <w:footnoteReference w:id="36"/>
      </w:r>
      <w:r w:rsidR="000B20B1">
        <w:t xml:space="preserve"> </w:t>
      </w:r>
      <w:r w:rsidR="00721B0D">
        <w:t xml:space="preserve">Evidently, </w:t>
      </w:r>
      <w:r w:rsidR="008B1E05">
        <w:t>if the Court of Session has evaluate</w:t>
      </w:r>
      <w:r w:rsidR="00AD73B8">
        <w:t>d the</w:t>
      </w:r>
      <w:r w:rsidR="008B1E05">
        <w:t xml:space="preserve"> evidence on minimum unit pricing and is satisfied th</w:t>
      </w:r>
      <w:r w:rsidR="006C2A85">
        <w:t>at it</w:t>
      </w:r>
      <w:r w:rsidR="009A1FA0">
        <w:t xml:space="preserve"> is</w:t>
      </w:r>
      <w:r w:rsidR="008B1E05">
        <w:t xml:space="preserve"> the most effective measure to achieve the aim</w:t>
      </w:r>
      <w:r w:rsidR="009A1FA0">
        <w:t>s</w:t>
      </w:r>
      <w:r w:rsidR="008B1E05">
        <w:t xml:space="preserve"> sought, then</w:t>
      </w:r>
      <w:r w:rsidR="00F15535">
        <w:t xml:space="preserve"> due to the consistency of the case law it </w:t>
      </w:r>
      <w:r>
        <w:t>is</w:t>
      </w:r>
      <w:r w:rsidR="00F15535">
        <w:t xml:space="preserve"> extremely likely that</w:t>
      </w:r>
      <w:r w:rsidR="008B1E05">
        <w:t xml:space="preserve"> </w:t>
      </w:r>
      <w:r w:rsidR="00AC4D6A">
        <w:t xml:space="preserve">the </w:t>
      </w:r>
      <w:r w:rsidR="008B1E05">
        <w:t xml:space="preserve">CJEU will </w:t>
      </w:r>
      <w:r w:rsidR="00F15535">
        <w:t>defer to that judgmen</w:t>
      </w:r>
      <w:r>
        <w:t>t</w:t>
      </w:r>
      <w:r w:rsidR="00F15535">
        <w:t xml:space="preserve"> should the case be referred</w:t>
      </w:r>
      <w:r w:rsidR="000B20B1">
        <w:t>. Consequently the Court of Session’s</w:t>
      </w:r>
      <w:r w:rsidR="006C2A85">
        <w:t xml:space="preserve"> decision not to refer the case </w:t>
      </w:r>
      <w:r w:rsidR="009A1FA0">
        <w:t xml:space="preserve">should be considered </w:t>
      </w:r>
      <w:r w:rsidR="000B20B1">
        <w:t xml:space="preserve">sound. </w:t>
      </w:r>
    </w:p>
    <w:p w14:paraId="61604E87" w14:textId="77777777" w:rsidR="007A73DB" w:rsidRDefault="007A73DB" w:rsidP="00C37FD0"/>
    <w:p w14:paraId="63920EBA" w14:textId="0109D954" w:rsidR="00ED36E2" w:rsidRDefault="00F229A6" w:rsidP="0026766A">
      <w:r>
        <w:t>The next section will consider the</w:t>
      </w:r>
      <w:r w:rsidR="007A73DB">
        <w:t xml:space="preserve"> wide</w:t>
      </w:r>
      <w:r w:rsidR="00AC4D6A">
        <w:t>r implications of this outcome</w:t>
      </w:r>
      <w:r w:rsidR="002A69D4">
        <w:t>,</w:t>
      </w:r>
      <w:r>
        <w:t xml:space="preserve"> particular</w:t>
      </w:r>
      <w:r w:rsidR="002A69D4">
        <w:t>ly</w:t>
      </w:r>
      <w:r w:rsidR="007E5C63">
        <w:t xml:space="preserve"> what success for</w:t>
      </w:r>
      <w:r w:rsidR="007A73DB">
        <w:t xml:space="preserve"> Scotland’s minimum pricing policy </w:t>
      </w:r>
      <w:r w:rsidR="008576A4">
        <w:t>could</w:t>
      </w:r>
      <w:r w:rsidR="007A73DB">
        <w:t xml:space="preserve"> mean for </w:t>
      </w:r>
      <w:r w:rsidR="001307FE">
        <w:t xml:space="preserve">the future of alcohol control policy, and why </w:t>
      </w:r>
      <w:r w:rsidR="007A73DB">
        <w:t>the a</w:t>
      </w:r>
      <w:r w:rsidR="001307FE">
        <w:t>lcohol industry</w:t>
      </w:r>
      <w:r w:rsidR="007A73DB">
        <w:t xml:space="preserve"> </w:t>
      </w:r>
      <w:r w:rsidR="00357C16">
        <w:t>endeavours</w:t>
      </w:r>
      <w:r w:rsidR="001307FE">
        <w:t xml:space="preserve"> to </w:t>
      </w:r>
      <w:r w:rsidR="007E5C63">
        <w:t>block</w:t>
      </w:r>
      <w:r w:rsidR="001307FE">
        <w:t xml:space="preserve"> minimum pricing legislation</w:t>
      </w:r>
      <w:r w:rsidR="007E5C63">
        <w:t>.</w:t>
      </w:r>
      <w:r w:rsidR="007A73DB">
        <w:t xml:space="preserve"> </w:t>
      </w:r>
    </w:p>
    <w:p w14:paraId="4E918C15" w14:textId="01A2695F" w:rsidR="005E45AD" w:rsidRDefault="00C37FD0" w:rsidP="00900FA8">
      <w:pPr>
        <w:pStyle w:val="Heading1"/>
      </w:pPr>
      <w:r>
        <w:t xml:space="preserve">Wider </w:t>
      </w:r>
      <w:r w:rsidR="001A28AD">
        <w:t>R</w:t>
      </w:r>
      <w:r w:rsidR="002E06EA">
        <w:t>egulatory</w:t>
      </w:r>
      <w:r w:rsidR="001A28AD">
        <w:t xml:space="preserve"> Issues Raised by Minimum Unit P</w:t>
      </w:r>
      <w:r>
        <w:t>ricing</w:t>
      </w:r>
    </w:p>
    <w:p w14:paraId="6F752D74" w14:textId="77777777" w:rsidR="00AD362E" w:rsidRDefault="00AD362E" w:rsidP="005E45AD"/>
    <w:p w14:paraId="3427E79B" w14:textId="08498152" w:rsidR="00AD362E" w:rsidRDefault="004D10CB" w:rsidP="005E45AD">
      <w:r>
        <w:t xml:space="preserve">An initial </w:t>
      </w:r>
      <w:r w:rsidR="007E7A43">
        <w:t>consequence of success for minimum pricing in Scotland is that further states may</w:t>
      </w:r>
      <w:r w:rsidR="00866B4B">
        <w:t xml:space="preserve"> decide to implement the policy</w:t>
      </w:r>
      <w:r w:rsidR="007E7A43">
        <w:t xml:space="preserve"> themselves.</w:t>
      </w:r>
      <w:r w:rsidR="002E06EA">
        <w:t xml:space="preserve"> </w:t>
      </w:r>
      <w:r w:rsidR="00C63B01">
        <w:t>The</w:t>
      </w:r>
      <w:r w:rsidR="000E3F2E">
        <w:t xml:space="preserve"> potential for this</w:t>
      </w:r>
      <w:r w:rsidR="00C63B01">
        <w:t xml:space="preserve"> </w:t>
      </w:r>
      <w:r w:rsidR="002E780A">
        <w:t>is</w:t>
      </w:r>
      <w:r w:rsidR="00C63B01">
        <w:t xml:space="preserve"> illustrated by the fact that following </w:t>
      </w:r>
      <w:r w:rsidR="0093149E">
        <w:t>Scotland’s</w:t>
      </w:r>
      <w:r w:rsidR="00C63B01">
        <w:t xml:space="preserve"> </w:t>
      </w:r>
      <w:r w:rsidR="001258FE">
        <w:t>notification</w:t>
      </w:r>
      <w:r w:rsidR="006036D3">
        <w:t xml:space="preserve"> of the policy</w:t>
      </w:r>
      <w:r w:rsidR="001258FE">
        <w:t xml:space="preserve"> to the Commission, s</w:t>
      </w:r>
      <w:r w:rsidR="00F6694F">
        <w:t>everal Member States lodged</w:t>
      </w:r>
      <w:r w:rsidR="001258FE">
        <w:t xml:space="preserve"> detailed opinions with the Commission, many of which were prompted by </w:t>
      </w:r>
      <w:r w:rsidR="00922D2E">
        <w:t>complaints of the</w:t>
      </w:r>
      <w:r w:rsidR="006036D3">
        <w:t xml:space="preserve"> </w:t>
      </w:r>
      <w:r w:rsidR="00983C2D">
        <w:t>national</w:t>
      </w:r>
      <w:r w:rsidR="00922D2E">
        <w:t xml:space="preserve"> </w:t>
      </w:r>
      <w:r w:rsidR="001258FE">
        <w:t>alcohol industr</w:t>
      </w:r>
      <w:r w:rsidR="00DF2133">
        <w:t>ies, which have attempted to frame the problem during this debate so as to distract attention from the true effectiveness of the policy.</w:t>
      </w:r>
      <w:r w:rsidR="00DF2133">
        <w:rPr>
          <w:rStyle w:val="FootnoteReference"/>
        </w:rPr>
        <w:footnoteReference w:id="37"/>
      </w:r>
      <w:r w:rsidR="00DF2133">
        <w:t xml:space="preserve"> </w:t>
      </w:r>
      <w:r w:rsidR="00B062D9">
        <w:t>F</w:t>
      </w:r>
      <w:r w:rsidR="00B34132">
        <w:t>ive</w:t>
      </w:r>
      <w:r w:rsidR="00CD7756">
        <w:t xml:space="preserve"> detailed</w:t>
      </w:r>
      <w:r w:rsidR="00B34132">
        <w:t xml:space="preserve"> opinion</w:t>
      </w:r>
      <w:r w:rsidR="00493088">
        <w:t>s were submitted, with</w:t>
      </w:r>
      <w:r w:rsidR="00B34132">
        <w:t xml:space="preserve"> five </w:t>
      </w:r>
      <w:r w:rsidR="00493088">
        <w:t xml:space="preserve">further </w:t>
      </w:r>
      <w:r w:rsidR="00B34132">
        <w:t xml:space="preserve">states offering comments, levels of </w:t>
      </w:r>
      <w:r w:rsidR="00E773FF">
        <w:t>interest that</w:t>
      </w:r>
      <w:r w:rsidR="00B34132">
        <w:t xml:space="preserve"> would only arise if </w:t>
      </w:r>
      <w:r w:rsidR="009B640B">
        <w:t>there were serious concern</w:t>
      </w:r>
      <w:r w:rsidR="00B34132">
        <w:t xml:space="preserve"> that the spread of minimum pricing is a genuine </w:t>
      </w:r>
      <w:r w:rsidR="00C15B6D">
        <w:t>possibility</w:t>
      </w:r>
      <w:r w:rsidR="00976700">
        <w:t>. Thus for</w:t>
      </w:r>
      <w:r w:rsidR="00922D2E">
        <w:t xml:space="preserve"> example, it was reported that Bulgarian wine producers encouraged their Government to raise objections to the policy,</w:t>
      </w:r>
      <w:r w:rsidR="00932465">
        <w:rPr>
          <w:rStyle w:val="FootnoteReference"/>
        </w:rPr>
        <w:footnoteReference w:id="38"/>
      </w:r>
      <w:r w:rsidR="00922D2E">
        <w:t xml:space="preserve"> hence the Bulgarian opinion </w:t>
      </w:r>
      <w:r w:rsidR="00E82670">
        <w:t>obligingly</w:t>
      </w:r>
      <w:r w:rsidR="00922D2E">
        <w:t xml:space="preserve"> contended that the measures ‘</w:t>
      </w:r>
      <w:r w:rsidR="00922D2E" w:rsidRPr="00922D2E">
        <w:t>will create many obstacles to trade for Bulgarian wine and spirit producers</w:t>
      </w:r>
      <w:r w:rsidR="00922D2E">
        <w:t>’</w:t>
      </w:r>
      <w:r w:rsidR="00922D2E">
        <w:rPr>
          <w:rStyle w:val="FootnoteReference"/>
        </w:rPr>
        <w:footnoteReference w:id="39"/>
      </w:r>
      <w:r w:rsidR="00922D2E">
        <w:t xml:space="preserve"> and that ‘[t]</w:t>
      </w:r>
      <w:r w:rsidR="00922D2E" w:rsidRPr="00922D2E">
        <w:t>his would mean a contraction of sales of Bulgarian wines</w:t>
      </w:r>
      <w:r w:rsidR="00922D2E">
        <w:t>’.</w:t>
      </w:r>
      <w:r w:rsidR="00D47A5E">
        <w:rPr>
          <w:rStyle w:val="FootnoteReference"/>
        </w:rPr>
        <w:footnoteReference w:id="40"/>
      </w:r>
      <w:r w:rsidR="00976700">
        <w:t xml:space="preserve"> T</w:t>
      </w:r>
      <w:r w:rsidR="002E780A">
        <w:t>he French opinion</w:t>
      </w:r>
      <w:r w:rsidR="00D47A5E">
        <w:t xml:space="preserve"> summarise</w:t>
      </w:r>
      <w:r w:rsidR="002E780A">
        <w:t>s</w:t>
      </w:r>
      <w:r w:rsidR="00D47A5E">
        <w:t xml:space="preserve"> the concerns of the industry </w:t>
      </w:r>
      <w:r w:rsidR="002E780A">
        <w:t xml:space="preserve">in other Member States </w:t>
      </w:r>
      <w:r w:rsidR="00D47A5E">
        <w:t xml:space="preserve">that </w:t>
      </w:r>
      <w:r w:rsidR="00D47A5E" w:rsidRPr="00583137">
        <w:t>‘if this regulation is adopted by Scotland, third countries who import wine and spirits originating in the European Union may feel authorised to take similar measures’.</w:t>
      </w:r>
      <w:r w:rsidR="00D47A5E" w:rsidRPr="00583137">
        <w:rPr>
          <w:vertAlign w:val="superscript"/>
        </w:rPr>
        <w:footnoteReference w:id="41"/>
      </w:r>
      <w:r w:rsidR="00583137">
        <w:t xml:space="preserve"> The</w:t>
      </w:r>
      <w:r w:rsidR="00EA456B">
        <w:t xml:space="preserve"> industry is doing all they can to avoid minimum unit pricing catching on, however </w:t>
      </w:r>
      <w:r w:rsidR="00C44886">
        <w:t xml:space="preserve">judging </w:t>
      </w:r>
      <w:r w:rsidR="00EA456B">
        <w:t xml:space="preserve">from the </w:t>
      </w:r>
      <w:r w:rsidR="00C44886">
        <w:t xml:space="preserve">interest generated by the </w:t>
      </w:r>
      <w:r w:rsidR="002E780A">
        <w:t xml:space="preserve">present legal </w:t>
      </w:r>
      <w:r w:rsidR="00C44886">
        <w:t>chall</w:t>
      </w:r>
      <w:r w:rsidR="002E780A">
        <w:t>enge</w:t>
      </w:r>
      <w:r w:rsidR="00583137">
        <w:t>,</w:t>
      </w:r>
      <w:r w:rsidR="00EA456B">
        <w:t xml:space="preserve"> turning the Europea</w:t>
      </w:r>
      <w:r w:rsidR="002E780A">
        <w:t>n spotlight on it might</w:t>
      </w:r>
      <w:r w:rsidR="00EA456B">
        <w:t xml:space="preserve"> be a double edged sword if the policy works as expected.</w:t>
      </w:r>
      <w:r w:rsidR="00C44886">
        <w:t xml:space="preserve"> It is therefore important to reiterate that the policy be monitored to determine whether such expectations are being met. </w:t>
      </w:r>
      <w:r w:rsidR="00D049F6">
        <w:t xml:space="preserve"> </w:t>
      </w:r>
    </w:p>
    <w:p w14:paraId="3979D59D" w14:textId="77777777" w:rsidR="00091779" w:rsidRDefault="00091779" w:rsidP="005E45AD"/>
    <w:p w14:paraId="13978B06" w14:textId="3E072274" w:rsidR="00900FA8" w:rsidRDefault="002F0F1C" w:rsidP="00C37FD0">
      <w:r>
        <w:t>The graver concern for industry though is that the success of a hard legislative measure could demonstrate that alcohol production and sale requires stricter legislative</w:t>
      </w:r>
      <w:r w:rsidR="004D10CB">
        <w:t xml:space="preserve"> measures</w:t>
      </w:r>
      <w:r>
        <w:t>, even a</w:t>
      </w:r>
      <w:r w:rsidR="004D10CB">
        <w:t>t the expense of</w:t>
      </w:r>
      <w:r w:rsidR="00AD362E">
        <w:t xml:space="preserve"> currently favoured self-regulation. </w:t>
      </w:r>
      <w:r w:rsidR="003100A4">
        <w:t xml:space="preserve">The industry does not want </w:t>
      </w:r>
      <w:r w:rsidR="005C0F61">
        <w:t>‘[their] own country to be regulating the alcohol industry and giving the impression that the industry can’t be trusted to reg</w:t>
      </w:r>
      <w:r w:rsidR="003100A4">
        <w:t>ulate itself</w:t>
      </w:r>
      <w:r w:rsidR="006522D0">
        <w:t>’.</w:t>
      </w:r>
      <w:r w:rsidR="006522D0">
        <w:rPr>
          <w:rStyle w:val="FootnoteReference"/>
        </w:rPr>
        <w:footnoteReference w:id="42"/>
      </w:r>
      <w:r w:rsidR="003100A4">
        <w:t xml:space="preserve"> The industry have</w:t>
      </w:r>
      <w:r w:rsidR="00FA13B8">
        <w:t xml:space="preserve"> lobbied extremely hard to convince governments and regulators around the world that self-regulation works and that it work</w:t>
      </w:r>
      <w:r w:rsidR="00713556">
        <w:t>s</w:t>
      </w:r>
      <w:r w:rsidR="00FA13B8">
        <w:t xml:space="preserve"> more effectively than legislation</w:t>
      </w:r>
      <w:r w:rsidR="00A911F8">
        <w:t>, and have worked hard to portray themselves as partners in the fight against alcohol abuse.</w:t>
      </w:r>
      <w:r w:rsidR="00713556">
        <w:rPr>
          <w:rStyle w:val="FootnoteReference"/>
        </w:rPr>
        <w:footnoteReference w:id="43"/>
      </w:r>
      <w:r w:rsidR="007D6912">
        <w:t xml:space="preserve"> It </w:t>
      </w:r>
      <w:r w:rsidR="002E780A">
        <w:t>is</w:t>
      </w:r>
      <w:r w:rsidR="007D6912">
        <w:t xml:space="preserve"> unsurprising</w:t>
      </w:r>
      <w:r w:rsidR="00FA13B8">
        <w:t xml:space="preserve"> that research has found ‘a general reticence expressed by industry respondents towards any form of government regulation and a fear that support for minimum pricing may</w:t>
      </w:r>
      <w:r w:rsidR="00DC72F8">
        <w:t xml:space="preserve"> open the door to other, less desirable forms of regulation in the longer term’.</w:t>
      </w:r>
      <w:r w:rsidR="00DC72F8">
        <w:rPr>
          <w:rStyle w:val="FootnoteReference"/>
        </w:rPr>
        <w:footnoteReference w:id="44"/>
      </w:r>
      <w:r w:rsidR="00DC72F8">
        <w:t xml:space="preserve"> </w:t>
      </w:r>
      <w:r>
        <w:t>The industry is, ‘terrified of contagion, as Scotland shows Europe what is possible’</w:t>
      </w:r>
      <w:r>
        <w:rPr>
          <w:rStyle w:val="FootnoteReference"/>
        </w:rPr>
        <w:footnoteReference w:id="45"/>
      </w:r>
      <w:r>
        <w:t xml:space="preserve"> in terms of designing, passing and maintaining a coherent and effective legislative policy that will reduce the consumption of alcohol. </w:t>
      </w:r>
      <w:r w:rsidR="003D005F">
        <w:t>If minimum pricing</w:t>
      </w:r>
      <w:r w:rsidR="008517BD">
        <w:t xml:space="preserve"> is </w:t>
      </w:r>
      <w:r w:rsidR="00C8665C">
        <w:t>embraced</w:t>
      </w:r>
      <w:r w:rsidR="008517BD">
        <w:t xml:space="preserve"> </w:t>
      </w:r>
      <w:r w:rsidR="00C8665C">
        <w:t>throughout Europe</w:t>
      </w:r>
      <w:r w:rsidR="008517BD">
        <w:t xml:space="preserve"> and </w:t>
      </w:r>
      <w:r w:rsidR="00387B62">
        <w:t>does</w:t>
      </w:r>
      <w:r w:rsidR="008517BD">
        <w:t xml:space="preserve"> reduce alcohol related mortality</w:t>
      </w:r>
      <w:r w:rsidR="003D005F">
        <w:t>, qu</w:t>
      </w:r>
      <w:r w:rsidR="008517BD">
        <w:t>estions will have to be asked as to</w:t>
      </w:r>
      <w:r w:rsidR="003D005F">
        <w:t xml:space="preserve"> whether</w:t>
      </w:r>
      <w:r w:rsidR="008517BD">
        <w:t xml:space="preserve"> faith in</w:t>
      </w:r>
      <w:r w:rsidR="003D005F">
        <w:t xml:space="preserve"> </w:t>
      </w:r>
      <w:r w:rsidR="00FE2809">
        <w:t>self-</w:t>
      </w:r>
      <w:r w:rsidR="008517BD">
        <w:t>regulation, which has been shown to be ineffective at controlling many aspects of alcohol production and marketing,</w:t>
      </w:r>
      <w:r w:rsidR="008517BD">
        <w:rPr>
          <w:rStyle w:val="FootnoteReference"/>
        </w:rPr>
        <w:footnoteReference w:id="46"/>
      </w:r>
      <w:r w:rsidR="008517BD">
        <w:t xml:space="preserve"> can be maintained in the face of demonstrably effective legislative policies.   </w:t>
      </w:r>
    </w:p>
    <w:p w14:paraId="0C61B5D8" w14:textId="77777777" w:rsidR="00C37FD0" w:rsidRDefault="00C37FD0" w:rsidP="00C37FD0">
      <w:pPr>
        <w:pStyle w:val="Heading1"/>
      </w:pPr>
      <w:r>
        <w:t>Conclusion</w:t>
      </w:r>
    </w:p>
    <w:p w14:paraId="35945238" w14:textId="77777777" w:rsidR="009E1701" w:rsidRDefault="009E1701" w:rsidP="009E1701"/>
    <w:p w14:paraId="568140FA" w14:textId="46631732" w:rsidR="008017B9" w:rsidRDefault="009E1701" w:rsidP="009E1701">
      <w:r>
        <w:t>The conclusion to the minimum pricing saga will certainly b</w:t>
      </w:r>
      <w:r w:rsidR="00111F1C">
        <w:t>e watched closely by stakeholders</w:t>
      </w:r>
      <w:r>
        <w:t>. If the</w:t>
      </w:r>
      <w:r w:rsidR="00022E03">
        <w:t xml:space="preserve"> fresh appea</w:t>
      </w:r>
      <w:r w:rsidR="00C42F04">
        <w:t>l of the SWA does eventually find its way to the CJEU</w:t>
      </w:r>
      <w:r>
        <w:t>, then a verdict cannot real</w:t>
      </w:r>
      <w:r w:rsidR="00C42F04">
        <w:t>istically be expected until the latter half of this decade</w:t>
      </w:r>
      <w:r w:rsidR="00F65F56">
        <w:t>.</w:t>
      </w:r>
    </w:p>
    <w:p w14:paraId="0B9B39FC" w14:textId="77777777" w:rsidR="008017B9" w:rsidRDefault="008017B9" w:rsidP="009E1701"/>
    <w:p w14:paraId="1622F262" w14:textId="0B20C0D9" w:rsidR="009E1701" w:rsidRDefault="008017B9" w:rsidP="009E1701">
      <w:r>
        <w:t>Th</w:t>
      </w:r>
      <w:r w:rsidR="00F65F56">
        <w:t>is report has attempted</w:t>
      </w:r>
      <w:r>
        <w:t xml:space="preserve"> to contribute to </w:t>
      </w:r>
      <w:r w:rsidR="007A1490">
        <w:t>the</w:t>
      </w:r>
      <w:r>
        <w:t xml:space="preserve"> speculation</w:t>
      </w:r>
      <w:r w:rsidR="007A1490">
        <w:t xml:space="preserve"> that will doubtless</w:t>
      </w:r>
      <w:r w:rsidR="00F65F56">
        <w:t xml:space="preserve"> accumulate in that time</w:t>
      </w:r>
      <w:r>
        <w:t xml:space="preserve"> by suggesting that </w:t>
      </w:r>
      <w:r w:rsidR="007A1490">
        <w:t>Scotland’s minimum pricing policy</w:t>
      </w:r>
      <w:r>
        <w:t xml:space="preserve"> </w:t>
      </w:r>
      <w:r w:rsidR="00EC3548">
        <w:t>was</w:t>
      </w:r>
      <w:r w:rsidR="007A1490">
        <w:t xml:space="preserve"> rightfully upheld</w:t>
      </w:r>
      <w:r w:rsidR="00F65F56">
        <w:t xml:space="preserve"> by the Court of Session </w:t>
      </w:r>
      <w:r>
        <w:t xml:space="preserve">as a </w:t>
      </w:r>
      <w:r w:rsidR="00AD17D2">
        <w:t>proportionate</w:t>
      </w:r>
      <w:r w:rsidR="00EC3548">
        <w:t>,</w:t>
      </w:r>
      <w:r w:rsidR="00AD17D2">
        <w:t xml:space="preserve"> </w:t>
      </w:r>
      <w:r w:rsidR="00EC3548">
        <w:t>evidence-based response</w:t>
      </w:r>
      <w:r w:rsidR="00F65F56">
        <w:t>, and that any refer</w:t>
      </w:r>
      <w:r w:rsidR="00C42F04">
        <w:t>ence to the CJEU</w:t>
      </w:r>
      <w:bookmarkStart w:id="0" w:name="_GoBack"/>
      <w:bookmarkEnd w:id="0"/>
      <w:r w:rsidR="00F65F56">
        <w:t xml:space="preserve"> should confirm this</w:t>
      </w:r>
      <w:r w:rsidR="009D3AF1">
        <w:t xml:space="preserve">. </w:t>
      </w:r>
      <w:r w:rsidR="00C55F80">
        <w:t xml:space="preserve">It reflected </w:t>
      </w:r>
      <w:r w:rsidR="00EC3548">
        <w:t>on reasons for the</w:t>
      </w:r>
      <w:r w:rsidR="00C55F80">
        <w:t xml:space="preserve"> industry</w:t>
      </w:r>
      <w:r w:rsidR="00EC3548">
        <w:t xml:space="preserve"> to</w:t>
      </w:r>
      <w:r w:rsidR="00C55F80">
        <w:t xml:space="preserve"> dislike the policy, </w:t>
      </w:r>
      <w:r w:rsidR="00EC3548">
        <w:t>including the potential for minimum pricing to prompt more extensive legislative controls.</w:t>
      </w:r>
      <w:r w:rsidR="00EF564A">
        <w:t xml:space="preserve"> </w:t>
      </w:r>
    </w:p>
    <w:p w14:paraId="06261C30" w14:textId="77777777" w:rsidR="00EF564A" w:rsidRDefault="00EF564A" w:rsidP="009E1701"/>
    <w:p w14:paraId="42BF5150" w14:textId="4471951D" w:rsidR="00EF564A" w:rsidRPr="009E1701" w:rsidRDefault="00EF564A" w:rsidP="009E1701">
      <w:r>
        <w:t>Minimum unit pricing and other related legislative policies hold the potential to make a tangible difference to the fight ag</w:t>
      </w:r>
      <w:r w:rsidR="00476E83">
        <w:t xml:space="preserve">ainst alcohol related mortality. </w:t>
      </w:r>
      <w:r w:rsidR="00F43E70">
        <w:t>It is time that hard action on public health took centre stage, and there is every chance that a success for minimum unit pricing in Scotland could</w:t>
      </w:r>
      <w:r w:rsidR="00EC608A">
        <w:t xml:space="preserve"> provide the </w:t>
      </w:r>
      <w:r w:rsidR="00C832A8">
        <w:t>necessary</w:t>
      </w:r>
      <w:r w:rsidR="00EC608A">
        <w:t xml:space="preserve"> impetus.</w:t>
      </w:r>
      <w:r w:rsidR="00F43E70">
        <w:t xml:space="preserve"> </w:t>
      </w:r>
    </w:p>
    <w:sectPr w:rsidR="00EF564A" w:rsidRPr="009E1701" w:rsidSect="00842F9E">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DB4A6" w14:textId="77777777" w:rsidR="00022E03" w:rsidRDefault="00022E03" w:rsidP="00457581">
      <w:r>
        <w:separator/>
      </w:r>
    </w:p>
  </w:endnote>
  <w:endnote w:type="continuationSeparator" w:id="0">
    <w:p w14:paraId="2FFDC5D4" w14:textId="77777777" w:rsidR="00022E03" w:rsidRDefault="00022E03" w:rsidP="0045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5'C0œQ”">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85ADB" w14:textId="77777777" w:rsidR="00022E03" w:rsidRDefault="00022E03" w:rsidP="00D81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72EB44" w14:textId="77777777" w:rsidR="00022E03" w:rsidRDefault="00022E03" w:rsidP="00D818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F7BA5" w14:textId="77777777" w:rsidR="00022E03" w:rsidRDefault="00022E03" w:rsidP="00D81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2F04">
      <w:rPr>
        <w:rStyle w:val="PageNumber"/>
        <w:noProof/>
      </w:rPr>
      <w:t>1</w:t>
    </w:r>
    <w:r>
      <w:rPr>
        <w:rStyle w:val="PageNumber"/>
      </w:rPr>
      <w:fldChar w:fldCharType="end"/>
    </w:r>
  </w:p>
  <w:p w14:paraId="1B56F771" w14:textId="77777777" w:rsidR="00022E03" w:rsidRDefault="00022E03" w:rsidP="00D8185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9E8C0" w14:textId="77777777" w:rsidR="00022E03" w:rsidRDefault="00022E03" w:rsidP="00457581">
      <w:r>
        <w:separator/>
      </w:r>
    </w:p>
  </w:footnote>
  <w:footnote w:type="continuationSeparator" w:id="0">
    <w:p w14:paraId="2C603511" w14:textId="77777777" w:rsidR="00022E03" w:rsidRDefault="00022E03" w:rsidP="00457581">
      <w:r>
        <w:continuationSeparator/>
      </w:r>
    </w:p>
  </w:footnote>
  <w:footnote w:id="1">
    <w:p w14:paraId="23F51701" w14:textId="6146D39F" w:rsidR="00022E03" w:rsidRPr="0040407A" w:rsidRDefault="00022E03">
      <w:pPr>
        <w:pStyle w:val="FootnoteText"/>
      </w:pPr>
      <w:r>
        <w:rPr>
          <w:vertAlign w:val="superscript"/>
        </w:rPr>
        <w:t xml:space="preserve">* </w:t>
      </w:r>
      <w:r>
        <w:t xml:space="preserve">Durham Law School. The author is grateful for the comments of the anonymous reviewer on the initial draft of this report, and for the assistance of Mr. James Nelson and Mr. Guy Barrett with editing the final draft. </w:t>
      </w:r>
    </w:p>
    <w:p w14:paraId="203A297F" w14:textId="64E75BFA" w:rsidR="00022E03" w:rsidRPr="008D5A6D" w:rsidRDefault="00022E03">
      <w:pPr>
        <w:pStyle w:val="FootnoteText"/>
        <w:rPr>
          <w:lang w:val="en-US"/>
        </w:rPr>
      </w:pPr>
      <w:r>
        <w:rPr>
          <w:rStyle w:val="FootnoteReference"/>
        </w:rPr>
        <w:footnoteRef/>
      </w:r>
      <w:r>
        <w:t xml:space="preserve"> Available online at &lt;</w:t>
      </w:r>
      <w:hyperlink r:id="rId1" w:history="1">
        <w:r w:rsidRPr="000B4660">
          <w:rPr>
            <w:rStyle w:val="Hyperlink"/>
            <w:color w:val="auto"/>
            <w:u w:val="none"/>
          </w:rPr>
          <w:t>http://www.legislation.gov.uk/asp/2012/4/pdfs/asp_20120004_en.pdf</w:t>
        </w:r>
      </w:hyperlink>
      <w:r>
        <w:t>&gt; (last accessed on 9 January 2014).</w:t>
      </w:r>
    </w:p>
  </w:footnote>
  <w:footnote w:id="2">
    <w:p w14:paraId="550242CC" w14:textId="58DE581E" w:rsidR="00022E03" w:rsidRPr="005153C7" w:rsidRDefault="00022E03">
      <w:pPr>
        <w:pStyle w:val="FootnoteText"/>
        <w:rPr>
          <w:lang w:val="en-US"/>
        </w:rPr>
      </w:pPr>
      <w:r>
        <w:rPr>
          <w:rStyle w:val="FootnoteReference"/>
        </w:rPr>
        <w:footnoteRef/>
      </w:r>
      <w:r>
        <w:t xml:space="preserve"> </w:t>
      </w:r>
      <w:r>
        <w:rPr>
          <w:lang w:val="en-US"/>
        </w:rPr>
        <w:t xml:space="preserve">The text of the Draft Order is available online at: </w:t>
      </w:r>
      <w:r w:rsidRPr="00D67674">
        <w:rPr>
          <w:lang w:val="en-US"/>
        </w:rPr>
        <w:t>&lt;</w:t>
      </w:r>
      <w:hyperlink r:id="rId2" w:history="1">
        <w:r w:rsidRPr="00D67674">
          <w:rPr>
            <w:rStyle w:val="Hyperlink"/>
            <w:color w:val="auto"/>
            <w:u w:val="none"/>
            <w:lang w:val="en-US"/>
          </w:rPr>
          <w:t>http://ec.europa.eu/enterprise/tris/pisa/app/search/index.cfm?fuseaction=pisa_notif_overview&amp;sNlang=EN&amp;iyear=2012&amp;inum=394&amp;lang=EN&amp;iBack=2</w:t>
        </w:r>
      </w:hyperlink>
      <w:r w:rsidRPr="00D67674">
        <w:rPr>
          <w:rStyle w:val="Hyperlink"/>
          <w:color w:val="auto"/>
          <w:u w:val="none"/>
          <w:lang w:val="en-US"/>
        </w:rPr>
        <w:t>&gt;</w:t>
      </w:r>
      <w:r>
        <w:rPr>
          <w:lang w:val="en-US"/>
        </w:rPr>
        <w:t xml:space="preserve"> (last accessed on 9 January 2014).</w:t>
      </w:r>
    </w:p>
  </w:footnote>
  <w:footnote w:id="3">
    <w:p w14:paraId="1231123F" w14:textId="752CF5CB" w:rsidR="00022E03" w:rsidRPr="0061292E" w:rsidRDefault="00022E03" w:rsidP="00FD54EE">
      <w:pPr>
        <w:pStyle w:val="FootnoteText"/>
        <w:rPr>
          <w:lang w:val="en-US"/>
        </w:rPr>
      </w:pPr>
      <w:r>
        <w:rPr>
          <w:rStyle w:val="FootnoteReference"/>
        </w:rPr>
        <w:footnoteRef/>
      </w:r>
      <w:r>
        <w:t xml:space="preserve"> See Jürgen Rehm et al, “The relationship of average volume of alcohol consumption and patterns of drinking to burden of disease – an overview” 98 </w:t>
      </w:r>
      <w:r>
        <w:rPr>
          <w:i/>
        </w:rPr>
        <w:t>Addiction</w:t>
      </w:r>
      <w:r>
        <w:t xml:space="preserve"> (2003), pp. 1177 </w:t>
      </w:r>
      <w:r>
        <w:rPr>
          <w:i/>
        </w:rPr>
        <w:t>et seqq.</w:t>
      </w:r>
      <w:r>
        <w:t xml:space="preserve">, at p. 1209; Martin McKee and Annie Britton, “The positive relationship between  alcohol  and heart disease in eastern Europe: potential physiological mechanisms” 91(8) J R Soc Med (1998), pp. 401 </w:t>
      </w:r>
      <w:r>
        <w:rPr>
          <w:i/>
        </w:rPr>
        <w:t>et seqq.</w:t>
      </w:r>
      <w:r>
        <w:t xml:space="preserve">, at p. 402. </w:t>
      </w:r>
    </w:p>
  </w:footnote>
  <w:footnote w:id="4">
    <w:p w14:paraId="2E35882D" w14:textId="438234B6" w:rsidR="00022E03" w:rsidRPr="007C10C3" w:rsidRDefault="00022E03">
      <w:pPr>
        <w:pStyle w:val="FootnoteText"/>
        <w:rPr>
          <w:lang w:val="en-US"/>
        </w:rPr>
      </w:pPr>
      <w:r>
        <w:rPr>
          <w:rStyle w:val="FootnoteReference"/>
        </w:rPr>
        <w:footnoteRef/>
      </w:r>
      <w:r>
        <w:t xml:space="preserve"> Petra Meier et al, </w:t>
      </w:r>
      <w:r w:rsidRPr="00614362">
        <w:rPr>
          <w:i/>
        </w:rPr>
        <w:t>Model-based appraisal of alcohol minimum pricing and off-licenced trade discount bans in Scotland using the Sheffield alcohol policy model  (v2): - second update based on newly available data</w:t>
      </w:r>
      <w:r>
        <w:t xml:space="preserve"> (University of Sheffield, 2012) available on the internet at &lt;</w:t>
      </w:r>
      <w:hyperlink r:id="rId3" w:history="1">
        <w:r w:rsidRPr="00C52FA7">
          <w:rPr>
            <w:rStyle w:val="Hyperlink"/>
            <w:color w:val="auto"/>
            <w:u w:val="none"/>
          </w:rPr>
          <w:t>http://www.shef.ac.uk/polopoly_fs/1.156503!/file/scotlandjan.pdf</w:t>
        </w:r>
      </w:hyperlink>
      <w:r>
        <w:t>&gt;, at p. 5.</w:t>
      </w:r>
    </w:p>
  </w:footnote>
  <w:footnote w:id="5">
    <w:p w14:paraId="50BD9E3B" w14:textId="35A62FBD" w:rsidR="00022E03" w:rsidRPr="00AC4C64" w:rsidRDefault="00022E03">
      <w:pPr>
        <w:pStyle w:val="FootnoteText"/>
        <w:rPr>
          <w:lang w:val="en-US"/>
        </w:rPr>
      </w:pPr>
      <w:r>
        <w:rPr>
          <w:rStyle w:val="FootnoteReference"/>
        </w:rPr>
        <w:footnoteRef/>
      </w:r>
      <w:r>
        <w:t xml:space="preserve"> </w:t>
      </w:r>
      <w:r w:rsidRPr="00161E89">
        <w:rPr>
          <w:i/>
        </w:rPr>
        <w:t>Ibid</w:t>
      </w:r>
      <w:r>
        <w:t xml:space="preserve">, at p. </w:t>
      </w:r>
      <w:r>
        <w:rPr>
          <w:lang w:val="en-US"/>
        </w:rPr>
        <w:t>1067.</w:t>
      </w:r>
    </w:p>
  </w:footnote>
  <w:footnote w:id="6">
    <w:p w14:paraId="7433336F" w14:textId="7326E182" w:rsidR="00022E03" w:rsidRPr="002D2FBD" w:rsidRDefault="00022E03">
      <w:pPr>
        <w:pStyle w:val="FootnoteText"/>
        <w:rPr>
          <w:lang w:val="en-US"/>
        </w:rPr>
      </w:pPr>
      <w:r>
        <w:rPr>
          <w:rStyle w:val="FootnoteReference"/>
        </w:rPr>
        <w:footnoteRef/>
      </w:r>
      <w:r>
        <w:t xml:space="preserve"> Heather Black et al, “The price of a drink: levels of consumption an price paid per unit of alcohol by Edinburgh’s ill drinkers with a comparison to wider alcohol sales in Scotland” 106 </w:t>
      </w:r>
      <w:r w:rsidRPr="00237013">
        <w:rPr>
          <w:i/>
        </w:rPr>
        <w:t>Addiction</w:t>
      </w:r>
      <w:r>
        <w:t xml:space="preserve"> (2010), pp. 729 </w:t>
      </w:r>
      <w:r>
        <w:rPr>
          <w:i/>
        </w:rPr>
        <w:t>et seqq.</w:t>
      </w:r>
      <w:r>
        <w:t xml:space="preserve">, at p. </w:t>
      </w:r>
      <w:r>
        <w:rPr>
          <w:lang w:val="en-US"/>
        </w:rPr>
        <w:t>733.</w:t>
      </w:r>
    </w:p>
  </w:footnote>
  <w:footnote w:id="7">
    <w:p w14:paraId="20A6BAAE" w14:textId="558F3D13" w:rsidR="00022E03" w:rsidRPr="002D2FBD" w:rsidRDefault="00022E03">
      <w:pPr>
        <w:pStyle w:val="FootnoteText"/>
        <w:rPr>
          <w:lang w:val="en-US"/>
        </w:rPr>
      </w:pPr>
      <w:r>
        <w:rPr>
          <w:rStyle w:val="FootnoteReference"/>
        </w:rPr>
        <w:footnoteRef/>
      </w:r>
      <w:r>
        <w:t xml:space="preserve"> </w:t>
      </w:r>
      <w:r w:rsidRPr="00034BC0">
        <w:rPr>
          <w:i/>
        </w:rPr>
        <w:t>ibid</w:t>
      </w:r>
      <w:r>
        <w:t xml:space="preserve">, at p. </w:t>
      </w:r>
      <w:r>
        <w:rPr>
          <w:lang w:val="en-US"/>
        </w:rPr>
        <w:t>734.</w:t>
      </w:r>
    </w:p>
  </w:footnote>
  <w:footnote w:id="8">
    <w:p w14:paraId="5D05D5E3" w14:textId="46A8D20E" w:rsidR="00022E03" w:rsidRPr="002D2FBD" w:rsidRDefault="00022E03">
      <w:pPr>
        <w:pStyle w:val="FootnoteText"/>
        <w:rPr>
          <w:lang w:val="en-US"/>
        </w:rPr>
      </w:pPr>
      <w:r>
        <w:rPr>
          <w:rStyle w:val="FootnoteReference"/>
        </w:rPr>
        <w:footnoteRef/>
      </w:r>
      <w:r>
        <w:t xml:space="preserve"> </w:t>
      </w:r>
      <w:r w:rsidRPr="00034BC0">
        <w:rPr>
          <w:i/>
        </w:rPr>
        <w:t>ibid</w:t>
      </w:r>
      <w:r>
        <w:rPr>
          <w:i/>
        </w:rPr>
        <w:t>.</w:t>
      </w:r>
    </w:p>
  </w:footnote>
  <w:footnote w:id="9">
    <w:p w14:paraId="105BDDAA" w14:textId="7AE88E52" w:rsidR="00022E03" w:rsidRPr="00AC4C64" w:rsidRDefault="00022E03" w:rsidP="002C4830">
      <w:pPr>
        <w:pStyle w:val="FootnoteText"/>
        <w:rPr>
          <w:lang w:val="en-US"/>
        </w:rPr>
      </w:pPr>
      <w:r>
        <w:rPr>
          <w:rStyle w:val="FootnoteReference"/>
        </w:rPr>
        <w:footnoteRef/>
      </w:r>
      <w:r>
        <w:t xml:space="preserve"> Jinhui Zhao et al, “The relationship between minimum alcohol prices outlet densities and alcohol-attributable deaths in British Columbia, 2002-09” 108 </w:t>
      </w:r>
      <w:r w:rsidRPr="00237013">
        <w:rPr>
          <w:i/>
        </w:rPr>
        <w:t>Addiction</w:t>
      </w:r>
      <w:r>
        <w:t xml:space="preserve"> (2013), pp. 1059 </w:t>
      </w:r>
      <w:r>
        <w:rPr>
          <w:i/>
        </w:rPr>
        <w:t>et seqq.</w:t>
      </w:r>
      <w:r>
        <w:t xml:space="preserve">, at p. </w:t>
      </w:r>
      <w:r>
        <w:rPr>
          <w:lang w:val="en-US"/>
        </w:rPr>
        <w:t>1066.</w:t>
      </w:r>
    </w:p>
  </w:footnote>
  <w:footnote w:id="10">
    <w:p w14:paraId="35E1F4F3" w14:textId="29714ECB" w:rsidR="00022E03" w:rsidRPr="00201B9B" w:rsidRDefault="00022E03">
      <w:pPr>
        <w:pStyle w:val="FootnoteText"/>
        <w:rPr>
          <w:lang w:val="en-US"/>
        </w:rPr>
      </w:pPr>
      <w:r>
        <w:rPr>
          <w:rStyle w:val="FootnoteReference"/>
        </w:rPr>
        <w:footnoteRef/>
      </w:r>
      <w:r>
        <w:t xml:space="preserve"> </w:t>
      </w:r>
      <w:r w:rsidRPr="00201B9B">
        <w:rPr>
          <w:i/>
          <w:lang w:val="en-US"/>
        </w:rPr>
        <w:t>ibid</w:t>
      </w:r>
      <w:r>
        <w:rPr>
          <w:i/>
          <w:lang w:val="en-US"/>
        </w:rPr>
        <w:t>.</w:t>
      </w:r>
    </w:p>
  </w:footnote>
  <w:footnote w:id="11">
    <w:p w14:paraId="5342C5F8" w14:textId="0E6A920A" w:rsidR="00022E03" w:rsidRPr="00414F0D" w:rsidRDefault="00022E03">
      <w:pPr>
        <w:pStyle w:val="FootnoteText"/>
        <w:rPr>
          <w:lang w:val="en-US"/>
        </w:rPr>
      </w:pPr>
      <w:r>
        <w:rPr>
          <w:rStyle w:val="FootnoteReference"/>
        </w:rPr>
        <w:footnoteRef/>
      </w:r>
      <w:r>
        <w:t xml:space="preserve"> </w:t>
      </w:r>
      <w:r w:rsidRPr="00A5538A">
        <w:rPr>
          <w:i/>
          <w:lang w:val="en-US"/>
        </w:rPr>
        <w:t>The Scotch Whisky Association</w:t>
      </w:r>
      <w:r>
        <w:rPr>
          <w:i/>
          <w:lang w:val="en-US"/>
        </w:rPr>
        <w:t xml:space="preserve"> </w:t>
      </w:r>
      <w:r w:rsidRPr="00A5538A">
        <w:rPr>
          <w:i/>
          <w:lang w:val="en-US"/>
        </w:rPr>
        <w:t>&amp; Ors</w:t>
      </w:r>
      <w:r>
        <w:rPr>
          <w:lang w:val="en-US"/>
        </w:rPr>
        <w:t xml:space="preserve"> [2013] CSOH 70.</w:t>
      </w:r>
    </w:p>
  </w:footnote>
  <w:footnote w:id="12">
    <w:p w14:paraId="1DFD4B52" w14:textId="4E2C23E9" w:rsidR="00022E03" w:rsidRPr="00695ED7" w:rsidRDefault="00022E03">
      <w:pPr>
        <w:pStyle w:val="FootnoteText"/>
        <w:rPr>
          <w:lang w:val="en-US"/>
        </w:rPr>
      </w:pPr>
      <w:r>
        <w:rPr>
          <w:rStyle w:val="FootnoteReference"/>
        </w:rPr>
        <w:footnoteRef/>
      </w:r>
      <w:r>
        <w:t xml:space="preserve"> </w:t>
      </w:r>
      <w:r w:rsidRPr="00034BC0">
        <w:rPr>
          <w:i/>
          <w:lang w:val="en-US"/>
        </w:rPr>
        <w:t>ibid</w:t>
      </w:r>
      <w:r>
        <w:rPr>
          <w:lang w:val="en-US"/>
        </w:rPr>
        <w:t>, at para 33.</w:t>
      </w:r>
    </w:p>
  </w:footnote>
  <w:footnote w:id="13">
    <w:p w14:paraId="35E98397" w14:textId="30E14BF8" w:rsidR="00022E03" w:rsidRPr="008060B6" w:rsidRDefault="00022E03">
      <w:pPr>
        <w:pStyle w:val="FootnoteText"/>
        <w:rPr>
          <w:lang w:val="en-US"/>
        </w:rPr>
      </w:pPr>
      <w:r>
        <w:rPr>
          <w:rStyle w:val="FootnoteReference"/>
        </w:rPr>
        <w:footnoteRef/>
      </w:r>
      <w:r>
        <w:t xml:space="preserve"> </w:t>
      </w:r>
      <w:r w:rsidRPr="00034BC0">
        <w:rPr>
          <w:i/>
          <w:lang w:val="en-US"/>
        </w:rPr>
        <w:t>ibid</w:t>
      </w:r>
      <w:r>
        <w:rPr>
          <w:lang w:val="en-US"/>
        </w:rPr>
        <w:t>, at para 34.</w:t>
      </w:r>
    </w:p>
  </w:footnote>
  <w:footnote w:id="14">
    <w:p w14:paraId="3EC09652" w14:textId="67E0A9DC" w:rsidR="00022E03" w:rsidRPr="0000283C" w:rsidRDefault="00022E03">
      <w:pPr>
        <w:pStyle w:val="FootnoteText"/>
        <w:rPr>
          <w:lang w:val="en-US"/>
        </w:rPr>
      </w:pPr>
      <w:r>
        <w:rPr>
          <w:rStyle w:val="FootnoteReference"/>
        </w:rPr>
        <w:footnoteRef/>
      </w:r>
      <w:r>
        <w:t xml:space="preserve"> </w:t>
      </w:r>
      <w:r w:rsidRPr="00034BC0">
        <w:rPr>
          <w:i/>
          <w:lang w:val="en-US"/>
        </w:rPr>
        <w:t>ibid</w:t>
      </w:r>
      <w:r>
        <w:rPr>
          <w:lang w:val="en-US"/>
        </w:rPr>
        <w:t>, at para 48.</w:t>
      </w:r>
    </w:p>
  </w:footnote>
  <w:footnote w:id="15">
    <w:p w14:paraId="5206827B" w14:textId="4C096A87" w:rsidR="00022E03" w:rsidRPr="00327CE6" w:rsidRDefault="00022E03">
      <w:pPr>
        <w:pStyle w:val="FootnoteText"/>
        <w:rPr>
          <w:lang w:val="en-US"/>
        </w:rPr>
      </w:pPr>
      <w:r>
        <w:rPr>
          <w:rStyle w:val="FootnoteReference"/>
        </w:rPr>
        <w:footnoteRef/>
      </w:r>
      <w:r>
        <w:t xml:space="preserve"> </w:t>
      </w:r>
      <w:r>
        <w:rPr>
          <w:lang w:val="en-US"/>
        </w:rPr>
        <w:t xml:space="preserve">See Jules Stuyck, “Case C-262/02, </w:t>
      </w:r>
      <w:r>
        <w:rPr>
          <w:i/>
          <w:lang w:val="en-US"/>
        </w:rPr>
        <w:t xml:space="preserve">Comission v France </w:t>
      </w:r>
      <w:r>
        <w:rPr>
          <w:lang w:val="en-US"/>
        </w:rPr>
        <w:t xml:space="preserve">and CaseC-429/02, </w:t>
      </w:r>
      <w:r>
        <w:rPr>
          <w:i/>
          <w:lang w:val="en-US"/>
        </w:rPr>
        <w:t xml:space="preserve">Bacardi France SAS and Television francaise 1 SA et al., </w:t>
      </w:r>
      <w:r>
        <w:rPr>
          <w:lang w:val="en-US"/>
        </w:rPr>
        <w:t xml:space="preserve">judgments of the Grand Chamber of the Court of Justice of 13 July 2004” 42 </w:t>
      </w:r>
      <w:r w:rsidRPr="00237013">
        <w:rPr>
          <w:i/>
          <w:lang w:val="en-US"/>
        </w:rPr>
        <w:t>CMLR</w:t>
      </w:r>
      <w:r>
        <w:rPr>
          <w:lang w:val="en-US"/>
        </w:rPr>
        <w:t xml:space="preserve"> (2005), pp. 783 </w:t>
      </w:r>
      <w:r>
        <w:rPr>
          <w:i/>
          <w:lang w:val="en-US"/>
        </w:rPr>
        <w:t>et seqq.</w:t>
      </w:r>
    </w:p>
  </w:footnote>
  <w:footnote w:id="16">
    <w:p w14:paraId="4AA9D865" w14:textId="44333878" w:rsidR="00022E03" w:rsidRPr="00122A3A" w:rsidRDefault="00022E03" w:rsidP="008615CC">
      <w:pPr>
        <w:pStyle w:val="FootnoteText"/>
        <w:rPr>
          <w:lang w:val="en-US"/>
        </w:rPr>
      </w:pPr>
      <w:r>
        <w:rPr>
          <w:rStyle w:val="FootnoteReference"/>
        </w:rPr>
        <w:footnoteRef/>
      </w:r>
      <w:r>
        <w:t xml:space="preserve"> </w:t>
      </w:r>
      <w:r w:rsidRPr="00034BC0">
        <w:rPr>
          <w:i/>
          <w:lang w:val="en-US"/>
        </w:rPr>
        <w:t>ibid</w:t>
      </w:r>
      <w:r>
        <w:rPr>
          <w:lang w:val="en-US"/>
        </w:rPr>
        <w:t>, at para 54.</w:t>
      </w:r>
    </w:p>
  </w:footnote>
  <w:footnote w:id="17">
    <w:p w14:paraId="6E598084" w14:textId="3441324B" w:rsidR="00022E03" w:rsidRPr="00C5140A" w:rsidRDefault="00022E03">
      <w:pPr>
        <w:pStyle w:val="FootnoteText"/>
        <w:rPr>
          <w:lang w:val="en-US"/>
        </w:rPr>
      </w:pPr>
      <w:r>
        <w:rPr>
          <w:rStyle w:val="FootnoteReference"/>
        </w:rPr>
        <w:footnoteRef/>
      </w:r>
      <w:r>
        <w:t xml:space="preserve"> </w:t>
      </w:r>
      <w:r w:rsidRPr="00034BC0">
        <w:rPr>
          <w:i/>
          <w:lang w:val="en-US"/>
        </w:rPr>
        <w:t>ibid</w:t>
      </w:r>
      <w:r>
        <w:rPr>
          <w:lang w:val="en-US"/>
        </w:rPr>
        <w:t>, at paras 58-60.</w:t>
      </w:r>
    </w:p>
  </w:footnote>
  <w:footnote w:id="18">
    <w:p w14:paraId="750C82C6" w14:textId="566D256A" w:rsidR="00022E03" w:rsidRPr="007B3899" w:rsidRDefault="00022E03">
      <w:pPr>
        <w:pStyle w:val="FootnoteText"/>
        <w:rPr>
          <w:lang w:val="en-US"/>
        </w:rPr>
      </w:pPr>
      <w:r>
        <w:rPr>
          <w:rStyle w:val="FootnoteReference"/>
        </w:rPr>
        <w:footnoteRef/>
      </w:r>
      <w:r>
        <w:t xml:space="preserve"> </w:t>
      </w:r>
      <w:r w:rsidRPr="00034BC0">
        <w:rPr>
          <w:i/>
          <w:lang w:val="en-US"/>
        </w:rPr>
        <w:t>ibid</w:t>
      </w:r>
      <w:r>
        <w:rPr>
          <w:lang w:val="en-US"/>
        </w:rPr>
        <w:t>, at paras 63-66.</w:t>
      </w:r>
    </w:p>
  </w:footnote>
  <w:footnote w:id="19">
    <w:p w14:paraId="11A1CF8A" w14:textId="1344EE0D" w:rsidR="00022E03" w:rsidRPr="00B848EE" w:rsidRDefault="00022E03">
      <w:pPr>
        <w:pStyle w:val="FootnoteText"/>
        <w:rPr>
          <w:lang w:val="en-US"/>
        </w:rPr>
      </w:pPr>
      <w:r>
        <w:rPr>
          <w:rStyle w:val="FootnoteReference"/>
        </w:rPr>
        <w:footnoteRef/>
      </w:r>
      <w:r>
        <w:t xml:space="preserve"> </w:t>
      </w:r>
      <w:r w:rsidRPr="00034BC0">
        <w:rPr>
          <w:i/>
          <w:lang w:val="en-US"/>
        </w:rPr>
        <w:t>ibid</w:t>
      </w:r>
      <w:r>
        <w:rPr>
          <w:lang w:val="en-US"/>
        </w:rPr>
        <w:t>, at paras 68-69.</w:t>
      </w:r>
    </w:p>
  </w:footnote>
  <w:footnote w:id="20">
    <w:p w14:paraId="55E947DB" w14:textId="46B4704C" w:rsidR="00022E03" w:rsidRPr="009469DE" w:rsidRDefault="00022E03">
      <w:pPr>
        <w:pStyle w:val="FootnoteText"/>
        <w:rPr>
          <w:lang w:val="en-US"/>
        </w:rPr>
      </w:pPr>
      <w:r>
        <w:rPr>
          <w:rStyle w:val="FootnoteReference"/>
        </w:rPr>
        <w:footnoteRef/>
      </w:r>
      <w:r>
        <w:t xml:space="preserve"> </w:t>
      </w:r>
      <w:r w:rsidRPr="00034BC0">
        <w:rPr>
          <w:i/>
          <w:lang w:val="en-US"/>
        </w:rPr>
        <w:t>ibid</w:t>
      </w:r>
      <w:r>
        <w:rPr>
          <w:lang w:val="en-US"/>
        </w:rPr>
        <w:t>, at para 71.</w:t>
      </w:r>
    </w:p>
  </w:footnote>
  <w:footnote w:id="21">
    <w:p w14:paraId="74C12B6F" w14:textId="6BF23A53" w:rsidR="00022E03" w:rsidRPr="009469DE" w:rsidRDefault="00022E03">
      <w:pPr>
        <w:pStyle w:val="FootnoteText"/>
        <w:rPr>
          <w:lang w:val="en-US"/>
        </w:rPr>
      </w:pPr>
      <w:r>
        <w:rPr>
          <w:rStyle w:val="FootnoteReference"/>
        </w:rPr>
        <w:footnoteRef/>
      </w:r>
      <w:r>
        <w:t xml:space="preserve"> </w:t>
      </w:r>
      <w:r w:rsidRPr="00034BC0">
        <w:rPr>
          <w:i/>
          <w:lang w:val="en-US"/>
        </w:rPr>
        <w:t>ibid</w:t>
      </w:r>
      <w:r>
        <w:rPr>
          <w:lang w:val="en-US"/>
        </w:rPr>
        <w:t>, at para 53.</w:t>
      </w:r>
    </w:p>
  </w:footnote>
  <w:footnote w:id="22">
    <w:p w14:paraId="247BD137" w14:textId="230E0568" w:rsidR="00022E03" w:rsidRPr="00706CBA" w:rsidRDefault="00022E03">
      <w:pPr>
        <w:pStyle w:val="FootnoteText"/>
        <w:rPr>
          <w:lang w:val="en-US"/>
        </w:rPr>
      </w:pPr>
      <w:r>
        <w:rPr>
          <w:rStyle w:val="FootnoteReference"/>
        </w:rPr>
        <w:footnoteRef/>
      </w:r>
      <w:r>
        <w:t xml:space="preserve"> </w:t>
      </w:r>
      <w:r w:rsidRPr="00034BC0">
        <w:rPr>
          <w:i/>
          <w:lang w:val="en-US"/>
        </w:rPr>
        <w:t>ibid</w:t>
      </w:r>
      <w:r>
        <w:rPr>
          <w:lang w:val="en-US"/>
        </w:rPr>
        <w:t>, at para 79.</w:t>
      </w:r>
    </w:p>
  </w:footnote>
  <w:footnote w:id="23">
    <w:p w14:paraId="2089F949" w14:textId="6844661B" w:rsidR="00022E03" w:rsidRPr="00706CBA" w:rsidRDefault="00022E03">
      <w:pPr>
        <w:pStyle w:val="FootnoteText"/>
        <w:rPr>
          <w:lang w:val="en-US"/>
        </w:rPr>
      </w:pPr>
      <w:r>
        <w:rPr>
          <w:rStyle w:val="FootnoteReference"/>
        </w:rPr>
        <w:footnoteRef/>
      </w:r>
      <w:r>
        <w:t xml:space="preserve"> </w:t>
      </w:r>
      <w:r w:rsidRPr="00034BC0">
        <w:rPr>
          <w:i/>
          <w:lang w:val="en-US"/>
        </w:rPr>
        <w:t>ibid</w:t>
      </w:r>
      <w:r>
        <w:rPr>
          <w:lang w:val="en-US"/>
        </w:rPr>
        <w:t>, at para 81.</w:t>
      </w:r>
    </w:p>
  </w:footnote>
  <w:footnote w:id="24">
    <w:p w14:paraId="4DA4AE52" w14:textId="34B39413" w:rsidR="00022E03" w:rsidRPr="006542D5" w:rsidRDefault="00022E03">
      <w:pPr>
        <w:pStyle w:val="FootnoteText"/>
        <w:rPr>
          <w:lang w:val="en-US"/>
        </w:rPr>
      </w:pPr>
      <w:r>
        <w:rPr>
          <w:rStyle w:val="FootnoteReference"/>
        </w:rPr>
        <w:footnoteRef/>
      </w:r>
      <w:r>
        <w:t xml:space="preserve"> </w:t>
      </w:r>
      <w:r>
        <w:rPr>
          <w:rFonts w:ascii="†5'C0œQ”" w:hAnsi="†5'C0œQ”" w:cs="†5'C0œQ”"/>
          <w:sz w:val="26"/>
          <w:szCs w:val="26"/>
          <w:lang w:val="en-US"/>
        </w:rPr>
        <w:t>Commission Communication SG(2012) D/52513.</w:t>
      </w:r>
    </w:p>
  </w:footnote>
  <w:footnote w:id="25">
    <w:p w14:paraId="3F3083FA" w14:textId="7564BD00" w:rsidR="00022E03" w:rsidRPr="00A9701C" w:rsidRDefault="00022E03">
      <w:pPr>
        <w:pStyle w:val="FootnoteText"/>
        <w:rPr>
          <w:lang w:val="en-US"/>
        </w:rPr>
      </w:pPr>
      <w:r>
        <w:rPr>
          <w:rStyle w:val="FootnoteReference"/>
        </w:rPr>
        <w:footnoteRef/>
      </w:r>
      <w:r>
        <w:t xml:space="preserve"> </w:t>
      </w:r>
      <w:r w:rsidRPr="00034BC0">
        <w:rPr>
          <w:rFonts w:ascii="†5'C0œQ”" w:hAnsi="†5'C0œQ”" w:cs="†5'C0œQ”"/>
          <w:i/>
          <w:sz w:val="26"/>
          <w:szCs w:val="26"/>
          <w:lang w:val="en-US"/>
        </w:rPr>
        <w:t>ibid</w:t>
      </w:r>
      <w:r>
        <w:rPr>
          <w:rFonts w:ascii="†5'C0œQ”" w:hAnsi="†5'C0œQ”" w:cs="†5'C0œQ”"/>
          <w:sz w:val="26"/>
          <w:szCs w:val="26"/>
          <w:lang w:val="en-US"/>
        </w:rPr>
        <w:t>, at p.</w:t>
      </w:r>
      <w:r>
        <w:rPr>
          <w:lang w:val="en-US"/>
        </w:rPr>
        <w:t xml:space="preserve"> 6.</w:t>
      </w:r>
    </w:p>
  </w:footnote>
  <w:footnote w:id="26">
    <w:p w14:paraId="2DD8F53F" w14:textId="57C9D7B2" w:rsidR="00022E03" w:rsidRPr="00D74D7B" w:rsidRDefault="00022E03">
      <w:pPr>
        <w:pStyle w:val="FootnoteText"/>
        <w:rPr>
          <w:lang w:val="en-US"/>
        </w:rPr>
      </w:pPr>
      <w:r>
        <w:rPr>
          <w:rStyle w:val="FootnoteReference"/>
        </w:rPr>
        <w:footnoteRef/>
      </w:r>
      <w:r>
        <w:t xml:space="preserve"> </w:t>
      </w:r>
      <w:r w:rsidRPr="00A5538A">
        <w:rPr>
          <w:i/>
          <w:lang w:val="en-US"/>
        </w:rPr>
        <w:t>The Scotch Whisky Association&amp; Ors</w:t>
      </w:r>
      <w:r>
        <w:rPr>
          <w:lang w:val="en-US"/>
        </w:rPr>
        <w:t xml:space="preserve">, </w:t>
      </w:r>
      <w:r>
        <w:rPr>
          <w:i/>
          <w:lang w:val="en-US"/>
        </w:rPr>
        <w:t xml:space="preserve">supra </w:t>
      </w:r>
      <w:r>
        <w:rPr>
          <w:lang w:val="en-US"/>
        </w:rPr>
        <w:t>note 11, at para 36.</w:t>
      </w:r>
    </w:p>
  </w:footnote>
  <w:footnote w:id="27">
    <w:p w14:paraId="0D965DCB" w14:textId="487BFDF1" w:rsidR="00022E03" w:rsidRPr="00E574C6" w:rsidRDefault="00022E03">
      <w:pPr>
        <w:pStyle w:val="FootnoteText"/>
        <w:rPr>
          <w:lang w:val="en-US"/>
        </w:rPr>
      </w:pPr>
      <w:r>
        <w:rPr>
          <w:rStyle w:val="FootnoteReference"/>
        </w:rPr>
        <w:footnoteRef/>
      </w:r>
      <w:r>
        <w:t xml:space="preserve"> </w:t>
      </w:r>
      <w:r>
        <w:rPr>
          <w:lang w:val="en-US"/>
        </w:rPr>
        <w:t xml:space="preserve">Stuyck, “Judgments of the Grand Chamber of the Court of Justice of 13 July 2004”, </w:t>
      </w:r>
      <w:r>
        <w:rPr>
          <w:i/>
          <w:lang w:val="en-US"/>
        </w:rPr>
        <w:t xml:space="preserve">supra </w:t>
      </w:r>
      <w:r>
        <w:rPr>
          <w:lang w:val="en-US"/>
        </w:rPr>
        <w:t>note 15, at p. 795 (emphasis added).</w:t>
      </w:r>
    </w:p>
  </w:footnote>
  <w:footnote w:id="28">
    <w:p w14:paraId="614E03E4" w14:textId="7D127769" w:rsidR="00022E03" w:rsidRPr="005B13E1" w:rsidRDefault="00022E03">
      <w:pPr>
        <w:pStyle w:val="FootnoteText"/>
        <w:rPr>
          <w:lang w:val="en-US"/>
        </w:rPr>
      </w:pPr>
      <w:r>
        <w:rPr>
          <w:rStyle w:val="FootnoteReference"/>
        </w:rPr>
        <w:footnoteRef/>
      </w:r>
      <w:r>
        <w:t xml:space="preserve"> </w:t>
      </w:r>
      <w:r>
        <w:rPr>
          <w:lang w:val="en-US"/>
        </w:rPr>
        <w:t xml:space="preserve">See comments in Liam Donaldson and Paul Rutter, “Commentary on Black </w:t>
      </w:r>
      <w:r>
        <w:rPr>
          <w:i/>
          <w:lang w:val="en-US"/>
        </w:rPr>
        <w:t>et al.</w:t>
      </w:r>
      <w:r>
        <w:rPr>
          <w:lang w:val="en-US"/>
        </w:rPr>
        <w:t xml:space="preserve"> (2011): Minimum pricing of alcohol – a solution whose time has come” 106 </w:t>
      </w:r>
      <w:r w:rsidRPr="00237013">
        <w:rPr>
          <w:i/>
          <w:lang w:val="en-US"/>
        </w:rPr>
        <w:t>Addiction</w:t>
      </w:r>
      <w:r>
        <w:rPr>
          <w:lang w:val="en-US"/>
        </w:rPr>
        <w:t xml:space="preserve"> (2011), pp. 737 </w:t>
      </w:r>
      <w:r>
        <w:rPr>
          <w:i/>
          <w:lang w:val="en-US"/>
        </w:rPr>
        <w:t>et seqq.</w:t>
      </w:r>
      <w:r>
        <w:rPr>
          <w:lang w:val="en-US"/>
        </w:rPr>
        <w:t>, at p. 737.</w:t>
      </w:r>
    </w:p>
  </w:footnote>
  <w:footnote w:id="29">
    <w:p w14:paraId="594E82E1" w14:textId="5EE11C95" w:rsidR="00022E03" w:rsidRPr="00472C5B" w:rsidRDefault="00022E03">
      <w:pPr>
        <w:pStyle w:val="FootnoteText"/>
        <w:rPr>
          <w:lang w:val="en-US"/>
        </w:rPr>
      </w:pPr>
      <w:r>
        <w:rPr>
          <w:rStyle w:val="FootnoteReference"/>
        </w:rPr>
        <w:footnoteRef/>
      </w:r>
      <w:r>
        <w:t xml:space="preserve"> Case C-216/98 </w:t>
      </w:r>
      <w:r>
        <w:rPr>
          <w:i/>
        </w:rPr>
        <w:t>Commission v Greece</w:t>
      </w:r>
      <w:r w:rsidRPr="00472C5B">
        <w:t xml:space="preserve"> [2000] ECR I-8921</w:t>
      </w:r>
      <w:r>
        <w:t>.</w:t>
      </w:r>
    </w:p>
  </w:footnote>
  <w:footnote w:id="30">
    <w:p w14:paraId="5FC8A6DF" w14:textId="5EFE5A75" w:rsidR="00022E03" w:rsidRPr="004F09F7" w:rsidRDefault="00022E03">
      <w:pPr>
        <w:pStyle w:val="FootnoteText"/>
        <w:rPr>
          <w:lang w:val="en-US"/>
        </w:rPr>
      </w:pPr>
      <w:r>
        <w:rPr>
          <w:rStyle w:val="FootnoteReference"/>
        </w:rPr>
        <w:footnoteRef/>
      </w:r>
      <w:r>
        <w:t xml:space="preserve"> Commission Communication, </w:t>
      </w:r>
      <w:r>
        <w:rPr>
          <w:i/>
        </w:rPr>
        <w:t xml:space="preserve">supra </w:t>
      </w:r>
      <w:r>
        <w:rPr>
          <w:rFonts w:ascii="†5'C0œQ”" w:hAnsi="†5'C0œQ”" w:cs="†5'C0œQ”"/>
          <w:sz w:val="26"/>
          <w:szCs w:val="26"/>
          <w:lang w:val="en-US"/>
        </w:rPr>
        <w:t>note 24</w:t>
      </w:r>
      <w:r>
        <w:rPr>
          <w:lang w:val="en-US"/>
        </w:rPr>
        <w:t>, at p. 7.</w:t>
      </w:r>
    </w:p>
  </w:footnote>
  <w:footnote w:id="31">
    <w:p w14:paraId="22B21C84" w14:textId="5BE799A6" w:rsidR="00022E03" w:rsidRPr="00D96F06" w:rsidRDefault="00022E03" w:rsidP="001E665B">
      <w:pPr>
        <w:pStyle w:val="FootnoteText"/>
        <w:rPr>
          <w:lang w:val="en-US"/>
        </w:rPr>
      </w:pPr>
      <w:r>
        <w:rPr>
          <w:rStyle w:val="FootnoteReference"/>
        </w:rPr>
        <w:footnoteRef/>
      </w:r>
      <w:r>
        <w:t xml:space="preserve"> Joined </w:t>
      </w:r>
      <w:r>
        <w:rPr>
          <w:lang w:val="en-US"/>
        </w:rPr>
        <w:t xml:space="preserve">Cases C-1/90 and C176/90 </w:t>
      </w:r>
      <w:r w:rsidRPr="00DE2DE9">
        <w:rPr>
          <w:lang w:val="en-US"/>
        </w:rPr>
        <w:t>Aragonesa</w:t>
      </w:r>
      <w:r>
        <w:rPr>
          <w:lang w:val="en-US"/>
        </w:rPr>
        <w:t xml:space="preserve"> [1991] ECR I-4179, at para. 16.</w:t>
      </w:r>
    </w:p>
  </w:footnote>
  <w:footnote w:id="32">
    <w:p w14:paraId="25FCC2A1" w14:textId="5176F6D1" w:rsidR="00022E03" w:rsidRPr="00DC1728" w:rsidRDefault="00022E03" w:rsidP="001E665B">
      <w:pPr>
        <w:pStyle w:val="FootnoteText"/>
        <w:rPr>
          <w:lang w:val="en-US"/>
        </w:rPr>
      </w:pPr>
      <w:r>
        <w:rPr>
          <w:rStyle w:val="FootnoteReference"/>
        </w:rPr>
        <w:footnoteRef/>
      </w:r>
      <w:r>
        <w:t xml:space="preserve"> </w:t>
      </w:r>
      <w:r>
        <w:rPr>
          <w:lang w:val="en-US"/>
        </w:rPr>
        <w:t xml:space="preserve">Cases C-262/02 </w:t>
      </w:r>
      <w:r w:rsidRPr="00DE2DE9">
        <w:rPr>
          <w:lang w:val="en-US"/>
        </w:rPr>
        <w:t>Commission v France</w:t>
      </w:r>
      <w:r>
        <w:rPr>
          <w:lang w:val="en-US"/>
        </w:rPr>
        <w:t xml:space="preserve"> [2004] ECR I-06569, at para. 33.</w:t>
      </w:r>
    </w:p>
  </w:footnote>
  <w:footnote w:id="33">
    <w:p w14:paraId="25C7A473" w14:textId="4BE2A8EA" w:rsidR="00022E03" w:rsidRPr="008E2DB6" w:rsidRDefault="00022E03" w:rsidP="001E665B">
      <w:pPr>
        <w:pStyle w:val="FootnoteText"/>
        <w:rPr>
          <w:lang w:val="en-US"/>
        </w:rPr>
      </w:pPr>
      <w:r>
        <w:rPr>
          <w:rStyle w:val="FootnoteReference"/>
        </w:rPr>
        <w:footnoteRef/>
      </w:r>
      <w:r>
        <w:t xml:space="preserve"> </w:t>
      </w:r>
      <w:r>
        <w:rPr>
          <w:lang w:val="en-US"/>
        </w:rPr>
        <w:t xml:space="preserve">Case C-265/06 </w:t>
      </w:r>
      <w:r w:rsidRPr="00226BF8">
        <w:rPr>
          <w:lang w:val="en-US"/>
        </w:rPr>
        <w:t>Commission v Portugal</w:t>
      </w:r>
      <w:r>
        <w:rPr>
          <w:lang w:val="en-US"/>
        </w:rPr>
        <w:t xml:space="preserve"> [2008] ECR I-02245, at para. 58.</w:t>
      </w:r>
    </w:p>
  </w:footnote>
  <w:footnote w:id="34">
    <w:p w14:paraId="2F2D73C0" w14:textId="5AE6A27C" w:rsidR="00022E03" w:rsidRPr="0032001D" w:rsidRDefault="00022E03">
      <w:pPr>
        <w:pStyle w:val="FootnoteText"/>
        <w:rPr>
          <w:lang w:val="en-US"/>
        </w:rPr>
      </w:pPr>
      <w:r>
        <w:rPr>
          <w:rStyle w:val="FootnoteReference"/>
        </w:rPr>
        <w:footnoteRef/>
      </w:r>
      <w:r>
        <w:t xml:space="preserve"> </w:t>
      </w:r>
      <w:r>
        <w:rPr>
          <w:lang w:val="en-US"/>
        </w:rPr>
        <w:t xml:space="preserve">Case C-405/98 </w:t>
      </w:r>
      <w:r w:rsidRPr="00226BF8">
        <w:rPr>
          <w:lang w:val="en-US"/>
        </w:rPr>
        <w:t>Konsumentombudsmannen v Gourmet International Products</w:t>
      </w:r>
      <w:r>
        <w:rPr>
          <w:lang w:val="en-US"/>
        </w:rPr>
        <w:t xml:space="preserve"> [2001] ECR I-01795, at para. 33</w:t>
      </w:r>
    </w:p>
  </w:footnote>
  <w:footnote w:id="35">
    <w:p w14:paraId="325CBBC4" w14:textId="5D5E8A13" w:rsidR="00022E03" w:rsidRPr="00DE4EC8" w:rsidRDefault="00022E03">
      <w:pPr>
        <w:pStyle w:val="FootnoteText"/>
        <w:rPr>
          <w:lang w:val="en-US"/>
        </w:rPr>
      </w:pPr>
      <w:r>
        <w:rPr>
          <w:rStyle w:val="FootnoteReference"/>
        </w:rPr>
        <w:footnoteRef/>
      </w:r>
      <w:r>
        <w:t>Case C-95/01 Greenham and Abel</w:t>
      </w:r>
      <w:r>
        <w:rPr>
          <w:i/>
        </w:rPr>
        <w:t xml:space="preserve"> </w:t>
      </w:r>
      <w:r>
        <w:t xml:space="preserve">[2004] ECR I-01352, at </w:t>
      </w:r>
      <w:r w:rsidRPr="00EA1A65">
        <w:t>para</w:t>
      </w:r>
      <w:r>
        <w:t>. 33</w:t>
      </w:r>
    </w:p>
  </w:footnote>
  <w:footnote w:id="36">
    <w:p w14:paraId="62A6C31D" w14:textId="39A00B6A" w:rsidR="00022E03" w:rsidRPr="00EA1A65" w:rsidRDefault="00022E03">
      <w:pPr>
        <w:pStyle w:val="FootnoteText"/>
        <w:rPr>
          <w:lang w:val="en-US"/>
        </w:rPr>
      </w:pPr>
      <w:r>
        <w:rPr>
          <w:rStyle w:val="FootnoteReference"/>
        </w:rPr>
        <w:footnoteRef/>
      </w:r>
      <w:r>
        <w:t xml:space="preserve"> </w:t>
      </w:r>
      <w:r>
        <w:rPr>
          <w:lang w:val="en-US"/>
        </w:rPr>
        <w:t xml:space="preserve">Case C-142/05 </w:t>
      </w:r>
      <w:r w:rsidRPr="00226BF8">
        <w:rPr>
          <w:lang w:val="en-US"/>
        </w:rPr>
        <w:t>Åklagaren v Percy Mickelsson and Joakim Roos</w:t>
      </w:r>
      <w:r>
        <w:rPr>
          <w:lang w:val="en-US"/>
        </w:rPr>
        <w:t xml:space="preserve"> [2009] ECR I-04273, at para. 40.</w:t>
      </w:r>
    </w:p>
  </w:footnote>
  <w:footnote w:id="37">
    <w:p w14:paraId="1876F8EB" w14:textId="77777777" w:rsidR="00022E03" w:rsidRPr="00226BF8" w:rsidRDefault="00022E03" w:rsidP="00DF2133">
      <w:pPr>
        <w:pStyle w:val="FootnoteText"/>
        <w:rPr>
          <w:lang w:val="en-US"/>
        </w:rPr>
      </w:pPr>
      <w:r>
        <w:rPr>
          <w:rStyle w:val="FootnoteReference"/>
        </w:rPr>
        <w:footnoteRef/>
      </w:r>
      <w:r>
        <w:t xml:space="preserve"> </w:t>
      </w:r>
      <w:r>
        <w:rPr>
          <w:lang w:val="en-US"/>
        </w:rPr>
        <w:t xml:space="preserve">See </w:t>
      </w:r>
      <w:r>
        <w:t xml:space="preserve">Benjamin Hawkins and Chris Holden, “Framing the alcohol policy debate: industry actors and the regulation of the UK beverage alcohol market” 7(1) Critical Policy Studies (2013), pp. 53 </w:t>
      </w:r>
      <w:r>
        <w:rPr>
          <w:i/>
        </w:rPr>
        <w:t>et seqq.</w:t>
      </w:r>
    </w:p>
  </w:footnote>
  <w:footnote w:id="38">
    <w:p w14:paraId="3BDF58E7" w14:textId="3E6B68CB" w:rsidR="00022E03" w:rsidRPr="00932465" w:rsidRDefault="00022E03">
      <w:pPr>
        <w:pStyle w:val="FootnoteText"/>
        <w:rPr>
          <w:lang w:val="en-US"/>
        </w:rPr>
      </w:pPr>
      <w:r>
        <w:rPr>
          <w:rStyle w:val="FootnoteReference"/>
        </w:rPr>
        <w:footnoteRef/>
      </w:r>
      <w:r>
        <w:t>Nathalie Thomas, “Bulgaria wants to block UK minimum alcohol pricing” The Telegraph, 14 September 2012, available on the internet at &lt;</w:t>
      </w:r>
      <w:hyperlink r:id="rId4" w:history="1">
        <w:r w:rsidRPr="00B0476F">
          <w:rPr>
            <w:rStyle w:val="Hyperlink"/>
            <w:color w:val="auto"/>
            <w:u w:val="none"/>
          </w:rPr>
          <w:t>http://www.telegraph.co.uk/finance/newsbysector/retailandconsumer/9544535/Bulgaria-wants-to-block-UK-minimum-alcohol-pricing.html</w:t>
        </w:r>
      </w:hyperlink>
      <w:r w:rsidRPr="00B0476F">
        <w:rPr>
          <w:rStyle w:val="Hyperlink"/>
          <w:color w:val="auto"/>
          <w:u w:val="none"/>
        </w:rPr>
        <w:t>&gt;</w:t>
      </w:r>
      <w:r w:rsidRPr="00B0476F">
        <w:t xml:space="preserve"> (</w:t>
      </w:r>
      <w:r>
        <w:t>last accessed on 9 January 2014).</w:t>
      </w:r>
    </w:p>
  </w:footnote>
  <w:footnote w:id="39">
    <w:p w14:paraId="668B03B9" w14:textId="3876BE32" w:rsidR="00022E03" w:rsidRPr="00922D2E" w:rsidRDefault="00022E03">
      <w:pPr>
        <w:pStyle w:val="FootnoteText"/>
        <w:rPr>
          <w:lang w:val="en-US"/>
        </w:rPr>
      </w:pPr>
      <w:r>
        <w:rPr>
          <w:rStyle w:val="FootnoteReference"/>
        </w:rPr>
        <w:footnoteRef/>
      </w:r>
      <w:r>
        <w:t xml:space="preserve"> </w:t>
      </w:r>
      <w:r>
        <w:rPr>
          <w:lang w:val="en-US"/>
        </w:rPr>
        <w:t xml:space="preserve">Text of </w:t>
      </w:r>
      <w:r w:rsidRPr="00B0476F">
        <w:rPr>
          <w:lang w:val="en-US"/>
        </w:rPr>
        <w:t>opinion released to BBC Scotland, available on the internet at &lt;</w:t>
      </w:r>
      <w:hyperlink r:id="rId5" w:history="1">
        <w:r w:rsidRPr="00B0476F">
          <w:rPr>
            <w:rStyle w:val="Hyperlink"/>
            <w:color w:val="auto"/>
            <w:u w:val="none"/>
            <w:lang w:val="en-US"/>
          </w:rPr>
          <w:t>http://www.bbc.co.uk/news/uk-scotland-scotland-politics-22184541</w:t>
        </w:r>
      </w:hyperlink>
      <w:r w:rsidRPr="00B0476F">
        <w:rPr>
          <w:rStyle w:val="Hyperlink"/>
          <w:color w:val="auto"/>
          <w:u w:val="none"/>
          <w:lang w:val="en-US"/>
        </w:rPr>
        <w:t>&gt;</w:t>
      </w:r>
      <w:r>
        <w:rPr>
          <w:lang w:val="en-US"/>
        </w:rPr>
        <w:t xml:space="preserve"> (last accessed on 9 January 2014).</w:t>
      </w:r>
    </w:p>
  </w:footnote>
  <w:footnote w:id="40">
    <w:p w14:paraId="07C1A69F" w14:textId="05E83646" w:rsidR="00022E03" w:rsidRPr="00D47A5E" w:rsidRDefault="00022E03">
      <w:pPr>
        <w:pStyle w:val="FootnoteText"/>
        <w:rPr>
          <w:lang w:val="en-US"/>
        </w:rPr>
      </w:pPr>
      <w:r>
        <w:rPr>
          <w:rStyle w:val="FootnoteReference"/>
        </w:rPr>
        <w:footnoteRef/>
      </w:r>
      <w:r>
        <w:t xml:space="preserve"> </w:t>
      </w:r>
      <w:r w:rsidRPr="00B0476F">
        <w:rPr>
          <w:i/>
          <w:lang w:val="en-US"/>
        </w:rPr>
        <w:t>Ibid</w:t>
      </w:r>
      <w:r>
        <w:rPr>
          <w:i/>
          <w:lang w:val="en-US"/>
        </w:rPr>
        <w:t>.</w:t>
      </w:r>
    </w:p>
  </w:footnote>
  <w:footnote w:id="41">
    <w:p w14:paraId="4C2E3F34" w14:textId="60BB20DA" w:rsidR="00022E03" w:rsidRPr="00D47A5E" w:rsidRDefault="00022E03">
      <w:pPr>
        <w:pStyle w:val="FootnoteText"/>
        <w:rPr>
          <w:lang w:val="en-US"/>
        </w:rPr>
      </w:pPr>
      <w:r>
        <w:rPr>
          <w:rStyle w:val="FootnoteReference"/>
        </w:rPr>
        <w:footnoteRef/>
      </w:r>
      <w:r>
        <w:t xml:space="preserve"> </w:t>
      </w:r>
      <w:r>
        <w:rPr>
          <w:lang w:val="en-US"/>
        </w:rPr>
        <w:t xml:space="preserve">Text of opinion released to BBC Scotland, available on the internet at </w:t>
      </w:r>
      <w:r w:rsidRPr="00B0476F">
        <w:rPr>
          <w:lang w:val="en-US"/>
        </w:rPr>
        <w:t>&lt;</w:t>
      </w:r>
      <w:hyperlink r:id="rId6" w:history="1">
        <w:r w:rsidRPr="00B0476F">
          <w:rPr>
            <w:rStyle w:val="Hyperlink"/>
            <w:color w:val="auto"/>
            <w:u w:val="none"/>
            <w:lang w:val="en-US"/>
          </w:rPr>
          <w:t>http://www.bbc.co.uk/news/uk-scotland-scotland-politics-22188373</w:t>
        </w:r>
      </w:hyperlink>
      <w:r w:rsidRPr="00B0476F">
        <w:rPr>
          <w:rStyle w:val="Hyperlink"/>
          <w:color w:val="auto"/>
          <w:u w:val="none"/>
          <w:lang w:val="en-US"/>
        </w:rPr>
        <w:t>&gt;</w:t>
      </w:r>
      <w:r>
        <w:rPr>
          <w:lang w:val="en-US"/>
        </w:rPr>
        <w:t xml:space="preserve"> (last accessed on 9 January 2014).</w:t>
      </w:r>
    </w:p>
  </w:footnote>
  <w:footnote w:id="42">
    <w:p w14:paraId="03028E18" w14:textId="16449955" w:rsidR="00022E03" w:rsidRPr="006522D0" w:rsidRDefault="00022E03">
      <w:pPr>
        <w:pStyle w:val="FootnoteText"/>
        <w:rPr>
          <w:lang w:val="en-US"/>
        </w:rPr>
      </w:pPr>
      <w:r>
        <w:rPr>
          <w:rStyle w:val="FootnoteReference"/>
        </w:rPr>
        <w:footnoteRef/>
      </w:r>
      <w:r>
        <w:t xml:space="preserve"> </w:t>
      </w:r>
      <w:r>
        <w:rPr>
          <w:lang w:val="en-US"/>
        </w:rPr>
        <w:t xml:space="preserve">Civil Servant, November 2010, cited in “Chris Holden and Benjamin Hawkins, ‘’Whisky gloss’: The alcohol industry, devolution and policy communities in Scotland’ 28(3) </w:t>
      </w:r>
      <w:r w:rsidRPr="00B0476F">
        <w:rPr>
          <w:i/>
          <w:lang w:val="en-US"/>
        </w:rPr>
        <w:t xml:space="preserve">Public Policy and Administration </w:t>
      </w:r>
      <w:r>
        <w:rPr>
          <w:lang w:val="en-US"/>
        </w:rPr>
        <w:t xml:space="preserve">(2013), pp. 253 </w:t>
      </w:r>
      <w:r>
        <w:rPr>
          <w:i/>
          <w:lang w:val="en-US"/>
        </w:rPr>
        <w:t>et seqq</w:t>
      </w:r>
      <w:r>
        <w:rPr>
          <w:lang w:val="en-US"/>
        </w:rPr>
        <w:t>, at p. 262.</w:t>
      </w:r>
    </w:p>
  </w:footnote>
  <w:footnote w:id="43">
    <w:p w14:paraId="68A9AD75" w14:textId="1B9B25DC" w:rsidR="00022E03" w:rsidRPr="00B0476F" w:rsidRDefault="00022E03">
      <w:pPr>
        <w:pStyle w:val="FootnoteText"/>
        <w:rPr>
          <w:lang w:val="en-US"/>
        </w:rPr>
      </w:pPr>
      <w:r>
        <w:rPr>
          <w:rStyle w:val="FootnoteReference"/>
        </w:rPr>
        <w:footnoteRef/>
      </w:r>
      <w:r>
        <w:t xml:space="preserve"> </w:t>
      </w:r>
      <w:r>
        <w:rPr>
          <w:lang w:val="en-US"/>
        </w:rPr>
        <w:t xml:space="preserve">On industry efforts to promote self-regulation and partnership, see Oliver Bartlett, “Under the Influence? The Alcohol Industry’s Involvement in the Implementation of Advertising Bans” 4(3) European Journal of Risk Regulation (2013), pp. 383 </w:t>
      </w:r>
      <w:r>
        <w:rPr>
          <w:i/>
          <w:lang w:val="en-US"/>
        </w:rPr>
        <w:t>et seqq</w:t>
      </w:r>
      <w:r>
        <w:rPr>
          <w:lang w:val="en-US"/>
        </w:rPr>
        <w:t>.</w:t>
      </w:r>
    </w:p>
  </w:footnote>
  <w:footnote w:id="44">
    <w:p w14:paraId="0B2AF86E" w14:textId="6B3745EB" w:rsidR="00022E03" w:rsidRPr="00DC72F8" w:rsidRDefault="00022E03">
      <w:pPr>
        <w:pStyle w:val="FootnoteText"/>
        <w:rPr>
          <w:lang w:val="en-US"/>
        </w:rPr>
      </w:pPr>
      <w:r>
        <w:rPr>
          <w:rStyle w:val="FootnoteReference"/>
        </w:rPr>
        <w:footnoteRef/>
      </w:r>
      <w:r>
        <w:t xml:space="preserve"> Hawkins and Holden, “Framing the alcohol policy debate”, </w:t>
      </w:r>
      <w:r w:rsidRPr="00B0476F">
        <w:rPr>
          <w:i/>
        </w:rPr>
        <w:t>supra</w:t>
      </w:r>
      <w:r>
        <w:t xml:space="preserve"> note 37, at p. </w:t>
      </w:r>
      <w:r>
        <w:rPr>
          <w:lang w:val="en-US"/>
        </w:rPr>
        <w:t>59.</w:t>
      </w:r>
    </w:p>
  </w:footnote>
  <w:footnote w:id="45">
    <w:p w14:paraId="2C23A428" w14:textId="428227FB" w:rsidR="00022E03" w:rsidRPr="00776A11" w:rsidRDefault="00022E03" w:rsidP="002F0F1C">
      <w:pPr>
        <w:pStyle w:val="FootnoteText"/>
        <w:rPr>
          <w:lang w:val="en-US"/>
        </w:rPr>
      </w:pPr>
      <w:r>
        <w:rPr>
          <w:rStyle w:val="FootnoteReference"/>
        </w:rPr>
        <w:footnoteRef/>
      </w:r>
      <w:r>
        <w:t xml:space="preserve"> </w:t>
      </w:r>
      <w:r>
        <w:rPr>
          <w:lang w:val="en-US"/>
        </w:rPr>
        <w:t xml:space="preserve">Martin McKee, “Minimum unit pricing for alcohol – the case is overwhelming” 22(4) </w:t>
      </w:r>
      <w:r w:rsidRPr="00CB0FAE">
        <w:rPr>
          <w:i/>
          <w:lang w:val="en-US"/>
        </w:rPr>
        <w:t>European Journal of Public Health</w:t>
      </w:r>
      <w:r>
        <w:rPr>
          <w:lang w:val="en-US"/>
        </w:rPr>
        <w:t xml:space="preserve"> (2012), pp. 451 </w:t>
      </w:r>
      <w:r>
        <w:rPr>
          <w:i/>
          <w:lang w:val="en-US"/>
        </w:rPr>
        <w:t>et seqq</w:t>
      </w:r>
      <w:r>
        <w:rPr>
          <w:lang w:val="en-US"/>
        </w:rPr>
        <w:t>, at p. 451.</w:t>
      </w:r>
    </w:p>
  </w:footnote>
  <w:footnote w:id="46">
    <w:p w14:paraId="03608D17" w14:textId="32AFDEF5" w:rsidR="00022E03" w:rsidRPr="008517BD" w:rsidRDefault="00022E03">
      <w:pPr>
        <w:pStyle w:val="FootnoteText"/>
        <w:rPr>
          <w:lang w:val="en-US"/>
        </w:rPr>
      </w:pPr>
      <w:r>
        <w:rPr>
          <w:rStyle w:val="FootnoteReference"/>
        </w:rPr>
        <w:footnoteRef/>
      </w:r>
      <w:r>
        <w:t xml:space="preserve"> </w:t>
      </w:r>
      <w:r>
        <w:rPr>
          <w:lang w:val="en-US"/>
        </w:rPr>
        <w:t xml:space="preserve">See Oliver Bartlett and Amandine Garde, “Time to Seize the (Red) Bull by the Horns: The European Union’s Failure to Protect Children from Alcohol and Unhealthy Food Marketing” 38(4) </w:t>
      </w:r>
      <w:r w:rsidRPr="00CB0FAE">
        <w:rPr>
          <w:i/>
          <w:lang w:val="en-US"/>
        </w:rPr>
        <w:t>European Law Review</w:t>
      </w:r>
      <w:r>
        <w:rPr>
          <w:lang w:val="en-US"/>
        </w:rPr>
        <w:t xml:space="preserve"> (2013) pp. 498 </w:t>
      </w:r>
      <w:r>
        <w:rPr>
          <w:i/>
          <w:lang w:val="en-US"/>
        </w:rPr>
        <w:t>et seqq.</w:t>
      </w:r>
      <w:r>
        <w:rPr>
          <w:lang w:val="en-US"/>
        </w:rPr>
        <w:t>, at pp. 508-510.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FD0"/>
    <w:rsid w:val="000008B6"/>
    <w:rsid w:val="00001144"/>
    <w:rsid w:val="0000283C"/>
    <w:rsid w:val="0000394C"/>
    <w:rsid w:val="00011B49"/>
    <w:rsid w:val="00022E03"/>
    <w:rsid w:val="00024166"/>
    <w:rsid w:val="000257B7"/>
    <w:rsid w:val="000279C9"/>
    <w:rsid w:val="00032522"/>
    <w:rsid w:val="00034BC0"/>
    <w:rsid w:val="00043FD2"/>
    <w:rsid w:val="000534BD"/>
    <w:rsid w:val="00064AE4"/>
    <w:rsid w:val="00072505"/>
    <w:rsid w:val="0007466F"/>
    <w:rsid w:val="0008177D"/>
    <w:rsid w:val="000871EE"/>
    <w:rsid w:val="00091779"/>
    <w:rsid w:val="00092CE7"/>
    <w:rsid w:val="0009560E"/>
    <w:rsid w:val="00096F88"/>
    <w:rsid w:val="000A05FC"/>
    <w:rsid w:val="000B1058"/>
    <w:rsid w:val="000B20B1"/>
    <w:rsid w:val="000B4660"/>
    <w:rsid w:val="000B7286"/>
    <w:rsid w:val="000D05EC"/>
    <w:rsid w:val="000D4DF1"/>
    <w:rsid w:val="000E3F2E"/>
    <w:rsid w:val="000F6316"/>
    <w:rsid w:val="00101C00"/>
    <w:rsid w:val="001072AB"/>
    <w:rsid w:val="00111F1C"/>
    <w:rsid w:val="0011292D"/>
    <w:rsid w:val="00116488"/>
    <w:rsid w:val="00116AE5"/>
    <w:rsid w:val="00116F78"/>
    <w:rsid w:val="001213A5"/>
    <w:rsid w:val="00121718"/>
    <w:rsid w:val="00122A3A"/>
    <w:rsid w:val="001258FE"/>
    <w:rsid w:val="001307FE"/>
    <w:rsid w:val="00137B0E"/>
    <w:rsid w:val="00146E06"/>
    <w:rsid w:val="00161E89"/>
    <w:rsid w:val="0016200C"/>
    <w:rsid w:val="00187D1C"/>
    <w:rsid w:val="0019138D"/>
    <w:rsid w:val="001A28AD"/>
    <w:rsid w:val="001A2C72"/>
    <w:rsid w:val="001A338E"/>
    <w:rsid w:val="001A56F5"/>
    <w:rsid w:val="001A6CD7"/>
    <w:rsid w:val="001B20F9"/>
    <w:rsid w:val="001B4E26"/>
    <w:rsid w:val="001D226C"/>
    <w:rsid w:val="001D314E"/>
    <w:rsid w:val="001D6EF8"/>
    <w:rsid w:val="001E0234"/>
    <w:rsid w:val="001E665B"/>
    <w:rsid w:val="00201B9B"/>
    <w:rsid w:val="00202B2D"/>
    <w:rsid w:val="00207A1F"/>
    <w:rsid w:val="00217C21"/>
    <w:rsid w:val="00223C9D"/>
    <w:rsid w:val="00224FDF"/>
    <w:rsid w:val="00226BF8"/>
    <w:rsid w:val="00231A2F"/>
    <w:rsid w:val="00232001"/>
    <w:rsid w:val="00237013"/>
    <w:rsid w:val="00246FF1"/>
    <w:rsid w:val="0026766A"/>
    <w:rsid w:val="00285478"/>
    <w:rsid w:val="00296F51"/>
    <w:rsid w:val="002A69D4"/>
    <w:rsid w:val="002B15B8"/>
    <w:rsid w:val="002B4EDB"/>
    <w:rsid w:val="002C01CE"/>
    <w:rsid w:val="002C1E53"/>
    <w:rsid w:val="002C2069"/>
    <w:rsid w:val="002C26AF"/>
    <w:rsid w:val="002C4830"/>
    <w:rsid w:val="002D2FBD"/>
    <w:rsid w:val="002D3892"/>
    <w:rsid w:val="002D39D2"/>
    <w:rsid w:val="002E06EA"/>
    <w:rsid w:val="002E780A"/>
    <w:rsid w:val="002F0F1C"/>
    <w:rsid w:val="002F2231"/>
    <w:rsid w:val="002F276C"/>
    <w:rsid w:val="002F66AE"/>
    <w:rsid w:val="002F7033"/>
    <w:rsid w:val="003100A4"/>
    <w:rsid w:val="0031656E"/>
    <w:rsid w:val="0032001D"/>
    <w:rsid w:val="00320235"/>
    <w:rsid w:val="00321242"/>
    <w:rsid w:val="00323348"/>
    <w:rsid w:val="003278AF"/>
    <w:rsid w:val="00327CE6"/>
    <w:rsid w:val="00335AE8"/>
    <w:rsid w:val="00354B24"/>
    <w:rsid w:val="00357C16"/>
    <w:rsid w:val="0036568B"/>
    <w:rsid w:val="0037067A"/>
    <w:rsid w:val="00372640"/>
    <w:rsid w:val="00374582"/>
    <w:rsid w:val="00376708"/>
    <w:rsid w:val="00387B62"/>
    <w:rsid w:val="00392354"/>
    <w:rsid w:val="00394A04"/>
    <w:rsid w:val="00395FED"/>
    <w:rsid w:val="003A1B81"/>
    <w:rsid w:val="003A54CF"/>
    <w:rsid w:val="003B32D2"/>
    <w:rsid w:val="003C06F0"/>
    <w:rsid w:val="003D005F"/>
    <w:rsid w:val="003D7E8B"/>
    <w:rsid w:val="003E427C"/>
    <w:rsid w:val="003E4751"/>
    <w:rsid w:val="003E7B45"/>
    <w:rsid w:val="003F1BDB"/>
    <w:rsid w:val="003F3C04"/>
    <w:rsid w:val="003F4055"/>
    <w:rsid w:val="003F6B9C"/>
    <w:rsid w:val="00400147"/>
    <w:rsid w:val="0040357B"/>
    <w:rsid w:val="0040407A"/>
    <w:rsid w:val="00411CAD"/>
    <w:rsid w:val="00414F0D"/>
    <w:rsid w:val="004166A8"/>
    <w:rsid w:val="00422307"/>
    <w:rsid w:val="00424257"/>
    <w:rsid w:val="0043277B"/>
    <w:rsid w:val="00432C2E"/>
    <w:rsid w:val="004445DC"/>
    <w:rsid w:val="00457581"/>
    <w:rsid w:val="00467065"/>
    <w:rsid w:val="00471E87"/>
    <w:rsid w:val="00472C5B"/>
    <w:rsid w:val="00473711"/>
    <w:rsid w:val="00473B16"/>
    <w:rsid w:val="00473CD4"/>
    <w:rsid w:val="00474154"/>
    <w:rsid w:val="00476E83"/>
    <w:rsid w:val="00487509"/>
    <w:rsid w:val="00492294"/>
    <w:rsid w:val="00493088"/>
    <w:rsid w:val="004A3938"/>
    <w:rsid w:val="004B62B9"/>
    <w:rsid w:val="004C02F5"/>
    <w:rsid w:val="004C1D3E"/>
    <w:rsid w:val="004C7C16"/>
    <w:rsid w:val="004D10CB"/>
    <w:rsid w:val="004D3E3D"/>
    <w:rsid w:val="004D4F02"/>
    <w:rsid w:val="004F09F7"/>
    <w:rsid w:val="004F104A"/>
    <w:rsid w:val="004F340B"/>
    <w:rsid w:val="005030D4"/>
    <w:rsid w:val="005153C7"/>
    <w:rsid w:val="00516B1C"/>
    <w:rsid w:val="00520E23"/>
    <w:rsid w:val="00523BF5"/>
    <w:rsid w:val="00530EF3"/>
    <w:rsid w:val="00531A38"/>
    <w:rsid w:val="00531CC5"/>
    <w:rsid w:val="0056311A"/>
    <w:rsid w:val="00565B12"/>
    <w:rsid w:val="00570314"/>
    <w:rsid w:val="00582449"/>
    <w:rsid w:val="00583137"/>
    <w:rsid w:val="00591142"/>
    <w:rsid w:val="00595C21"/>
    <w:rsid w:val="0059631C"/>
    <w:rsid w:val="00597552"/>
    <w:rsid w:val="005A7E6B"/>
    <w:rsid w:val="005B13E1"/>
    <w:rsid w:val="005B22F6"/>
    <w:rsid w:val="005B6930"/>
    <w:rsid w:val="005B7847"/>
    <w:rsid w:val="005C0F61"/>
    <w:rsid w:val="005D7C3C"/>
    <w:rsid w:val="005D7CAB"/>
    <w:rsid w:val="005E12A0"/>
    <w:rsid w:val="005E45AD"/>
    <w:rsid w:val="005F08ED"/>
    <w:rsid w:val="005F0ECA"/>
    <w:rsid w:val="005F5516"/>
    <w:rsid w:val="006036D3"/>
    <w:rsid w:val="00605210"/>
    <w:rsid w:val="00605E40"/>
    <w:rsid w:val="0061292E"/>
    <w:rsid w:val="00614362"/>
    <w:rsid w:val="006163E8"/>
    <w:rsid w:val="00616CFF"/>
    <w:rsid w:val="00622B05"/>
    <w:rsid w:val="00625860"/>
    <w:rsid w:val="00626AEB"/>
    <w:rsid w:val="006339EB"/>
    <w:rsid w:val="006411CC"/>
    <w:rsid w:val="00642A33"/>
    <w:rsid w:val="00646F30"/>
    <w:rsid w:val="006522D0"/>
    <w:rsid w:val="00652B5D"/>
    <w:rsid w:val="006531B5"/>
    <w:rsid w:val="00653915"/>
    <w:rsid w:val="006542D5"/>
    <w:rsid w:val="006561E8"/>
    <w:rsid w:val="00667676"/>
    <w:rsid w:val="00670C95"/>
    <w:rsid w:val="00670DA8"/>
    <w:rsid w:val="0068285B"/>
    <w:rsid w:val="0068608E"/>
    <w:rsid w:val="00695BCD"/>
    <w:rsid w:val="00695ED7"/>
    <w:rsid w:val="0069762A"/>
    <w:rsid w:val="006B03F4"/>
    <w:rsid w:val="006B08F8"/>
    <w:rsid w:val="006C2A85"/>
    <w:rsid w:val="006C37B7"/>
    <w:rsid w:val="006C53F2"/>
    <w:rsid w:val="006C6A56"/>
    <w:rsid w:val="006E0AA3"/>
    <w:rsid w:val="006E1572"/>
    <w:rsid w:val="006E1B79"/>
    <w:rsid w:val="006E727A"/>
    <w:rsid w:val="006F1253"/>
    <w:rsid w:val="006F5C73"/>
    <w:rsid w:val="00706CBA"/>
    <w:rsid w:val="007104EA"/>
    <w:rsid w:val="00712C63"/>
    <w:rsid w:val="00713556"/>
    <w:rsid w:val="007137A4"/>
    <w:rsid w:val="00716561"/>
    <w:rsid w:val="0071789A"/>
    <w:rsid w:val="00721B0D"/>
    <w:rsid w:val="00742793"/>
    <w:rsid w:val="0075034F"/>
    <w:rsid w:val="00765A39"/>
    <w:rsid w:val="00770AEB"/>
    <w:rsid w:val="007743DB"/>
    <w:rsid w:val="0077510B"/>
    <w:rsid w:val="00775E6A"/>
    <w:rsid w:val="00776A11"/>
    <w:rsid w:val="00785442"/>
    <w:rsid w:val="007860D8"/>
    <w:rsid w:val="007A1490"/>
    <w:rsid w:val="007A4963"/>
    <w:rsid w:val="007A73DB"/>
    <w:rsid w:val="007B3899"/>
    <w:rsid w:val="007C10C3"/>
    <w:rsid w:val="007D172D"/>
    <w:rsid w:val="007D1C42"/>
    <w:rsid w:val="007D478C"/>
    <w:rsid w:val="007D6912"/>
    <w:rsid w:val="007E5C63"/>
    <w:rsid w:val="007E7A43"/>
    <w:rsid w:val="007E7BB2"/>
    <w:rsid w:val="008017B9"/>
    <w:rsid w:val="00801AD1"/>
    <w:rsid w:val="008060B6"/>
    <w:rsid w:val="00810426"/>
    <w:rsid w:val="00812F86"/>
    <w:rsid w:val="008146D3"/>
    <w:rsid w:val="0082095A"/>
    <w:rsid w:val="00826156"/>
    <w:rsid w:val="008305F3"/>
    <w:rsid w:val="008330CC"/>
    <w:rsid w:val="00842F9E"/>
    <w:rsid w:val="0084454D"/>
    <w:rsid w:val="008517BD"/>
    <w:rsid w:val="00854FCC"/>
    <w:rsid w:val="008576A4"/>
    <w:rsid w:val="008615CC"/>
    <w:rsid w:val="00861BFD"/>
    <w:rsid w:val="008626DB"/>
    <w:rsid w:val="00865C21"/>
    <w:rsid w:val="00866B4B"/>
    <w:rsid w:val="0087333E"/>
    <w:rsid w:val="008809D6"/>
    <w:rsid w:val="008837F3"/>
    <w:rsid w:val="00893774"/>
    <w:rsid w:val="00895EC8"/>
    <w:rsid w:val="008A50FF"/>
    <w:rsid w:val="008B1E05"/>
    <w:rsid w:val="008B5B86"/>
    <w:rsid w:val="008D5A6D"/>
    <w:rsid w:val="008E2DB6"/>
    <w:rsid w:val="008F0D05"/>
    <w:rsid w:val="008F6653"/>
    <w:rsid w:val="00900FA8"/>
    <w:rsid w:val="00903378"/>
    <w:rsid w:val="009054F0"/>
    <w:rsid w:val="00905E30"/>
    <w:rsid w:val="00915161"/>
    <w:rsid w:val="00920580"/>
    <w:rsid w:val="009206B7"/>
    <w:rsid w:val="00922D2E"/>
    <w:rsid w:val="00923631"/>
    <w:rsid w:val="00923ECC"/>
    <w:rsid w:val="00930552"/>
    <w:rsid w:val="0093149E"/>
    <w:rsid w:val="00932465"/>
    <w:rsid w:val="00933B21"/>
    <w:rsid w:val="009356D2"/>
    <w:rsid w:val="00940C29"/>
    <w:rsid w:val="009469DE"/>
    <w:rsid w:val="00950A8A"/>
    <w:rsid w:val="00955DF3"/>
    <w:rsid w:val="00956AD1"/>
    <w:rsid w:val="0095743D"/>
    <w:rsid w:val="00964E4E"/>
    <w:rsid w:val="00965322"/>
    <w:rsid w:val="00966FCE"/>
    <w:rsid w:val="00967338"/>
    <w:rsid w:val="00972082"/>
    <w:rsid w:val="0097281D"/>
    <w:rsid w:val="00976700"/>
    <w:rsid w:val="00980239"/>
    <w:rsid w:val="00982460"/>
    <w:rsid w:val="00983C2D"/>
    <w:rsid w:val="00985E92"/>
    <w:rsid w:val="009A1A60"/>
    <w:rsid w:val="009A1FA0"/>
    <w:rsid w:val="009A58F3"/>
    <w:rsid w:val="009B5FF3"/>
    <w:rsid w:val="009B640B"/>
    <w:rsid w:val="009C6A95"/>
    <w:rsid w:val="009D3AF1"/>
    <w:rsid w:val="009E1701"/>
    <w:rsid w:val="009F091B"/>
    <w:rsid w:val="009F157B"/>
    <w:rsid w:val="009F3308"/>
    <w:rsid w:val="009F622D"/>
    <w:rsid w:val="00A07FE1"/>
    <w:rsid w:val="00A21FF2"/>
    <w:rsid w:val="00A37681"/>
    <w:rsid w:val="00A40BDA"/>
    <w:rsid w:val="00A5119B"/>
    <w:rsid w:val="00A5538A"/>
    <w:rsid w:val="00A70CD6"/>
    <w:rsid w:val="00A85FA3"/>
    <w:rsid w:val="00A911F8"/>
    <w:rsid w:val="00A9701C"/>
    <w:rsid w:val="00AA28BD"/>
    <w:rsid w:val="00AA68E4"/>
    <w:rsid w:val="00AA6BC3"/>
    <w:rsid w:val="00AA756E"/>
    <w:rsid w:val="00AB044E"/>
    <w:rsid w:val="00AB5FC1"/>
    <w:rsid w:val="00AB68EE"/>
    <w:rsid w:val="00AC4C64"/>
    <w:rsid w:val="00AC4D6A"/>
    <w:rsid w:val="00AC6E13"/>
    <w:rsid w:val="00AC7819"/>
    <w:rsid w:val="00AD17D2"/>
    <w:rsid w:val="00AD362E"/>
    <w:rsid w:val="00AD7002"/>
    <w:rsid w:val="00AD73B8"/>
    <w:rsid w:val="00AE157B"/>
    <w:rsid w:val="00B00586"/>
    <w:rsid w:val="00B0476F"/>
    <w:rsid w:val="00B062D9"/>
    <w:rsid w:val="00B107E5"/>
    <w:rsid w:val="00B12781"/>
    <w:rsid w:val="00B13E4C"/>
    <w:rsid w:val="00B3067D"/>
    <w:rsid w:val="00B34132"/>
    <w:rsid w:val="00B3456F"/>
    <w:rsid w:val="00B351DC"/>
    <w:rsid w:val="00B42228"/>
    <w:rsid w:val="00B4355D"/>
    <w:rsid w:val="00B464D7"/>
    <w:rsid w:val="00B713FA"/>
    <w:rsid w:val="00B71409"/>
    <w:rsid w:val="00B75870"/>
    <w:rsid w:val="00B75BF6"/>
    <w:rsid w:val="00B84322"/>
    <w:rsid w:val="00B848EE"/>
    <w:rsid w:val="00B85A63"/>
    <w:rsid w:val="00B9132A"/>
    <w:rsid w:val="00BA15BD"/>
    <w:rsid w:val="00BA5638"/>
    <w:rsid w:val="00BB4078"/>
    <w:rsid w:val="00BB739E"/>
    <w:rsid w:val="00BC0ECE"/>
    <w:rsid w:val="00BC5F6B"/>
    <w:rsid w:val="00BC76DB"/>
    <w:rsid w:val="00BD3F07"/>
    <w:rsid w:val="00BE6884"/>
    <w:rsid w:val="00BF52E7"/>
    <w:rsid w:val="00BF7CD7"/>
    <w:rsid w:val="00C01703"/>
    <w:rsid w:val="00C07C44"/>
    <w:rsid w:val="00C15B6D"/>
    <w:rsid w:val="00C353E5"/>
    <w:rsid w:val="00C37FD0"/>
    <w:rsid w:val="00C42F04"/>
    <w:rsid w:val="00C44886"/>
    <w:rsid w:val="00C460C0"/>
    <w:rsid w:val="00C5140A"/>
    <w:rsid w:val="00C52D91"/>
    <w:rsid w:val="00C52FA7"/>
    <w:rsid w:val="00C55F80"/>
    <w:rsid w:val="00C57812"/>
    <w:rsid w:val="00C63B01"/>
    <w:rsid w:val="00C721D4"/>
    <w:rsid w:val="00C75EE8"/>
    <w:rsid w:val="00C832A8"/>
    <w:rsid w:val="00C84D8C"/>
    <w:rsid w:val="00C8665C"/>
    <w:rsid w:val="00C93184"/>
    <w:rsid w:val="00C94773"/>
    <w:rsid w:val="00CA04FE"/>
    <w:rsid w:val="00CA225E"/>
    <w:rsid w:val="00CA775F"/>
    <w:rsid w:val="00CB0FAE"/>
    <w:rsid w:val="00CB35A6"/>
    <w:rsid w:val="00CB7CC5"/>
    <w:rsid w:val="00CC2C18"/>
    <w:rsid w:val="00CD7756"/>
    <w:rsid w:val="00CE1282"/>
    <w:rsid w:val="00CF05D0"/>
    <w:rsid w:val="00CF36B0"/>
    <w:rsid w:val="00CF6B5F"/>
    <w:rsid w:val="00CF791C"/>
    <w:rsid w:val="00D01D81"/>
    <w:rsid w:val="00D039F0"/>
    <w:rsid w:val="00D0475E"/>
    <w:rsid w:val="00D049F6"/>
    <w:rsid w:val="00D20F83"/>
    <w:rsid w:val="00D25034"/>
    <w:rsid w:val="00D35613"/>
    <w:rsid w:val="00D47A5E"/>
    <w:rsid w:val="00D67674"/>
    <w:rsid w:val="00D74D7B"/>
    <w:rsid w:val="00D757DB"/>
    <w:rsid w:val="00D81859"/>
    <w:rsid w:val="00D83D30"/>
    <w:rsid w:val="00D869C1"/>
    <w:rsid w:val="00D92861"/>
    <w:rsid w:val="00D932BB"/>
    <w:rsid w:val="00D96F06"/>
    <w:rsid w:val="00DA49D4"/>
    <w:rsid w:val="00DA7353"/>
    <w:rsid w:val="00DC1728"/>
    <w:rsid w:val="00DC619C"/>
    <w:rsid w:val="00DC72F8"/>
    <w:rsid w:val="00DC7FF5"/>
    <w:rsid w:val="00DD0813"/>
    <w:rsid w:val="00DD1B16"/>
    <w:rsid w:val="00DE2DE9"/>
    <w:rsid w:val="00DE4EC8"/>
    <w:rsid w:val="00DF2133"/>
    <w:rsid w:val="00DF2B24"/>
    <w:rsid w:val="00DF4BA7"/>
    <w:rsid w:val="00E02A25"/>
    <w:rsid w:val="00E064D1"/>
    <w:rsid w:val="00E10A9D"/>
    <w:rsid w:val="00E1300F"/>
    <w:rsid w:val="00E15430"/>
    <w:rsid w:val="00E24249"/>
    <w:rsid w:val="00E2742B"/>
    <w:rsid w:val="00E2758C"/>
    <w:rsid w:val="00E306B1"/>
    <w:rsid w:val="00E564CD"/>
    <w:rsid w:val="00E56B06"/>
    <w:rsid w:val="00E5720A"/>
    <w:rsid w:val="00E574C6"/>
    <w:rsid w:val="00E674E8"/>
    <w:rsid w:val="00E70C66"/>
    <w:rsid w:val="00E749FB"/>
    <w:rsid w:val="00E773FF"/>
    <w:rsid w:val="00E80B6A"/>
    <w:rsid w:val="00E82670"/>
    <w:rsid w:val="00E878AC"/>
    <w:rsid w:val="00EA1A65"/>
    <w:rsid w:val="00EA3644"/>
    <w:rsid w:val="00EA456B"/>
    <w:rsid w:val="00EA50DE"/>
    <w:rsid w:val="00EB5803"/>
    <w:rsid w:val="00EC3548"/>
    <w:rsid w:val="00EC608A"/>
    <w:rsid w:val="00ED02C6"/>
    <w:rsid w:val="00ED36E2"/>
    <w:rsid w:val="00ED612C"/>
    <w:rsid w:val="00EE0532"/>
    <w:rsid w:val="00EE1A52"/>
    <w:rsid w:val="00EF1821"/>
    <w:rsid w:val="00EF564A"/>
    <w:rsid w:val="00F0643D"/>
    <w:rsid w:val="00F114CD"/>
    <w:rsid w:val="00F148B5"/>
    <w:rsid w:val="00F15535"/>
    <w:rsid w:val="00F16079"/>
    <w:rsid w:val="00F20460"/>
    <w:rsid w:val="00F229A6"/>
    <w:rsid w:val="00F31B05"/>
    <w:rsid w:val="00F34188"/>
    <w:rsid w:val="00F35962"/>
    <w:rsid w:val="00F43E70"/>
    <w:rsid w:val="00F469E9"/>
    <w:rsid w:val="00F50EFF"/>
    <w:rsid w:val="00F52BF2"/>
    <w:rsid w:val="00F65F56"/>
    <w:rsid w:val="00F6694F"/>
    <w:rsid w:val="00F828FD"/>
    <w:rsid w:val="00F8714C"/>
    <w:rsid w:val="00F93D6A"/>
    <w:rsid w:val="00FA13B8"/>
    <w:rsid w:val="00FA3228"/>
    <w:rsid w:val="00FA3F7A"/>
    <w:rsid w:val="00FA45AE"/>
    <w:rsid w:val="00FA5D5A"/>
    <w:rsid w:val="00FA5E16"/>
    <w:rsid w:val="00FB5C05"/>
    <w:rsid w:val="00FC01F5"/>
    <w:rsid w:val="00FD54EE"/>
    <w:rsid w:val="00FD5C43"/>
    <w:rsid w:val="00FE1564"/>
    <w:rsid w:val="00FE1A20"/>
    <w:rsid w:val="00FE2809"/>
    <w:rsid w:val="00FF4D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6830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7FD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37F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597552"/>
    <w:pPr>
      <w:spacing w:after="200" w:line="276" w:lineRule="auto"/>
      <w:ind w:left="567" w:right="567" w:hanging="567"/>
    </w:pPr>
    <w:rPr>
      <w:i/>
      <w:iCs/>
    </w:rPr>
  </w:style>
  <w:style w:type="character" w:customStyle="1" w:styleId="QuoteChar">
    <w:name w:val="Quote Char"/>
    <w:link w:val="Quote"/>
    <w:uiPriority w:val="29"/>
    <w:rsid w:val="00597552"/>
    <w:rPr>
      <w:i/>
      <w:iCs/>
    </w:rPr>
  </w:style>
  <w:style w:type="character" w:customStyle="1" w:styleId="Heading1Char">
    <w:name w:val="Heading 1 Char"/>
    <w:basedOn w:val="DefaultParagraphFont"/>
    <w:link w:val="Heading1"/>
    <w:uiPriority w:val="9"/>
    <w:rsid w:val="00C37FD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37FD0"/>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457581"/>
  </w:style>
  <w:style w:type="character" w:customStyle="1" w:styleId="FootnoteTextChar">
    <w:name w:val="Footnote Text Char"/>
    <w:basedOn w:val="DefaultParagraphFont"/>
    <w:link w:val="FootnoteText"/>
    <w:uiPriority w:val="99"/>
    <w:rsid w:val="00457581"/>
  </w:style>
  <w:style w:type="character" w:styleId="FootnoteReference">
    <w:name w:val="footnote reference"/>
    <w:basedOn w:val="DefaultParagraphFont"/>
    <w:uiPriority w:val="99"/>
    <w:unhideWhenUsed/>
    <w:rsid w:val="00457581"/>
    <w:rPr>
      <w:vertAlign w:val="superscript"/>
    </w:rPr>
  </w:style>
  <w:style w:type="character" w:styleId="Hyperlink">
    <w:name w:val="Hyperlink"/>
    <w:basedOn w:val="DefaultParagraphFont"/>
    <w:uiPriority w:val="99"/>
    <w:unhideWhenUsed/>
    <w:rsid w:val="00457581"/>
    <w:rPr>
      <w:color w:val="0000FF" w:themeColor="hyperlink"/>
      <w:u w:val="single"/>
    </w:rPr>
  </w:style>
  <w:style w:type="paragraph" w:styleId="Header">
    <w:name w:val="header"/>
    <w:basedOn w:val="Normal"/>
    <w:link w:val="HeaderChar"/>
    <w:uiPriority w:val="99"/>
    <w:unhideWhenUsed/>
    <w:rsid w:val="00967338"/>
    <w:pPr>
      <w:tabs>
        <w:tab w:val="center" w:pos="4320"/>
        <w:tab w:val="right" w:pos="8640"/>
      </w:tabs>
    </w:pPr>
  </w:style>
  <w:style w:type="character" w:customStyle="1" w:styleId="HeaderChar">
    <w:name w:val="Header Char"/>
    <w:basedOn w:val="DefaultParagraphFont"/>
    <w:link w:val="Header"/>
    <w:uiPriority w:val="99"/>
    <w:rsid w:val="00967338"/>
  </w:style>
  <w:style w:type="paragraph" w:styleId="Footer">
    <w:name w:val="footer"/>
    <w:basedOn w:val="Normal"/>
    <w:link w:val="FooterChar"/>
    <w:uiPriority w:val="99"/>
    <w:unhideWhenUsed/>
    <w:rsid w:val="00967338"/>
    <w:pPr>
      <w:tabs>
        <w:tab w:val="center" w:pos="4320"/>
        <w:tab w:val="right" w:pos="8640"/>
      </w:tabs>
    </w:pPr>
  </w:style>
  <w:style w:type="character" w:customStyle="1" w:styleId="FooterChar">
    <w:name w:val="Footer Char"/>
    <w:basedOn w:val="DefaultParagraphFont"/>
    <w:link w:val="Footer"/>
    <w:uiPriority w:val="99"/>
    <w:rsid w:val="00967338"/>
  </w:style>
  <w:style w:type="character" w:styleId="FollowedHyperlink">
    <w:name w:val="FollowedHyperlink"/>
    <w:basedOn w:val="DefaultParagraphFont"/>
    <w:uiPriority w:val="99"/>
    <w:semiHidden/>
    <w:unhideWhenUsed/>
    <w:rsid w:val="000B4660"/>
    <w:rPr>
      <w:color w:val="800080" w:themeColor="followedHyperlink"/>
      <w:u w:val="single"/>
    </w:rPr>
  </w:style>
  <w:style w:type="character" w:styleId="PageNumber">
    <w:name w:val="page number"/>
    <w:basedOn w:val="DefaultParagraphFont"/>
    <w:uiPriority w:val="99"/>
    <w:semiHidden/>
    <w:unhideWhenUsed/>
    <w:rsid w:val="00D818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7FD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37F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597552"/>
    <w:pPr>
      <w:spacing w:after="200" w:line="276" w:lineRule="auto"/>
      <w:ind w:left="567" w:right="567" w:hanging="567"/>
    </w:pPr>
    <w:rPr>
      <w:i/>
      <w:iCs/>
    </w:rPr>
  </w:style>
  <w:style w:type="character" w:customStyle="1" w:styleId="QuoteChar">
    <w:name w:val="Quote Char"/>
    <w:link w:val="Quote"/>
    <w:uiPriority w:val="29"/>
    <w:rsid w:val="00597552"/>
    <w:rPr>
      <w:i/>
      <w:iCs/>
    </w:rPr>
  </w:style>
  <w:style w:type="character" w:customStyle="1" w:styleId="Heading1Char">
    <w:name w:val="Heading 1 Char"/>
    <w:basedOn w:val="DefaultParagraphFont"/>
    <w:link w:val="Heading1"/>
    <w:uiPriority w:val="9"/>
    <w:rsid w:val="00C37FD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37FD0"/>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457581"/>
  </w:style>
  <w:style w:type="character" w:customStyle="1" w:styleId="FootnoteTextChar">
    <w:name w:val="Footnote Text Char"/>
    <w:basedOn w:val="DefaultParagraphFont"/>
    <w:link w:val="FootnoteText"/>
    <w:uiPriority w:val="99"/>
    <w:rsid w:val="00457581"/>
  </w:style>
  <w:style w:type="character" w:styleId="FootnoteReference">
    <w:name w:val="footnote reference"/>
    <w:basedOn w:val="DefaultParagraphFont"/>
    <w:uiPriority w:val="99"/>
    <w:unhideWhenUsed/>
    <w:rsid w:val="00457581"/>
    <w:rPr>
      <w:vertAlign w:val="superscript"/>
    </w:rPr>
  </w:style>
  <w:style w:type="character" w:styleId="Hyperlink">
    <w:name w:val="Hyperlink"/>
    <w:basedOn w:val="DefaultParagraphFont"/>
    <w:uiPriority w:val="99"/>
    <w:unhideWhenUsed/>
    <w:rsid w:val="00457581"/>
    <w:rPr>
      <w:color w:val="0000FF" w:themeColor="hyperlink"/>
      <w:u w:val="single"/>
    </w:rPr>
  </w:style>
  <w:style w:type="paragraph" w:styleId="Header">
    <w:name w:val="header"/>
    <w:basedOn w:val="Normal"/>
    <w:link w:val="HeaderChar"/>
    <w:uiPriority w:val="99"/>
    <w:unhideWhenUsed/>
    <w:rsid w:val="00967338"/>
    <w:pPr>
      <w:tabs>
        <w:tab w:val="center" w:pos="4320"/>
        <w:tab w:val="right" w:pos="8640"/>
      </w:tabs>
    </w:pPr>
  </w:style>
  <w:style w:type="character" w:customStyle="1" w:styleId="HeaderChar">
    <w:name w:val="Header Char"/>
    <w:basedOn w:val="DefaultParagraphFont"/>
    <w:link w:val="Header"/>
    <w:uiPriority w:val="99"/>
    <w:rsid w:val="00967338"/>
  </w:style>
  <w:style w:type="paragraph" w:styleId="Footer">
    <w:name w:val="footer"/>
    <w:basedOn w:val="Normal"/>
    <w:link w:val="FooterChar"/>
    <w:uiPriority w:val="99"/>
    <w:unhideWhenUsed/>
    <w:rsid w:val="00967338"/>
    <w:pPr>
      <w:tabs>
        <w:tab w:val="center" w:pos="4320"/>
        <w:tab w:val="right" w:pos="8640"/>
      </w:tabs>
    </w:pPr>
  </w:style>
  <w:style w:type="character" w:customStyle="1" w:styleId="FooterChar">
    <w:name w:val="Footer Char"/>
    <w:basedOn w:val="DefaultParagraphFont"/>
    <w:link w:val="Footer"/>
    <w:uiPriority w:val="99"/>
    <w:rsid w:val="00967338"/>
  </w:style>
  <w:style w:type="character" w:styleId="FollowedHyperlink">
    <w:name w:val="FollowedHyperlink"/>
    <w:basedOn w:val="DefaultParagraphFont"/>
    <w:uiPriority w:val="99"/>
    <w:semiHidden/>
    <w:unhideWhenUsed/>
    <w:rsid w:val="000B4660"/>
    <w:rPr>
      <w:color w:val="800080" w:themeColor="followedHyperlink"/>
      <w:u w:val="single"/>
    </w:rPr>
  </w:style>
  <w:style w:type="character" w:styleId="PageNumber">
    <w:name w:val="page number"/>
    <w:basedOn w:val="DefaultParagraphFont"/>
    <w:uiPriority w:val="99"/>
    <w:semiHidden/>
    <w:unhideWhenUsed/>
    <w:rsid w:val="00D81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1432">
      <w:bodyDiv w:val="1"/>
      <w:marLeft w:val="0"/>
      <w:marRight w:val="0"/>
      <w:marTop w:val="0"/>
      <w:marBottom w:val="0"/>
      <w:divBdr>
        <w:top w:val="none" w:sz="0" w:space="0" w:color="auto"/>
        <w:left w:val="none" w:sz="0" w:space="0" w:color="auto"/>
        <w:bottom w:val="none" w:sz="0" w:space="0" w:color="auto"/>
        <w:right w:val="none" w:sz="0" w:space="0" w:color="auto"/>
      </w:divBdr>
    </w:div>
    <w:div w:id="204685902">
      <w:bodyDiv w:val="1"/>
      <w:marLeft w:val="0"/>
      <w:marRight w:val="0"/>
      <w:marTop w:val="0"/>
      <w:marBottom w:val="0"/>
      <w:divBdr>
        <w:top w:val="none" w:sz="0" w:space="0" w:color="auto"/>
        <w:left w:val="none" w:sz="0" w:space="0" w:color="auto"/>
        <w:bottom w:val="none" w:sz="0" w:space="0" w:color="auto"/>
        <w:right w:val="none" w:sz="0" w:space="0" w:color="auto"/>
      </w:divBdr>
    </w:div>
    <w:div w:id="504824448">
      <w:bodyDiv w:val="1"/>
      <w:marLeft w:val="0"/>
      <w:marRight w:val="0"/>
      <w:marTop w:val="0"/>
      <w:marBottom w:val="0"/>
      <w:divBdr>
        <w:top w:val="none" w:sz="0" w:space="0" w:color="auto"/>
        <w:left w:val="none" w:sz="0" w:space="0" w:color="auto"/>
        <w:bottom w:val="none" w:sz="0" w:space="0" w:color="auto"/>
        <w:right w:val="none" w:sz="0" w:space="0" w:color="auto"/>
      </w:divBdr>
    </w:div>
    <w:div w:id="729570936">
      <w:bodyDiv w:val="1"/>
      <w:marLeft w:val="0"/>
      <w:marRight w:val="0"/>
      <w:marTop w:val="0"/>
      <w:marBottom w:val="0"/>
      <w:divBdr>
        <w:top w:val="none" w:sz="0" w:space="0" w:color="auto"/>
        <w:left w:val="none" w:sz="0" w:space="0" w:color="auto"/>
        <w:bottom w:val="none" w:sz="0" w:space="0" w:color="auto"/>
        <w:right w:val="none" w:sz="0" w:space="0" w:color="auto"/>
      </w:divBdr>
    </w:div>
    <w:div w:id="783690338">
      <w:bodyDiv w:val="1"/>
      <w:marLeft w:val="0"/>
      <w:marRight w:val="0"/>
      <w:marTop w:val="0"/>
      <w:marBottom w:val="0"/>
      <w:divBdr>
        <w:top w:val="none" w:sz="0" w:space="0" w:color="auto"/>
        <w:left w:val="none" w:sz="0" w:space="0" w:color="auto"/>
        <w:bottom w:val="none" w:sz="0" w:space="0" w:color="auto"/>
        <w:right w:val="none" w:sz="0" w:space="0" w:color="auto"/>
      </w:divBdr>
    </w:div>
    <w:div w:id="795103462">
      <w:bodyDiv w:val="1"/>
      <w:marLeft w:val="0"/>
      <w:marRight w:val="0"/>
      <w:marTop w:val="0"/>
      <w:marBottom w:val="0"/>
      <w:divBdr>
        <w:top w:val="none" w:sz="0" w:space="0" w:color="auto"/>
        <w:left w:val="none" w:sz="0" w:space="0" w:color="auto"/>
        <w:bottom w:val="none" w:sz="0" w:space="0" w:color="auto"/>
        <w:right w:val="none" w:sz="0" w:space="0" w:color="auto"/>
      </w:divBdr>
    </w:div>
    <w:div w:id="856189551">
      <w:bodyDiv w:val="1"/>
      <w:marLeft w:val="0"/>
      <w:marRight w:val="0"/>
      <w:marTop w:val="0"/>
      <w:marBottom w:val="0"/>
      <w:divBdr>
        <w:top w:val="none" w:sz="0" w:space="0" w:color="auto"/>
        <w:left w:val="none" w:sz="0" w:space="0" w:color="auto"/>
        <w:bottom w:val="none" w:sz="0" w:space="0" w:color="auto"/>
        <w:right w:val="none" w:sz="0" w:space="0" w:color="auto"/>
      </w:divBdr>
    </w:div>
    <w:div w:id="961302604">
      <w:bodyDiv w:val="1"/>
      <w:marLeft w:val="0"/>
      <w:marRight w:val="0"/>
      <w:marTop w:val="0"/>
      <w:marBottom w:val="0"/>
      <w:divBdr>
        <w:top w:val="none" w:sz="0" w:space="0" w:color="auto"/>
        <w:left w:val="none" w:sz="0" w:space="0" w:color="auto"/>
        <w:bottom w:val="none" w:sz="0" w:space="0" w:color="auto"/>
        <w:right w:val="none" w:sz="0" w:space="0" w:color="auto"/>
      </w:divBdr>
    </w:div>
    <w:div w:id="1013532025">
      <w:bodyDiv w:val="1"/>
      <w:marLeft w:val="0"/>
      <w:marRight w:val="0"/>
      <w:marTop w:val="0"/>
      <w:marBottom w:val="0"/>
      <w:divBdr>
        <w:top w:val="none" w:sz="0" w:space="0" w:color="auto"/>
        <w:left w:val="none" w:sz="0" w:space="0" w:color="auto"/>
        <w:bottom w:val="none" w:sz="0" w:space="0" w:color="auto"/>
        <w:right w:val="none" w:sz="0" w:space="0" w:color="auto"/>
      </w:divBdr>
    </w:div>
    <w:div w:id="1019503214">
      <w:bodyDiv w:val="1"/>
      <w:marLeft w:val="0"/>
      <w:marRight w:val="0"/>
      <w:marTop w:val="0"/>
      <w:marBottom w:val="0"/>
      <w:divBdr>
        <w:top w:val="none" w:sz="0" w:space="0" w:color="auto"/>
        <w:left w:val="none" w:sz="0" w:space="0" w:color="auto"/>
        <w:bottom w:val="none" w:sz="0" w:space="0" w:color="auto"/>
        <w:right w:val="none" w:sz="0" w:space="0" w:color="auto"/>
      </w:divBdr>
    </w:div>
    <w:div w:id="1054085966">
      <w:bodyDiv w:val="1"/>
      <w:marLeft w:val="0"/>
      <w:marRight w:val="0"/>
      <w:marTop w:val="0"/>
      <w:marBottom w:val="0"/>
      <w:divBdr>
        <w:top w:val="none" w:sz="0" w:space="0" w:color="auto"/>
        <w:left w:val="none" w:sz="0" w:space="0" w:color="auto"/>
        <w:bottom w:val="none" w:sz="0" w:space="0" w:color="auto"/>
        <w:right w:val="none" w:sz="0" w:space="0" w:color="auto"/>
      </w:divBdr>
    </w:div>
    <w:div w:id="1231379588">
      <w:bodyDiv w:val="1"/>
      <w:marLeft w:val="0"/>
      <w:marRight w:val="0"/>
      <w:marTop w:val="0"/>
      <w:marBottom w:val="0"/>
      <w:divBdr>
        <w:top w:val="none" w:sz="0" w:space="0" w:color="auto"/>
        <w:left w:val="none" w:sz="0" w:space="0" w:color="auto"/>
        <w:bottom w:val="none" w:sz="0" w:space="0" w:color="auto"/>
        <w:right w:val="none" w:sz="0" w:space="0" w:color="auto"/>
      </w:divBdr>
    </w:div>
    <w:div w:id="1243182876">
      <w:bodyDiv w:val="1"/>
      <w:marLeft w:val="0"/>
      <w:marRight w:val="0"/>
      <w:marTop w:val="0"/>
      <w:marBottom w:val="0"/>
      <w:divBdr>
        <w:top w:val="none" w:sz="0" w:space="0" w:color="auto"/>
        <w:left w:val="none" w:sz="0" w:space="0" w:color="auto"/>
        <w:bottom w:val="none" w:sz="0" w:space="0" w:color="auto"/>
        <w:right w:val="none" w:sz="0" w:space="0" w:color="auto"/>
      </w:divBdr>
    </w:div>
    <w:div w:id="1314335568">
      <w:bodyDiv w:val="1"/>
      <w:marLeft w:val="0"/>
      <w:marRight w:val="0"/>
      <w:marTop w:val="0"/>
      <w:marBottom w:val="0"/>
      <w:divBdr>
        <w:top w:val="none" w:sz="0" w:space="0" w:color="auto"/>
        <w:left w:val="none" w:sz="0" w:space="0" w:color="auto"/>
        <w:bottom w:val="none" w:sz="0" w:space="0" w:color="auto"/>
        <w:right w:val="none" w:sz="0" w:space="0" w:color="auto"/>
      </w:divBdr>
    </w:div>
    <w:div w:id="1317226341">
      <w:bodyDiv w:val="1"/>
      <w:marLeft w:val="0"/>
      <w:marRight w:val="0"/>
      <w:marTop w:val="0"/>
      <w:marBottom w:val="0"/>
      <w:divBdr>
        <w:top w:val="none" w:sz="0" w:space="0" w:color="auto"/>
        <w:left w:val="none" w:sz="0" w:space="0" w:color="auto"/>
        <w:bottom w:val="none" w:sz="0" w:space="0" w:color="auto"/>
        <w:right w:val="none" w:sz="0" w:space="0" w:color="auto"/>
      </w:divBdr>
    </w:div>
    <w:div w:id="1346907712">
      <w:bodyDiv w:val="1"/>
      <w:marLeft w:val="0"/>
      <w:marRight w:val="0"/>
      <w:marTop w:val="0"/>
      <w:marBottom w:val="0"/>
      <w:divBdr>
        <w:top w:val="none" w:sz="0" w:space="0" w:color="auto"/>
        <w:left w:val="none" w:sz="0" w:space="0" w:color="auto"/>
        <w:bottom w:val="none" w:sz="0" w:space="0" w:color="auto"/>
        <w:right w:val="none" w:sz="0" w:space="0" w:color="auto"/>
      </w:divBdr>
    </w:div>
    <w:div w:id="1464425819">
      <w:bodyDiv w:val="1"/>
      <w:marLeft w:val="0"/>
      <w:marRight w:val="0"/>
      <w:marTop w:val="0"/>
      <w:marBottom w:val="0"/>
      <w:divBdr>
        <w:top w:val="none" w:sz="0" w:space="0" w:color="auto"/>
        <w:left w:val="none" w:sz="0" w:space="0" w:color="auto"/>
        <w:bottom w:val="none" w:sz="0" w:space="0" w:color="auto"/>
        <w:right w:val="none" w:sz="0" w:space="0" w:color="auto"/>
      </w:divBdr>
    </w:div>
    <w:div w:id="1496342146">
      <w:bodyDiv w:val="1"/>
      <w:marLeft w:val="0"/>
      <w:marRight w:val="0"/>
      <w:marTop w:val="0"/>
      <w:marBottom w:val="0"/>
      <w:divBdr>
        <w:top w:val="none" w:sz="0" w:space="0" w:color="auto"/>
        <w:left w:val="none" w:sz="0" w:space="0" w:color="auto"/>
        <w:bottom w:val="none" w:sz="0" w:space="0" w:color="auto"/>
        <w:right w:val="none" w:sz="0" w:space="0" w:color="auto"/>
      </w:divBdr>
    </w:div>
    <w:div w:id="1780905754">
      <w:bodyDiv w:val="1"/>
      <w:marLeft w:val="0"/>
      <w:marRight w:val="0"/>
      <w:marTop w:val="0"/>
      <w:marBottom w:val="0"/>
      <w:divBdr>
        <w:top w:val="none" w:sz="0" w:space="0" w:color="auto"/>
        <w:left w:val="none" w:sz="0" w:space="0" w:color="auto"/>
        <w:bottom w:val="none" w:sz="0" w:space="0" w:color="auto"/>
        <w:right w:val="none" w:sz="0" w:space="0" w:color="auto"/>
      </w:divBdr>
    </w:div>
    <w:div w:id="1867405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shef.ac.uk/polopoly_fs/1.156503!/file/scotlandjan.pdf" TargetMode="External"/><Relationship Id="rId4" Type="http://schemas.openxmlformats.org/officeDocument/2006/relationships/hyperlink" Target="http://www.telegraph.co.uk/finance/newsbysector/retailandconsumer/9544535/Bulgaria-wants-to-block-UK-minimum-alcohol-pricing.html" TargetMode="External"/><Relationship Id="rId5" Type="http://schemas.openxmlformats.org/officeDocument/2006/relationships/hyperlink" Target="http://www.bbc.co.uk/news/uk-scotland-scotland-politics-22184541" TargetMode="External"/><Relationship Id="rId6" Type="http://schemas.openxmlformats.org/officeDocument/2006/relationships/hyperlink" Target="http://www.bbc.co.uk/news/uk-scotland-scotland-politics-22188373" TargetMode="External"/><Relationship Id="rId1" Type="http://schemas.openxmlformats.org/officeDocument/2006/relationships/hyperlink" Target="http://www.legislation.gov.uk/asp/2012/4/pdfs/asp_20120004_en.pdf" TargetMode="External"/><Relationship Id="rId2" Type="http://schemas.openxmlformats.org/officeDocument/2006/relationships/hyperlink" Target="http://ec.europa.eu/enterprise/tris/pisa/app/search/index.cfm?fuseaction=pisa_notif_overview&amp;sNlang=EN&amp;iyear=2012&amp;inum=394&amp;lang=EN&amp;iBack=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30486-25AE-B54B-A4BE-8355426EE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2719</Words>
  <Characters>15502</Characters>
  <Application>Microsoft Macintosh Word</Application>
  <DocSecurity>0</DocSecurity>
  <Lines>129</Lines>
  <Paragraphs>36</Paragraphs>
  <ScaleCrop>false</ScaleCrop>
  <Company/>
  <LinksUpToDate>false</LinksUpToDate>
  <CharactersWithSpaces>18185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Bartlett</dc:creator>
  <cp:keywords/>
  <dc:description/>
  <cp:lastModifiedBy>Oliver Bartlett</cp:lastModifiedBy>
  <cp:revision>8</cp:revision>
  <dcterms:created xsi:type="dcterms:W3CDTF">2014-01-23T13:40:00Z</dcterms:created>
  <dcterms:modified xsi:type="dcterms:W3CDTF">2014-03-10T13:40:00Z</dcterms:modified>
</cp:coreProperties>
</file>