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C5BEB" w14:textId="77777777" w:rsidR="00657841" w:rsidRPr="002E240E" w:rsidRDefault="00657841" w:rsidP="00456F36">
      <w:pPr>
        <w:spacing w:after="120" w:line="276" w:lineRule="auto"/>
        <w:rPr>
          <w:b/>
          <w:sz w:val="20"/>
          <w:szCs w:val="20"/>
        </w:rPr>
      </w:pPr>
    </w:p>
    <w:p w14:paraId="0D1B5F99" w14:textId="37F33920" w:rsidR="002C042A" w:rsidRPr="002154BB" w:rsidRDefault="001F4941" w:rsidP="00A16F70">
      <w:pPr>
        <w:jc w:val="center"/>
        <w:rPr>
          <w:b/>
        </w:rPr>
      </w:pPr>
      <w:r>
        <w:rPr>
          <w:b/>
        </w:rPr>
        <w:t>When should we test for</w:t>
      </w:r>
      <w:r w:rsidR="00C25311" w:rsidRPr="002154BB">
        <w:rPr>
          <w:b/>
        </w:rPr>
        <w:t xml:space="preserve"> </w:t>
      </w:r>
      <w:r w:rsidR="00634536" w:rsidRPr="002154BB">
        <w:rPr>
          <w:b/>
        </w:rPr>
        <w:t>voltage-gated potassium c</w:t>
      </w:r>
      <w:r>
        <w:rPr>
          <w:b/>
        </w:rPr>
        <w:t>hannel complex antibodies?</w:t>
      </w:r>
      <w:r w:rsidR="00C25311">
        <w:rPr>
          <w:b/>
        </w:rPr>
        <w:t xml:space="preserve"> </w:t>
      </w:r>
      <w:r w:rsidR="00C25311" w:rsidRPr="002154BB">
        <w:rPr>
          <w:b/>
        </w:rPr>
        <w:t xml:space="preserve">A </w:t>
      </w:r>
      <w:r w:rsidR="0087552B">
        <w:rPr>
          <w:b/>
        </w:rPr>
        <w:t xml:space="preserve">retrospective </w:t>
      </w:r>
      <w:r w:rsidR="00C25311" w:rsidRPr="002154BB">
        <w:rPr>
          <w:b/>
        </w:rPr>
        <w:t>case control study</w:t>
      </w:r>
    </w:p>
    <w:p w14:paraId="6E2F29AD" w14:textId="77777777" w:rsidR="0097334D" w:rsidRPr="002154BB" w:rsidRDefault="0097334D" w:rsidP="00456F36">
      <w:pPr>
        <w:spacing w:after="120" w:line="276" w:lineRule="auto"/>
        <w:rPr>
          <w:b/>
        </w:rPr>
      </w:pPr>
    </w:p>
    <w:p w14:paraId="68E9DAD6" w14:textId="011BA030" w:rsidR="002154BB" w:rsidRPr="001E3D69" w:rsidRDefault="002154BB" w:rsidP="00456F36">
      <w:pPr>
        <w:spacing w:after="120" w:line="276" w:lineRule="auto"/>
        <w:rPr>
          <w:sz w:val="20"/>
        </w:rPr>
      </w:pPr>
      <w:r w:rsidRPr="001E3D69">
        <w:rPr>
          <w:sz w:val="20"/>
        </w:rPr>
        <w:t>O’Sullivan BJ</w:t>
      </w:r>
      <w:r w:rsidRPr="001E3D69">
        <w:rPr>
          <w:sz w:val="20"/>
          <w:vertAlign w:val="superscript"/>
        </w:rPr>
        <w:t>1</w:t>
      </w:r>
      <w:r w:rsidRPr="001E3D69">
        <w:rPr>
          <w:sz w:val="20"/>
        </w:rPr>
        <w:t>, Steele T</w:t>
      </w:r>
      <w:r w:rsidRPr="001E3D69">
        <w:rPr>
          <w:sz w:val="20"/>
          <w:vertAlign w:val="superscript"/>
        </w:rPr>
        <w:t>1</w:t>
      </w:r>
      <w:r w:rsidRPr="001E3D69">
        <w:rPr>
          <w:sz w:val="20"/>
        </w:rPr>
        <w:t>,</w:t>
      </w:r>
      <w:r w:rsidR="00012220" w:rsidRPr="00012220">
        <w:rPr>
          <w:sz w:val="20"/>
        </w:rPr>
        <w:t xml:space="preserve"> </w:t>
      </w:r>
      <w:proofErr w:type="spellStart"/>
      <w:r w:rsidR="00012220" w:rsidRPr="001E3D69">
        <w:rPr>
          <w:sz w:val="20"/>
        </w:rPr>
        <w:t>Ellul</w:t>
      </w:r>
      <w:proofErr w:type="spellEnd"/>
      <w:r w:rsidR="00012220" w:rsidRPr="001E3D69">
        <w:rPr>
          <w:sz w:val="20"/>
        </w:rPr>
        <w:t xml:space="preserve"> M</w:t>
      </w:r>
      <w:r w:rsidR="00012220">
        <w:rPr>
          <w:sz w:val="20"/>
        </w:rPr>
        <w:t>A</w:t>
      </w:r>
      <w:r w:rsidR="00012220" w:rsidRPr="001E3D69">
        <w:rPr>
          <w:sz w:val="20"/>
          <w:vertAlign w:val="superscript"/>
        </w:rPr>
        <w:t>1</w:t>
      </w:r>
      <w:proofErr w:type="gramStart"/>
      <w:r w:rsidR="00012220" w:rsidRPr="001E3D69">
        <w:rPr>
          <w:sz w:val="20"/>
          <w:vertAlign w:val="superscript"/>
        </w:rPr>
        <w:t>,2</w:t>
      </w:r>
      <w:proofErr w:type="gramEnd"/>
      <w:r w:rsidR="00012220" w:rsidRPr="00012220">
        <w:rPr>
          <w:sz w:val="20"/>
        </w:rPr>
        <w:t>,</w:t>
      </w:r>
      <w:r w:rsidRPr="001E3D69">
        <w:rPr>
          <w:sz w:val="20"/>
        </w:rPr>
        <w:t xml:space="preserve"> Kirby E</w:t>
      </w:r>
      <w:r w:rsidRPr="001E3D69">
        <w:rPr>
          <w:sz w:val="20"/>
          <w:vertAlign w:val="superscript"/>
        </w:rPr>
        <w:t>1</w:t>
      </w:r>
      <w:r w:rsidRPr="001E3D69">
        <w:rPr>
          <w:sz w:val="20"/>
        </w:rPr>
        <w:t xml:space="preserve">, </w:t>
      </w:r>
      <w:proofErr w:type="spellStart"/>
      <w:r w:rsidR="00257454" w:rsidRPr="001E3D69">
        <w:rPr>
          <w:sz w:val="20"/>
        </w:rPr>
        <w:t>Duale</w:t>
      </w:r>
      <w:proofErr w:type="spellEnd"/>
      <w:r w:rsidR="00257454" w:rsidRPr="001E3D69">
        <w:rPr>
          <w:sz w:val="20"/>
        </w:rPr>
        <w:t xml:space="preserve"> A</w:t>
      </w:r>
      <w:r w:rsidRPr="001E3D69">
        <w:rPr>
          <w:sz w:val="20"/>
          <w:vertAlign w:val="superscript"/>
        </w:rPr>
        <w:t>1</w:t>
      </w:r>
      <w:r w:rsidRPr="001E3D69">
        <w:rPr>
          <w:sz w:val="20"/>
        </w:rPr>
        <w:t xml:space="preserve">, </w:t>
      </w:r>
      <w:r w:rsidR="00257454" w:rsidRPr="001E3D69">
        <w:rPr>
          <w:sz w:val="20"/>
        </w:rPr>
        <w:t>Kier G</w:t>
      </w:r>
      <w:r w:rsidR="00012220">
        <w:rPr>
          <w:sz w:val="20"/>
          <w:vertAlign w:val="superscript"/>
        </w:rPr>
        <w:t>1</w:t>
      </w:r>
      <w:r w:rsidR="000E7D57">
        <w:rPr>
          <w:sz w:val="20"/>
          <w:vertAlign w:val="superscript"/>
        </w:rPr>
        <w:t>,3</w:t>
      </w:r>
      <w:r w:rsidRPr="001E3D69">
        <w:rPr>
          <w:sz w:val="20"/>
        </w:rPr>
        <w:t xml:space="preserve">, </w:t>
      </w:r>
      <w:r w:rsidR="00257454" w:rsidRPr="001E3D69">
        <w:rPr>
          <w:sz w:val="20"/>
        </w:rPr>
        <w:t>Crooks D</w:t>
      </w:r>
      <w:r w:rsidR="000E7D57">
        <w:rPr>
          <w:sz w:val="20"/>
          <w:vertAlign w:val="superscript"/>
        </w:rPr>
        <w:t>3</w:t>
      </w:r>
      <w:r w:rsidRPr="001E3D69">
        <w:rPr>
          <w:sz w:val="20"/>
        </w:rPr>
        <w:t xml:space="preserve">, </w:t>
      </w:r>
      <w:r w:rsidR="00257454" w:rsidRPr="001E3D69">
        <w:rPr>
          <w:sz w:val="20"/>
        </w:rPr>
        <w:t>Jacob A</w:t>
      </w:r>
      <w:r w:rsidR="00012220">
        <w:rPr>
          <w:sz w:val="20"/>
          <w:vertAlign w:val="superscript"/>
        </w:rPr>
        <w:t>1</w:t>
      </w:r>
      <w:r w:rsidRPr="001E3D69">
        <w:rPr>
          <w:sz w:val="20"/>
        </w:rPr>
        <w:t xml:space="preserve">, </w:t>
      </w:r>
      <w:r w:rsidR="00257454" w:rsidRPr="001E3D69">
        <w:rPr>
          <w:sz w:val="20"/>
        </w:rPr>
        <w:t>Solomon T</w:t>
      </w:r>
      <w:r w:rsidRPr="001E3D69">
        <w:rPr>
          <w:sz w:val="20"/>
          <w:vertAlign w:val="superscript"/>
        </w:rPr>
        <w:t>1,2</w:t>
      </w:r>
      <w:r w:rsidR="00012220">
        <w:rPr>
          <w:sz w:val="20"/>
          <w:vertAlign w:val="superscript"/>
        </w:rPr>
        <w:t>,4</w:t>
      </w:r>
      <w:r w:rsidR="002F3CFC">
        <w:rPr>
          <w:sz w:val="20"/>
          <w:vertAlign w:val="superscript"/>
        </w:rPr>
        <w:t>*</w:t>
      </w:r>
      <w:r w:rsidR="00012220" w:rsidRPr="00012220">
        <w:rPr>
          <w:sz w:val="20"/>
        </w:rPr>
        <w:t>,</w:t>
      </w:r>
      <w:r w:rsidR="00012220">
        <w:rPr>
          <w:sz w:val="20"/>
          <w:vertAlign w:val="superscript"/>
        </w:rPr>
        <w:t xml:space="preserve"> </w:t>
      </w:r>
      <w:r w:rsidR="00012220" w:rsidRPr="001E3D69">
        <w:rPr>
          <w:sz w:val="20"/>
        </w:rPr>
        <w:t>Michael BD</w:t>
      </w:r>
      <w:r w:rsidR="00012220" w:rsidRPr="001E3D69">
        <w:rPr>
          <w:sz w:val="20"/>
          <w:vertAlign w:val="superscript"/>
        </w:rPr>
        <w:t>1,2</w:t>
      </w:r>
      <w:r w:rsidR="00012220">
        <w:rPr>
          <w:sz w:val="20"/>
          <w:vertAlign w:val="superscript"/>
        </w:rPr>
        <w:t>,4</w:t>
      </w:r>
      <w:r w:rsidR="002F3CFC">
        <w:rPr>
          <w:sz w:val="20"/>
          <w:vertAlign w:val="superscript"/>
        </w:rPr>
        <w:t>*</w:t>
      </w:r>
      <w:r w:rsidR="00257454" w:rsidRPr="001E3D69">
        <w:rPr>
          <w:sz w:val="20"/>
        </w:rPr>
        <w:t>.</w:t>
      </w:r>
    </w:p>
    <w:p w14:paraId="294DF857" w14:textId="4B374AA2" w:rsidR="001E3D69" w:rsidRPr="00AD3BAF" w:rsidRDefault="002154BB" w:rsidP="00456F36">
      <w:pPr>
        <w:spacing w:after="120" w:line="276" w:lineRule="auto"/>
        <w:rPr>
          <w:sz w:val="16"/>
        </w:rPr>
      </w:pPr>
      <w:r w:rsidRPr="00AD3BAF">
        <w:rPr>
          <w:sz w:val="16"/>
        </w:rPr>
        <w:t>1.</w:t>
      </w:r>
      <w:r w:rsidR="001E3D69" w:rsidRPr="00AD3BAF">
        <w:rPr>
          <w:sz w:val="16"/>
        </w:rPr>
        <w:t xml:space="preserve"> Department of Neuroscience. The Walton Centre NHS Foundation Trust, Liverpool, UK</w:t>
      </w:r>
    </w:p>
    <w:p w14:paraId="6E7D2F56" w14:textId="5A0630D2" w:rsidR="002154BB" w:rsidRDefault="001E3D69" w:rsidP="00456F36">
      <w:pPr>
        <w:spacing w:after="120" w:line="276" w:lineRule="auto"/>
        <w:rPr>
          <w:sz w:val="16"/>
        </w:rPr>
      </w:pPr>
      <w:r w:rsidRPr="00AD3BAF">
        <w:rPr>
          <w:sz w:val="16"/>
        </w:rPr>
        <w:t xml:space="preserve">2. </w:t>
      </w:r>
      <w:r w:rsidR="001D7F45" w:rsidRPr="00AD3BAF">
        <w:rPr>
          <w:sz w:val="16"/>
        </w:rPr>
        <w:t xml:space="preserve">Department of Clinical Infection, Microbiology and Immunology. </w:t>
      </w:r>
      <w:r w:rsidR="002154BB" w:rsidRPr="00AD3BAF">
        <w:rPr>
          <w:sz w:val="16"/>
        </w:rPr>
        <w:t>The Institute for Infection and Global Health, University of Liverpool, UK</w:t>
      </w:r>
    </w:p>
    <w:p w14:paraId="03F7077F" w14:textId="5F6D7F26" w:rsidR="00012220" w:rsidRDefault="00012220" w:rsidP="00456F36">
      <w:pPr>
        <w:spacing w:after="120" w:line="276" w:lineRule="auto"/>
        <w:rPr>
          <w:sz w:val="16"/>
        </w:rPr>
      </w:pPr>
      <w:r>
        <w:rPr>
          <w:sz w:val="16"/>
        </w:rPr>
        <w:t>3. Department of Neuropathology, The Walton Centre NHS Foundation Trust Liverpool, UK</w:t>
      </w:r>
    </w:p>
    <w:p w14:paraId="44021387" w14:textId="6AE4CD82" w:rsidR="00012220" w:rsidRDefault="00012220" w:rsidP="00456F36">
      <w:pPr>
        <w:spacing w:after="120" w:line="276" w:lineRule="auto"/>
        <w:rPr>
          <w:rFonts w:ascii="Cambria" w:hAnsi="Cambria" w:cs="Calibri"/>
          <w:bCs/>
          <w:sz w:val="16"/>
        </w:rPr>
      </w:pPr>
      <w:r>
        <w:rPr>
          <w:sz w:val="16"/>
        </w:rPr>
        <w:t xml:space="preserve">4. </w:t>
      </w:r>
      <w:r w:rsidRPr="00012220">
        <w:rPr>
          <w:rFonts w:ascii="Cambria" w:hAnsi="Cambria" w:cs="Calibri"/>
          <w:bCs/>
          <w:sz w:val="16"/>
        </w:rPr>
        <w:t>NIHR Health Protection Research Unit in Emerging and Zoonotic Infections,</w:t>
      </w:r>
      <w:r>
        <w:rPr>
          <w:rFonts w:ascii="Cambria" w:hAnsi="Cambria" w:cs="Calibri"/>
          <w:bCs/>
          <w:sz w:val="16"/>
        </w:rPr>
        <w:t xml:space="preserve"> University of Liverpool, UK</w:t>
      </w:r>
    </w:p>
    <w:p w14:paraId="1BDD025E" w14:textId="1FF7B29C" w:rsidR="002F3CFC" w:rsidRDefault="002F3CFC" w:rsidP="00456F36">
      <w:pPr>
        <w:spacing w:after="120" w:line="276" w:lineRule="auto"/>
        <w:rPr>
          <w:sz w:val="16"/>
        </w:rPr>
      </w:pPr>
      <w:r>
        <w:rPr>
          <w:rFonts w:ascii="Cambria" w:hAnsi="Cambria" w:cs="Calibri"/>
          <w:bCs/>
          <w:sz w:val="16"/>
        </w:rPr>
        <w:t xml:space="preserve">* These authors made </w:t>
      </w:r>
      <w:r w:rsidR="0053291B">
        <w:rPr>
          <w:rFonts w:ascii="Cambria" w:hAnsi="Cambria" w:cs="Calibri"/>
          <w:bCs/>
          <w:sz w:val="16"/>
        </w:rPr>
        <w:t xml:space="preserve">an </w:t>
      </w:r>
      <w:r>
        <w:rPr>
          <w:rFonts w:ascii="Cambria" w:hAnsi="Cambria" w:cs="Calibri"/>
          <w:bCs/>
          <w:sz w:val="16"/>
        </w:rPr>
        <w:t>equal contribution</w:t>
      </w:r>
    </w:p>
    <w:p w14:paraId="350006F9" w14:textId="77777777" w:rsidR="0097334D" w:rsidRPr="002154BB" w:rsidRDefault="0097334D" w:rsidP="00456F36">
      <w:pPr>
        <w:spacing w:after="120" w:line="276" w:lineRule="auto"/>
        <w:rPr>
          <w:b/>
        </w:rPr>
      </w:pPr>
    </w:p>
    <w:p w14:paraId="5D184A82" w14:textId="77777777" w:rsidR="0097334D" w:rsidRPr="002154BB" w:rsidRDefault="0097334D" w:rsidP="00456F36">
      <w:pPr>
        <w:spacing w:after="120" w:line="276" w:lineRule="auto"/>
        <w:rPr>
          <w:b/>
        </w:rPr>
      </w:pPr>
      <w:r w:rsidRPr="002154BB">
        <w:rPr>
          <w:b/>
        </w:rPr>
        <w:t>Abstract</w:t>
      </w:r>
    </w:p>
    <w:p w14:paraId="23DEA896" w14:textId="77777777" w:rsidR="00883E05" w:rsidRDefault="00883E05" w:rsidP="00883E05">
      <w:r>
        <w:t>Patients with voltage-gated potassium channel (VGKC)-complex antibodies are increasingly recognised, having central,</w:t>
      </w:r>
      <w:r w:rsidRPr="002154BB">
        <w:t xml:space="preserve"> </w:t>
      </w:r>
      <w:r>
        <w:t>peripheral or</w:t>
      </w:r>
      <w:r w:rsidRPr="002154BB">
        <w:t xml:space="preserve"> combined phenotypes.</w:t>
      </w:r>
      <w:r>
        <w:t xml:space="preserve"> </w:t>
      </w:r>
      <w:r w:rsidRPr="002154BB">
        <w:t xml:space="preserve">With increasing </w:t>
      </w:r>
      <w:r>
        <w:t xml:space="preserve">awareness, </w:t>
      </w:r>
      <w:r w:rsidRPr="002154BB">
        <w:t xml:space="preserve">more patients are tested and the </w:t>
      </w:r>
      <w:r>
        <w:t xml:space="preserve">clinical spectrum </w:t>
      </w:r>
      <w:r w:rsidRPr="002154BB">
        <w:t xml:space="preserve">expanding. </w:t>
      </w:r>
      <w:r>
        <w:t>Consequently,</w:t>
      </w:r>
      <w:r w:rsidRPr="002154BB">
        <w:t xml:space="preserve"> clinicians may be uncertain </w:t>
      </w:r>
      <w:r>
        <w:t xml:space="preserve">as to </w:t>
      </w:r>
      <w:r w:rsidRPr="002154BB">
        <w:t xml:space="preserve">which patients </w:t>
      </w:r>
      <w:r>
        <w:t>should or should not be tested</w:t>
      </w:r>
      <w:r w:rsidRPr="002154BB">
        <w:t xml:space="preserve">. </w:t>
      </w:r>
      <w:r>
        <w:t>Previous studies have identified common clinical features, but none has looked at the usefulness of these in predicting seropositive disease.</w:t>
      </w:r>
    </w:p>
    <w:p w14:paraId="2FF64E8C" w14:textId="77777777" w:rsidR="00883E05" w:rsidRDefault="00883E05" w:rsidP="00883E05"/>
    <w:p w14:paraId="17301259" w14:textId="77777777" w:rsidR="00883E05" w:rsidRDefault="00883E05" w:rsidP="00883E05">
      <w:r>
        <w:t>W</w:t>
      </w:r>
      <w:r w:rsidRPr="002154BB">
        <w:t xml:space="preserve">e </w:t>
      </w:r>
      <w:r>
        <w:t xml:space="preserve">conducted a case-control study of </w:t>
      </w:r>
      <w:r w:rsidRPr="002154BB">
        <w:t>patients tested for</w:t>
      </w:r>
      <w:r>
        <w:t xml:space="preserve"> VGKC-complex antibodies over </w:t>
      </w:r>
      <w:r w:rsidRPr="002154BB">
        <w:t>10 year</w:t>
      </w:r>
      <w:r>
        <w:t xml:space="preserve">s at a </w:t>
      </w:r>
      <w:r w:rsidRPr="002154BB">
        <w:t>regional tertiary neurology centre</w:t>
      </w:r>
      <w:r>
        <w:t xml:space="preserve"> determining which clinical/biochemical features were associated with antibody-positive disease</w:t>
      </w:r>
      <w:r w:rsidRPr="002154BB">
        <w:t>.</w:t>
      </w:r>
    </w:p>
    <w:p w14:paraId="2A3CB0BB" w14:textId="77777777" w:rsidR="00883E05" w:rsidRDefault="00883E05" w:rsidP="00883E05"/>
    <w:p w14:paraId="7554CBF3" w14:textId="77777777" w:rsidR="00883E05" w:rsidRDefault="00883E05" w:rsidP="00883E05">
      <w:r>
        <w:t>W</w:t>
      </w:r>
      <w:r w:rsidRPr="002154BB">
        <w:t xml:space="preserve">e </w:t>
      </w:r>
      <w:r>
        <w:t>found a marked increase in the numbers tested, although the percentage positive remained low. Antibody titre was highest in central disease (p&lt;0.001). Time from presentation to testing was shorter in those with VGKC-disease (p=0.01). Seizures were present in 11 (69%) of those with VGKC-disease versus 3 (18%) without (OR [95%CI] 10.3 [2.0-52.7], p=0.005). There was an inverse correlation between the antibody titre and serum sodium. A multivariate model selected seizures and hyponatraemia as predictive of VGKC disease (sensitivity 75% and specificity 82%); faciobrachial dystonic movements were specific but insensitive. Interestingly serum alkaline phosphatase was higher in those with VGKC-disease (p=0.016) and highest in those with peripheral disease (p=0.015). An ALP &gt;70 u/L was strongly associated with antibody positivity (OR 4.11 [1.43-11.8]</w:t>
      </w:r>
      <w:r>
        <w:rPr>
          <w:rFonts w:ascii="Calibri" w:eastAsia="Times New Roman" w:hAnsi="Calibri" w:cs="Times New Roman"/>
          <w:color w:val="000000"/>
          <w:sz w:val="20"/>
          <w:szCs w:val="20"/>
          <w:lang w:val="en-GB"/>
        </w:rPr>
        <w:t xml:space="preserve">, </w:t>
      </w:r>
      <w:r>
        <w:t xml:space="preserve">p = 0.007) with a sensitivity of 74.2%.  </w:t>
      </w:r>
      <w:r w:rsidRPr="00B35325">
        <w:t xml:space="preserve"> </w:t>
      </w:r>
      <w:r>
        <w:t xml:space="preserve">  </w:t>
      </w:r>
    </w:p>
    <w:p w14:paraId="51211732" w14:textId="77777777" w:rsidR="00883E05" w:rsidRDefault="00883E05" w:rsidP="00883E05"/>
    <w:p w14:paraId="7D83C4FC" w14:textId="77777777" w:rsidR="00883E05" w:rsidRPr="002154BB" w:rsidRDefault="00883E05" w:rsidP="00883E05">
      <w:r>
        <w:t>The presence of seizures, faciobrachial movements, and hyponatraemia should raise suspicion of VGKC-disease; alkaline phosphatase</w:t>
      </w:r>
      <w:r w:rsidRPr="002154BB">
        <w:t xml:space="preserve"> m</w:t>
      </w:r>
      <w:r>
        <w:t>ay represent a novel biomarker, particularly in those with peripheral disease.</w:t>
      </w:r>
      <w:r w:rsidRPr="002154BB">
        <w:t xml:space="preserve"> </w:t>
      </w:r>
    </w:p>
    <w:p w14:paraId="246CAFC7" w14:textId="77777777" w:rsidR="0097334D" w:rsidRDefault="0097334D" w:rsidP="00456F36">
      <w:pPr>
        <w:spacing w:after="120" w:line="276" w:lineRule="auto"/>
        <w:rPr>
          <w:b/>
          <w:sz w:val="28"/>
          <w:szCs w:val="28"/>
        </w:rPr>
      </w:pPr>
    </w:p>
    <w:p w14:paraId="70ABC799" w14:textId="77777777" w:rsidR="00505051" w:rsidRPr="00456F36" w:rsidRDefault="00505051" w:rsidP="00456F36">
      <w:pPr>
        <w:spacing w:after="120" w:line="276" w:lineRule="auto"/>
        <w:rPr>
          <w:b/>
          <w:sz w:val="28"/>
          <w:szCs w:val="28"/>
        </w:rPr>
      </w:pPr>
    </w:p>
    <w:p w14:paraId="33E57815" w14:textId="1EA08315" w:rsidR="0097334D" w:rsidRPr="007E25AD" w:rsidRDefault="007E25AD" w:rsidP="00456F36">
      <w:pPr>
        <w:spacing w:after="120" w:line="276" w:lineRule="auto"/>
        <w:rPr>
          <w:b/>
          <w:sz w:val="28"/>
          <w:szCs w:val="28"/>
        </w:rPr>
      </w:pPr>
      <w:r w:rsidRPr="00456F36">
        <w:rPr>
          <w:b/>
          <w:sz w:val="28"/>
          <w:szCs w:val="28"/>
        </w:rPr>
        <w:lastRenderedPageBreak/>
        <w:t>INTRODUCTION</w:t>
      </w:r>
    </w:p>
    <w:p w14:paraId="15003050" w14:textId="41BC4F67" w:rsidR="00EA5491" w:rsidRPr="002154BB" w:rsidRDefault="008F3C88" w:rsidP="00456F36">
      <w:pPr>
        <w:spacing w:after="120" w:line="276" w:lineRule="auto"/>
        <w:rPr>
          <w:u w:val="single"/>
          <w:vertAlign w:val="superscript"/>
        </w:rPr>
      </w:pPr>
      <w:r>
        <w:t>Voltage-gated potassium channel</w:t>
      </w:r>
      <w:r w:rsidR="00084A05">
        <w:t xml:space="preserve"> (VGKC)</w:t>
      </w:r>
      <w:r w:rsidR="002154BB">
        <w:t>-</w:t>
      </w:r>
      <w:r w:rsidR="00BC2D1E">
        <w:t>complex antibodies</w:t>
      </w:r>
      <w:r w:rsidR="00084A05">
        <w:t xml:space="preserve"> </w:t>
      </w:r>
      <w:r w:rsidR="00BC2D1E">
        <w:t>were</w:t>
      </w:r>
      <w:r w:rsidR="002154BB">
        <w:t xml:space="preserve"> initially identified</w:t>
      </w:r>
      <w:r w:rsidR="00001D4E">
        <w:t xml:space="preserve"> </w:t>
      </w:r>
      <w:r w:rsidR="00BC2D1E">
        <w:t xml:space="preserve">in association with </w:t>
      </w:r>
      <w:r w:rsidR="00084A05">
        <w:t>peripheral nerve hyper</w:t>
      </w:r>
      <w:r w:rsidR="002154BB">
        <w:t>-</w:t>
      </w:r>
      <w:r w:rsidR="00084A05">
        <w:t>excitability</w:t>
      </w:r>
      <w:proofErr w:type="gramStart"/>
      <w:r w:rsidR="002154BB">
        <w:t>.</w:t>
      </w:r>
      <w:r w:rsidR="00371323">
        <w:t>[</w:t>
      </w:r>
      <w:proofErr w:type="gramEnd"/>
      <w:r w:rsidR="00371323">
        <w:t>1-5]</w:t>
      </w:r>
      <w:r w:rsidR="00902E11">
        <w:t xml:space="preserve"> </w:t>
      </w:r>
      <w:r w:rsidR="00E63840">
        <w:t>They are</w:t>
      </w:r>
      <w:r w:rsidR="00C875C7">
        <w:t xml:space="preserve"> </w:t>
      </w:r>
      <w:r w:rsidR="009F3E30">
        <w:t>now</w:t>
      </w:r>
      <w:r w:rsidR="005048B3">
        <w:t xml:space="preserve"> </w:t>
      </w:r>
      <w:r w:rsidR="00254AC4">
        <w:t>recognised</w:t>
      </w:r>
      <w:r w:rsidR="00011E59">
        <w:t xml:space="preserve"> </w:t>
      </w:r>
      <w:r w:rsidR="00254AC4">
        <w:t xml:space="preserve">to be </w:t>
      </w:r>
      <w:r w:rsidR="00EA5491">
        <w:t>associated</w:t>
      </w:r>
      <w:r w:rsidR="008C53C9">
        <w:t xml:space="preserve"> with clinical syndromes of both the peripheral (PNS)</w:t>
      </w:r>
      <w:r w:rsidR="00812C4F">
        <w:t xml:space="preserve"> </w:t>
      </w:r>
      <w:r w:rsidR="008C53C9">
        <w:t>a</w:t>
      </w:r>
      <w:r w:rsidR="00EB0F8C">
        <w:t>nd central (CNS) nervous system</w:t>
      </w:r>
      <w:r w:rsidR="009F3649">
        <w:t>,</w:t>
      </w:r>
      <w:r w:rsidR="008C53C9">
        <w:t xml:space="preserve"> </w:t>
      </w:r>
      <w:r w:rsidR="00812C4F">
        <w:t>causing neuromyotonia and limbic encephalitis respectively, or a combined phenotype termed</w:t>
      </w:r>
      <w:r w:rsidR="00467E34">
        <w:t xml:space="preserve"> </w:t>
      </w:r>
      <w:proofErr w:type="spellStart"/>
      <w:r w:rsidR="00467E34">
        <w:t>Morvan’s</w:t>
      </w:r>
      <w:proofErr w:type="spellEnd"/>
      <w:r w:rsidR="00467E34">
        <w:t xml:space="preserve"> syndrome</w:t>
      </w:r>
      <w:r w:rsidR="002154BB">
        <w:t>.</w:t>
      </w:r>
      <w:r w:rsidR="00371323">
        <w:t>[6-9</w:t>
      </w:r>
      <w:r w:rsidR="00371323" w:rsidRPr="00012220">
        <w:t>]</w:t>
      </w:r>
      <w:r w:rsidR="00715A39">
        <w:t xml:space="preserve"> </w:t>
      </w:r>
      <w:r w:rsidR="00EB0F8C">
        <w:t>Th</w:t>
      </w:r>
      <w:r w:rsidR="00715A39">
        <w:t>is</w:t>
      </w:r>
      <w:r w:rsidR="007A0795">
        <w:t xml:space="preserve"> variation in </w:t>
      </w:r>
      <w:r w:rsidR="00B362F3">
        <w:t>clinical phenotype</w:t>
      </w:r>
      <w:r w:rsidR="007A0795">
        <w:t xml:space="preserve">s </w:t>
      </w:r>
      <w:r w:rsidR="00902E11">
        <w:t>is</w:t>
      </w:r>
      <w:r w:rsidR="00884E52">
        <w:t xml:space="preserve"> </w:t>
      </w:r>
      <w:r w:rsidR="00A81711">
        <w:t>attributable</w:t>
      </w:r>
      <w:r w:rsidR="00884E52">
        <w:t xml:space="preserve"> to </w:t>
      </w:r>
      <w:r w:rsidR="0051459E">
        <w:t>different</w:t>
      </w:r>
      <w:r w:rsidR="00DB32C3">
        <w:t xml:space="preserve"> </w:t>
      </w:r>
      <w:r w:rsidR="00B362F3">
        <w:t>antibody</w:t>
      </w:r>
      <w:r w:rsidR="00884E52">
        <w:t xml:space="preserve"> targets </w:t>
      </w:r>
      <w:r w:rsidR="00197235">
        <w:t>on</w:t>
      </w:r>
      <w:r w:rsidR="00884E52">
        <w:t xml:space="preserve"> </w:t>
      </w:r>
      <w:r w:rsidR="008C53C9">
        <w:t xml:space="preserve">the </w:t>
      </w:r>
      <w:r w:rsidR="00884E52">
        <w:t xml:space="preserve">extracellular domains of </w:t>
      </w:r>
      <w:r w:rsidR="00B46A55">
        <w:t xml:space="preserve">neuronal </w:t>
      </w:r>
      <w:r w:rsidR="00C875C7">
        <w:t>cell membrane proteins, w</w:t>
      </w:r>
      <w:r w:rsidR="00902E11">
        <w:t>ith antibodies directed against</w:t>
      </w:r>
      <w:r w:rsidR="00197235">
        <w:t xml:space="preserve"> contactin-2 associated proteins</w:t>
      </w:r>
      <w:r w:rsidR="00884E52">
        <w:t xml:space="preserve"> (CASPR2) </w:t>
      </w:r>
      <w:r w:rsidR="00715A39">
        <w:t xml:space="preserve">causing predominantly peripheral disease and those against </w:t>
      </w:r>
      <w:proofErr w:type="spellStart"/>
      <w:r w:rsidR="00884E52">
        <w:t>leucine</w:t>
      </w:r>
      <w:proofErr w:type="spellEnd"/>
      <w:r w:rsidR="00884E52">
        <w:t xml:space="preserve">-rich </w:t>
      </w:r>
      <w:proofErr w:type="spellStart"/>
      <w:r w:rsidR="00884E52">
        <w:t>glioma</w:t>
      </w:r>
      <w:proofErr w:type="spellEnd"/>
      <w:r w:rsidR="00884E52">
        <w:t xml:space="preserve"> inactivated 1 (LGI1)</w:t>
      </w:r>
      <w:r w:rsidR="00902E11">
        <w:t xml:space="preserve"> </w:t>
      </w:r>
      <w:r w:rsidR="00715A39">
        <w:t>associated with</w:t>
      </w:r>
      <w:r w:rsidR="00902E11">
        <w:t xml:space="preserve"> central manifestations</w:t>
      </w:r>
      <w:r w:rsidR="00254AC4">
        <w:t>.</w:t>
      </w:r>
      <w:r w:rsidR="00371323">
        <w:t>[10-14]</w:t>
      </w:r>
      <w:r w:rsidR="002D6AF2">
        <w:t xml:space="preserve"> </w:t>
      </w:r>
      <w:r w:rsidR="007A5C9F">
        <w:t>Regardless of clinical presentation, e</w:t>
      </w:r>
      <w:r w:rsidR="00647AA7">
        <w:t xml:space="preserve">arly intervention </w:t>
      </w:r>
      <w:r w:rsidR="00254AC4">
        <w:t>is pivotal</w:t>
      </w:r>
      <w:r w:rsidR="00902E11">
        <w:t>, particularly</w:t>
      </w:r>
      <w:r w:rsidR="00254AC4">
        <w:t xml:space="preserve"> as timely immunotherapy </w:t>
      </w:r>
      <w:r w:rsidR="00647AA7">
        <w:t>can significantly improve outcome</w:t>
      </w:r>
      <w:r w:rsidR="00254AC4">
        <w:t xml:space="preserve"> in those with CNS disease</w:t>
      </w:r>
      <w:r w:rsidR="002154BB">
        <w:t>.</w:t>
      </w:r>
      <w:r w:rsidR="00371323">
        <w:t>[15-19]</w:t>
      </w:r>
    </w:p>
    <w:p w14:paraId="35197432" w14:textId="71E47DC0" w:rsidR="00BA15D3" w:rsidRDefault="00805905" w:rsidP="00456F36">
      <w:pPr>
        <w:spacing w:after="120" w:line="276" w:lineRule="auto"/>
      </w:pPr>
      <w:r>
        <w:t>However, a</w:t>
      </w:r>
      <w:r w:rsidR="00A81711">
        <w:t>n</w:t>
      </w:r>
      <w:r w:rsidR="007A0795">
        <w:t xml:space="preserve"> </w:t>
      </w:r>
      <w:r w:rsidR="006F32C2">
        <w:t xml:space="preserve">increasingly </w:t>
      </w:r>
      <w:r w:rsidR="00F41C5F">
        <w:t>diverse</w:t>
      </w:r>
      <w:r w:rsidR="006A5F27">
        <w:t xml:space="preserve"> clinical picture </w:t>
      </w:r>
      <w:r w:rsidR="00565B39">
        <w:t xml:space="preserve">of VGKC disease </w:t>
      </w:r>
      <w:r w:rsidR="006A5F27">
        <w:t>is emerging.  S</w:t>
      </w:r>
      <w:r w:rsidR="00197235">
        <w:t>everal s</w:t>
      </w:r>
      <w:r w:rsidR="007A0795">
        <w:t xml:space="preserve">tudies </w:t>
      </w:r>
      <w:r w:rsidR="006A5F27">
        <w:t xml:space="preserve">have </w:t>
      </w:r>
      <w:r w:rsidR="005322A0">
        <w:t>implicated</w:t>
      </w:r>
      <w:r w:rsidR="007A0795">
        <w:t xml:space="preserve"> VGKC-complex antibodies in </w:t>
      </w:r>
      <w:r w:rsidR="00197235">
        <w:t>epilepsy</w:t>
      </w:r>
      <w:r w:rsidR="00F41C5F">
        <w:t xml:space="preserve">, </w:t>
      </w:r>
      <w:r w:rsidR="004C3ACB">
        <w:t xml:space="preserve">chronic pain, </w:t>
      </w:r>
      <w:r w:rsidR="00F41C5F">
        <w:t>neuropsychiatric</w:t>
      </w:r>
      <w:r w:rsidR="007A0795">
        <w:t xml:space="preserve"> </w:t>
      </w:r>
      <w:r w:rsidR="00C875C7">
        <w:t xml:space="preserve">presentations </w:t>
      </w:r>
      <w:r w:rsidR="007A0795">
        <w:t xml:space="preserve">and </w:t>
      </w:r>
      <w:r w:rsidR="00197235">
        <w:t xml:space="preserve">disorders of movement and </w:t>
      </w:r>
      <w:r w:rsidR="007A0795">
        <w:t xml:space="preserve">autonomic </w:t>
      </w:r>
      <w:r w:rsidR="00197235">
        <w:t>function</w:t>
      </w:r>
      <w:proofErr w:type="gramStart"/>
      <w:r w:rsidR="00B324C9">
        <w:t>.</w:t>
      </w:r>
      <w:r w:rsidR="00371323">
        <w:t>[</w:t>
      </w:r>
      <w:proofErr w:type="gramEnd"/>
      <w:r w:rsidR="00371323">
        <w:t>20-24]</w:t>
      </w:r>
      <w:r w:rsidR="00DB32C3">
        <w:t xml:space="preserve"> </w:t>
      </w:r>
      <w:r w:rsidR="00B3652E">
        <w:t>An</w:t>
      </w:r>
      <w:r w:rsidR="00BA15D3">
        <w:t xml:space="preserve"> expanding clinical </w:t>
      </w:r>
      <w:r w:rsidR="0038090E">
        <w:t>spectrum</w:t>
      </w:r>
      <w:r w:rsidR="00BA15D3">
        <w:t xml:space="preserve">, </w:t>
      </w:r>
      <w:r w:rsidR="00CE32EF">
        <w:t>growing</w:t>
      </w:r>
      <w:r w:rsidR="00974576">
        <w:t xml:space="preserve"> </w:t>
      </w:r>
      <w:r w:rsidR="00BA15D3">
        <w:t xml:space="preserve">awareness and improved </w:t>
      </w:r>
      <w:r w:rsidR="00974576">
        <w:t>availabili</w:t>
      </w:r>
      <w:r w:rsidR="00B3652E">
        <w:t>ty of serum assays has</w:t>
      </w:r>
      <w:r w:rsidR="00BA15D3">
        <w:t xml:space="preserve"> led to a</w:t>
      </w:r>
      <w:r w:rsidR="00CE32EF">
        <w:t>n</w:t>
      </w:r>
      <w:r w:rsidR="00974576">
        <w:t xml:space="preserve"> </w:t>
      </w:r>
      <w:r w:rsidR="00CE32EF">
        <w:t>increase</w:t>
      </w:r>
      <w:r w:rsidR="00974576">
        <w:t xml:space="preserve"> in </w:t>
      </w:r>
      <w:r w:rsidR="00BA15D3">
        <w:t>VGKC-complex antibody testing</w:t>
      </w:r>
      <w:r w:rsidR="00B9196D">
        <w:t>.</w:t>
      </w:r>
      <w:r w:rsidR="00371323">
        <w:t>[25]</w:t>
      </w:r>
      <w:r w:rsidR="0038090E">
        <w:t xml:space="preserve"> However</w:t>
      </w:r>
      <w:r w:rsidR="00BA15D3">
        <w:t>, a</w:t>
      </w:r>
      <w:r w:rsidR="00ED6C9B">
        <w:t xml:space="preserve"> positive serum </w:t>
      </w:r>
      <w:r w:rsidR="009F7952">
        <w:t xml:space="preserve">VGKC-complex antibody </w:t>
      </w:r>
      <w:r w:rsidR="00ED6C9B">
        <w:t xml:space="preserve">assay does not preclude an alternative </w:t>
      </w:r>
      <w:r w:rsidR="00403170">
        <w:t>diagnosis</w:t>
      </w:r>
      <w:r w:rsidR="00B9196D">
        <w:t>.</w:t>
      </w:r>
      <w:r w:rsidR="00C12DC5">
        <w:t>[22, 26-29</w:t>
      </w:r>
      <w:r w:rsidR="00371323">
        <w:t>]</w:t>
      </w:r>
    </w:p>
    <w:p w14:paraId="00D8BD36" w14:textId="1BF0D572" w:rsidR="00F026CB" w:rsidRDefault="00C54026" w:rsidP="00456F36">
      <w:pPr>
        <w:spacing w:after="120" w:line="276" w:lineRule="auto"/>
      </w:pPr>
      <w:r>
        <w:t xml:space="preserve">This presents </w:t>
      </w:r>
      <w:r w:rsidR="00403170">
        <w:t xml:space="preserve">a </w:t>
      </w:r>
      <w:r w:rsidR="00BA15D3">
        <w:t xml:space="preserve">challenge for </w:t>
      </w:r>
      <w:r w:rsidR="00740FD4">
        <w:t>n</w:t>
      </w:r>
      <w:r w:rsidR="0025391A">
        <w:t>eurologists</w:t>
      </w:r>
      <w:r w:rsidR="00BA15D3">
        <w:t xml:space="preserve"> </w:t>
      </w:r>
      <w:r w:rsidR="006A5F27">
        <w:t xml:space="preserve">considering </w:t>
      </w:r>
      <w:r w:rsidR="00BA15D3">
        <w:t>test</w:t>
      </w:r>
      <w:r w:rsidR="00D02A4C">
        <w:t xml:space="preserve">ing for VGKC-complex antibodies, as </w:t>
      </w:r>
      <w:r w:rsidR="00F36CB4">
        <w:t>excessive</w:t>
      </w:r>
      <w:r w:rsidR="002C66CC">
        <w:t xml:space="preserve"> testing may be </w:t>
      </w:r>
      <w:r w:rsidR="00F36CB4">
        <w:t xml:space="preserve">unnecessarily </w:t>
      </w:r>
      <w:r w:rsidR="002C66CC">
        <w:t>costly</w:t>
      </w:r>
      <w:r w:rsidR="00F36CB4">
        <w:t xml:space="preserve"> and</w:t>
      </w:r>
      <w:r w:rsidR="002C66CC">
        <w:t xml:space="preserve"> potentially misleading</w:t>
      </w:r>
      <w:r w:rsidR="009E301D">
        <w:t xml:space="preserve">, whilst not testing can lead to </w:t>
      </w:r>
      <w:proofErr w:type="gramStart"/>
      <w:r w:rsidR="009E301D">
        <w:t>missed</w:t>
      </w:r>
      <w:proofErr w:type="gramEnd"/>
      <w:r w:rsidR="009E301D">
        <w:t xml:space="preserve"> diagnoses</w:t>
      </w:r>
      <w:r w:rsidR="002C66CC">
        <w:t>.</w:t>
      </w:r>
      <w:r w:rsidR="00816A94">
        <w:t xml:space="preserve"> </w:t>
      </w:r>
      <w:r w:rsidR="00B9196D">
        <w:t xml:space="preserve">Therefore, </w:t>
      </w:r>
      <w:r w:rsidR="00816A94">
        <w:t>we analysed</w:t>
      </w:r>
      <w:r w:rsidR="00C83BD3">
        <w:t xml:space="preserve"> </w:t>
      </w:r>
      <w:r w:rsidR="00816A94">
        <w:t xml:space="preserve">the clinical and biochemical features of patients in whom VGKC-complex antibody testing </w:t>
      </w:r>
      <w:r w:rsidR="00416946">
        <w:t>had been</w:t>
      </w:r>
      <w:r w:rsidR="00816A94">
        <w:t xml:space="preserve"> performed to identify the </w:t>
      </w:r>
      <w:r w:rsidR="009E301D">
        <w:t xml:space="preserve">clinical and laboratory </w:t>
      </w:r>
      <w:r w:rsidR="00816A94">
        <w:t>features associated with antibody-positive disease</w:t>
      </w:r>
      <w:r w:rsidR="00701917">
        <w:t>.</w:t>
      </w:r>
    </w:p>
    <w:p w14:paraId="45AEAF45" w14:textId="77777777" w:rsidR="00BA5DD4" w:rsidRPr="007D3ECE" w:rsidRDefault="00BA5DD4" w:rsidP="00456F36">
      <w:pPr>
        <w:spacing w:after="120" w:line="276" w:lineRule="auto"/>
      </w:pPr>
    </w:p>
    <w:p w14:paraId="785175B2" w14:textId="2823192E" w:rsidR="00D3062C" w:rsidRDefault="007E25AD" w:rsidP="00456F36">
      <w:pPr>
        <w:spacing w:after="120" w:line="276" w:lineRule="auto"/>
        <w:rPr>
          <w:b/>
          <w:sz w:val="28"/>
          <w:szCs w:val="28"/>
        </w:rPr>
      </w:pPr>
      <w:r w:rsidRPr="00D3062C">
        <w:rPr>
          <w:b/>
          <w:sz w:val="28"/>
          <w:szCs w:val="28"/>
        </w:rPr>
        <w:t>METHODS</w:t>
      </w:r>
    </w:p>
    <w:p w14:paraId="37D12B9E" w14:textId="6E831B98" w:rsidR="00B533AD" w:rsidRPr="0091137E" w:rsidRDefault="00B533AD" w:rsidP="00456F36">
      <w:pPr>
        <w:spacing w:after="120" w:line="276" w:lineRule="auto"/>
        <w:rPr>
          <w:b/>
          <w:sz w:val="28"/>
          <w:szCs w:val="28"/>
        </w:rPr>
      </w:pPr>
      <w:r>
        <w:rPr>
          <w:b/>
          <w:sz w:val="28"/>
          <w:szCs w:val="28"/>
        </w:rPr>
        <w:t>Patients</w:t>
      </w:r>
    </w:p>
    <w:p w14:paraId="284C1693" w14:textId="531F86E6" w:rsidR="00D163E8" w:rsidRPr="005A55DF" w:rsidRDefault="0097334D" w:rsidP="005A55DF">
      <w:pPr>
        <w:spacing w:after="120" w:line="276" w:lineRule="auto"/>
        <w:rPr>
          <w:color w:val="FF0000"/>
        </w:rPr>
      </w:pPr>
      <w:r>
        <w:t xml:space="preserve">We </w:t>
      </w:r>
      <w:r w:rsidR="00187A93">
        <w:t>conducted</w:t>
      </w:r>
      <w:r>
        <w:t xml:space="preserve"> a </w:t>
      </w:r>
      <w:r w:rsidR="00823BFF">
        <w:t xml:space="preserve">retrospective </w:t>
      </w:r>
      <w:r>
        <w:t xml:space="preserve">case control study </w:t>
      </w:r>
      <w:r w:rsidR="0091137E">
        <w:t xml:space="preserve">at </w:t>
      </w:r>
      <w:r w:rsidR="00823BFF">
        <w:t>the Walton Centre</w:t>
      </w:r>
      <w:r w:rsidR="00565B39">
        <w:t xml:space="preserve"> NHS Foundation Trust</w:t>
      </w:r>
      <w:r w:rsidR="00823BFF">
        <w:t xml:space="preserve">, </w:t>
      </w:r>
      <w:r w:rsidR="0091137E">
        <w:t xml:space="preserve">a regional tertiary </w:t>
      </w:r>
      <w:r w:rsidR="00823BFF">
        <w:t xml:space="preserve">neurology </w:t>
      </w:r>
      <w:r w:rsidR="0091137E">
        <w:t>centre</w:t>
      </w:r>
      <w:r w:rsidR="00823BFF">
        <w:t xml:space="preserve"> in the UK,</w:t>
      </w:r>
      <w:r w:rsidR="0091137E">
        <w:t xml:space="preserve"> serving a population of 3.5 million </w:t>
      </w:r>
      <w:r w:rsidR="00823BFF">
        <w:t>people</w:t>
      </w:r>
      <w:r w:rsidR="0091137E">
        <w:t xml:space="preserve">.  The electronic laboratory database was </w:t>
      </w:r>
      <w:r w:rsidR="009E4887">
        <w:t>screened</w:t>
      </w:r>
      <w:r w:rsidR="0091137E">
        <w:t xml:space="preserve"> </w:t>
      </w:r>
      <w:r w:rsidR="00565B39">
        <w:t xml:space="preserve">over a </w:t>
      </w:r>
      <w:proofErr w:type="gramStart"/>
      <w:r w:rsidR="00565B39">
        <w:t>ten year</w:t>
      </w:r>
      <w:proofErr w:type="gramEnd"/>
      <w:r w:rsidR="00565B39">
        <w:t xml:space="preserve"> period (1</w:t>
      </w:r>
      <w:r w:rsidR="00565B39" w:rsidRPr="0097334D">
        <w:rPr>
          <w:vertAlign w:val="superscript"/>
        </w:rPr>
        <w:t>st</w:t>
      </w:r>
      <w:r w:rsidR="00565B39">
        <w:t>April 2001 to 1</w:t>
      </w:r>
      <w:r w:rsidR="00565B39" w:rsidRPr="0097334D">
        <w:rPr>
          <w:vertAlign w:val="superscript"/>
        </w:rPr>
        <w:t>st</w:t>
      </w:r>
      <w:r w:rsidR="00565B39">
        <w:t xml:space="preserve"> July 2011), </w:t>
      </w:r>
      <w:r w:rsidR="0091137E">
        <w:t xml:space="preserve">to identify </w:t>
      </w:r>
      <w:r w:rsidR="003C5179">
        <w:t xml:space="preserve">adults (&gt;16 years) </w:t>
      </w:r>
      <w:r w:rsidR="00EB2E01">
        <w:t>who</w:t>
      </w:r>
      <w:r w:rsidR="00565B39">
        <w:t>se</w:t>
      </w:r>
      <w:r w:rsidR="00EB2E01">
        <w:t xml:space="preserve"> serum </w:t>
      </w:r>
      <w:r w:rsidR="00565B39">
        <w:t xml:space="preserve">had been </w:t>
      </w:r>
      <w:r w:rsidR="003C5179">
        <w:t>tested for VGKC</w:t>
      </w:r>
      <w:r w:rsidR="00B344E6">
        <w:t>-complex</w:t>
      </w:r>
      <w:r w:rsidR="003C5179">
        <w:t xml:space="preserve"> antibodies</w:t>
      </w:r>
      <w:r w:rsidR="00565B39">
        <w:t>.</w:t>
      </w:r>
      <w:r w:rsidR="005A55DF">
        <w:rPr>
          <w:color w:val="FF0000"/>
        </w:rPr>
        <w:t xml:space="preserve"> </w:t>
      </w:r>
      <w:r w:rsidR="009E4887">
        <w:t>Before</w:t>
      </w:r>
      <w:r w:rsidR="00331D94">
        <w:t xml:space="preserve"> 1</w:t>
      </w:r>
      <w:r w:rsidR="00331D94" w:rsidRPr="00331D94">
        <w:rPr>
          <w:vertAlign w:val="superscript"/>
        </w:rPr>
        <w:t>st</w:t>
      </w:r>
      <w:r w:rsidR="009E4887">
        <w:t xml:space="preserve"> May 2005 sample</w:t>
      </w:r>
      <w:r w:rsidR="00331D94">
        <w:t xml:space="preserve"> processing was outsourced to a second laboratory</w:t>
      </w:r>
      <w:r w:rsidR="00565B39">
        <w:t>; af</w:t>
      </w:r>
      <w:r w:rsidR="009E4887">
        <w:t>ter</w:t>
      </w:r>
      <w:r w:rsidR="00331D94">
        <w:t xml:space="preserve"> this </w:t>
      </w:r>
      <w:r w:rsidR="00BB11CC">
        <w:t>date</w:t>
      </w:r>
      <w:r w:rsidR="00331D94">
        <w:t xml:space="preserve"> </w:t>
      </w:r>
      <w:r w:rsidR="009E4887">
        <w:t>all samples were processed internally</w:t>
      </w:r>
      <w:proofErr w:type="gramStart"/>
      <w:r w:rsidR="009E4887">
        <w:t>.</w:t>
      </w:r>
      <w:r w:rsidR="002B4307">
        <w:t>[</w:t>
      </w:r>
      <w:proofErr w:type="gramEnd"/>
      <w:r w:rsidR="0078383B">
        <w:t>29</w:t>
      </w:r>
      <w:r w:rsidR="002B4307">
        <w:t>]</w:t>
      </w:r>
      <w:r w:rsidR="009E4887">
        <w:t xml:space="preserve"> </w:t>
      </w:r>
      <w:r w:rsidR="00331D94">
        <w:t xml:space="preserve"> </w:t>
      </w:r>
      <w:r w:rsidR="00BB59D8" w:rsidRPr="00EE79FF">
        <w:t xml:space="preserve">A positive titre was defined as </w:t>
      </w:r>
      <w:r w:rsidR="00BB59D8" w:rsidRPr="00EE79FF">
        <w:rPr>
          <w:u w:val="single"/>
        </w:rPr>
        <w:t>&gt;</w:t>
      </w:r>
      <w:r w:rsidR="00BB59D8" w:rsidRPr="00EE79FF">
        <w:t xml:space="preserve">100pmol/L on the Oxford assay and </w:t>
      </w:r>
      <w:r w:rsidR="00BB59D8" w:rsidRPr="00EE79FF">
        <w:rPr>
          <w:u w:val="single"/>
        </w:rPr>
        <w:t>&gt;</w:t>
      </w:r>
      <w:r w:rsidR="00BB59D8" w:rsidRPr="00EE79FF">
        <w:t xml:space="preserve">85pmol/L on the commercial assay </w:t>
      </w:r>
      <w:r w:rsidR="005A55DF">
        <w:t xml:space="preserve">used </w:t>
      </w:r>
      <w:r w:rsidR="00BB59D8" w:rsidRPr="00EE79FF">
        <w:t>at the Walton Centre.</w:t>
      </w:r>
      <w:r w:rsidR="00EE79FF">
        <w:rPr>
          <w:sz w:val="18"/>
          <w:szCs w:val="18"/>
        </w:rPr>
        <w:t xml:space="preserve"> </w:t>
      </w:r>
      <w:r w:rsidR="00934042">
        <w:t xml:space="preserve">Because the number of negatives patients was many </w:t>
      </w:r>
      <w:r w:rsidR="00934042">
        <w:lastRenderedPageBreak/>
        <w:t>more than positives, and we wanted to analyse similar numbers</w:t>
      </w:r>
      <w:r w:rsidR="00342C9C">
        <w:t>,</w:t>
      </w:r>
      <w:r w:rsidR="00934042">
        <w:t xml:space="preserve"> we randomly selected negative p</w:t>
      </w:r>
      <w:r w:rsidR="00F12DE9">
        <w:t xml:space="preserve">atients </w:t>
      </w:r>
      <w:r w:rsidR="007E25AD">
        <w:t xml:space="preserve">(1:1) </w:t>
      </w:r>
      <w:r w:rsidR="00342C9C">
        <w:t>with</w:t>
      </w:r>
      <w:r w:rsidR="00F12DE9">
        <w:t xml:space="preserve"> a random number generator</w:t>
      </w:r>
      <w:proofErr w:type="gramStart"/>
      <w:r w:rsidR="002967C7">
        <w:t>.</w:t>
      </w:r>
      <w:r w:rsidR="0078383B">
        <w:t>[</w:t>
      </w:r>
      <w:proofErr w:type="gramEnd"/>
      <w:r w:rsidR="0078383B">
        <w:t>30</w:t>
      </w:r>
      <w:r w:rsidR="00371323">
        <w:t>]</w:t>
      </w:r>
      <w:r w:rsidR="00E46671">
        <w:t xml:space="preserve"> </w:t>
      </w:r>
    </w:p>
    <w:p w14:paraId="0A0ACB2A" w14:textId="01B895F7" w:rsidR="00BA4231" w:rsidRDefault="00EE32A7" w:rsidP="00456F36">
      <w:pPr>
        <w:spacing w:after="120" w:line="276" w:lineRule="auto"/>
      </w:pPr>
      <w:r>
        <w:t>Both paper and computer-based clinical c</w:t>
      </w:r>
      <w:r w:rsidR="008C4EDE">
        <w:t>ase notes were retrieved</w:t>
      </w:r>
      <w:r w:rsidR="000740F0">
        <w:t xml:space="preserve"> </w:t>
      </w:r>
      <w:r w:rsidR="008C4EDE">
        <w:t xml:space="preserve">and examined </w:t>
      </w:r>
      <w:r w:rsidR="00BA4231">
        <w:t>by members of the team</w:t>
      </w:r>
      <w:r>
        <w:t xml:space="preserve"> (AD, BO, EK, TS)</w:t>
      </w:r>
      <w:r w:rsidR="00F47F60">
        <w:t xml:space="preserve">. </w:t>
      </w:r>
      <w:r w:rsidR="00BA4231">
        <w:t xml:space="preserve"> </w:t>
      </w:r>
      <w:r>
        <w:t>Data were</w:t>
      </w:r>
      <w:r w:rsidR="00F47F60">
        <w:t xml:space="preserve"> collected using a </w:t>
      </w:r>
      <w:proofErr w:type="spellStart"/>
      <w:r w:rsidR="00F47F60">
        <w:t>standardised</w:t>
      </w:r>
      <w:proofErr w:type="spellEnd"/>
      <w:r w:rsidR="00F47F60">
        <w:t xml:space="preserve"> </w:t>
      </w:r>
      <w:proofErr w:type="spellStart"/>
      <w:r w:rsidR="00F47F60">
        <w:t>proforma</w:t>
      </w:r>
      <w:proofErr w:type="spellEnd"/>
      <w:r w:rsidR="00F47F60">
        <w:t xml:space="preserve"> </w:t>
      </w:r>
      <w:r>
        <w:t>for demographics</w:t>
      </w:r>
      <w:r w:rsidR="008C4EDE">
        <w:t xml:space="preserve">, clinical features, investigation results </w:t>
      </w:r>
      <w:r w:rsidR="000C6145">
        <w:t xml:space="preserve">at the time of testing </w:t>
      </w:r>
      <w:r w:rsidR="008C4EDE">
        <w:t>and</w:t>
      </w:r>
      <w:r w:rsidR="000C6145">
        <w:t xml:space="preserve"> the subsequent</w:t>
      </w:r>
      <w:r w:rsidR="008C4EDE">
        <w:t xml:space="preserve"> treatment</w:t>
      </w:r>
      <w:r w:rsidR="004222AC">
        <w:t>,</w:t>
      </w:r>
      <w:r w:rsidR="008C4EDE">
        <w:t xml:space="preserve"> </w:t>
      </w:r>
      <w:r>
        <w:t>informed by</w:t>
      </w:r>
      <w:r w:rsidR="008C4EDE">
        <w:t xml:space="preserve"> syndromes of</w:t>
      </w:r>
      <w:r w:rsidR="00F47F60">
        <w:t xml:space="preserve"> VGKC</w:t>
      </w:r>
      <w:r w:rsidR="00B344E6">
        <w:t>-complex</w:t>
      </w:r>
      <w:r w:rsidR="00F47F60">
        <w:t xml:space="preserve"> antibody-</w:t>
      </w:r>
      <w:r w:rsidR="004757CE">
        <w:t>associated</w:t>
      </w:r>
      <w:r w:rsidR="00F47F60">
        <w:t xml:space="preserve"> </w:t>
      </w:r>
      <w:r w:rsidR="00F47F60" w:rsidRPr="0014737D">
        <w:t>disease</w:t>
      </w:r>
      <w:proofErr w:type="gramStart"/>
      <w:r w:rsidR="0014737D">
        <w:t>.</w:t>
      </w:r>
      <w:r w:rsidR="00371323">
        <w:t>[</w:t>
      </w:r>
      <w:proofErr w:type="gramEnd"/>
      <w:r w:rsidR="00371323">
        <w:t>6-8, 20, 22]</w:t>
      </w:r>
      <w:r w:rsidR="00A23F2C">
        <w:t xml:space="preserve"> </w:t>
      </w:r>
    </w:p>
    <w:p w14:paraId="3EFFF54A" w14:textId="25209B79" w:rsidR="000740F0" w:rsidRDefault="000C6145" w:rsidP="00456F36">
      <w:pPr>
        <w:spacing w:after="120" w:line="276" w:lineRule="auto"/>
      </w:pPr>
      <w:r>
        <w:t xml:space="preserve">To reduce measurement bias, the data collection </w:t>
      </w:r>
      <w:proofErr w:type="spellStart"/>
      <w:r>
        <w:t>proforma</w:t>
      </w:r>
      <w:proofErr w:type="spellEnd"/>
      <w:r>
        <w:t xml:space="preserve"> was refined after an i</w:t>
      </w:r>
      <w:r w:rsidR="00454E6D">
        <w:t xml:space="preserve">nitial analysis of </w:t>
      </w:r>
      <w:r>
        <w:t>a</w:t>
      </w:r>
      <w:r w:rsidR="00454E6D">
        <w:t xml:space="preserve"> </w:t>
      </w:r>
      <w:r>
        <w:t>subset of</w:t>
      </w:r>
      <w:r w:rsidR="00454E6D">
        <w:t xml:space="preserve"> patients </w:t>
      </w:r>
      <w:r w:rsidR="00AA1B74">
        <w:t xml:space="preserve">that </w:t>
      </w:r>
      <w:r w:rsidR="00454E6D">
        <w:t xml:space="preserve">was performed </w:t>
      </w:r>
      <w:r w:rsidR="00CF5AA3">
        <w:t>in duplicate by two members of the team (BO, BDM</w:t>
      </w:r>
      <w:r w:rsidR="00AA1B74">
        <w:t>).</w:t>
      </w:r>
      <w:r w:rsidR="00454E6D">
        <w:t xml:space="preserve">  </w:t>
      </w:r>
      <w:r w:rsidR="004B2360">
        <w:t xml:space="preserve">Study methodology and analysis are presented in accordance with </w:t>
      </w:r>
      <w:proofErr w:type="spellStart"/>
      <w:r w:rsidR="00BA6A44">
        <w:t>STrengthening</w:t>
      </w:r>
      <w:proofErr w:type="spellEnd"/>
      <w:r w:rsidR="00BA6A44">
        <w:t xml:space="preserve"> the Reporting of </w:t>
      </w:r>
      <w:proofErr w:type="spellStart"/>
      <w:r w:rsidR="00BA6A44">
        <w:t>OBservational</w:t>
      </w:r>
      <w:proofErr w:type="spellEnd"/>
      <w:r w:rsidR="00BA6A44">
        <w:t xml:space="preserve"> studies in Epidemiology </w:t>
      </w:r>
      <w:r w:rsidR="004B2360">
        <w:t xml:space="preserve">(STROBE) </w:t>
      </w:r>
      <w:r w:rsidR="00BA6A44">
        <w:t>guidelines</w:t>
      </w:r>
      <w:proofErr w:type="gramStart"/>
      <w:r w:rsidR="0014737D">
        <w:t>.</w:t>
      </w:r>
      <w:r w:rsidR="0078383B">
        <w:t>[</w:t>
      </w:r>
      <w:proofErr w:type="gramEnd"/>
      <w:r w:rsidR="0078383B">
        <w:t>31</w:t>
      </w:r>
      <w:r w:rsidR="00371323">
        <w:t>]</w:t>
      </w:r>
    </w:p>
    <w:p w14:paraId="6E59892C" w14:textId="77777777" w:rsidR="00D3062C" w:rsidRDefault="00D3062C" w:rsidP="00456F36">
      <w:pPr>
        <w:spacing w:after="120" w:line="276" w:lineRule="auto"/>
      </w:pPr>
    </w:p>
    <w:p w14:paraId="7BF03EFD" w14:textId="4AAD603A" w:rsidR="00D3062C" w:rsidRPr="00D3062C" w:rsidRDefault="00D3062C" w:rsidP="00456F36">
      <w:pPr>
        <w:spacing w:after="120" w:line="276" w:lineRule="auto"/>
        <w:rPr>
          <w:b/>
        </w:rPr>
      </w:pPr>
      <w:r w:rsidRPr="00D3062C">
        <w:rPr>
          <w:b/>
        </w:rPr>
        <w:t>Case definitions</w:t>
      </w:r>
    </w:p>
    <w:p w14:paraId="12B9BFDC" w14:textId="35DA6389" w:rsidR="00BA4231" w:rsidRDefault="005F5EAF" w:rsidP="00456F36">
      <w:pPr>
        <w:spacing w:after="120" w:line="276" w:lineRule="auto"/>
      </w:pPr>
      <w:r>
        <w:t xml:space="preserve">Antibody-positive cases </w:t>
      </w:r>
      <w:r w:rsidR="00D3062C">
        <w:t>were</w:t>
      </w:r>
      <w:r w:rsidR="008D41DB">
        <w:t xml:space="preserve"> classified into</w:t>
      </w:r>
      <w:r w:rsidR="00D3062C">
        <w:t xml:space="preserve"> </w:t>
      </w:r>
      <w:r w:rsidR="008D41DB">
        <w:t xml:space="preserve">clinical case definitions </w:t>
      </w:r>
      <w:r w:rsidR="00D3062C">
        <w:t>according to</w:t>
      </w:r>
      <w:r w:rsidR="008D41DB">
        <w:t xml:space="preserve"> clinical features and</w:t>
      </w:r>
      <w:r w:rsidR="00D3062C">
        <w:t xml:space="preserve"> VGKC</w:t>
      </w:r>
      <w:r w:rsidR="00B344E6">
        <w:t>-complex</w:t>
      </w:r>
      <w:r w:rsidR="00D3062C">
        <w:t xml:space="preserve"> </w:t>
      </w:r>
      <w:r w:rsidR="00213047">
        <w:t>antibody titre</w:t>
      </w:r>
      <w:r w:rsidR="00902E11">
        <w:t xml:space="preserve"> as having CNS disease, PNS disease, both CNS/PNS disease, or as </w:t>
      </w:r>
      <w:r w:rsidR="005A55DF">
        <w:t>clinically-insignificant</w:t>
      </w:r>
      <w:r w:rsidR="00902E11">
        <w:t xml:space="preserve"> positive</w:t>
      </w:r>
      <w:r w:rsidR="008D41DB">
        <w:t xml:space="preserve"> (Table 1)</w:t>
      </w:r>
      <w:r w:rsidR="00595E01">
        <w:t xml:space="preserve">. A case was defined as a </w:t>
      </w:r>
      <w:r w:rsidR="007B1491">
        <w:t>clinically-insignificant</w:t>
      </w:r>
      <w:r w:rsidR="00092CC7">
        <w:t xml:space="preserve"> positive </w:t>
      </w:r>
      <w:r w:rsidR="00D60C44">
        <w:t>if</w:t>
      </w:r>
      <w:r w:rsidR="00092CC7">
        <w:t xml:space="preserve"> a </w:t>
      </w:r>
      <w:r w:rsidR="007B1491">
        <w:t xml:space="preserve">positive </w:t>
      </w:r>
      <w:r w:rsidR="00092CC7">
        <w:t>VGKC</w:t>
      </w:r>
      <w:r w:rsidR="00B344E6">
        <w:t>-complex</w:t>
      </w:r>
      <w:r w:rsidR="007B1491">
        <w:t xml:space="preserve"> antibody titre</w:t>
      </w:r>
      <w:r w:rsidR="00092CC7">
        <w:t xml:space="preserve"> was </w:t>
      </w:r>
      <w:r w:rsidR="009130F1">
        <w:t>found</w:t>
      </w:r>
      <w:r w:rsidR="00092CC7">
        <w:t>, in the presence of a more likely alternative diagnosis, for example clinical features</w:t>
      </w:r>
      <w:r w:rsidR="004B2360">
        <w:t>, electrophysiology</w:t>
      </w:r>
      <w:r w:rsidR="009130F1">
        <w:t xml:space="preserve"> and positive acetyl</w:t>
      </w:r>
      <w:r w:rsidR="00AA1B74">
        <w:t>choline receptor</w:t>
      </w:r>
      <w:r w:rsidR="00092CC7">
        <w:t xml:space="preserve"> a</w:t>
      </w:r>
      <w:r w:rsidR="0014737D">
        <w:t>ntibody titres in keeping with myasthenia g</w:t>
      </w:r>
      <w:r w:rsidR="00092CC7">
        <w:t>ravis.</w:t>
      </w:r>
      <w:r w:rsidR="004B2360">
        <w:t xml:space="preserve">  Where cases met one or more of these definitions, the most likely diagnosis as judged clinically was used, and </w:t>
      </w:r>
      <w:r w:rsidR="00AA1B74">
        <w:t xml:space="preserve">any disagreements </w:t>
      </w:r>
      <w:r w:rsidR="004B2360">
        <w:t xml:space="preserve">resolved </w:t>
      </w:r>
      <w:r w:rsidR="0014737D">
        <w:t>through</w:t>
      </w:r>
      <w:r w:rsidR="004B2360">
        <w:t xml:space="preserve"> discussion</w:t>
      </w:r>
      <w:r w:rsidR="005A3D65">
        <w:t xml:space="preserve"> with a more senior author</w:t>
      </w:r>
      <w:r w:rsidR="004B2360">
        <w:t xml:space="preserve"> (BDM, BO, TS).</w:t>
      </w:r>
      <w:r w:rsidR="007B1491">
        <w:t xml:space="preserve"> A case series of a subset of patients has been presented but not as a formal case-control study</w:t>
      </w:r>
      <w:proofErr w:type="gramStart"/>
      <w:r w:rsidR="007B1491">
        <w:t>.[</w:t>
      </w:r>
      <w:proofErr w:type="gramEnd"/>
      <w:r w:rsidR="007B1491">
        <w:t>29]</w:t>
      </w:r>
    </w:p>
    <w:p w14:paraId="6F68CB6F" w14:textId="77777777" w:rsidR="00E467B2" w:rsidRDefault="00E467B2" w:rsidP="004C7D63"/>
    <w:p w14:paraId="26A16F2B" w14:textId="77777777" w:rsidR="00E467B2" w:rsidRDefault="00E467B2" w:rsidP="004C7D63"/>
    <w:p w14:paraId="218E96B5" w14:textId="3E9FFDFC" w:rsidR="00E467B2" w:rsidRDefault="00E467B2" w:rsidP="00E467B2">
      <w:pPr>
        <w:spacing w:after="120" w:line="276" w:lineRule="auto"/>
        <w:rPr>
          <w:b/>
        </w:rPr>
      </w:pPr>
      <w:r>
        <w:rPr>
          <w:b/>
        </w:rPr>
        <w:t>Statistical Methods</w:t>
      </w:r>
    </w:p>
    <w:p w14:paraId="197CFBDE" w14:textId="5AACB747" w:rsidR="00AE52CC" w:rsidRDefault="00F47F60" w:rsidP="00E467B2">
      <w:pPr>
        <w:spacing w:after="120" w:line="276" w:lineRule="auto"/>
      </w:pPr>
      <w:proofErr w:type="spellStart"/>
      <w:r>
        <w:t>Univariate</w:t>
      </w:r>
      <w:proofErr w:type="spellEnd"/>
      <w:r>
        <w:t xml:space="preserve"> statistical analysis was</w:t>
      </w:r>
      <w:r w:rsidR="00E467B2">
        <w:t xml:space="preserve"> </w:t>
      </w:r>
      <w:r w:rsidR="00160479">
        <w:t>conducted</w:t>
      </w:r>
      <w:r w:rsidR="00E467B2">
        <w:t xml:space="preserve"> </w:t>
      </w:r>
      <w:r w:rsidR="00160479">
        <w:t xml:space="preserve">using PRISM </w:t>
      </w:r>
      <w:r w:rsidR="00E40C0F">
        <w:t>(</w:t>
      </w:r>
      <w:proofErr w:type="spellStart"/>
      <w:r w:rsidR="00160479">
        <w:t>GraphPad</w:t>
      </w:r>
      <w:proofErr w:type="spellEnd"/>
      <w:r w:rsidR="00160479">
        <w:t xml:space="preserve"> PRISM 2014</w:t>
      </w:r>
      <w:r w:rsidR="00E467B2">
        <w:t>)</w:t>
      </w:r>
      <w:r w:rsidR="00AE52CC">
        <w:t>.  Sensitivity, specificity, positive predictive value (PPV) and negative predictive value (NPV) of clinical features were calculated and odds ratios with 95% confi</w:t>
      </w:r>
      <w:r w:rsidR="00A66FB9">
        <w:t>dence intervals generated</w:t>
      </w:r>
      <w:r w:rsidR="00AE52CC">
        <w:t>.  C</w:t>
      </w:r>
      <w:r w:rsidR="00E467B2">
        <w:t>hi-squared or Fisher</w:t>
      </w:r>
      <w:r w:rsidR="00A66FB9">
        <w:t>’</w:t>
      </w:r>
      <w:r w:rsidR="00E467B2">
        <w:t>s exact tests</w:t>
      </w:r>
      <w:r w:rsidR="00AE52CC">
        <w:t xml:space="preserve"> were used to compare categorical data and</w:t>
      </w:r>
      <w:r w:rsidR="00E467B2">
        <w:t xml:space="preserve"> the Mann-Whitney</w:t>
      </w:r>
      <w:r w:rsidR="00ED01FF">
        <w:t xml:space="preserve"> U</w:t>
      </w:r>
      <w:r w:rsidR="00E467B2">
        <w:t xml:space="preserve"> test </w:t>
      </w:r>
      <w:r w:rsidR="00AE52CC">
        <w:t xml:space="preserve">was used </w:t>
      </w:r>
      <w:r w:rsidR="00E467B2">
        <w:t>for continuous</w:t>
      </w:r>
      <w:r w:rsidR="00AE52CC">
        <w:t>, non-</w:t>
      </w:r>
      <w:r w:rsidR="009130F1">
        <w:t>parametric</w:t>
      </w:r>
      <w:r w:rsidR="00AE52CC">
        <w:t xml:space="preserve"> </w:t>
      </w:r>
      <w:r w:rsidR="00E467B2">
        <w:t>data</w:t>
      </w:r>
      <w:r w:rsidR="00AE52CC">
        <w:t xml:space="preserve">.  </w:t>
      </w:r>
      <w:r w:rsidR="00EE77DA">
        <w:t xml:space="preserve">To </w:t>
      </w:r>
      <w:proofErr w:type="spellStart"/>
      <w:r w:rsidR="00EE77DA">
        <w:t>minimise</w:t>
      </w:r>
      <w:proofErr w:type="spellEnd"/>
      <w:r w:rsidR="00EE77DA">
        <w:t xml:space="preserve"> the potential for type I error, clinical features occurring in less than 10% of VGKC</w:t>
      </w:r>
      <w:r w:rsidR="00632630">
        <w:t>-complex</w:t>
      </w:r>
      <w:r w:rsidR="00EE77DA">
        <w:t xml:space="preserve"> antibody positive patients were</w:t>
      </w:r>
      <w:r w:rsidR="00AA1B74">
        <w:t xml:space="preserve"> excluded from the analysis. </w:t>
      </w:r>
      <w:r w:rsidR="005E51E9">
        <w:t>Hyponatraemia was defined b</w:t>
      </w:r>
      <w:r w:rsidR="00A66FB9">
        <w:t>y local laboratory protocol as s</w:t>
      </w:r>
      <w:r w:rsidR="005E51E9">
        <w:t xml:space="preserve">odium &lt;133 </w:t>
      </w:r>
      <w:proofErr w:type="spellStart"/>
      <w:r w:rsidR="005E51E9">
        <w:t>mmol</w:t>
      </w:r>
      <w:proofErr w:type="spellEnd"/>
      <w:r w:rsidR="005E51E9">
        <w:t>/L.</w:t>
      </w:r>
      <w:r w:rsidR="00AC0297">
        <w:t xml:space="preserve"> The normal reference range for alkaline phosphatase</w:t>
      </w:r>
      <w:r w:rsidR="0070171A">
        <w:t xml:space="preserve"> (ALP)</w:t>
      </w:r>
      <w:r w:rsidR="00AC0297">
        <w:t xml:space="preserve"> was </w:t>
      </w:r>
      <w:r w:rsidR="00805B0A">
        <w:t xml:space="preserve">30-130 </w:t>
      </w:r>
      <w:r w:rsidR="00AC0297">
        <w:t>units/L).</w:t>
      </w:r>
    </w:p>
    <w:p w14:paraId="1A329519" w14:textId="32027244" w:rsidR="000A072A" w:rsidRDefault="00ED01FF" w:rsidP="00E467B2">
      <w:pPr>
        <w:spacing w:after="120" w:line="276" w:lineRule="auto"/>
      </w:pPr>
      <w:r>
        <w:t xml:space="preserve">Multivariate </w:t>
      </w:r>
      <w:r w:rsidR="00AE52CC">
        <w:t xml:space="preserve">logistic regression </w:t>
      </w:r>
      <w:r>
        <w:t xml:space="preserve">analysis was performed using SPSS </w:t>
      </w:r>
      <w:r w:rsidR="00160479">
        <w:t xml:space="preserve">(SPSS </w:t>
      </w:r>
      <w:r w:rsidR="007D409F">
        <w:t>v</w:t>
      </w:r>
      <w:r w:rsidR="00160479">
        <w:t>20 2012)</w:t>
      </w:r>
      <w:r w:rsidR="00AE52CC">
        <w:t>.</w:t>
      </w:r>
      <w:r w:rsidR="00632630">
        <w:t xml:space="preserve">  The presence of VGKC-complex </w:t>
      </w:r>
      <w:r w:rsidR="004757CE">
        <w:t>antibody-</w:t>
      </w:r>
      <w:r w:rsidR="00AE52CC">
        <w:t xml:space="preserve">associated disease was used as </w:t>
      </w:r>
      <w:r w:rsidR="00AE52CC">
        <w:lastRenderedPageBreak/>
        <w:t xml:space="preserve">a binary outcome measure.  In order </w:t>
      </w:r>
      <w:r w:rsidR="004B2360">
        <w:t>that missing data did not bias the multivariate analysis</w:t>
      </w:r>
      <w:r w:rsidR="00AE52CC">
        <w:t>, variables that were</w:t>
      </w:r>
      <w:r w:rsidR="00E40C0F">
        <w:t xml:space="preserve"> not</w:t>
      </w:r>
      <w:r w:rsidR="00AE52CC">
        <w:t xml:space="preserve"> recorded </w:t>
      </w:r>
      <w:r w:rsidR="00E40C0F">
        <w:t>in the majority of</w:t>
      </w:r>
      <w:r w:rsidR="00AE52CC">
        <w:t xml:space="preserve"> patients were excluded.</w:t>
      </w:r>
      <w:r w:rsidR="004B2360">
        <w:t xml:space="preserve"> </w:t>
      </w:r>
      <w:r w:rsidR="00AE52CC">
        <w:t xml:space="preserve"> Statistical significance was defined as </w:t>
      </w:r>
      <w:r w:rsidR="00AE52CC">
        <w:rPr>
          <w:i/>
        </w:rPr>
        <w:t>P</w:t>
      </w:r>
      <w:r w:rsidR="00400EF6">
        <w:t>&lt;0.</w:t>
      </w:r>
      <w:r w:rsidR="000A072A">
        <w:t>05.</w:t>
      </w:r>
    </w:p>
    <w:p w14:paraId="453AE61C" w14:textId="77777777" w:rsidR="000A072A" w:rsidRPr="000A072A" w:rsidRDefault="000A072A" w:rsidP="000A072A"/>
    <w:p w14:paraId="00E8D34B" w14:textId="6A3930AC" w:rsidR="00657D76" w:rsidRPr="00BA6A44" w:rsidRDefault="007E25AD" w:rsidP="00BA6A44">
      <w:pPr>
        <w:spacing w:after="120" w:line="276" w:lineRule="auto"/>
        <w:rPr>
          <w:b/>
          <w:sz w:val="28"/>
          <w:szCs w:val="28"/>
        </w:rPr>
      </w:pPr>
      <w:r>
        <w:rPr>
          <w:b/>
          <w:sz w:val="28"/>
          <w:szCs w:val="28"/>
        </w:rPr>
        <w:t>R</w:t>
      </w:r>
      <w:r w:rsidRPr="00BA6A44">
        <w:rPr>
          <w:b/>
          <w:sz w:val="28"/>
          <w:szCs w:val="28"/>
        </w:rPr>
        <w:t>ESULTS</w:t>
      </w:r>
    </w:p>
    <w:p w14:paraId="3857CBE7" w14:textId="061386B4" w:rsidR="00FE1C34" w:rsidRDefault="00FE1C34" w:rsidP="00BA6A44">
      <w:pPr>
        <w:spacing w:after="120" w:line="276" w:lineRule="auto"/>
        <w:rPr>
          <w:b/>
        </w:rPr>
      </w:pPr>
      <w:r>
        <w:rPr>
          <w:b/>
        </w:rPr>
        <w:t>Identification</w:t>
      </w:r>
      <w:r w:rsidR="0080277C">
        <w:rPr>
          <w:b/>
        </w:rPr>
        <w:t xml:space="preserve"> and clinical diagnosis</w:t>
      </w:r>
    </w:p>
    <w:p w14:paraId="57AB3654" w14:textId="6E4A4E76" w:rsidR="00580DBA" w:rsidRDefault="0080277C" w:rsidP="00BA6A44">
      <w:pPr>
        <w:spacing w:after="120" w:line="276" w:lineRule="auto"/>
      </w:pPr>
      <w:r>
        <w:t>Between 2001 and 2011, 1236 patients were tested for VGKC</w:t>
      </w:r>
      <w:r w:rsidR="00632630">
        <w:t>-complex</w:t>
      </w:r>
      <w:r>
        <w:t xml:space="preserve"> antibodies, of </w:t>
      </w:r>
      <w:proofErr w:type="gramStart"/>
      <w:r>
        <w:t>whom</w:t>
      </w:r>
      <w:proofErr w:type="gramEnd"/>
      <w:r>
        <w:t xml:space="preserve"> 87 </w:t>
      </w:r>
      <w:r w:rsidR="00D96FD8">
        <w:t xml:space="preserve">(7%) </w:t>
      </w:r>
      <w:r w:rsidR="00E40C0F">
        <w:t>were</w:t>
      </w:r>
      <w:r w:rsidR="00E649E8">
        <w:t xml:space="preserve"> positive</w:t>
      </w:r>
      <w:r w:rsidR="00B43CD2">
        <w:t xml:space="preserve"> (Figure 1)</w:t>
      </w:r>
      <w:r w:rsidR="00E649E8">
        <w:t xml:space="preserve">. </w:t>
      </w:r>
      <w:r w:rsidR="009D0854">
        <w:t xml:space="preserve"> Over this period we identified a large increase in the numbers of patient</w:t>
      </w:r>
      <w:r w:rsidR="00F06C2C">
        <w:t>s tested</w:t>
      </w:r>
      <w:r w:rsidR="006F58DA">
        <w:t xml:space="preserve">. </w:t>
      </w:r>
      <w:r w:rsidR="004B6075">
        <w:t>Between the first and second quarter studied the median (range) numb</w:t>
      </w:r>
      <w:r w:rsidR="00F07914">
        <w:t>er tested per month rose from 3.5</w:t>
      </w:r>
      <w:r w:rsidR="004B6075">
        <w:t xml:space="preserve"> (</w:t>
      </w:r>
      <w:r w:rsidR="00F07914">
        <w:t xml:space="preserve">1-7) to 7 </w:t>
      </w:r>
      <w:r w:rsidR="004B6075">
        <w:t>(</w:t>
      </w:r>
      <w:r w:rsidR="00F07914">
        <w:t>3-13</w:t>
      </w:r>
      <w:r w:rsidR="004B6075">
        <w:t xml:space="preserve">), p&lt;0.0001; and between the second and third quarter studied </w:t>
      </w:r>
      <w:r w:rsidR="00C06510">
        <w:t>this</w:t>
      </w:r>
      <w:r w:rsidR="00F07914">
        <w:t xml:space="preserve"> rose from 7 (3-13) to 15 (7-26</w:t>
      </w:r>
      <w:r w:rsidR="004B6075">
        <w:t>), p&lt;0.0001. Although there was an increase in the number tested per month between the third to fourth quarters stud</w:t>
      </w:r>
      <w:r w:rsidR="00F07914">
        <w:t>ied this was not significant, 15</w:t>
      </w:r>
      <w:r w:rsidR="004B6075">
        <w:t xml:space="preserve"> (</w:t>
      </w:r>
      <w:r w:rsidR="00F07914">
        <w:t>7-26) to 16</w:t>
      </w:r>
      <w:r w:rsidR="004B6075">
        <w:t xml:space="preserve"> (</w:t>
      </w:r>
      <w:r w:rsidR="00F07914">
        <w:t>9-27</w:t>
      </w:r>
      <w:r w:rsidR="004B6075">
        <w:t xml:space="preserve">), p=0.045.  </w:t>
      </w:r>
      <w:r w:rsidR="00C06510">
        <w:t>Despite this increased testing</w:t>
      </w:r>
      <w:r w:rsidR="004B6075">
        <w:t xml:space="preserve"> over these periods</w:t>
      </w:r>
      <w:r w:rsidR="00C06510">
        <w:t>,</w:t>
      </w:r>
      <w:r w:rsidR="004B6075">
        <w:t xml:space="preserve"> the was no significant increase in the number of positive patients identified, </w:t>
      </w:r>
      <w:r w:rsidR="00B45C7D">
        <w:t xml:space="preserve">and </w:t>
      </w:r>
      <w:r w:rsidR="004B6075">
        <w:t>the perc</w:t>
      </w:r>
      <w:r w:rsidR="00C06510">
        <w:t xml:space="preserve">entage of positive patients </w:t>
      </w:r>
      <w:r w:rsidR="004B6075">
        <w:t>remained low in each quarter</w:t>
      </w:r>
      <w:r w:rsidR="00C06510">
        <w:t xml:space="preserve"> studied</w:t>
      </w:r>
      <w:r w:rsidR="004B6075">
        <w:t xml:space="preserve"> (3.2%, 9.3%, </w:t>
      </w:r>
      <w:r w:rsidR="009C3496">
        <w:t>5.2%, and 7.0% respectively</w:t>
      </w:r>
      <w:r w:rsidR="007B1491">
        <w:t>), and the percentage of those with VGKC-complex disease was low throughout the study period</w:t>
      </w:r>
      <w:r w:rsidR="004B6075">
        <w:t xml:space="preserve"> </w:t>
      </w:r>
      <w:r w:rsidR="009D0854">
        <w:t>(Figure 2</w:t>
      </w:r>
      <w:r w:rsidR="009D0854" w:rsidRPr="007422D9">
        <w:t>).</w:t>
      </w:r>
      <w:r w:rsidR="009D0854" w:rsidRPr="007422D9">
        <w:rPr>
          <w:color w:val="FF0000"/>
        </w:rPr>
        <w:t xml:space="preserve"> </w:t>
      </w:r>
      <w:r w:rsidR="001F1BCB">
        <w:t>C</w:t>
      </w:r>
      <w:r w:rsidR="007422D9">
        <w:t>linical information</w:t>
      </w:r>
      <w:r w:rsidR="00E649E8">
        <w:t xml:space="preserve"> </w:t>
      </w:r>
      <w:r w:rsidR="00B43CD2">
        <w:t xml:space="preserve">was available </w:t>
      </w:r>
      <w:r w:rsidR="00E649E8">
        <w:t>for</w:t>
      </w:r>
      <w:r w:rsidR="00EF2D1C">
        <w:t xml:space="preserve"> </w:t>
      </w:r>
      <w:r w:rsidR="00AA1B74">
        <w:t>62</w:t>
      </w:r>
      <w:r w:rsidR="00D96FD8">
        <w:t xml:space="preserve"> </w:t>
      </w:r>
      <w:r w:rsidR="00AA1B74">
        <w:t>(71</w:t>
      </w:r>
      <w:r w:rsidR="007422D9">
        <w:t>%)</w:t>
      </w:r>
      <w:r w:rsidR="00AA1B74">
        <w:t xml:space="preserve"> of</w:t>
      </w:r>
      <w:r w:rsidR="007422D9">
        <w:t xml:space="preserve"> </w:t>
      </w:r>
      <w:r>
        <w:t xml:space="preserve">patients </w:t>
      </w:r>
      <w:r w:rsidR="001F1BCB">
        <w:t xml:space="preserve">with a positive antibody </w:t>
      </w:r>
      <w:r w:rsidR="00AA1B74">
        <w:t>titre</w:t>
      </w:r>
      <w:r w:rsidR="00EF2D1C">
        <w:t xml:space="preserve">. </w:t>
      </w:r>
      <w:r w:rsidR="00AA1B74">
        <w:t xml:space="preserve">Of these 35 (56%) met the clinical case definition for VGKC-complex disease; 13 (37%) had CNS disease, 17 (49%) had PNS disease and 5 (14%) had combined CNS/PNS disease. </w:t>
      </w:r>
      <w:proofErr w:type="gramStart"/>
      <w:r w:rsidR="007422D9">
        <w:t>Twenty-seven</w:t>
      </w:r>
      <w:proofErr w:type="gramEnd"/>
      <w:r w:rsidR="007422D9">
        <w:t xml:space="preserve"> </w:t>
      </w:r>
      <w:r w:rsidR="008E5D0D">
        <w:t xml:space="preserve">(44%) </w:t>
      </w:r>
      <w:r w:rsidR="007422D9">
        <w:t>met the clinical case definition for false positive</w:t>
      </w:r>
      <w:r w:rsidR="00D31640">
        <w:t xml:space="preserve"> and </w:t>
      </w:r>
      <w:r w:rsidR="00E40C0F">
        <w:t>had</w:t>
      </w:r>
      <w:r w:rsidR="00B918E0">
        <w:t xml:space="preserve"> a broad range of final diagnoses</w:t>
      </w:r>
      <w:r w:rsidR="00AA1B74">
        <w:t xml:space="preserve">, many of which were </w:t>
      </w:r>
      <w:r w:rsidR="00B45C7D">
        <w:t xml:space="preserve">other </w:t>
      </w:r>
      <w:r w:rsidR="00AA1B74">
        <w:t>autoimmune conditions</w:t>
      </w:r>
      <w:r w:rsidR="00B918E0">
        <w:t xml:space="preserve"> (</w:t>
      </w:r>
      <w:r w:rsidR="00A17F6F">
        <w:t>Table 2</w:t>
      </w:r>
      <w:r w:rsidR="007750F5">
        <w:t>a</w:t>
      </w:r>
      <w:r w:rsidR="00B918E0">
        <w:t>)</w:t>
      </w:r>
      <w:r w:rsidR="006F494D">
        <w:t xml:space="preserve">. </w:t>
      </w:r>
      <w:r w:rsidR="001C6FA3">
        <w:t>In 24 (85%) false positive cases there were clear neuroimaging, neurophysiological, and/or cerebrospinal fluid abnormalities more consistent with an alternative diagnosis</w:t>
      </w:r>
      <w:r w:rsidR="00186E2F">
        <w:t>.</w:t>
      </w:r>
    </w:p>
    <w:p w14:paraId="56D0D0F0" w14:textId="3D31E2CA" w:rsidR="00C438D1" w:rsidRDefault="00580DBA" w:rsidP="00BA6A44">
      <w:pPr>
        <w:spacing w:after="120" w:line="276" w:lineRule="auto"/>
      </w:pPr>
      <w:r>
        <w:t xml:space="preserve">Patients meeting the clinical case definitions </w:t>
      </w:r>
      <w:r w:rsidR="00672BCB">
        <w:t>for</w:t>
      </w:r>
      <w:r>
        <w:t xml:space="preserve"> VGKC-complex disease had significantly higher antibody titres than false positive cases</w:t>
      </w:r>
      <w:r w:rsidR="00F06C2C">
        <w:t xml:space="preserve"> </w:t>
      </w:r>
      <w:r w:rsidR="00291A21">
        <w:t>(</w:t>
      </w:r>
      <w:r w:rsidR="00DF6C81">
        <w:t>p</w:t>
      </w:r>
      <w:r w:rsidR="00291A21">
        <w:t xml:space="preserve">&lt;0.01) </w:t>
      </w:r>
      <w:r w:rsidR="00F06C2C">
        <w:t xml:space="preserve">and those with </w:t>
      </w:r>
      <w:r w:rsidR="00600C6F">
        <w:t xml:space="preserve">CNS </w:t>
      </w:r>
      <w:r w:rsidR="00F06C2C">
        <w:t>disease</w:t>
      </w:r>
      <w:r w:rsidR="007750F5">
        <w:t xml:space="preserve"> </w:t>
      </w:r>
      <w:r w:rsidR="00F06C2C">
        <w:t>had</w:t>
      </w:r>
      <w:r>
        <w:t xml:space="preserve"> the highest </w:t>
      </w:r>
      <w:r w:rsidR="007750F5">
        <w:t>titre</w:t>
      </w:r>
      <w:r w:rsidR="00DF6C81">
        <w:t xml:space="preserve"> (p</w:t>
      </w:r>
      <w:r w:rsidR="00291A21">
        <w:t>&lt;0.001)</w:t>
      </w:r>
      <w:r>
        <w:t xml:space="preserve"> (Figure 3)</w:t>
      </w:r>
      <w:r w:rsidR="00E02CDC">
        <w:t>.</w:t>
      </w:r>
      <w:r w:rsidR="00583836">
        <w:t xml:space="preserve"> </w:t>
      </w:r>
      <w:r w:rsidR="00E649E8">
        <w:t>From t</w:t>
      </w:r>
      <w:r w:rsidR="00E2102B">
        <w:t>he remaining 1149 VGKC</w:t>
      </w:r>
      <w:r w:rsidR="00632630">
        <w:t>-complex</w:t>
      </w:r>
      <w:r w:rsidR="00E2102B">
        <w:t xml:space="preserve"> antibody </w:t>
      </w:r>
      <w:r w:rsidR="00E649E8">
        <w:t xml:space="preserve">negative patients, 60 were </w:t>
      </w:r>
      <w:r w:rsidR="00E2102B">
        <w:t xml:space="preserve">randomly selected </w:t>
      </w:r>
      <w:r w:rsidR="00E649E8">
        <w:t>as control</w:t>
      </w:r>
      <w:r w:rsidR="00FE6B6A">
        <w:t xml:space="preserve">s, </w:t>
      </w:r>
      <w:r w:rsidR="005A4906">
        <w:t>for 50 of which</w:t>
      </w:r>
      <w:r w:rsidR="00B45C7D">
        <w:t xml:space="preserve"> </w:t>
      </w:r>
      <w:r w:rsidR="00FE6B6A">
        <w:t>c</w:t>
      </w:r>
      <w:r w:rsidR="00E2102B">
        <w:t xml:space="preserve">linical </w:t>
      </w:r>
      <w:r w:rsidR="00FE6B6A">
        <w:t>case notes were</w:t>
      </w:r>
      <w:r w:rsidR="007750F5">
        <w:t xml:space="preserve"> available</w:t>
      </w:r>
      <w:r w:rsidR="00E2102B">
        <w:t xml:space="preserve"> </w:t>
      </w:r>
      <w:r w:rsidR="007750F5">
        <w:t>(Table 2b</w:t>
      </w:r>
      <w:r w:rsidR="00E2102B">
        <w:t>).</w:t>
      </w:r>
      <w:r w:rsidR="00081BCD">
        <w:t xml:space="preserve">  There was no statistically significant difference </w:t>
      </w:r>
      <w:r w:rsidR="007750F5">
        <w:t xml:space="preserve">between </w:t>
      </w:r>
      <w:r w:rsidR="00726602">
        <w:t>those</w:t>
      </w:r>
      <w:r w:rsidR="007750F5">
        <w:t xml:space="preserve"> with VGKC-complex disease and antibody negative </w:t>
      </w:r>
      <w:r w:rsidR="00291A21">
        <w:t>controls</w:t>
      </w:r>
      <w:r w:rsidR="007750F5">
        <w:t xml:space="preserve"> </w:t>
      </w:r>
      <w:r w:rsidR="00081BCD">
        <w:t xml:space="preserve">in </w:t>
      </w:r>
      <w:r w:rsidR="007750F5">
        <w:t xml:space="preserve">median [range] </w:t>
      </w:r>
      <w:r w:rsidR="00081BCD">
        <w:t>age</w:t>
      </w:r>
      <w:r w:rsidR="00583836">
        <w:t xml:space="preserve"> (50 [21-77] vs. 56 [18-82] </w:t>
      </w:r>
      <w:r w:rsidR="00E20153">
        <w:t>respectively</w:t>
      </w:r>
      <w:r w:rsidR="00583836">
        <w:t xml:space="preserve">, </w:t>
      </w:r>
      <w:r w:rsidR="00583836" w:rsidRPr="00DF6C81">
        <w:t>p</w:t>
      </w:r>
      <w:r w:rsidR="00583836">
        <w:rPr>
          <w:i/>
        </w:rPr>
        <w:t xml:space="preserve"> </w:t>
      </w:r>
      <w:r w:rsidR="00583836">
        <w:t>= 0.51)</w:t>
      </w:r>
      <w:r w:rsidR="007750F5">
        <w:t xml:space="preserve"> or </w:t>
      </w:r>
      <w:r w:rsidR="00583836">
        <w:t xml:space="preserve">the </w:t>
      </w:r>
      <w:r w:rsidR="007750F5">
        <w:t>proportion who were male</w:t>
      </w:r>
      <w:r w:rsidR="00081BCD">
        <w:t xml:space="preserve"> </w:t>
      </w:r>
      <w:r w:rsidR="00583836">
        <w:t>(21 [60%]</w:t>
      </w:r>
      <w:r w:rsidR="007750F5">
        <w:t xml:space="preserve"> vs. </w:t>
      </w:r>
      <w:r w:rsidR="00583836">
        <w:t>29 [58%] respectively</w:t>
      </w:r>
      <w:r w:rsidR="00726602">
        <w:t xml:space="preserve">, </w:t>
      </w:r>
      <w:r w:rsidR="007750F5" w:rsidRPr="00DF6C81">
        <w:t>p</w:t>
      </w:r>
      <w:r w:rsidR="007750F5">
        <w:t xml:space="preserve"> </w:t>
      </w:r>
      <w:r w:rsidR="00081BCD">
        <w:t>= 0.85</w:t>
      </w:r>
      <w:r w:rsidR="007750F5">
        <w:t>).</w:t>
      </w:r>
    </w:p>
    <w:p w14:paraId="1C83CA43" w14:textId="77777777" w:rsidR="001F1BCB" w:rsidRDefault="001F1BCB" w:rsidP="00E02CDC">
      <w:pPr>
        <w:spacing w:after="120" w:line="276" w:lineRule="auto"/>
        <w:rPr>
          <w:b/>
        </w:rPr>
      </w:pPr>
    </w:p>
    <w:p w14:paraId="3DD62CA2" w14:textId="77777777" w:rsidR="005A4906" w:rsidRDefault="005A4906" w:rsidP="00E02CDC">
      <w:pPr>
        <w:spacing w:after="120" w:line="276" w:lineRule="auto"/>
        <w:rPr>
          <w:b/>
        </w:rPr>
      </w:pPr>
    </w:p>
    <w:p w14:paraId="539C0A1F" w14:textId="77777777" w:rsidR="0070171A" w:rsidRDefault="0070171A" w:rsidP="00E02CDC">
      <w:pPr>
        <w:spacing w:after="120" w:line="276" w:lineRule="auto"/>
        <w:rPr>
          <w:b/>
        </w:rPr>
      </w:pPr>
    </w:p>
    <w:p w14:paraId="243D31D0" w14:textId="77777777" w:rsidR="0070171A" w:rsidRDefault="0070171A" w:rsidP="00E02CDC">
      <w:pPr>
        <w:spacing w:after="120" w:line="276" w:lineRule="auto"/>
        <w:rPr>
          <w:b/>
        </w:rPr>
      </w:pPr>
    </w:p>
    <w:p w14:paraId="3C446FC5" w14:textId="5C4FA39D" w:rsidR="00E02CDC" w:rsidRDefault="00955AE1" w:rsidP="00E02CDC">
      <w:pPr>
        <w:spacing w:after="120" w:line="276" w:lineRule="auto"/>
        <w:rPr>
          <w:b/>
        </w:rPr>
      </w:pPr>
      <w:r>
        <w:rPr>
          <w:b/>
        </w:rPr>
        <w:lastRenderedPageBreak/>
        <w:t>Demographics and presentation</w:t>
      </w:r>
    </w:p>
    <w:p w14:paraId="14D61CE0" w14:textId="3B9A1360" w:rsidR="00955AE1" w:rsidRDefault="00AD6ACE" w:rsidP="00E02CDC">
      <w:pPr>
        <w:spacing w:after="120" w:line="276" w:lineRule="auto"/>
      </w:pPr>
      <w:r>
        <w:t xml:space="preserve">The median [range] </w:t>
      </w:r>
      <w:r w:rsidR="00433D07">
        <w:t xml:space="preserve">time </w:t>
      </w:r>
      <w:r w:rsidR="00017EE5">
        <w:t>between presentation to tertiary services and</w:t>
      </w:r>
      <w:r>
        <w:t xml:space="preserve"> antibody testing was significantly </w:t>
      </w:r>
      <w:r w:rsidR="00EF0756">
        <w:t>shorter</w:t>
      </w:r>
      <w:r>
        <w:t xml:space="preserve"> in those with </w:t>
      </w:r>
      <w:r w:rsidR="00EF0756">
        <w:t xml:space="preserve">VGKC-complex disease compared with antibody negative </w:t>
      </w:r>
      <w:r w:rsidR="003E6F4E">
        <w:t>controls</w:t>
      </w:r>
      <w:r>
        <w:t xml:space="preserve"> </w:t>
      </w:r>
      <w:r w:rsidR="00745A36">
        <w:t>(</w:t>
      </w:r>
      <w:r w:rsidR="00FE6B6A">
        <w:t xml:space="preserve">0 [-240 to </w:t>
      </w:r>
      <w:r w:rsidR="00EF0756">
        <w:t xml:space="preserve">1013] vs. </w:t>
      </w:r>
      <w:r w:rsidR="00745A36">
        <w:t>29 [-4</w:t>
      </w:r>
      <w:r w:rsidR="00FE6B6A">
        <w:t xml:space="preserve"> to </w:t>
      </w:r>
      <w:r w:rsidR="00EF0756">
        <w:t>2920]</w:t>
      </w:r>
      <w:r w:rsidR="00017EE5">
        <w:t xml:space="preserve"> </w:t>
      </w:r>
      <w:r w:rsidR="00E02CDC">
        <w:t>days</w:t>
      </w:r>
      <w:r w:rsidR="00531F50">
        <w:t xml:space="preserve"> respectively</w:t>
      </w:r>
      <w:r w:rsidR="00E02CDC">
        <w:t xml:space="preserve">, </w:t>
      </w:r>
      <w:r w:rsidRPr="00DF6C81">
        <w:t>p</w:t>
      </w:r>
      <w:r>
        <w:t xml:space="preserve"> </w:t>
      </w:r>
      <w:r w:rsidR="00BE6031">
        <w:t>= 0.01</w:t>
      </w:r>
      <w:r w:rsidR="00E02CDC">
        <w:t>).</w:t>
      </w:r>
      <w:r w:rsidR="00BA0ABB">
        <w:t xml:space="preserve">  </w:t>
      </w:r>
      <w:r w:rsidR="003E6F4E">
        <w:t>In addition, t</w:t>
      </w:r>
      <w:r w:rsidR="00BE6031">
        <w:t>he duration of symptoms before</w:t>
      </w:r>
      <w:r w:rsidR="00BA0ABB">
        <w:t xml:space="preserve"> </w:t>
      </w:r>
      <w:r w:rsidR="006E6C27">
        <w:t xml:space="preserve">antibody testing was shorter in </w:t>
      </w:r>
      <w:r w:rsidR="00BE6031">
        <w:t xml:space="preserve">those with </w:t>
      </w:r>
      <w:r w:rsidR="006E6C27">
        <w:t>VGKC</w:t>
      </w:r>
      <w:r w:rsidR="00632630">
        <w:t>-complex</w:t>
      </w:r>
      <w:r w:rsidR="006E6C27">
        <w:t xml:space="preserve"> disease</w:t>
      </w:r>
      <w:r w:rsidR="00BE6031">
        <w:t xml:space="preserve"> than antibody negative </w:t>
      </w:r>
      <w:r w:rsidR="003E6F4E">
        <w:t>controls</w:t>
      </w:r>
      <w:r w:rsidR="006E6C27">
        <w:t xml:space="preserve">, </w:t>
      </w:r>
      <w:r w:rsidR="00BE6031">
        <w:t>although this was not significant</w:t>
      </w:r>
      <w:r w:rsidR="008E40C3">
        <w:t xml:space="preserve"> (337</w:t>
      </w:r>
      <w:r w:rsidR="00FE6B6A">
        <w:t xml:space="preserve"> [30 to </w:t>
      </w:r>
      <w:r w:rsidR="00531F50">
        <w:t>21,360]</w:t>
      </w:r>
      <w:r w:rsidR="008E40C3">
        <w:t xml:space="preserve"> vs. 547</w:t>
      </w:r>
      <w:r w:rsidR="00FE6B6A">
        <w:t xml:space="preserve"> [6 to </w:t>
      </w:r>
      <w:r w:rsidR="00531F50">
        <w:t>12,410]</w:t>
      </w:r>
      <w:r w:rsidR="008E40C3">
        <w:t xml:space="preserve"> days</w:t>
      </w:r>
      <w:r w:rsidR="00531F50">
        <w:t xml:space="preserve"> respectively</w:t>
      </w:r>
      <w:r w:rsidR="008E40C3">
        <w:t xml:space="preserve">, </w:t>
      </w:r>
      <w:r w:rsidR="00531F50" w:rsidRPr="00DF6C81">
        <w:t xml:space="preserve">p </w:t>
      </w:r>
      <w:r w:rsidR="00531F50">
        <w:t>= 0.09</w:t>
      </w:r>
      <w:r w:rsidR="008E40C3">
        <w:t>).</w:t>
      </w:r>
      <w:r w:rsidR="00531F50">
        <w:t xml:space="preserve">  The</w:t>
      </w:r>
      <w:r w:rsidR="00017EE5">
        <w:t>re was no difference in the</w:t>
      </w:r>
      <w:r w:rsidR="00531F50">
        <w:t xml:space="preserve"> proportion of patients tested as an inpatient between VGKC-complex disease and antibody negative </w:t>
      </w:r>
      <w:r w:rsidR="003E6F4E">
        <w:t>controls, as the majority in both groups were tested as outpatients</w:t>
      </w:r>
      <w:r w:rsidR="00531F50">
        <w:t xml:space="preserve"> (</w:t>
      </w:r>
      <w:r w:rsidR="002C27DB">
        <w:t>9 (26%) vs. 12 (24</w:t>
      </w:r>
      <w:r w:rsidR="00017EE5">
        <w:t xml:space="preserve">%) respectively, </w:t>
      </w:r>
      <w:r w:rsidR="00017EE5" w:rsidRPr="00DF6C81">
        <w:t>p</w:t>
      </w:r>
      <w:r w:rsidR="00017EE5">
        <w:t xml:space="preserve"> = 0.89).</w:t>
      </w:r>
      <w:r w:rsidR="002E1470">
        <w:t xml:space="preserve">  </w:t>
      </w:r>
    </w:p>
    <w:p w14:paraId="2D745A81" w14:textId="77777777" w:rsidR="00955AE1" w:rsidRDefault="00955AE1" w:rsidP="00E02CDC">
      <w:pPr>
        <w:spacing w:after="120" w:line="276" w:lineRule="auto"/>
      </w:pPr>
    </w:p>
    <w:p w14:paraId="63C0D683" w14:textId="77777777" w:rsidR="00955AE1" w:rsidRDefault="00955AE1" w:rsidP="00955AE1">
      <w:pPr>
        <w:spacing w:after="120" w:line="276" w:lineRule="auto"/>
        <w:rPr>
          <w:b/>
        </w:rPr>
      </w:pPr>
      <w:r>
        <w:rPr>
          <w:b/>
        </w:rPr>
        <w:t>Clinical features</w:t>
      </w:r>
    </w:p>
    <w:p w14:paraId="6B7FDA81" w14:textId="7AF01D72" w:rsidR="00E02CDC" w:rsidRDefault="00FE6B6A" w:rsidP="00E02CDC">
      <w:pPr>
        <w:spacing w:after="120" w:line="276" w:lineRule="auto"/>
      </w:pPr>
      <w:r>
        <w:t>There were several differences in the clinical features between the</w:t>
      </w:r>
      <w:r w:rsidR="00433D3A">
        <w:t xml:space="preserve"> clinical cas</w:t>
      </w:r>
      <w:r>
        <w:t>e definition groups</w:t>
      </w:r>
      <w:r w:rsidR="00433D3A">
        <w:t xml:space="preserve"> </w:t>
      </w:r>
      <w:r>
        <w:t>(</w:t>
      </w:r>
      <w:r w:rsidR="00E02CDC">
        <w:t>Table 3</w:t>
      </w:r>
      <w:r>
        <w:t>)</w:t>
      </w:r>
      <w:r w:rsidR="00E02CDC">
        <w:t xml:space="preserve">. </w:t>
      </w:r>
      <w:r w:rsidR="00CE75E7">
        <w:t xml:space="preserve"> </w:t>
      </w:r>
      <w:r w:rsidR="00433D3A">
        <w:t xml:space="preserve">The proportion of patients with seizures was significantly higher </w:t>
      </w:r>
      <w:r w:rsidR="00F52DA3">
        <w:t>in those with VGKC-complex disease</w:t>
      </w:r>
      <w:r w:rsidR="00433D3A">
        <w:t xml:space="preserve"> </w:t>
      </w:r>
      <w:r w:rsidR="00AF4D5C">
        <w:t>(</w:t>
      </w:r>
      <w:r w:rsidR="00433D3A">
        <w:rPr>
          <w:i/>
        </w:rPr>
        <w:t>p</w:t>
      </w:r>
      <w:r w:rsidR="00AF4D5C">
        <w:rPr>
          <w:i/>
        </w:rPr>
        <w:t xml:space="preserve"> </w:t>
      </w:r>
      <w:r w:rsidR="00AF4D5C">
        <w:t>= 0.0</w:t>
      </w:r>
      <w:r w:rsidR="00433D3A">
        <w:t>05</w:t>
      </w:r>
      <w:r w:rsidR="00AF4D5C">
        <w:t xml:space="preserve">).  </w:t>
      </w:r>
      <w:r w:rsidR="00CE75E7">
        <w:t>T</w:t>
      </w:r>
      <w:r w:rsidR="00E02CDC">
        <w:t xml:space="preserve">he </w:t>
      </w:r>
      <w:r w:rsidR="002E1470">
        <w:t>presence</w:t>
      </w:r>
      <w:r w:rsidR="006F0960">
        <w:t xml:space="preserve"> of uncontrollable faciobrachial</w:t>
      </w:r>
      <w:r w:rsidR="00E02CDC">
        <w:t xml:space="preserve"> movem</w:t>
      </w:r>
      <w:r w:rsidR="004A61A8">
        <w:t xml:space="preserve">ents </w:t>
      </w:r>
      <w:r w:rsidR="00F52DA3">
        <w:t>was</w:t>
      </w:r>
      <w:r w:rsidR="004A61A8">
        <w:t xml:space="preserve"> highly </w:t>
      </w:r>
      <w:r w:rsidR="00F52DA3">
        <w:t>specific</w:t>
      </w:r>
      <w:r w:rsidR="004A61A8">
        <w:t xml:space="preserve"> </w:t>
      </w:r>
      <w:r w:rsidR="00F52DA3">
        <w:t>to</w:t>
      </w:r>
      <w:r w:rsidR="00CE75E7">
        <w:t xml:space="preserve"> </w:t>
      </w:r>
      <w:r w:rsidR="00E02CDC">
        <w:t>VGKC</w:t>
      </w:r>
      <w:r w:rsidR="00632630">
        <w:t>-complex</w:t>
      </w:r>
      <w:r w:rsidR="00E02CDC">
        <w:t xml:space="preserve"> </w:t>
      </w:r>
      <w:r w:rsidR="004A61A8">
        <w:t>disease</w:t>
      </w:r>
      <w:r w:rsidR="00F52DA3">
        <w:t>, although the proportion of patients with these symptoms did no</w:t>
      </w:r>
      <w:r>
        <w:t>t reach statistical significance</w:t>
      </w:r>
      <w:r w:rsidR="00E02CDC">
        <w:t>.</w:t>
      </w:r>
      <w:r w:rsidR="00F52DA3">
        <w:t xml:space="preserve">  Altered speech, </w:t>
      </w:r>
      <w:proofErr w:type="spellStart"/>
      <w:r w:rsidR="00074764">
        <w:t>fasciculations</w:t>
      </w:r>
      <w:proofErr w:type="spellEnd"/>
      <w:r w:rsidR="00074764">
        <w:t xml:space="preserve">, </w:t>
      </w:r>
      <w:r w:rsidR="00F52DA3">
        <w:t>and poor short-term memory were the most sensitive signs of VGKC-complex disease</w:t>
      </w:r>
      <w:r w:rsidR="003A78DF">
        <w:t xml:space="preserve">, although they lacked </w:t>
      </w:r>
      <w:r w:rsidR="00E20153">
        <w:t>specificity</w:t>
      </w:r>
      <w:r w:rsidR="004A61A8">
        <w:t>.</w:t>
      </w:r>
      <w:r w:rsidR="001C7A17">
        <w:t xml:space="preserve"> </w:t>
      </w:r>
    </w:p>
    <w:p w14:paraId="232B2A9F" w14:textId="0963E5DF" w:rsidR="00041143" w:rsidRDefault="00041143" w:rsidP="00E02CDC">
      <w:pPr>
        <w:spacing w:after="120" w:line="276" w:lineRule="auto"/>
      </w:pPr>
      <w:r>
        <w:t>There was a</w:t>
      </w:r>
      <w:r w:rsidR="00DF6C81">
        <w:t xml:space="preserve">n </w:t>
      </w:r>
      <w:r>
        <w:t>inverse correlation between antibody titre and serum so</w:t>
      </w:r>
      <w:r w:rsidR="003A78DF">
        <w:t>dium</w:t>
      </w:r>
      <w:r w:rsidR="00FE6B6A">
        <w:t xml:space="preserve"> concentration</w:t>
      </w:r>
      <w:r w:rsidR="003A78DF">
        <w:t xml:space="preserve"> </w:t>
      </w:r>
      <w:r>
        <w:t>in patients with VGKC-complex disease</w:t>
      </w:r>
      <w:r w:rsidR="003A78DF">
        <w:t xml:space="preserve"> (</w:t>
      </w:r>
      <w:r w:rsidR="00785AA9">
        <w:t xml:space="preserve">r=-0.24, </w:t>
      </w:r>
      <w:r w:rsidR="003A78DF" w:rsidRPr="008C29A4">
        <w:t>p</w:t>
      </w:r>
      <w:r w:rsidR="00785AA9">
        <w:t xml:space="preserve"> = 0.02)</w:t>
      </w:r>
      <w:r>
        <w:t xml:space="preserve">.  </w:t>
      </w:r>
      <w:r w:rsidR="00BA597C">
        <w:t>However, there</w:t>
      </w:r>
      <w:r>
        <w:t xml:space="preserve"> was no difference in </w:t>
      </w:r>
      <w:r w:rsidR="00E02CDC">
        <w:t xml:space="preserve">the </w:t>
      </w:r>
      <w:r>
        <w:t xml:space="preserve">median [range] </w:t>
      </w:r>
      <w:r w:rsidR="00E02CDC">
        <w:t xml:space="preserve">serum sodium </w:t>
      </w:r>
      <w:r>
        <w:t>concentration between</w:t>
      </w:r>
      <w:r w:rsidR="00E02CDC">
        <w:t xml:space="preserve"> </w:t>
      </w:r>
      <w:r>
        <w:t xml:space="preserve">patients with </w:t>
      </w:r>
      <w:r w:rsidR="00E02CDC">
        <w:t>VGKC</w:t>
      </w:r>
      <w:r w:rsidR="00632630">
        <w:t>-complex</w:t>
      </w:r>
      <w:r w:rsidR="00E02CDC">
        <w:t xml:space="preserve"> </w:t>
      </w:r>
      <w:r>
        <w:t xml:space="preserve">disease </w:t>
      </w:r>
      <w:r w:rsidR="00E02CDC">
        <w:t xml:space="preserve">and </w:t>
      </w:r>
      <w:r>
        <w:t>antibody</w:t>
      </w:r>
      <w:r w:rsidR="00E02CDC">
        <w:t xml:space="preserve"> negative </w:t>
      </w:r>
      <w:r w:rsidR="00FE6B6A">
        <w:t>controls</w:t>
      </w:r>
      <w:r w:rsidR="00E02CDC">
        <w:t xml:space="preserve"> (138</w:t>
      </w:r>
      <w:r w:rsidR="00FE6B6A">
        <w:t xml:space="preserve"> [124 to </w:t>
      </w:r>
      <w:r>
        <w:t>145]</w:t>
      </w:r>
      <w:r w:rsidR="00BA597C">
        <w:t xml:space="preserve"> vs</w:t>
      </w:r>
      <w:r w:rsidR="00E02CDC">
        <w:t xml:space="preserve"> 139</w:t>
      </w:r>
      <w:r w:rsidR="00FE6B6A">
        <w:t xml:space="preserve"> [126 to </w:t>
      </w:r>
      <w:r>
        <w:t xml:space="preserve">147] </w:t>
      </w:r>
      <w:proofErr w:type="spellStart"/>
      <w:r>
        <w:t>mmol</w:t>
      </w:r>
      <w:proofErr w:type="spellEnd"/>
      <w:r>
        <w:t>/L respectively</w:t>
      </w:r>
      <w:r w:rsidR="00E02CDC">
        <w:t xml:space="preserve">, </w:t>
      </w:r>
      <w:r w:rsidRPr="008C29A4">
        <w:t>p</w:t>
      </w:r>
      <w:r w:rsidR="00E02CDC">
        <w:rPr>
          <w:i/>
        </w:rPr>
        <w:t xml:space="preserve"> </w:t>
      </w:r>
      <w:r w:rsidR="003F69A4">
        <w:t>= 0.45)</w:t>
      </w:r>
      <w:r w:rsidR="00FE6B6A">
        <w:t xml:space="preserve"> and </w:t>
      </w:r>
      <w:r w:rsidR="00BA597C">
        <w:t xml:space="preserve">there was </w:t>
      </w:r>
      <w:r w:rsidR="003D19E2">
        <w:t xml:space="preserve">no difference in the proportion of patients with hyponatraemia between </w:t>
      </w:r>
      <w:r w:rsidR="00FE6B6A">
        <w:t xml:space="preserve">groups </w:t>
      </w:r>
      <w:r w:rsidR="00BA597C">
        <w:t>(4 (12%) vs</w:t>
      </w:r>
      <w:r w:rsidR="009726F0">
        <w:t xml:space="preserve"> 3 (8</w:t>
      </w:r>
      <w:r w:rsidR="003D19E2">
        <w:t xml:space="preserve">%) respectively, </w:t>
      </w:r>
      <w:r w:rsidR="003D19E2" w:rsidRPr="008C29A4">
        <w:t>p</w:t>
      </w:r>
      <w:r w:rsidR="009726F0">
        <w:t xml:space="preserve"> = 0.66</w:t>
      </w:r>
      <w:r w:rsidR="00FE6B6A">
        <w:t>).</w:t>
      </w:r>
    </w:p>
    <w:p w14:paraId="7231A7B4" w14:textId="72ABB916" w:rsidR="003F260B" w:rsidRDefault="00BA597C" w:rsidP="00E02CDC">
      <w:pPr>
        <w:spacing w:after="120" w:line="276" w:lineRule="auto"/>
      </w:pPr>
      <w:r>
        <w:t>Interestingly, p</w:t>
      </w:r>
      <w:r w:rsidR="00B35325">
        <w:t>atients with VGKC-complex disease</w:t>
      </w:r>
      <w:r w:rsidR="000C3FD7">
        <w:t xml:space="preserve"> </w:t>
      </w:r>
      <w:r w:rsidR="00DF6C81">
        <w:t>had a</w:t>
      </w:r>
      <w:r w:rsidR="006648CF">
        <w:t xml:space="preserve"> </w:t>
      </w:r>
      <w:r w:rsidR="00E02CDC">
        <w:t xml:space="preserve">higher serum ALP </w:t>
      </w:r>
      <w:r w:rsidR="00B35325">
        <w:t>than</w:t>
      </w:r>
      <w:r w:rsidR="000641A7">
        <w:t xml:space="preserve"> </w:t>
      </w:r>
      <w:r w:rsidR="00EC4C7B">
        <w:t xml:space="preserve">antibody </w:t>
      </w:r>
      <w:r w:rsidR="008528F8">
        <w:t xml:space="preserve">negative </w:t>
      </w:r>
      <w:r w:rsidR="00FE6B6A">
        <w:t xml:space="preserve">controls (81 [52 to </w:t>
      </w:r>
      <w:r>
        <w:t>136] vs</w:t>
      </w:r>
      <w:r w:rsidR="00FE6B6A">
        <w:t xml:space="preserve"> 64.5 [30 to </w:t>
      </w:r>
      <w:r w:rsidR="00B35325">
        <w:t xml:space="preserve">133] </w:t>
      </w:r>
      <w:r w:rsidR="00A772CA">
        <w:t xml:space="preserve">u/L </w:t>
      </w:r>
      <w:r w:rsidR="00B35325">
        <w:t xml:space="preserve">respectively, </w:t>
      </w:r>
      <w:r w:rsidR="00B35325" w:rsidRPr="008C29A4">
        <w:t>p</w:t>
      </w:r>
      <w:r w:rsidR="00B35325">
        <w:t xml:space="preserve"> = 0.016)</w:t>
      </w:r>
      <w:r w:rsidR="002E1470">
        <w:t xml:space="preserve"> (Figure </w:t>
      </w:r>
      <w:r w:rsidR="00BB1404">
        <w:t>4</w:t>
      </w:r>
      <w:r w:rsidR="002E1470">
        <w:t>)</w:t>
      </w:r>
      <w:r w:rsidR="00E02CDC">
        <w:t>.</w:t>
      </w:r>
      <w:r w:rsidR="009A6AFE">
        <w:t xml:space="preserve"> Patients with VGKC-disease were more likely to have an ALP greater than 70 u/L (OR 4.11 [95% CI 1.43-11.8)</w:t>
      </w:r>
      <w:r w:rsidR="009A6AFE">
        <w:rPr>
          <w:rFonts w:ascii="Calibri" w:eastAsia="Times New Roman" w:hAnsi="Calibri" w:cs="Times New Roman"/>
          <w:color w:val="000000"/>
          <w:sz w:val="20"/>
          <w:szCs w:val="20"/>
          <w:lang w:val="en-GB"/>
        </w:rPr>
        <w:t xml:space="preserve">, </w:t>
      </w:r>
      <w:r w:rsidR="009A6AFE">
        <w:t xml:space="preserve">p = 0.007) and an ALP of greater than 70 u/L had a sensitivity of 74.2% for disease. </w:t>
      </w:r>
      <w:r w:rsidR="00E87902">
        <w:t xml:space="preserve"> However, only </w:t>
      </w:r>
      <w:r w:rsidR="00B326BE">
        <w:t xml:space="preserve">14 had an ALP greater than 100 u/L and </w:t>
      </w:r>
      <w:r w:rsidR="00E87902">
        <w:t xml:space="preserve">three </w:t>
      </w:r>
      <w:r w:rsidR="00B326BE">
        <w:t>were greater than 130</w:t>
      </w:r>
      <w:r w:rsidR="00BB1404">
        <w:t xml:space="preserve"> </w:t>
      </w:r>
      <w:r w:rsidR="00B326BE">
        <w:t>u/L</w:t>
      </w:r>
      <w:r w:rsidR="00E87902">
        <w:t xml:space="preserve">. </w:t>
      </w:r>
      <w:r w:rsidR="00B35325">
        <w:t xml:space="preserve">There was no difference </w:t>
      </w:r>
      <w:r w:rsidR="00EC4C7B">
        <w:t>between the proportions</w:t>
      </w:r>
      <w:r w:rsidR="00B35325">
        <w:t xml:space="preserve"> of patients in whom an underlying tumour was identified between the </w:t>
      </w:r>
      <w:r w:rsidR="00EC4C7B">
        <w:t xml:space="preserve">VGKC-complex disease and antibody negative </w:t>
      </w:r>
      <w:r>
        <w:t>controls, as this was only identified in a minority</w:t>
      </w:r>
      <w:r w:rsidR="00DF6C81">
        <w:t xml:space="preserve"> </w:t>
      </w:r>
      <w:r w:rsidR="00B35325">
        <w:t>(</w:t>
      </w:r>
      <w:r>
        <w:t>3 [9%] vs 5 [10%] respectively,</w:t>
      </w:r>
      <w:r w:rsidRPr="008C29A4">
        <w:t xml:space="preserve"> </w:t>
      </w:r>
      <w:r w:rsidR="00B35325" w:rsidRPr="008C29A4">
        <w:t>p</w:t>
      </w:r>
      <w:r w:rsidR="00B35325">
        <w:t xml:space="preserve"> = 0.82). </w:t>
      </w:r>
    </w:p>
    <w:p w14:paraId="30FC493F" w14:textId="6C6DBD3D" w:rsidR="00726602" w:rsidRDefault="003F69A4" w:rsidP="00E02CDC">
      <w:pPr>
        <w:spacing w:after="120" w:line="276" w:lineRule="auto"/>
      </w:pPr>
      <w:r>
        <w:t xml:space="preserve">Multivariate logistic regression </w:t>
      </w:r>
      <w:r w:rsidR="00405536">
        <w:t xml:space="preserve">analysis showed seizures to be independently associated with VGKC-complex disease (OR 19.1 </w:t>
      </w:r>
      <w:r w:rsidR="00DF6C81">
        <w:t>[</w:t>
      </w:r>
      <w:r w:rsidR="00405536">
        <w:t>95% CI 1.4-253.3</w:t>
      </w:r>
      <w:r w:rsidR="00DF6C81">
        <w:t>]</w:t>
      </w:r>
      <w:r w:rsidR="00405536">
        <w:t xml:space="preserve">, </w:t>
      </w:r>
      <w:r w:rsidR="00405536" w:rsidRPr="008C29A4">
        <w:t>p</w:t>
      </w:r>
      <w:r w:rsidR="00405536">
        <w:t xml:space="preserve"> = 0.025).  </w:t>
      </w:r>
      <w:r w:rsidR="00405536">
        <w:lastRenderedPageBreak/>
        <w:t>A multivariate mod</w:t>
      </w:r>
      <w:r w:rsidR="00167239">
        <w:t xml:space="preserve">el incorporating hyponatraemia </w:t>
      </w:r>
      <w:r w:rsidR="00405536">
        <w:t xml:space="preserve">and presence of seizures demonstrated </w:t>
      </w:r>
      <w:r w:rsidR="009726F0">
        <w:t xml:space="preserve">an improved association with VGKC-complex disease </w:t>
      </w:r>
      <w:r>
        <w:t>(se</w:t>
      </w:r>
      <w:r w:rsidR="009726F0">
        <w:t>nsitivity 75% and specificity 82</w:t>
      </w:r>
      <w:r>
        <w:t>%)</w:t>
      </w:r>
      <w:r w:rsidR="009726F0">
        <w:t xml:space="preserve"> compared with seizures alone (sensitivity 68.8% and specificity 82%)</w:t>
      </w:r>
      <w:r>
        <w:t>.</w:t>
      </w:r>
      <w:r w:rsidR="005831F0" w:rsidRPr="005831F0">
        <w:t xml:space="preserve"> </w:t>
      </w:r>
    </w:p>
    <w:p w14:paraId="5992CF6D" w14:textId="77777777" w:rsidR="00726602" w:rsidRDefault="00726602" w:rsidP="00E02CDC">
      <w:pPr>
        <w:spacing w:after="120" w:line="276" w:lineRule="auto"/>
      </w:pPr>
    </w:p>
    <w:p w14:paraId="2338B18C" w14:textId="53C3F56D" w:rsidR="0070280D" w:rsidRPr="0070280D" w:rsidRDefault="005831F0" w:rsidP="00E02CDC">
      <w:pPr>
        <w:spacing w:after="120" w:line="276" w:lineRule="auto"/>
        <w:rPr>
          <w:b/>
        </w:rPr>
      </w:pPr>
      <w:r>
        <w:rPr>
          <w:b/>
        </w:rPr>
        <w:t>Subgroup analysis</w:t>
      </w:r>
    </w:p>
    <w:p w14:paraId="30EC0984" w14:textId="20E62C8F" w:rsidR="00E02CDC" w:rsidRDefault="002C27DB" w:rsidP="00E02CDC">
      <w:pPr>
        <w:spacing w:after="120" w:line="276" w:lineRule="auto"/>
      </w:pPr>
      <w:r>
        <w:t>A</w:t>
      </w:r>
      <w:r w:rsidR="00E02CDC">
        <w:t xml:space="preserve">nalysis of </w:t>
      </w:r>
      <w:r w:rsidR="00362965">
        <w:t xml:space="preserve">the </w:t>
      </w:r>
      <w:r w:rsidR="00A772CA">
        <w:t>subgroups of VGKC-complex disease found</w:t>
      </w:r>
      <w:r>
        <w:t xml:space="preserve"> that</w:t>
      </w:r>
      <w:r w:rsidR="00E02CDC">
        <w:t xml:space="preserve"> patients </w:t>
      </w:r>
      <w:r w:rsidR="00A772CA">
        <w:t xml:space="preserve">with </w:t>
      </w:r>
      <w:r w:rsidR="00C73B81">
        <w:t xml:space="preserve">CNS </w:t>
      </w:r>
      <w:r w:rsidR="00362965">
        <w:t xml:space="preserve">disease </w:t>
      </w:r>
      <w:r w:rsidR="00E02CDC">
        <w:t xml:space="preserve">were more likely </w:t>
      </w:r>
      <w:r>
        <w:t xml:space="preserve">than antibody negative </w:t>
      </w:r>
      <w:r w:rsidR="00167239">
        <w:t>controls</w:t>
      </w:r>
      <w:r>
        <w:t xml:space="preserve"> </w:t>
      </w:r>
      <w:r w:rsidR="00E02CDC">
        <w:t>to have been tested as an inpatient</w:t>
      </w:r>
      <w:r w:rsidR="00A772CA">
        <w:t xml:space="preserve"> </w:t>
      </w:r>
      <w:r w:rsidR="00E02CDC">
        <w:t>(</w:t>
      </w:r>
      <w:r w:rsidR="00A772CA">
        <w:t>8 (62%) vs</w:t>
      </w:r>
      <w:r w:rsidR="0009031B">
        <w:t xml:space="preserve"> 12 (24%) respectively, </w:t>
      </w:r>
      <w:r w:rsidRPr="00362965">
        <w:t>p</w:t>
      </w:r>
      <w:r w:rsidR="00E02CDC">
        <w:t xml:space="preserve"> = 0.016) and were more likely to have abnormalities on </w:t>
      </w:r>
      <w:r w:rsidR="00A772CA">
        <w:t xml:space="preserve">cranial </w:t>
      </w:r>
      <w:r w:rsidR="00E02CDC">
        <w:t>magn</w:t>
      </w:r>
      <w:r w:rsidR="00A772CA">
        <w:t xml:space="preserve">etic resonance imaging (MRI) </w:t>
      </w:r>
      <w:r w:rsidR="00E02CDC">
        <w:t>(</w:t>
      </w:r>
      <w:r w:rsidR="00A772CA">
        <w:t>10 (83%) vs</w:t>
      </w:r>
      <w:r w:rsidR="0009031B">
        <w:t xml:space="preserve"> 8 (33%) respectively, </w:t>
      </w:r>
      <w:r w:rsidRPr="00362965">
        <w:t>p</w:t>
      </w:r>
      <w:r>
        <w:t xml:space="preserve"> </w:t>
      </w:r>
      <w:r w:rsidR="00E02CDC">
        <w:t xml:space="preserve">= 0.0095).  </w:t>
      </w:r>
    </w:p>
    <w:p w14:paraId="71EE05F2" w14:textId="4901C4D2" w:rsidR="0087070F" w:rsidRDefault="00654D1C" w:rsidP="005827BA">
      <w:pPr>
        <w:spacing w:after="120" w:line="276" w:lineRule="auto"/>
      </w:pPr>
      <w:r>
        <w:t>Patients with</w:t>
      </w:r>
      <w:r w:rsidR="00E02CDC">
        <w:t xml:space="preserve"> </w:t>
      </w:r>
      <w:r w:rsidR="00362965">
        <w:t>peripheral</w:t>
      </w:r>
      <w:r w:rsidR="00E02CDC">
        <w:t xml:space="preserve"> VGKC</w:t>
      </w:r>
      <w:r w:rsidR="00632630">
        <w:t>-complex</w:t>
      </w:r>
      <w:r w:rsidR="00E02CDC">
        <w:t xml:space="preserve"> disease </w:t>
      </w:r>
      <w:r>
        <w:t>had a lower median [range] age</w:t>
      </w:r>
      <w:r w:rsidR="00E02CDC">
        <w:t xml:space="preserve"> than </w:t>
      </w:r>
      <w:r>
        <w:t xml:space="preserve">antibody negative </w:t>
      </w:r>
      <w:r w:rsidR="00E02CDC">
        <w:t>controls (47</w:t>
      </w:r>
      <w:r>
        <w:t xml:space="preserve"> [21-71]</w:t>
      </w:r>
      <w:r w:rsidR="00A772CA">
        <w:t xml:space="preserve"> vs</w:t>
      </w:r>
      <w:r w:rsidR="00E02CDC">
        <w:t xml:space="preserve"> 56</w:t>
      </w:r>
      <w:r>
        <w:t xml:space="preserve"> [18-82]</w:t>
      </w:r>
      <w:r w:rsidR="00A772CA">
        <w:t xml:space="preserve"> years</w:t>
      </w:r>
      <w:r w:rsidR="00E02CDC">
        <w:t xml:space="preserve">, </w:t>
      </w:r>
      <w:r w:rsidRPr="00362965">
        <w:t>p</w:t>
      </w:r>
      <w:r w:rsidR="00A772CA" w:rsidRPr="00362965">
        <w:t xml:space="preserve"> </w:t>
      </w:r>
      <w:r w:rsidR="00A772CA">
        <w:t>= 0.04</w:t>
      </w:r>
      <w:r w:rsidR="00E02CDC">
        <w:t xml:space="preserve">) and </w:t>
      </w:r>
      <w:r>
        <w:t xml:space="preserve">a </w:t>
      </w:r>
      <w:r w:rsidR="00A772CA">
        <w:t xml:space="preserve">shorter </w:t>
      </w:r>
      <w:r>
        <w:t>duration</w:t>
      </w:r>
      <w:r w:rsidR="00A772CA">
        <w:t xml:space="preserve"> between</w:t>
      </w:r>
      <w:r>
        <w:t xml:space="preserve"> </w:t>
      </w:r>
      <w:r w:rsidR="00A772CA">
        <w:t xml:space="preserve">presentation and </w:t>
      </w:r>
      <w:r>
        <w:t>testing</w:t>
      </w:r>
      <w:r w:rsidR="00E02CDC">
        <w:t xml:space="preserve"> (0 </w:t>
      </w:r>
      <w:r w:rsidR="00A772CA">
        <w:t xml:space="preserve">[240 to </w:t>
      </w:r>
      <w:r>
        <w:t xml:space="preserve">435] </w:t>
      </w:r>
      <w:r w:rsidR="00A772CA">
        <w:t>vs</w:t>
      </w:r>
      <w:r w:rsidR="00E02CDC">
        <w:t xml:space="preserve"> 29 </w:t>
      </w:r>
      <w:r w:rsidR="00A772CA">
        <w:t xml:space="preserve">[0 to </w:t>
      </w:r>
      <w:r>
        <w:t xml:space="preserve">2920] </w:t>
      </w:r>
      <w:r w:rsidR="00E02CDC">
        <w:t xml:space="preserve">days, </w:t>
      </w:r>
      <w:r w:rsidRPr="00362965">
        <w:t>p</w:t>
      </w:r>
      <w:r w:rsidRPr="00654D1C">
        <w:rPr>
          <w:i/>
        </w:rPr>
        <w:t xml:space="preserve"> </w:t>
      </w:r>
      <w:r w:rsidR="00A772CA">
        <w:t>= 0.02</w:t>
      </w:r>
      <w:r w:rsidR="00E02CDC">
        <w:t xml:space="preserve">).  </w:t>
      </w:r>
      <w:r>
        <w:t xml:space="preserve">This subgroup </w:t>
      </w:r>
      <w:r w:rsidR="00A772CA">
        <w:t xml:space="preserve">also </w:t>
      </w:r>
      <w:r>
        <w:t>had</w:t>
      </w:r>
      <w:r w:rsidR="00E02CDC">
        <w:t xml:space="preserve"> a significantly </w:t>
      </w:r>
      <w:r>
        <w:t>higher</w:t>
      </w:r>
      <w:r w:rsidR="00E02CDC">
        <w:t xml:space="preserve"> serum ALP </w:t>
      </w:r>
      <w:r w:rsidR="00A772CA">
        <w:t xml:space="preserve">than controls </w:t>
      </w:r>
      <w:r w:rsidR="00E02CDC">
        <w:t xml:space="preserve">(81.5 </w:t>
      </w:r>
      <w:r>
        <w:t xml:space="preserve">[59-136] </w:t>
      </w:r>
      <w:r w:rsidR="00A772CA">
        <w:t>vs</w:t>
      </w:r>
      <w:r w:rsidR="00E02CDC">
        <w:t xml:space="preserve"> 64.5</w:t>
      </w:r>
      <w:r>
        <w:t xml:space="preserve"> [30-133]</w:t>
      </w:r>
      <w:r w:rsidR="00A772CA">
        <w:t>u/L</w:t>
      </w:r>
      <w:r w:rsidR="00E02CDC">
        <w:t xml:space="preserve">, </w:t>
      </w:r>
      <w:r w:rsidRPr="00362965">
        <w:t>p</w:t>
      </w:r>
      <w:r w:rsidR="003857E1">
        <w:t xml:space="preserve"> = 0.015)</w:t>
      </w:r>
      <w:r w:rsidR="00A772CA">
        <w:t>.</w:t>
      </w:r>
    </w:p>
    <w:p w14:paraId="36161FD6" w14:textId="77777777" w:rsidR="00AC0297" w:rsidRDefault="00AC0297" w:rsidP="005827BA">
      <w:pPr>
        <w:spacing w:after="120" w:line="276" w:lineRule="auto"/>
      </w:pPr>
    </w:p>
    <w:p w14:paraId="09D03182" w14:textId="05A8EDD3" w:rsidR="00AC0297" w:rsidRPr="00A85B25" w:rsidRDefault="00AC0297" w:rsidP="005827BA">
      <w:pPr>
        <w:spacing w:after="120" w:line="276" w:lineRule="auto"/>
      </w:pPr>
      <w:r>
        <w:t xml:space="preserve">Of the patients with VGKC-complex </w:t>
      </w:r>
      <w:r w:rsidR="00A85B25">
        <w:t xml:space="preserve">CNS </w:t>
      </w:r>
      <w:r>
        <w:t xml:space="preserve">disease </w:t>
      </w:r>
      <w:r w:rsidR="00A85B25">
        <w:t>seven had an MRI scan, which was abnormal in cases. Three had bilateral hippocampal high signal, two had unilateral hippocampal high signal, one had non-specific high signal in the occipital lobes bilaterally, and one had minor changes of non-specific chronic white matter ischaemia.</w:t>
      </w:r>
    </w:p>
    <w:p w14:paraId="7BCAEB1C" w14:textId="77777777" w:rsidR="00586FCE" w:rsidRDefault="00586FCE" w:rsidP="005827BA">
      <w:pPr>
        <w:spacing w:after="120" w:line="276" w:lineRule="auto"/>
        <w:rPr>
          <w:b/>
          <w:sz w:val="28"/>
          <w:szCs w:val="28"/>
        </w:rPr>
      </w:pPr>
    </w:p>
    <w:p w14:paraId="3CDA9B21" w14:textId="3BF592F4" w:rsidR="00806D3F" w:rsidRDefault="007E25AD" w:rsidP="00030917">
      <w:pPr>
        <w:spacing w:after="120" w:line="276" w:lineRule="auto"/>
        <w:rPr>
          <w:b/>
          <w:sz w:val="28"/>
          <w:szCs w:val="28"/>
        </w:rPr>
      </w:pPr>
      <w:r>
        <w:rPr>
          <w:b/>
          <w:sz w:val="28"/>
          <w:szCs w:val="28"/>
        </w:rPr>
        <w:t>DISCUSSION</w:t>
      </w:r>
    </w:p>
    <w:p w14:paraId="1D775041" w14:textId="65ED8EED" w:rsidR="00644DCD" w:rsidRDefault="00650C70" w:rsidP="00030917">
      <w:pPr>
        <w:spacing w:after="120" w:line="276" w:lineRule="auto"/>
      </w:pPr>
      <w:r>
        <w:t>VGKC-</w:t>
      </w:r>
      <w:r w:rsidR="00632630">
        <w:t xml:space="preserve">complex </w:t>
      </w:r>
      <w:r w:rsidR="00824431">
        <w:t>a</w:t>
      </w:r>
      <w:r w:rsidR="00783B19">
        <w:t xml:space="preserve">ntibodies are </w:t>
      </w:r>
      <w:r w:rsidR="00F7617B">
        <w:t>associated</w:t>
      </w:r>
      <w:r w:rsidR="00783B19">
        <w:t xml:space="preserve"> with both </w:t>
      </w:r>
      <w:r w:rsidR="00E44C41">
        <w:t>central and peripheral</w:t>
      </w:r>
      <w:r w:rsidR="00F7617B">
        <w:t xml:space="preserve"> </w:t>
      </w:r>
      <w:r w:rsidR="00FA6062">
        <w:t xml:space="preserve">nervous system </w:t>
      </w:r>
      <w:r w:rsidR="00824431">
        <w:t>disease</w:t>
      </w:r>
      <w:r w:rsidR="00FA6062">
        <w:t>,</w:t>
      </w:r>
      <w:r w:rsidR="00783B19">
        <w:t xml:space="preserve"> causing autoimmune encephalitis and neuromyotonia respectively, in part reflecting the antigenic </w:t>
      </w:r>
      <w:r w:rsidR="00FA6062">
        <w:t>target within the VGKC-</w:t>
      </w:r>
      <w:r w:rsidR="00345817">
        <w:t>complex.</w:t>
      </w:r>
      <w:r w:rsidR="00371323">
        <w:t>[16-18]</w:t>
      </w:r>
      <w:r w:rsidR="00345817">
        <w:t xml:space="preserve"> </w:t>
      </w:r>
      <w:r w:rsidR="00B617E7">
        <w:t>However, overlapping presentations are recognised and the phenotype is expanding.</w:t>
      </w:r>
      <w:r w:rsidR="00371323">
        <w:t>[5-9, 23]</w:t>
      </w:r>
      <w:r w:rsidR="00B617E7">
        <w:t xml:space="preserve"> This, in combination with increasing awareness and the </w:t>
      </w:r>
      <w:r w:rsidR="007224EE">
        <w:t>wider availability of testing</w:t>
      </w:r>
      <w:r w:rsidR="00B617E7">
        <w:t xml:space="preserve">, has resulted in more patients being </w:t>
      </w:r>
      <w:r w:rsidR="007224EE">
        <w:t>investigated</w:t>
      </w:r>
      <w:r w:rsidR="00B617E7">
        <w:t xml:space="preserve"> for VGKC-complex antibodies. Early </w:t>
      </w:r>
      <w:r w:rsidR="00C57BC5">
        <w:t>diagnosis</w:t>
      </w:r>
      <w:r w:rsidR="00B617E7">
        <w:t xml:space="preserve"> is </w:t>
      </w:r>
      <w:r w:rsidR="00C23ED8">
        <w:t>essential because</w:t>
      </w:r>
      <w:r w:rsidR="00B617E7">
        <w:t xml:space="preserve"> early immunotherapy is associated with improved outcomes, particularly for CNS di</w:t>
      </w:r>
      <w:r w:rsidR="00F658EE">
        <w:t>sease.</w:t>
      </w:r>
      <w:r w:rsidR="00371323">
        <w:t>[15,27]</w:t>
      </w:r>
      <w:r w:rsidR="00F658EE">
        <w:t xml:space="preserve"> However, unselected testing of patients may result in a number of problems, including delays in establishing the correct diagnosis</w:t>
      </w:r>
      <w:r w:rsidR="00901BE2">
        <w:t>,</w:t>
      </w:r>
      <w:r w:rsidR="00F658EE">
        <w:t xml:space="preserve"> over-diagnosis of VGKC-complex disease, </w:t>
      </w:r>
      <w:r w:rsidR="00901BE2">
        <w:t>and unnecessary expense</w:t>
      </w:r>
      <w:r w:rsidR="00F658EE">
        <w:t xml:space="preserve">. </w:t>
      </w:r>
      <w:r w:rsidR="00644DCD">
        <w:t xml:space="preserve">Previous studies have identified clinical </w:t>
      </w:r>
      <w:r w:rsidR="00C57BC5">
        <w:t>features that</w:t>
      </w:r>
      <w:r w:rsidR="00644DCD">
        <w:t xml:space="preserve"> seem to be common</w:t>
      </w:r>
      <w:r w:rsidR="00C57BC5">
        <w:t xml:space="preserve"> within VGKC-complex antibody positive cohorts</w:t>
      </w:r>
      <w:r w:rsidR="00644DCD">
        <w:t xml:space="preserve">, but no </w:t>
      </w:r>
      <w:r w:rsidR="00C57BC5">
        <w:t>study</w:t>
      </w:r>
      <w:r w:rsidR="00644DCD">
        <w:t xml:space="preserve"> has identified the usefulness of these to predict who will be positive</w:t>
      </w:r>
      <w:r w:rsidR="00C73B81">
        <w:t>, among all those tested</w:t>
      </w:r>
      <w:r w:rsidR="00644DCD">
        <w:t xml:space="preserve">. </w:t>
      </w:r>
    </w:p>
    <w:p w14:paraId="67CC6601" w14:textId="054EA057" w:rsidR="00B617E7" w:rsidRDefault="00F658EE" w:rsidP="00030917">
      <w:pPr>
        <w:spacing w:after="120" w:line="276" w:lineRule="auto"/>
      </w:pPr>
      <w:r>
        <w:lastRenderedPageBreak/>
        <w:t xml:space="preserve">Therefore, we undertook a retrospective case control study of patients who were tested for VGKC-complex antibodies by the attending neurologist at a tertiary centre to compare the clinical, laboratory, and neuroimaging features between those who were found to have VGKC-complex antibody disease and those who were negative and found to have an alternative diagnosis. </w:t>
      </w:r>
    </w:p>
    <w:p w14:paraId="1B098E73" w14:textId="228090BA" w:rsidR="0039784E" w:rsidRDefault="00F658EE" w:rsidP="0039784E">
      <w:pPr>
        <w:spacing w:after="120" w:line="276" w:lineRule="auto"/>
      </w:pPr>
      <w:r>
        <w:t xml:space="preserve">Over 10 a </w:t>
      </w:r>
      <w:r w:rsidR="003838AC">
        <w:t>year period</w:t>
      </w:r>
      <w:r>
        <w:t xml:space="preserve"> there was a marked increase in the number of patients tested</w:t>
      </w:r>
      <w:r w:rsidR="00811F32">
        <w:t>. However, this was not associated with a significant rise in the number of positive patients identified</w:t>
      </w:r>
      <w:r w:rsidR="00C73B81">
        <w:t xml:space="preserve">; </w:t>
      </w:r>
      <w:r w:rsidR="00811F32">
        <w:t>the percenta</w:t>
      </w:r>
      <w:r w:rsidR="00C57BC5">
        <w:t>ge positive remained low throughout</w:t>
      </w:r>
      <w:r w:rsidR="00811F32">
        <w:t xml:space="preserve"> the study period</w:t>
      </w:r>
      <w:r w:rsidR="00881BE9">
        <w:t xml:space="preserve">. </w:t>
      </w:r>
      <w:r w:rsidR="00DF0768">
        <w:t xml:space="preserve"> We also found that those tested early after presentation were more likely to be posit</w:t>
      </w:r>
      <w:r>
        <w:t>ive than those tested later on</w:t>
      </w:r>
      <w:r w:rsidR="006240C6">
        <w:t xml:space="preserve">. This suggests that when </w:t>
      </w:r>
      <w:r w:rsidR="005C209C">
        <w:t xml:space="preserve">the </w:t>
      </w:r>
      <w:r w:rsidR="006240C6">
        <w:t xml:space="preserve">clinical </w:t>
      </w:r>
      <w:r w:rsidR="005C209C">
        <w:t xml:space="preserve">suspicion of </w:t>
      </w:r>
      <w:r w:rsidR="006240C6">
        <w:t>VGKC-complex</w:t>
      </w:r>
      <w:r w:rsidR="005C209C">
        <w:t xml:space="preserve"> disease is raised early </w:t>
      </w:r>
      <w:r w:rsidR="006240C6">
        <w:t xml:space="preserve">it is more likely to be the diagnosis than </w:t>
      </w:r>
      <w:r w:rsidR="005C209C">
        <w:t xml:space="preserve">in cases </w:t>
      </w:r>
      <w:r w:rsidR="00E30139">
        <w:t>for whom</w:t>
      </w:r>
      <w:r w:rsidR="005C209C">
        <w:t xml:space="preserve"> the test is only order</w:t>
      </w:r>
      <w:r w:rsidR="00380D2C">
        <w:t>ed later down the line, once other test</w:t>
      </w:r>
      <w:r w:rsidR="00483FE9">
        <w:t>s</w:t>
      </w:r>
      <w:r w:rsidR="00380D2C">
        <w:t xml:space="preserve"> have been found to be negative.</w:t>
      </w:r>
      <w:r w:rsidR="00DB6540">
        <w:t xml:space="preserve"> </w:t>
      </w:r>
      <w:r w:rsidR="00135CC0">
        <w:t>We</w:t>
      </w:r>
      <w:r w:rsidR="00DB6540">
        <w:t xml:space="preserve"> also found </w:t>
      </w:r>
      <w:r>
        <w:t>that the</w:t>
      </w:r>
      <w:r w:rsidR="000E3A89">
        <w:t xml:space="preserve"> antibody titre</w:t>
      </w:r>
      <w:r>
        <w:t xml:space="preserve"> </w:t>
      </w:r>
      <w:r w:rsidR="006240C6">
        <w:t>was</w:t>
      </w:r>
      <w:r>
        <w:t xml:space="preserve"> higher</w:t>
      </w:r>
      <w:r w:rsidR="00DF0768">
        <w:t xml:space="preserve"> in those with</w:t>
      </w:r>
      <w:r w:rsidR="000E3A89">
        <w:t xml:space="preserve"> VGKC-complex disease than false positive patients</w:t>
      </w:r>
      <w:r w:rsidR="00406A27">
        <w:t>,</w:t>
      </w:r>
      <w:r w:rsidR="00135CC0">
        <w:t xml:space="preserve"> </w:t>
      </w:r>
      <w:r w:rsidR="000E3A89">
        <w:t xml:space="preserve">and </w:t>
      </w:r>
      <w:r w:rsidR="006240C6">
        <w:t>was</w:t>
      </w:r>
      <w:r w:rsidR="000E3A89">
        <w:t xml:space="preserve"> highes</w:t>
      </w:r>
      <w:r w:rsidR="006240C6">
        <w:t>t</w:t>
      </w:r>
      <w:r w:rsidR="000E3A89">
        <w:t xml:space="preserve"> in those with CNS disease</w:t>
      </w:r>
      <w:r w:rsidR="0039784E">
        <w:t xml:space="preserve">, supporting </w:t>
      </w:r>
      <w:r w:rsidR="00406A27">
        <w:t>previous findings</w:t>
      </w:r>
      <w:r w:rsidR="0039784E">
        <w:t>.</w:t>
      </w:r>
      <w:r w:rsidR="00BD6BA0">
        <w:t>[11,12</w:t>
      </w:r>
      <w:r w:rsidR="00371323">
        <w:t>]</w:t>
      </w:r>
      <w:r w:rsidR="00981639">
        <w:rPr>
          <w:vertAlign w:val="superscript"/>
        </w:rPr>
        <w:t xml:space="preserve"> </w:t>
      </w:r>
      <w:r w:rsidR="0039784E">
        <w:t xml:space="preserve"> Although the mechanism remains unclear, a higher proportion </w:t>
      </w:r>
      <w:r w:rsidR="00406A27">
        <w:t xml:space="preserve">of those with CNS disease </w:t>
      </w:r>
      <w:r w:rsidR="0039784E">
        <w:t>have antibodies directed against the LGI1 neuronal cell membrane protein component of the VGKC-complex.</w:t>
      </w:r>
      <w:r w:rsidR="00371323">
        <w:t>[11,12]</w:t>
      </w:r>
      <w:r w:rsidR="00174B56">
        <w:rPr>
          <w:vertAlign w:val="superscript"/>
        </w:rPr>
        <w:t xml:space="preserve"> </w:t>
      </w:r>
      <w:r w:rsidR="002848EA">
        <w:t xml:space="preserve">The minority of samples in this study was tested for the individual antigenic component of the VGKC-complex targeted, therefore we analysed the overall positive cases, which is reflective of routine clinical practice. </w:t>
      </w:r>
      <w:r w:rsidR="00174B56">
        <w:t>In our study the</w:t>
      </w:r>
      <w:r w:rsidR="00C12DC5">
        <w:t xml:space="preserve"> proportion of cases of</w:t>
      </w:r>
      <w:r w:rsidR="00174B56">
        <w:t xml:space="preserve"> </w:t>
      </w:r>
      <w:r w:rsidR="00C12DC5">
        <w:t>clinically-insignificant</w:t>
      </w:r>
      <w:r w:rsidR="00174B56">
        <w:t xml:space="preserve"> positive </w:t>
      </w:r>
      <w:r w:rsidR="00C12DC5">
        <w:t>titres</w:t>
      </w:r>
      <w:r w:rsidR="00174B56">
        <w:t xml:space="preserve"> was 44% which is consistent with findings from previous reports.</w:t>
      </w:r>
      <w:r w:rsidR="00371323">
        <w:t>[22,26]</w:t>
      </w:r>
      <w:r w:rsidR="009F6181">
        <w:rPr>
          <w:vertAlign w:val="superscript"/>
        </w:rPr>
        <w:t xml:space="preserve"> </w:t>
      </w:r>
      <w:r w:rsidR="00644DCD">
        <w:t>Also, a</w:t>
      </w:r>
      <w:r w:rsidR="009F6181">
        <w:t xml:space="preserve">round half of the false positive patients had a coexisting autoimmune disorder, </w:t>
      </w:r>
      <w:r w:rsidR="00C73B81">
        <w:t>most often</w:t>
      </w:r>
      <w:r w:rsidR="009F6181">
        <w:t xml:space="preserve"> myasthenia gravis and autoimmune polyneuropath</w:t>
      </w:r>
      <w:r w:rsidR="00406A27">
        <w:t>ies, as described</w:t>
      </w:r>
      <w:r w:rsidR="009F6181">
        <w:t>.</w:t>
      </w:r>
      <w:r w:rsidR="00371323">
        <w:t>[22]</w:t>
      </w:r>
      <w:r w:rsidR="009F6181">
        <w:t xml:space="preserve">  </w:t>
      </w:r>
    </w:p>
    <w:p w14:paraId="71A5471D" w14:textId="65B9219D" w:rsidR="003264FC" w:rsidRDefault="00DF0768" w:rsidP="00644DCD">
      <w:pPr>
        <w:spacing w:after="120" w:line="276" w:lineRule="auto"/>
      </w:pPr>
      <w:r>
        <w:t xml:space="preserve">Those with </w:t>
      </w:r>
      <w:r w:rsidR="008176F4">
        <w:t>antibody-associated</w:t>
      </w:r>
      <w:r>
        <w:t xml:space="preserve"> disease were more likely to have seizures </w:t>
      </w:r>
      <w:r w:rsidR="008176F4">
        <w:t>and the antibody titre had an inverse correlation with the serum sodium</w:t>
      </w:r>
      <w:r w:rsidR="00174B56">
        <w:t>, as is often recognised in central disease.</w:t>
      </w:r>
      <w:r w:rsidR="00371323">
        <w:t>[8,11,15,19,22]</w:t>
      </w:r>
      <w:r w:rsidR="00174B56">
        <w:t xml:space="preserve"> However, as only a limited number of patients with VGKC disease have rec</w:t>
      </w:r>
      <w:r w:rsidR="00E30139">
        <w:t>urrent seizures in the long-</w:t>
      </w:r>
      <w:r w:rsidR="00174B56">
        <w:t>term</w:t>
      </w:r>
      <w:r w:rsidR="00E30139">
        <w:t>,</w:t>
      </w:r>
      <w:r w:rsidR="00174B56">
        <w:t xml:space="preserve"> our findings suggest that routine testing in such patients is less likely to be positive.</w:t>
      </w:r>
      <w:r w:rsidR="00174B56" w:rsidRPr="0001372D">
        <w:rPr>
          <w:vertAlign w:val="superscript"/>
        </w:rPr>
        <w:t>3</w:t>
      </w:r>
      <w:r w:rsidR="00981639">
        <w:rPr>
          <w:vertAlign w:val="superscript"/>
        </w:rPr>
        <w:t>2</w:t>
      </w:r>
      <w:r w:rsidR="00174B56">
        <w:t xml:space="preserve"> </w:t>
      </w:r>
      <w:r w:rsidR="008176F4">
        <w:t>A multivariate model identified seizures as</w:t>
      </w:r>
      <w:r w:rsidR="00196E44">
        <w:t xml:space="preserve"> the best parameter for distinguishing antibody positive disease from negative controls</w:t>
      </w:r>
      <w:r w:rsidR="008176F4">
        <w:t xml:space="preserve"> and the addition of s</w:t>
      </w:r>
      <w:r w:rsidR="00196E44">
        <w:t>odium increased the sensitivity of the model.</w:t>
      </w:r>
      <w:r w:rsidR="00984394">
        <w:t xml:space="preserve"> </w:t>
      </w:r>
      <w:r w:rsidR="00D25D4B">
        <w:t>Hyponatraemia in VGKC disease may occur in up to 60% of patients, and has been attributed to a syndrome of inappropriate anti-diuretic hormone</w:t>
      </w:r>
      <w:r w:rsidR="00AC34B8">
        <w:t xml:space="preserve"> secretion</w:t>
      </w:r>
      <w:r w:rsidR="00D25D4B">
        <w:t>.</w:t>
      </w:r>
      <w:r w:rsidR="00371323">
        <w:t>[6,7,11,12,18]</w:t>
      </w:r>
      <w:r w:rsidR="00D25D4B">
        <w:rPr>
          <w:vertAlign w:val="superscript"/>
        </w:rPr>
        <w:t xml:space="preserve"> </w:t>
      </w:r>
      <w:r w:rsidR="00D25D4B">
        <w:t xml:space="preserve">Previous studies have demonstrated a normalisation of serum sodium with immunotherapy </w:t>
      </w:r>
      <w:r w:rsidR="00E30139">
        <w:t xml:space="preserve">in conjunction </w:t>
      </w:r>
      <w:r w:rsidR="00D25D4B">
        <w:t>with a corresponding decline in the VGKC-complex antibody titre, either because of direct action of the antibody or as an epiphenomenon.</w:t>
      </w:r>
      <w:r w:rsidR="00BD6BA0">
        <w:t>[18,</w:t>
      </w:r>
      <w:r w:rsidR="00C12DC5">
        <w:t>32,</w:t>
      </w:r>
      <w:r w:rsidR="00BD6BA0">
        <w:t>33</w:t>
      </w:r>
      <w:r w:rsidR="00371323">
        <w:t>]</w:t>
      </w:r>
      <w:r w:rsidR="00D25D4B">
        <w:rPr>
          <w:vertAlign w:val="superscript"/>
        </w:rPr>
        <w:t xml:space="preserve"> </w:t>
      </w:r>
      <w:r w:rsidR="00D25D4B">
        <w:t xml:space="preserve">Whilst our study did not find a higher proportion of patients with hyponatraemia in those with VGKC-complex antibody disease, </w:t>
      </w:r>
      <w:r w:rsidR="00406A27">
        <w:t xml:space="preserve">the </w:t>
      </w:r>
      <w:r w:rsidR="00D25D4B">
        <w:t xml:space="preserve">antibody titre </w:t>
      </w:r>
      <w:r w:rsidR="00406A27">
        <w:t>did have</w:t>
      </w:r>
      <w:r w:rsidR="00D25D4B">
        <w:t xml:space="preserve"> an inverse correlation with serum sodium. </w:t>
      </w:r>
      <w:r w:rsidR="00406A27">
        <w:t xml:space="preserve">Faciobrachial dystonic seizures, </w:t>
      </w:r>
      <w:r w:rsidR="00AC34B8">
        <w:t xml:space="preserve">are </w:t>
      </w:r>
      <w:r w:rsidR="00406A27">
        <w:t>described in those with central VGKC-complex antibody-</w:t>
      </w:r>
      <w:r w:rsidR="00406A27">
        <w:lastRenderedPageBreak/>
        <w:t>associated disease, and are thought to be pathognomonic.</w:t>
      </w:r>
      <w:r w:rsidR="00371323">
        <w:t>[15,16,23]</w:t>
      </w:r>
      <w:r w:rsidR="00406A27">
        <w:t xml:space="preserve"> </w:t>
      </w:r>
      <w:r w:rsidR="00984394">
        <w:t xml:space="preserve">We confirmed that </w:t>
      </w:r>
      <w:r>
        <w:t xml:space="preserve">faciobrachial movements </w:t>
      </w:r>
      <w:r w:rsidR="00984394">
        <w:t>are</w:t>
      </w:r>
      <w:r>
        <w:t xml:space="preserve"> highly specific</w:t>
      </w:r>
      <w:r w:rsidR="00984394">
        <w:t xml:space="preserve"> for this condition, however the sensitivity was not </w:t>
      </w:r>
      <w:r w:rsidR="00E30139">
        <w:t>great</w:t>
      </w:r>
      <w:r w:rsidR="00406A27">
        <w:t>.</w:t>
      </w:r>
    </w:p>
    <w:p w14:paraId="33215DB6" w14:textId="6554DD4A" w:rsidR="00644DCD" w:rsidRPr="007B7E85" w:rsidRDefault="00894AA7" w:rsidP="00644DCD">
      <w:pPr>
        <w:spacing w:after="120" w:line="276" w:lineRule="auto"/>
        <w:rPr>
          <w:vertAlign w:val="superscript"/>
        </w:rPr>
      </w:pPr>
      <w:r>
        <w:t>Intriguingly</w:t>
      </w:r>
      <w:r w:rsidR="00DF0768">
        <w:t>, the serum ALP was significantl</w:t>
      </w:r>
      <w:r>
        <w:t>y higher in those with antibody-</w:t>
      </w:r>
      <w:r w:rsidR="00DF0768">
        <w:t>positive disease than controls</w:t>
      </w:r>
      <w:r w:rsidR="009049B6">
        <w:t>, particularly in those with peripheral disease</w:t>
      </w:r>
      <w:r w:rsidR="00DF0768">
        <w:t xml:space="preserve">. </w:t>
      </w:r>
      <w:r w:rsidR="00644DCD">
        <w:t xml:space="preserve">ALP is </w:t>
      </w:r>
      <w:r w:rsidR="00592C95">
        <w:t xml:space="preserve">in part </w:t>
      </w:r>
      <w:r w:rsidR="00644DCD">
        <w:t xml:space="preserve">produced by skeletal muscle and has long been recognised to be elevated in other diseases associated with fibrillation potentials and myopathy, such as </w:t>
      </w:r>
      <w:r w:rsidR="00870CAB">
        <w:t>dermatomyositis.</w:t>
      </w:r>
      <w:r w:rsidR="00BD6BA0">
        <w:t>[34</w:t>
      </w:r>
      <w:r w:rsidR="00371323">
        <w:t>]</w:t>
      </w:r>
      <w:r w:rsidR="00870CAB">
        <w:t xml:space="preserve"> </w:t>
      </w:r>
      <w:r w:rsidR="00C73B81">
        <w:t xml:space="preserve">Although </w:t>
      </w:r>
      <w:r w:rsidR="00870CAB">
        <w:t>elevated levels of ALP have been reported in canine neuromyotonia</w:t>
      </w:r>
      <w:r w:rsidR="00B20CDE">
        <w:t xml:space="preserve">, </w:t>
      </w:r>
      <w:r w:rsidR="00C73B81">
        <w:t xml:space="preserve">they have </w:t>
      </w:r>
      <w:r w:rsidR="00B20CDE">
        <w:t>not</w:t>
      </w:r>
      <w:r w:rsidR="00C73B81">
        <w:t xml:space="preserve"> been in</w:t>
      </w:r>
      <w:r w:rsidR="00B20CDE">
        <w:t xml:space="preserve"> human </w:t>
      </w:r>
      <w:r w:rsidR="00C73B81">
        <w:t>disease</w:t>
      </w:r>
      <w:r w:rsidR="00870CAB">
        <w:t>.</w:t>
      </w:r>
      <w:r w:rsidR="00BD6BA0">
        <w:t>[35</w:t>
      </w:r>
      <w:r w:rsidR="00371323">
        <w:t>]</w:t>
      </w:r>
      <w:r w:rsidR="00870CAB">
        <w:t xml:space="preserve"> </w:t>
      </w:r>
      <w:r w:rsidR="00644DCD">
        <w:t xml:space="preserve">Therefore, as higher concentrations of ALP were found in those with VGKC-complex antibody-associated disease, particularly in those with peripheral </w:t>
      </w:r>
      <w:r w:rsidR="00592C95">
        <w:t>involvement</w:t>
      </w:r>
      <w:r w:rsidR="00644DCD">
        <w:t>, serum ALP may be a biomarker of this activity.</w:t>
      </w:r>
      <w:r w:rsidR="00BD6BA0">
        <w:t>[36</w:t>
      </w:r>
      <w:r w:rsidR="00371323">
        <w:t>]</w:t>
      </w:r>
    </w:p>
    <w:p w14:paraId="24BCCD4D" w14:textId="24D1DADB" w:rsidR="00EB763C" w:rsidRPr="000F177E" w:rsidRDefault="00DF0768" w:rsidP="005827BA">
      <w:pPr>
        <w:spacing w:after="120" w:line="276" w:lineRule="auto"/>
      </w:pPr>
      <w:r>
        <w:t xml:space="preserve">Taken together these finding suggest that </w:t>
      </w:r>
      <w:r w:rsidR="00894AA7">
        <w:t xml:space="preserve">when a </w:t>
      </w:r>
      <w:r w:rsidR="004750D8">
        <w:t xml:space="preserve">neurologist </w:t>
      </w:r>
      <w:r w:rsidR="00894AA7">
        <w:t>is assessing a patient for whom VGKC-complex antibody-associated disease is in the differential, they</w:t>
      </w:r>
      <w:r>
        <w:t xml:space="preserve"> are more likely to identify </w:t>
      </w:r>
      <w:r w:rsidR="00894AA7">
        <w:t>the condition</w:t>
      </w:r>
      <w:r>
        <w:t xml:space="preserve"> in those who are tested earlier, particularly if seizures, faciobrachial movements,</w:t>
      </w:r>
      <w:r w:rsidR="00894AA7">
        <w:t xml:space="preserve"> and</w:t>
      </w:r>
      <w:r>
        <w:t xml:space="preserve"> hyponatraemia</w:t>
      </w:r>
      <w:r w:rsidR="00894AA7">
        <w:t xml:space="preserve"> are present. Moreover</w:t>
      </w:r>
      <w:r>
        <w:t>,</w:t>
      </w:r>
      <w:r w:rsidR="00894AA7">
        <w:t xml:space="preserve"> the serum</w:t>
      </w:r>
      <w:r>
        <w:t xml:space="preserve"> ALP </w:t>
      </w:r>
      <w:r w:rsidR="00894AA7">
        <w:t xml:space="preserve">may represent a potential adjunctive biomarker, </w:t>
      </w:r>
      <w:r w:rsidR="009049B6">
        <w:t>especially</w:t>
      </w:r>
      <w:r w:rsidR="00894AA7">
        <w:t xml:space="preserve"> in peripheral disease.</w:t>
      </w:r>
      <w:r w:rsidR="000F177E">
        <w:t xml:space="preserve"> </w:t>
      </w:r>
      <w:r w:rsidR="007B7E85">
        <w:t xml:space="preserve">Nevertheless, this study reflects a cohort of patients in whom antibody testing was conducted in tertiary care and further case control studies in other centres are needed. </w:t>
      </w:r>
      <w:r w:rsidR="00896124">
        <w:t xml:space="preserve">Due to the retrospective nature of this study, where clinical features had not been described in the case notes the research team were unable to definitively record a symptom as absent or present.  </w:t>
      </w:r>
    </w:p>
    <w:p w14:paraId="7A1CCFD9" w14:textId="77777777" w:rsidR="00EB763C" w:rsidRPr="00F43109" w:rsidRDefault="00EB763C" w:rsidP="005827BA">
      <w:pPr>
        <w:spacing w:after="120" w:line="276" w:lineRule="auto"/>
        <w:rPr>
          <w:color w:val="FF0000"/>
        </w:rPr>
      </w:pPr>
    </w:p>
    <w:p w14:paraId="6226607B" w14:textId="43A18ACC" w:rsidR="00B630EE" w:rsidRPr="00B630EE" w:rsidRDefault="007E25AD" w:rsidP="005827BA">
      <w:pPr>
        <w:spacing w:after="120" w:line="276" w:lineRule="auto"/>
        <w:rPr>
          <w:b/>
          <w:sz w:val="28"/>
          <w:szCs w:val="28"/>
        </w:rPr>
      </w:pPr>
      <w:r>
        <w:rPr>
          <w:b/>
          <w:sz w:val="28"/>
          <w:szCs w:val="28"/>
        </w:rPr>
        <w:t>CONCLUSION</w:t>
      </w:r>
    </w:p>
    <w:p w14:paraId="5FC338AF" w14:textId="40E86A31" w:rsidR="00B630EE" w:rsidRDefault="00B630EE" w:rsidP="005827BA">
      <w:pPr>
        <w:spacing w:after="120" w:line="276" w:lineRule="auto"/>
      </w:pPr>
      <w:r>
        <w:t xml:space="preserve">This </w:t>
      </w:r>
      <w:r w:rsidR="003D09BB">
        <w:t xml:space="preserve">retrospective case-control study, which </w:t>
      </w:r>
      <w:r>
        <w:t>supports current understa</w:t>
      </w:r>
      <w:r w:rsidR="00ED684C">
        <w:t>nding of VGKC-complex antibody-associated disease</w:t>
      </w:r>
      <w:r w:rsidR="003D09BB">
        <w:t>, has shown that e</w:t>
      </w:r>
      <w:r w:rsidR="003264FC">
        <w:t xml:space="preserve">arlier clinical </w:t>
      </w:r>
      <w:r w:rsidR="00BB1404">
        <w:t>suspicion;</w:t>
      </w:r>
      <w:r w:rsidR="003264FC">
        <w:t xml:space="preserve"> seizures and the degree of hyponatraemia were associated with higher rates of antibody positive disease. F</w:t>
      </w:r>
      <w:r w:rsidR="006F0960">
        <w:t xml:space="preserve">aciobrachial movements </w:t>
      </w:r>
      <w:r w:rsidR="003D09BB">
        <w:t>are</w:t>
      </w:r>
      <w:r w:rsidR="003264FC">
        <w:t xml:space="preserve"> highly specific for</w:t>
      </w:r>
      <w:r w:rsidR="006F0960">
        <w:t xml:space="preserve"> VGKC-complex disease</w:t>
      </w:r>
      <w:r w:rsidR="008C2057">
        <w:t xml:space="preserve"> </w:t>
      </w:r>
      <w:r w:rsidR="003D09BB">
        <w:t>but</w:t>
      </w:r>
      <w:r w:rsidR="008C2057">
        <w:t xml:space="preserve"> not be sensitive.</w:t>
      </w:r>
      <w:r w:rsidR="003264FC">
        <w:t xml:space="preserve"> A</w:t>
      </w:r>
      <w:r w:rsidR="008C2057">
        <w:t xml:space="preserve"> </w:t>
      </w:r>
      <w:r w:rsidR="006F0960">
        <w:t xml:space="preserve">raised </w:t>
      </w:r>
      <w:r w:rsidR="008C2057">
        <w:t xml:space="preserve">serum </w:t>
      </w:r>
      <w:r w:rsidR="006F0960">
        <w:t>ALP</w:t>
      </w:r>
      <w:r w:rsidR="0042377A">
        <w:t xml:space="preserve"> may be suggestive</w:t>
      </w:r>
      <w:r w:rsidR="008C2057">
        <w:t xml:space="preserve"> of </w:t>
      </w:r>
      <w:r w:rsidR="006F0960">
        <w:t>VGKC-comp</w:t>
      </w:r>
      <w:r w:rsidR="008C2057">
        <w:t>lex antibody-associated disease, particularly in</w:t>
      </w:r>
      <w:r w:rsidR="003264FC">
        <w:t xml:space="preserve"> the</w:t>
      </w:r>
      <w:r w:rsidR="008C2057">
        <w:t xml:space="preserve"> peripheral</w:t>
      </w:r>
      <w:r w:rsidR="0042377A">
        <w:t xml:space="preserve"> </w:t>
      </w:r>
      <w:r w:rsidR="003264FC">
        <w:t>variant</w:t>
      </w:r>
      <w:r w:rsidR="008C2057">
        <w:t>.</w:t>
      </w:r>
    </w:p>
    <w:p w14:paraId="13610F6D" w14:textId="77777777" w:rsidR="00C84ED8" w:rsidRDefault="00C84ED8" w:rsidP="005827BA">
      <w:pPr>
        <w:spacing w:after="120" w:line="276" w:lineRule="auto"/>
      </w:pPr>
    </w:p>
    <w:p w14:paraId="53230B67" w14:textId="1B329BA5" w:rsidR="00C84ED8" w:rsidRPr="00D0151C" w:rsidRDefault="00D0151C" w:rsidP="005827BA">
      <w:pPr>
        <w:spacing w:after="120" w:line="276" w:lineRule="auto"/>
        <w:rPr>
          <w:b/>
        </w:rPr>
      </w:pPr>
      <w:r w:rsidRPr="00D0151C">
        <w:rPr>
          <w:b/>
        </w:rPr>
        <w:t>Acknowledgements</w:t>
      </w:r>
    </w:p>
    <w:p w14:paraId="529F0545" w14:textId="0A4B6F69" w:rsidR="00C84ED8" w:rsidRPr="00D0151C" w:rsidRDefault="00D0151C" w:rsidP="005827BA">
      <w:pPr>
        <w:spacing w:after="120" w:line="276" w:lineRule="auto"/>
      </w:pPr>
      <w:r>
        <w:t>BDM is a NIHR Clinical Lecturer and rece</w:t>
      </w:r>
      <w:r w:rsidR="003264FC">
        <w:t>ived funding as part of a NIHR D</w:t>
      </w:r>
      <w:r>
        <w:t>octoral Research Fellowship. BDM and TS receive support from a NIHR Programme grant as part of the ENCEPH-UK study</w:t>
      </w:r>
      <w:r w:rsidR="00012220">
        <w:t xml:space="preserve">. </w:t>
      </w:r>
      <w:r w:rsidR="00012220" w:rsidRPr="00012220">
        <w:rPr>
          <w:rFonts w:ascii="Cambria" w:hAnsi="Cambria" w:cs="Calibri"/>
        </w:rPr>
        <w:t xml:space="preserve">The research was funded by the National Institute for Health Research Health Protection Research Unit (NIHR HPRU) in Emerging and Zoonotic Infections at the University of Liverpool in partnership with Public Health England (PHE) and Liverpool School of Tropical Medicine </w:t>
      </w:r>
      <w:r w:rsidR="00012220" w:rsidRPr="00012220">
        <w:rPr>
          <w:rFonts w:ascii="Cambria" w:hAnsi="Cambria" w:cs="Calibri"/>
        </w:rPr>
        <w:lastRenderedPageBreak/>
        <w:t>(LSTM). The views expressed are those of the author(s) and not necessarily those of the NHS, the NIHR, the Department of Health or Public Health England</w:t>
      </w:r>
      <w:r w:rsidR="00012220">
        <w:rPr>
          <w:rFonts w:ascii="Calibri" w:hAnsi="Calibri" w:cs="Calibri"/>
          <w:sz w:val="30"/>
          <w:szCs w:val="30"/>
        </w:rPr>
        <w:t>.</w:t>
      </w:r>
      <w:r w:rsidR="00012220">
        <w:t xml:space="preserve"> </w:t>
      </w:r>
      <w:r w:rsidR="001F4941">
        <w:t>We are thankful for the assistance of the Buxton Laboratory team at the Walton Centre NHS Foundation Trust.</w:t>
      </w:r>
      <w:r w:rsidR="00BD6BA0">
        <w:t xml:space="preserve"> The authors are </w:t>
      </w:r>
      <w:r w:rsidR="00C12DC5">
        <w:t xml:space="preserve">very </w:t>
      </w:r>
      <w:r w:rsidR="00BD6BA0">
        <w:t>grateful for the critical review of Professor Angela Vincent.</w:t>
      </w:r>
    </w:p>
    <w:p w14:paraId="64868A17" w14:textId="77777777" w:rsidR="00D0151C" w:rsidRDefault="00D0151C" w:rsidP="005827BA">
      <w:pPr>
        <w:spacing w:after="120" w:line="276" w:lineRule="auto"/>
      </w:pPr>
    </w:p>
    <w:p w14:paraId="44A0FDB4" w14:textId="77777777" w:rsidR="00012220" w:rsidRDefault="00012220" w:rsidP="005827BA">
      <w:pPr>
        <w:spacing w:after="120" w:line="276" w:lineRule="auto"/>
      </w:pPr>
    </w:p>
    <w:p w14:paraId="5C99CA45" w14:textId="77777777" w:rsidR="00BD6BA0" w:rsidRDefault="00BD6BA0" w:rsidP="005827BA">
      <w:pPr>
        <w:spacing w:after="120" w:line="276" w:lineRule="auto"/>
      </w:pPr>
    </w:p>
    <w:p w14:paraId="12F1A1AB" w14:textId="77777777" w:rsidR="00BD6BA0" w:rsidRDefault="00BD6BA0" w:rsidP="005827BA">
      <w:pPr>
        <w:spacing w:after="120" w:line="276" w:lineRule="auto"/>
      </w:pPr>
    </w:p>
    <w:p w14:paraId="5AD3E679" w14:textId="77777777" w:rsidR="00BD6BA0" w:rsidRDefault="00BD6BA0" w:rsidP="005827BA">
      <w:pPr>
        <w:spacing w:after="120" w:line="276" w:lineRule="auto"/>
      </w:pPr>
    </w:p>
    <w:p w14:paraId="4FA22419" w14:textId="77777777" w:rsidR="005827BA" w:rsidRDefault="005827BA" w:rsidP="005827BA">
      <w:pPr>
        <w:spacing w:after="120" w:line="276" w:lineRule="auto"/>
        <w:rPr>
          <w:b/>
          <w:sz w:val="28"/>
          <w:szCs w:val="28"/>
        </w:rPr>
      </w:pPr>
      <w:r w:rsidRPr="00BA6A44">
        <w:rPr>
          <w:b/>
          <w:sz w:val="28"/>
          <w:szCs w:val="28"/>
        </w:rPr>
        <w:t>References</w:t>
      </w:r>
    </w:p>
    <w:p w14:paraId="052F7731" w14:textId="76AE9144" w:rsidR="00FD457D" w:rsidRDefault="00FD457D" w:rsidP="003430A8">
      <w:pPr>
        <w:pStyle w:val="ListParagraph"/>
        <w:numPr>
          <w:ilvl w:val="0"/>
          <w:numId w:val="2"/>
        </w:numPr>
        <w:spacing w:after="120" w:line="276" w:lineRule="auto"/>
        <w:contextualSpacing w:val="0"/>
      </w:pPr>
      <w:r>
        <w:t>Sinha S, Newsom-Davis J, Mills K, By</w:t>
      </w:r>
      <w:r w:rsidR="00FC2602">
        <w:t xml:space="preserve">, </w:t>
      </w:r>
      <w:r w:rsidR="00FC2602" w:rsidRPr="00FC2602">
        <w:rPr>
          <w:i/>
        </w:rPr>
        <w:t>et al</w:t>
      </w:r>
      <w:r>
        <w:t xml:space="preserve">.  Autoimmune aetiology for acquired neuromyotonia (Isaac’s syndrome).  </w:t>
      </w:r>
      <w:r>
        <w:rPr>
          <w:i/>
        </w:rPr>
        <w:t xml:space="preserve">Lancet </w:t>
      </w:r>
      <w:r w:rsidR="00C82389">
        <w:t xml:space="preserve">1991; </w:t>
      </w:r>
      <w:r w:rsidR="00C82389" w:rsidRPr="00C82389">
        <w:rPr>
          <w:b/>
        </w:rPr>
        <w:t>338</w:t>
      </w:r>
      <w:r>
        <w:t>:75-7</w:t>
      </w:r>
    </w:p>
    <w:p w14:paraId="26AEDAE1" w14:textId="7773AAE1" w:rsidR="00112AB1" w:rsidRDefault="00112AB1" w:rsidP="003430A8">
      <w:pPr>
        <w:pStyle w:val="ListParagraph"/>
        <w:numPr>
          <w:ilvl w:val="0"/>
          <w:numId w:val="2"/>
        </w:numPr>
        <w:spacing w:after="120" w:line="276" w:lineRule="auto"/>
        <w:contextualSpacing w:val="0"/>
      </w:pPr>
      <w:r>
        <w:t xml:space="preserve">Newsom-Davis J, Mills KR.  Immunological associations of acquired neuromyotonia (Isaac’s syndrome).  Report of five cases and literature review.  </w:t>
      </w:r>
      <w:r>
        <w:rPr>
          <w:i/>
        </w:rPr>
        <w:t>Brain</w:t>
      </w:r>
      <w:r w:rsidR="00C82389">
        <w:t xml:space="preserve"> 1993; </w:t>
      </w:r>
      <w:r w:rsidR="00C82389" w:rsidRPr="00C82389">
        <w:rPr>
          <w:b/>
        </w:rPr>
        <w:t>116</w:t>
      </w:r>
      <w:r>
        <w:t>: 453-469</w:t>
      </w:r>
    </w:p>
    <w:p w14:paraId="42FDDAAB" w14:textId="6F8EB9BF" w:rsidR="00001D4E" w:rsidRDefault="00001D4E" w:rsidP="003430A8">
      <w:pPr>
        <w:pStyle w:val="ListParagraph"/>
        <w:numPr>
          <w:ilvl w:val="0"/>
          <w:numId w:val="2"/>
        </w:numPr>
        <w:spacing w:after="120" w:line="276" w:lineRule="auto"/>
        <w:contextualSpacing w:val="0"/>
      </w:pPr>
      <w:r>
        <w:t xml:space="preserve">Shillito P, Molenaar PC, Vincent A et al.  Acquired neuromyotonia: evidence for autoantibodies directed against K+ channels of peripheral nerves.  </w:t>
      </w:r>
      <w:r>
        <w:rPr>
          <w:i/>
        </w:rPr>
        <w:t xml:space="preserve">Annals of Neurology </w:t>
      </w:r>
      <w:r w:rsidR="00C82389">
        <w:t xml:space="preserve">1995; </w:t>
      </w:r>
      <w:r w:rsidR="00C82389" w:rsidRPr="00C82389">
        <w:rPr>
          <w:b/>
        </w:rPr>
        <w:t>38</w:t>
      </w:r>
      <w:r>
        <w:t>: 714-22</w:t>
      </w:r>
    </w:p>
    <w:p w14:paraId="7CAEE89E" w14:textId="1F6745E2" w:rsidR="00001D4E" w:rsidRDefault="00001D4E" w:rsidP="003430A8">
      <w:pPr>
        <w:pStyle w:val="ListParagraph"/>
        <w:numPr>
          <w:ilvl w:val="0"/>
          <w:numId w:val="2"/>
        </w:numPr>
        <w:spacing w:after="120" w:line="276" w:lineRule="auto"/>
        <w:contextualSpacing w:val="0"/>
      </w:pPr>
      <w:r>
        <w:t xml:space="preserve">Hart IK.  </w:t>
      </w:r>
      <w:r w:rsidR="00410776">
        <w:t xml:space="preserve">Acquired neuromyotonia: a new autoantibody-mediated neuronal potassium channelopathy.  </w:t>
      </w:r>
      <w:r w:rsidR="00410776">
        <w:rPr>
          <w:i/>
        </w:rPr>
        <w:t>The American Journal of the Medical Sciences</w:t>
      </w:r>
      <w:r w:rsidR="00C82389">
        <w:t xml:space="preserve"> 2000; </w:t>
      </w:r>
      <w:r w:rsidR="00C82389" w:rsidRPr="00C82389">
        <w:rPr>
          <w:b/>
        </w:rPr>
        <w:t>319</w:t>
      </w:r>
      <w:r w:rsidR="00410776">
        <w:t>:209-16</w:t>
      </w:r>
    </w:p>
    <w:p w14:paraId="541C6D58" w14:textId="2246458D" w:rsidR="00084A05" w:rsidRDefault="00084A05" w:rsidP="003430A8">
      <w:pPr>
        <w:pStyle w:val="ListParagraph"/>
        <w:numPr>
          <w:ilvl w:val="0"/>
          <w:numId w:val="2"/>
        </w:numPr>
        <w:spacing w:after="120" w:line="276" w:lineRule="auto"/>
        <w:contextualSpacing w:val="0"/>
      </w:pPr>
      <w:r>
        <w:t xml:space="preserve">Hart IK, Maddison P, Newsom-Davis J, </w:t>
      </w:r>
      <w:r w:rsidR="00FC2602">
        <w:rPr>
          <w:i/>
        </w:rPr>
        <w:t>et al</w:t>
      </w:r>
      <w:r>
        <w:t xml:space="preserve">.  Phenotypic variants of autoimmune peripheral nerve hyperexcitability.  </w:t>
      </w:r>
      <w:r>
        <w:rPr>
          <w:i/>
        </w:rPr>
        <w:t>Brain</w:t>
      </w:r>
      <w:r w:rsidR="00C82389">
        <w:t xml:space="preserve"> 2002; </w:t>
      </w:r>
      <w:r w:rsidR="00C82389" w:rsidRPr="00C82389">
        <w:rPr>
          <w:b/>
        </w:rPr>
        <w:t>125</w:t>
      </w:r>
      <w:r>
        <w:t>: 1887-95</w:t>
      </w:r>
    </w:p>
    <w:p w14:paraId="13AE5FB6" w14:textId="2F6DF2B0" w:rsidR="007F0BD0" w:rsidRDefault="007F0BD0" w:rsidP="003430A8">
      <w:pPr>
        <w:pStyle w:val="ListParagraph"/>
        <w:numPr>
          <w:ilvl w:val="0"/>
          <w:numId w:val="2"/>
        </w:numPr>
        <w:spacing w:after="120" w:line="276" w:lineRule="auto"/>
        <w:contextualSpacing w:val="0"/>
      </w:pPr>
      <w:r>
        <w:t xml:space="preserve">Buckley C, Vincent A.  Autoimmune channelopathies.  </w:t>
      </w:r>
      <w:r>
        <w:rPr>
          <w:i/>
        </w:rPr>
        <w:t xml:space="preserve">Nature Clinical Practice Neurology </w:t>
      </w:r>
      <w:r w:rsidR="00C82389">
        <w:t xml:space="preserve">2005; </w:t>
      </w:r>
      <w:r w:rsidR="00C82389" w:rsidRPr="00C82389">
        <w:rPr>
          <w:b/>
        </w:rPr>
        <w:t>1</w:t>
      </w:r>
      <w:r>
        <w:t>: 22-33</w:t>
      </w:r>
    </w:p>
    <w:p w14:paraId="2FFA3A86" w14:textId="3DC42A2B" w:rsidR="00DB32C3" w:rsidRDefault="00DB32C3" w:rsidP="00DB32C3">
      <w:pPr>
        <w:pStyle w:val="ListParagraph"/>
        <w:numPr>
          <w:ilvl w:val="0"/>
          <w:numId w:val="2"/>
        </w:numPr>
        <w:spacing w:after="120" w:line="276" w:lineRule="auto"/>
        <w:contextualSpacing w:val="0"/>
      </w:pPr>
      <w:r>
        <w:t xml:space="preserve">Irani SR, Vincent A.  Autoimmune Encephalitis – new awareness, challenging questions.  </w:t>
      </w:r>
      <w:r>
        <w:rPr>
          <w:i/>
        </w:rPr>
        <w:t>Discovery Medicine</w:t>
      </w:r>
      <w:r w:rsidR="00C82389">
        <w:t xml:space="preserve"> 2011; </w:t>
      </w:r>
      <w:r w:rsidR="00C82389" w:rsidRPr="00C82389">
        <w:rPr>
          <w:b/>
        </w:rPr>
        <w:t>11</w:t>
      </w:r>
      <w:r>
        <w:t>: 449-58</w:t>
      </w:r>
    </w:p>
    <w:p w14:paraId="1DFD53B4" w14:textId="776C0C79" w:rsidR="009F3E30" w:rsidRDefault="009F3E30" w:rsidP="009F3E30">
      <w:pPr>
        <w:pStyle w:val="ListParagraph"/>
        <w:numPr>
          <w:ilvl w:val="0"/>
          <w:numId w:val="2"/>
        </w:numPr>
        <w:spacing w:after="120" w:line="276" w:lineRule="auto"/>
        <w:contextualSpacing w:val="0"/>
      </w:pPr>
      <w:r>
        <w:t xml:space="preserve">Granerod J, Ambrose HE, Davies NW et al.  Causes of encephalitis and differences in their clinical presentations in England: a multicentre, population-based prospective study.  </w:t>
      </w:r>
      <w:r>
        <w:rPr>
          <w:i/>
        </w:rPr>
        <w:t xml:space="preserve">The Lancet. Infectious diseases </w:t>
      </w:r>
      <w:r w:rsidR="00C82389">
        <w:t xml:space="preserve">2010; </w:t>
      </w:r>
      <w:r w:rsidR="00C82389" w:rsidRPr="00C82389">
        <w:rPr>
          <w:b/>
        </w:rPr>
        <w:t>10</w:t>
      </w:r>
      <w:r>
        <w:t>: 835-44</w:t>
      </w:r>
    </w:p>
    <w:p w14:paraId="311EDAFB" w14:textId="11EBD38A" w:rsidR="00DB6427" w:rsidRDefault="00DB6427" w:rsidP="00DB6427">
      <w:pPr>
        <w:pStyle w:val="ListParagraph"/>
        <w:numPr>
          <w:ilvl w:val="0"/>
          <w:numId w:val="2"/>
        </w:numPr>
        <w:spacing w:after="120" w:line="276" w:lineRule="auto"/>
        <w:contextualSpacing w:val="0"/>
      </w:pPr>
      <w:r>
        <w:t xml:space="preserve">Kleopa KA.  Autoimmune channelopathies of the nervous system.  </w:t>
      </w:r>
      <w:r>
        <w:rPr>
          <w:i/>
        </w:rPr>
        <w:t xml:space="preserve">Current Neuropharmacology </w:t>
      </w:r>
      <w:r>
        <w:t>2011;</w:t>
      </w:r>
      <w:r w:rsidR="00C82389">
        <w:t xml:space="preserve"> </w:t>
      </w:r>
      <w:r w:rsidR="00C82389" w:rsidRPr="00C82389">
        <w:rPr>
          <w:b/>
        </w:rPr>
        <w:t>9</w:t>
      </w:r>
      <w:r>
        <w:t>: 458-67</w:t>
      </w:r>
    </w:p>
    <w:p w14:paraId="14FD635F" w14:textId="480E1A0F" w:rsidR="00884E52" w:rsidRDefault="00884E52" w:rsidP="003430A8">
      <w:pPr>
        <w:pStyle w:val="ListParagraph"/>
        <w:numPr>
          <w:ilvl w:val="0"/>
          <w:numId w:val="2"/>
        </w:numPr>
        <w:spacing w:after="120" w:line="276" w:lineRule="auto"/>
        <w:contextualSpacing w:val="0"/>
      </w:pPr>
      <w:r>
        <w:lastRenderedPageBreak/>
        <w:t>Vincent A, Irani SR.  Caspr2 Antibodies in Patients with Thymomas.</w:t>
      </w:r>
      <w:r w:rsidR="002D6AF2">
        <w:t xml:space="preserve">  </w:t>
      </w:r>
      <w:r w:rsidR="002D6AF2">
        <w:rPr>
          <w:i/>
        </w:rPr>
        <w:t xml:space="preserve">Journal of Thoracic Oncology </w:t>
      </w:r>
      <w:r w:rsidR="00C82389">
        <w:t xml:space="preserve">2010; </w:t>
      </w:r>
      <w:r w:rsidR="00C82389" w:rsidRPr="00C82389">
        <w:rPr>
          <w:b/>
        </w:rPr>
        <w:t>5</w:t>
      </w:r>
      <w:r w:rsidR="00C82389">
        <w:t xml:space="preserve">: </w:t>
      </w:r>
      <w:r w:rsidR="002D6AF2">
        <w:t>277-80</w:t>
      </w:r>
    </w:p>
    <w:p w14:paraId="0D6BBDE2" w14:textId="10911BEB" w:rsidR="00805905" w:rsidRDefault="00805905" w:rsidP="00805905">
      <w:pPr>
        <w:pStyle w:val="ListParagraph"/>
        <w:numPr>
          <w:ilvl w:val="0"/>
          <w:numId w:val="2"/>
        </w:numPr>
        <w:spacing w:after="120" w:line="276" w:lineRule="auto"/>
        <w:contextualSpacing w:val="0"/>
      </w:pPr>
      <w:r>
        <w:t xml:space="preserve">Irani SR, Alexander S, Waters P </w:t>
      </w:r>
      <w:r w:rsidRPr="00FC2602">
        <w:rPr>
          <w:i/>
        </w:rPr>
        <w:t>et al</w:t>
      </w:r>
      <w:r>
        <w:t xml:space="preserve">.  Antibodies to Kv1 potassium channel-complex proteins leucine-rich, glioma inactivated 1 protein and contactin-associated protein-2 in limbic encephalitis, Morvan’s syndrome and acquired neuromyotonia.  </w:t>
      </w:r>
      <w:r>
        <w:rPr>
          <w:i/>
        </w:rPr>
        <w:t xml:space="preserve">Brain </w:t>
      </w:r>
      <w:r w:rsidR="00C82389">
        <w:t xml:space="preserve">2010; </w:t>
      </w:r>
      <w:r w:rsidR="00C82389" w:rsidRPr="00C82389">
        <w:rPr>
          <w:b/>
        </w:rPr>
        <w:t>133</w:t>
      </w:r>
      <w:r>
        <w:t>: 2734-48</w:t>
      </w:r>
    </w:p>
    <w:p w14:paraId="5A504588" w14:textId="43B5D6CA" w:rsidR="00805905" w:rsidRDefault="00805905" w:rsidP="00805905">
      <w:pPr>
        <w:pStyle w:val="ListParagraph"/>
        <w:numPr>
          <w:ilvl w:val="0"/>
          <w:numId w:val="2"/>
        </w:numPr>
        <w:spacing w:after="120" w:line="276" w:lineRule="auto"/>
        <w:contextualSpacing w:val="0"/>
      </w:pPr>
      <w:r>
        <w:t xml:space="preserve">Lai M, Huijbers MG, Lancaster E, </w:t>
      </w:r>
      <w:r w:rsidR="00FC2602">
        <w:rPr>
          <w:i/>
        </w:rPr>
        <w:t>et al</w:t>
      </w:r>
      <w:r>
        <w:t xml:space="preserve">  Investigation of LGI1 as the antigen in limbic encephalitis previously attributed to potassium channels: a case series.  </w:t>
      </w:r>
      <w:r>
        <w:rPr>
          <w:i/>
        </w:rPr>
        <w:t xml:space="preserve">The Lancet. Neurology </w:t>
      </w:r>
      <w:r w:rsidR="00C82389">
        <w:t xml:space="preserve">2010; </w:t>
      </w:r>
      <w:r w:rsidR="00C82389" w:rsidRPr="00C82389">
        <w:rPr>
          <w:b/>
        </w:rPr>
        <w:t>9</w:t>
      </w:r>
      <w:r>
        <w:t>: 776-85</w:t>
      </w:r>
    </w:p>
    <w:p w14:paraId="43CAF44F" w14:textId="2D9877A4" w:rsidR="00805905" w:rsidRDefault="00805905" w:rsidP="00805905">
      <w:pPr>
        <w:pStyle w:val="ListParagraph"/>
        <w:numPr>
          <w:ilvl w:val="0"/>
          <w:numId w:val="2"/>
        </w:numPr>
        <w:spacing w:after="120" w:line="276" w:lineRule="auto"/>
        <w:contextualSpacing w:val="0"/>
      </w:pPr>
      <w:r>
        <w:t xml:space="preserve">Lancaster E, Huijbers MG, Bar V </w:t>
      </w:r>
      <w:r w:rsidRPr="00FC2602">
        <w:rPr>
          <w:i/>
        </w:rPr>
        <w:t>et al</w:t>
      </w:r>
      <w:r>
        <w:t xml:space="preserve">.  Investigations of caspr2, an autoantigen of encephalitis and neuromyotonia.  </w:t>
      </w:r>
      <w:r>
        <w:rPr>
          <w:i/>
        </w:rPr>
        <w:t>Annals of Neurology</w:t>
      </w:r>
      <w:r w:rsidR="00C82389">
        <w:t xml:space="preserve"> 2011; </w:t>
      </w:r>
      <w:r w:rsidR="00C82389" w:rsidRPr="00C82389">
        <w:rPr>
          <w:b/>
        </w:rPr>
        <w:t>69</w:t>
      </w:r>
      <w:r>
        <w:t>: 303-11</w:t>
      </w:r>
    </w:p>
    <w:p w14:paraId="138BABC8" w14:textId="74EE506D" w:rsidR="00805905" w:rsidRDefault="00805905" w:rsidP="00805905">
      <w:pPr>
        <w:pStyle w:val="ListParagraph"/>
        <w:numPr>
          <w:ilvl w:val="0"/>
          <w:numId w:val="2"/>
        </w:numPr>
        <w:spacing w:after="120" w:line="276" w:lineRule="auto"/>
        <w:contextualSpacing w:val="0"/>
      </w:pPr>
      <w:r>
        <w:t xml:space="preserve">Klein CJ, Lennon VA, Aston PA, </w:t>
      </w:r>
      <w:r w:rsidR="00FC2602">
        <w:rPr>
          <w:i/>
        </w:rPr>
        <w:t>et al</w:t>
      </w:r>
      <w:r>
        <w:t xml:space="preserve">.  Insights from LGI1 and CASPR2 Potassium Channel Complex Autoantibody Subtyping.  </w:t>
      </w:r>
      <w:r>
        <w:rPr>
          <w:i/>
        </w:rPr>
        <w:t xml:space="preserve">JAMA Neurology </w:t>
      </w:r>
      <w:r w:rsidR="00C82389">
        <w:t xml:space="preserve">2013; </w:t>
      </w:r>
      <w:r w:rsidR="00C82389" w:rsidRPr="00C82389">
        <w:rPr>
          <w:b/>
        </w:rPr>
        <w:t>70</w:t>
      </w:r>
      <w:r>
        <w:t>: 229-34</w:t>
      </w:r>
    </w:p>
    <w:p w14:paraId="483CE8E1" w14:textId="036E783C" w:rsidR="0035086F" w:rsidRDefault="0035086F" w:rsidP="0035086F">
      <w:pPr>
        <w:pStyle w:val="ListParagraph"/>
        <w:numPr>
          <w:ilvl w:val="0"/>
          <w:numId w:val="2"/>
        </w:numPr>
        <w:spacing w:after="120" w:line="276" w:lineRule="auto"/>
        <w:contextualSpacing w:val="0"/>
      </w:pPr>
      <w:r>
        <w:t xml:space="preserve">Solomon T, Michael BD, Smith PE </w:t>
      </w:r>
      <w:r w:rsidRPr="00FC2602">
        <w:rPr>
          <w:i/>
        </w:rPr>
        <w:t>et al</w:t>
      </w:r>
      <w:r>
        <w:t xml:space="preserve">. on behalf of the National Encephalitis Guidelines Development and Stakeholder Groups.  Management of suspected viral encephalitis in adults – Association of British Neurologists and British Infection Association National Guidelines.  </w:t>
      </w:r>
      <w:r>
        <w:rPr>
          <w:i/>
        </w:rPr>
        <w:t xml:space="preserve">Journal of Infection </w:t>
      </w:r>
      <w:r w:rsidR="00DC5E55">
        <w:t xml:space="preserve">2012; </w:t>
      </w:r>
      <w:r w:rsidR="00DC5E55" w:rsidRPr="005508B3">
        <w:rPr>
          <w:b/>
        </w:rPr>
        <w:t>64</w:t>
      </w:r>
      <w:r w:rsidR="00DC5E55">
        <w:t>: 347-73</w:t>
      </w:r>
    </w:p>
    <w:p w14:paraId="2C09D04D" w14:textId="424A6CEC" w:rsidR="0035086F" w:rsidRDefault="0035086F" w:rsidP="0035086F">
      <w:pPr>
        <w:pStyle w:val="ListParagraph"/>
        <w:numPr>
          <w:ilvl w:val="0"/>
          <w:numId w:val="2"/>
        </w:numPr>
        <w:spacing w:after="120" w:line="276" w:lineRule="auto"/>
        <w:contextualSpacing w:val="0"/>
      </w:pPr>
      <w:r>
        <w:t xml:space="preserve">Michael BD, Solomon T.  Seizures and encephalitis: clinical features, management, and potential pathophysiologic mechanisms.  </w:t>
      </w:r>
      <w:r>
        <w:rPr>
          <w:i/>
        </w:rPr>
        <w:t xml:space="preserve">Epilepsia </w:t>
      </w:r>
      <w:r w:rsidR="005508B3">
        <w:t xml:space="preserve">2012; </w:t>
      </w:r>
      <w:r w:rsidR="005508B3" w:rsidRPr="005508B3">
        <w:rPr>
          <w:b/>
        </w:rPr>
        <w:t>53</w:t>
      </w:r>
      <w:r w:rsidR="00FA7CC1">
        <w:t>: 63-71</w:t>
      </w:r>
    </w:p>
    <w:p w14:paraId="48E4FAE1" w14:textId="3D3CD6A3" w:rsidR="009E341B" w:rsidRDefault="009E341B" w:rsidP="009E341B">
      <w:pPr>
        <w:pStyle w:val="ListParagraph"/>
        <w:numPr>
          <w:ilvl w:val="0"/>
          <w:numId w:val="2"/>
        </w:numPr>
        <w:spacing w:after="120" w:line="276" w:lineRule="auto"/>
        <w:contextualSpacing w:val="0"/>
      </w:pPr>
      <w:r>
        <w:t xml:space="preserve">Thieben MJ, Lennon VA, Boeve BF, </w:t>
      </w:r>
      <w:r w:rsidR="00FC2602">
        <w:rPr>
          <w:i/>
        </w:rPr>
        <w:t>et al</w:t>
      </w:r>
      <w:r>
        <w:t xml:space="preserve">.  Potentially reversible autoimmune limbic encephalitis with neuronal potassium channel antibody.  </w:t>
      </w:r>
      <w:r>
        <w:rPr>
          <w:i/>
        </w:rPr>
        <w:t>Neurology</w:t>
      </w:r>
      <w:r w:rsidR="005508B3">
        <w:t xml:space="preserve"> 2004; </w:t>
      </w:r>
      <w:r w:rsidR="005508B3" w:rsidRPr="005508B3">
        <w:rPr>
          <w:b/>
        </w:rPr>
        <w:t>62</w:t>
      </w:r>
      <w:r>
        <w:t>: 1177-82</w:t>
      </w:r>
    </w:p>
    <w:p w14:paraId="5D34E074" w14:textId="77777777" w:rsidR="00C1759C" w:rsidRDefault="00C1759C" w:rsidP="00C1759C">
      <w:pPr>
        <w:pStyle w:val="ListParagraph"/>
        <w:numPr>
          <w:ilvl w:val="0"/>
          <w:numId w:val="2"/>
        </w:numPr>
        <w:spacing w:after="120" w:line="276" w:lineRule="auto"/>
        <w:contextualSpacing w:val="0"/>
      </w:pPr>
      <w:r>
        <w:t xml:space="preserve">Vincent A, Buckley C, Schott JM </w:t>
      </w:r>
      <w:r w:rsidRPr="00FC2602">
        <w:rPr>
          <w:i/>
        </w:rPr>
        <w:t>et al.</w:t>
      </w:r>
      <w:r>
        <w:t xml:space="preserve">  Potassium channel antibody-associated encephalopathy: a potentially immunotherapy-responsive form of limbic encephalitis.  </w:t>
      </w:r>
      <w:r>
        <w:rPr>
          <w:i/>
        </w:rPr>
        <w:t xml:space="preserve">Brain </w:t>
      </w:r>
      <w:r>
        <w:t xml:space="preserve">2004; </w:t>
      </w:r>
      <w:r w:rsidRPr="005508B3">
        <w:rPr>
          <w:b/>
        </w:rPr>
        <w:t>127</w:t>
      </w:r>
      <w:r>
        <w:t>: 701-12</w:t>
      </w:r>
    </w:p>
    <w:p w14:paraId="3DF908D2" w14:textId="28953F61" w:rsidR="00066C2B" w:rsidRDefault="00066C2B" w:rsidP="00C1759C">
      <w:pPr>
        <w:pStyle w:val="ListParagraph"/>
        <w:numPr>
          <w:ilvl w:val="0"/>
          <w:numId w:val="2"/>
        </w:numPr>
        <w:spacing w:after="120" w:line="276" w:lineRule="auto"/>
        <w:contextualSpacing w:val="0"/>
      </w:pPr>
      <w:r>
        <w:t xml:space="preserve">Irani SR, Buckley C, Vincent A, </w:t>
      </w:r>
      <w:r w:rsidR="00FC2602">
        <w:rPr>
          <w:i/>
        </w:rPr>
        <w:t>et al</w:t>
      </w:r>
      <w:r>
        <w:t xml:space="preserve">.  Immunotherapy-responsive seizure-like episodes with potassium channel antibodies.  </w:t>
      </w:r>
      <w:r>
        <w:rPr>
          <w:i/>
        </w:rPr>
        <w:t xml:space="preserve">Neurology </w:t>
      </w:r>
      <w:r>
        <w:t>2008</w:t>
      </w:r>
      <w:r w:rsidR="005508B3">
        <w:t xml:space="preserve">; </w:t>
      </w:r>
      <w:r w:rsidR="005508B3" w:rsidRPr="005508B3">
        <w:rPr>
          <w:b/>
        </w:rPr>
        <w:t>71</w:t>
      </w:r>
      <w:r w:rsidR="00230AEF">
        <w:t>: 1647-8</w:t>
      </w:r>
    </w:p>
    <w:p w14:paraId="5B6524BE" w14:textId="25E2A5E4" w:rsidR="004C3ACB" w:rsidRDefault="00F41C5F" w:rsidP="004C3ACB">
      <w:pPr>
        <w:pStyle w:val="ListParagraph"/>
        <w:numPr>
          <w:ilvl w:val="0"/>
          <w:numId w:val="2"/>
        </w:numPr>
        <w:spacing w:after="120" w:line="276" w:lineRule="auto"/>
        <w:contextualSpacing w:val="0"/>
      </w:pPr>
      <w:r>
        <w:t xml:space="preserve">Irani SR, Pettingill P, Kleopa KA </w:t>
      </w:r>
      <w:r w:rsidRPr="00FC2602">
        <w:rPr>
          <w:i/>
        </w:rPr>
        <w:t>et al</w:t>
      </w:r>
      <w:r>
        <w:t xml:space="preserve">.  Morvan syndrome: clinical and serological observations in 29 cases.  </w:t>
      </w:r>
      <w:r>
        <w:rPr>
          <w:i/>
        </w:rPr>
        <w:t xml:space="preserve">Annals of Neurology </w:t>
      </w:r>
      <w:r w:rsidR="005508B3">
        <w:t xml:space="preserve">2012; </w:t>
      </w:r>
      <w:r w:rsidR="005508B3" w:rsidRPr="005508B3">
        <w:rPr>
          <w:b/>
        </w:rPr>
        <w:t>72</w:t>
      </w:r>
      <w:r w:rsidR="004C3ACB">
        <w:t>: 241-55</w:t>
      </w:r>
    </w:p>
    <w:p w14:paraId="66E48456" w14:textId="12607F33" w:rsidR="004C3ACB" w:rsidRDefault="004C3ACB" w:rsidP="004C3ACB">
      <w:pPr>
        <w:pStyle w:val="ListParagraph"/>
        <w:numPr>
          <w:ilvl w:val="0"/>
          <w:numId w:val="2"/>
        </w:numPr>
        <w:spacing w:after="120" w:line="276" w:lineRule="auto"/>
        <w:contextualSpacing w:val="0"/>
      </w:pPr>
      <w:r>
        <w:t xml:space="preserve">Klein CJ, Lennon VA, Aston PA, </w:t>
      </w:r>
      <w:r w:rsidR="00FC2602">
        <w:rPr>
          <w:i/>
        </w:rPr>
        <w:t>et al</w:t>
      </w:r>
      <w:r>
        <w:t xml:space="preserve">.  Chronic pain as a manifestation of potassium channel-complex autoimmunity.  </w:t>
      </w:r>
      <w:r>
        <w:rPr>
          <w:i/>
        </w:rPr>
        <w:t xml:space="preserve">Neurology </w:t>
      </w:r>
      <w:r w:rsidR="005508B3">
        <w:t xml:space="preserve">2012; </w:t>
      </w:r>
      <w:r w:rsidR="005508B3" w:rsidRPr="005508B3">
        <w:rPr>
          <w:b/>
        </w:rPr>
        <w:t>79</w:t>
      </w:r>
      <w:r>
        <w:t>: 1136-44</w:t>
      </w:r>
    </w:p>
    <w:p w14:paraId="230D02AA" w14:textId="6432A516" w:rsidR="004C3ACB" w:rsidRDefault="004C3ACB" w:rsidP="004C3ACB">
      <w:pPr>
        <w:pStyle w:val="ListParagraph"/>
        <w:numPr>
          <w:ilvl w:val="0"/>
          <w:numId w:val="2"/>
        </w:numPr>
        <w:spacing w:after="120" w:line="276" w:lineRule="auto"/>
        <w:contextualSpacing w:val="0"/>
      </w:pPr>
      <w:r>
        <w:lastRenderedPageBreak/>
        <w:t>Tan KM, Lennon VA</w:t>
      </w:r>
      <w:proofErr w:type="gramStart"/>
      <w:r>
        <w:t xml:space="preserve">, Klein CJ, </w:t>
      </w:r>
      <w:r w:rsidR="00FC2602">
        <w:rPr>
          <w:i/>
        </w:rPr>
        <w:t>et al</w:t>
      </w:r>
      <w:r>
        <w:t xml:space="preserve"> </w:t>
      </w:r>
      <w:proofErr w:type="gramEnd"/>
      <w:r>
        <w:t xml:space="preserve"> Clinical spectrum of voltage-gated potassium channel autoimmunity.  </w:t>
      </w:r>
      <w:r>
        <w:rPr>
          <w:i/>
        </w:rPr>
        <w:t xml:space="preserve">Neurology </w:t>
      </w:r>
      <w:r w:rsidR="005508B3">
        <w:t xml:space="preserve">2008; </w:t>
      </w:r>
      <w:r w:rsidR="005508B3" w:rsidRPr="005508B3">
        <w:rPr>
          <w:b/>
        </w:rPr>
        <w:t>70</w:t>
      </w:r>
      <w:r>
        <w:t>: 1883-90</w:t>
      </w:r>
    </w:p>
    <w:p w14:paraId="00747C5E" w14:textId="35ADF67A" w:rsidR="007F26BB" w:rsidRDefault="007F26BB" w:rsidP="004C3ACB">
      <w:pPr>
        <w:pStyle w:val="ListParagraph"/>
        <w:numPr>
          <w:ilvl w:val="0"/>
          <w:numId w:val="2"/>
        </w:numPr>
        <w:spacing w:after="120" w:line="276" w:lineRule="auto"/>
        <w:contextualSpacing w:val="0"/>
      </w:pPr>
      <w:proofErr w:type="spellStart"/>
      <w:r>
        <w:t>Irani</w:t>
      </w:r>
      <w:proofErr w:type="spellEnd"/>
      <w:r>
        <w:t xml:space="preserve"> SR, </w:t>
      </w:r>
      <w:proofErr w:type="spellStart"/>
      <w:r>
        <w:t>Michell</w:t>
      </w:r>
      <w:proofErr w:type="spellEnd"/>
      <w:r>
        <w:t xml:space="preserve"> AW, Lang B </w:t>
      </w:r>
      <w:r w:rsidRPr="00FC2602">
        <w:rPr>
          <w:i/>
        </w:rPr>
        <w:t>et al</w:t>
      </w:r>
      <w:r>
        <w:t>.  Faciobrachial dyston</w:t>
      </w:r>
      <w:r w:rsidR="00F73B9D">
        <w:t>ic seizures precede LGI1-antibod</w:t>
      </w:r>
      <w:r>
        <w:t xml:space="preserve">y limbic encephalitis.  </w:t>
      </w:r>
      <w:r>
        <w:rPr>
          <w:i/>
        </w:rPr>
        <w:t xml:space="preserve">Annals of Neurology </w:t>
      </w:r>
      <w:r w:rsidR="005508B3">
        <w:t xml:space="preserve">2011; </w:t>
      </w:r>
      <w:r w:rsidR="005508B3" w:rsidRPr="005508B3">
        <w:rPr>
          <w:b/>
        </w:rPr>
        <w:t>69</w:t>
      </w:r>
      <w:r>
        <w:t>: 892-900</w:t>
      </w:r>
    </w:p>
    <w:p w14:paraId="143963CF" w14:textId="2EA3249C" w:rsidR="006F32C2" w:rsidRDefault="006F32C2" w:rsidP="006F32C2">
      <w:pPr>
        <w:pStyle w:val="ListParagraph"/>
        <w:numPr>
          <w:ilvl w:val="0"/>
          <w:numId w:val="2"/>
        </w:numPr>
        <w:spacing w:after="120" w:line="276" w:lineRule="auto"/>
        <w:contextualSpacing w:val="0"/>
      </w:pPr>
      <w:r>
        <w:t xml:space="preserve">Bien CG, </w:t>
      </w:r>
      <w:proofErr w:type="spellStart"/>
      <w:r>
        <w:t>Scheffer</w:t>
      </w:r>
      <w:proofErr w:type="spellEnd"/>
      <w:r>
        <w:t xml:space="preserve"> IE.  Autoantibodies and epilepsy.  </w:t>
      </w:r>
      <w:proofErr w:type="spellStart"/>
      <w:r>
        <w:rPr>
          <w:i/>
        </w:rPr>
        <w:t>Ep</w:t>
      </w:r>
      <w:r w:rsidR="005E3BA5">
        <w:rPr>
          <w:i/>
        </w:rPr>
        <w:t>il</w:t>
      </w:r>
      <w:r>
        <w:rPr>
          <w:i/>
        </w:rPr>
        <w:t>epsia</w:t>
      </w:r>
      <w:proofErr w:type="spellEnd"/>
      <w:r w:rsidR="005508B3">
        <w:t xml:space="preserve"> 2011; </w:t>
      </w:r>
      <w:r w:rsidR="005508B3" w:rsidRPr="005508B3">
        <w:rPr>
          <w:b/>
        </w:rPr>
        <w:t>52</w:t>
      </w:r>
      <w:r>
        <w:t>: 18-22</w:t>
      </w:r>
    </w:p>
    <w:p w14:paraId="12F57713" w14:textId="3F29FBF5" w:rsidR="004B52D1" w:rsidRDefault="00CE32EF" w:rsidP="004B52D1">
      <w:pPr>
        <w:pStyle w:val="ListParagraph"/>
        <w:numPr>
          <w:ilvl w:val="0"/>
          <w:numId w:val="2"/>
        </w:numPr>
        <w:spacing w:after="120" w:line="276" w:lineRule="auto"/>
        <w:contextualSpacing w:val="0"/>
      </w:pPr>
      <w:r>
        <w:t xml:space="preserve">Vincent A.  An Update on Antibody-Mediated Diseases.  </w:t>
      </w:r>
      <w:r>
        <w:rPr>
          <w:i/>
        </w:rPr>
        <w:t xml:space="preserve">Advances in Clinical Neuroscience and </w:t>
      </w:r>
      <w:bookmarkStart w:id="0" w:name="_GoBack"/>
      <w:bookmarkEnd w:id="0"/>
      <w:r>
        <w:rPr>
          <w:i/>
        </w:rPr>
        <w:t xml:space="preserve">Rehabilitation </w:t>
      </w:r>
      <w:r w:rsidR="005508B3">
        <w:t xml:space="preserve">2010; </w:t>
      </w:r>
      <w:r w:rsidR="005508B3" w:rsidRPr="005508B3">
        <w:rPr>
          <w:b/>
        </w:rPr>
        <w:t>10</w:t>
      </w:r>
      <w:r>
        <w:t>: 8-11</w:t>
      </w:r>
    </w:p>
    <w:p w14:paraId="3546BC17" w14:textId="01407DF7" w:rsidR="004B52D1" w:rsidRDefault="004B52D1" w:rsidP="004B52D1">
      <w:pPr>
        <w:pStyle w:val="ListParagraph"/>
        <w:numPr>
          <w:ilvl w:val="0"/>
          <w:numId w:val="2"/>
        </w:numPr>
        <w:spacing w:after="120" w:line="276" w:lineRule="auto"/>
        <w:contextualSpacing w:val="0"/>
      </w:pPr>
      <w:r>
        <w:t xml:space="preserve">Paterson RW, </w:t>
      </w:r>
      <w:proofErr w:type="spellStart"/>
      <w:r>
        <w:t>Zandi</w:t>
      </w:r>
      <w:proofErr w:type="spellEnd"/>
      <w:r>
        <w:t xml:space="preserve"> MS, Armstrong R, </w:t>
      </w:r>
      <w:r w:rsidR="00FC2602">
        <w:rPr>
          <w:i/>
        </w:rPr>
        <w:t>et al</w:t>
      </w:r>
      <w:r>
        <w:t xml:space="preserve">.  Clinical relevance of positive voltage-gated potassium channel (VGKC)-complex antibodies: experience from a tertiary referral centre.  </w:t>
      </w:r>
      <w:r w:rsidR="005A1A0C">
        <w:rPr>
          <w:i/>
        </w:rPr>
        <w:t xml:space="preserve">Journal of Neurology, Neurosurgery &amp; Psychiatry </w:t>
      </w:r>
      <w:r w:rsidR="005A1A0C">
        <w:t xml:space="preserve">2014; </w:t>
      </w:r>
      <w:r w:rsidR="005A1A0C" w:rsidRPr="005508B3">
        <w:rPr>
          <w:b/>
        </w:rPr>
        <w:t>85</w:t>
      </w:r>
      <w:r w:rsidR="005A1A0C">
        <w:t>:625-630</w:t>
      </w:r>
    </w:p>
    <w:p w14:paraId="751DEBA8" w14:textId="393C174A" w:rsidR="005A1A0C" w:rsidRDefault="005A1A0C" w:rsidP="004B52D1">
      <w:pPr>
        <w:pStyle w:val="ListParagraph"/>
        <w:numPr>
          <w:ilvl w:val="0"/>
          <w:numId w:val="2"/>
        </w:numPr>
        <w:spacing w:after="120" w:line="276" w:lineRule="auto"/>
        <w:contextualSpacing w:val="0"/>
      </w:pPr>
      <w:proofErr w:type="spellStart"/>
      <w:r>
        <w:t>Zuliani</w:t>
      </w:r>
      <w:proofErr w:type="spellEnd"/>
      <w:r>
        <w:t xml:space="preserve"> L, </w:t>
      </w:r>
      <w:proofErr w:type="spellStart"/>
      <w:r>
        <w:t>Graus</w:t>
      </w:r>
      <w:proofErr w:type="spellEnd"/>
      <w:r>
        <w:t xml:space="preserve"> F, </w:t>
      </w:r>
      <w:proofErr w:type="spellStart"/>
      <w:r>
        <w:t>Giometto</w:t>
      </w:r>
      <w:proofErr w:type="spellEnd"/>
      <w:r>
        <w:t xml:space="preserve"> B, </w:t>
      </w:r>
      <w:r w:rsidR="00FC2602">
        <w:rPr>
          <w:i/>
        </w:rPr>
        <w:t>et al</w:t>
      </w:r>
      <w:r>
        <w:t xml:space="preserve">.  Central nervous system neuronal surface antibody associated syndromes: review and guidelines for recognition.  </w:t>
      </w:r>
      <w:r>
        <w:rPr>
          <w:i/>
        </w:rPr>
        <w:t xml:space="preserve">Journal of Neurology, Neurosurgery &amp; Psychiatry </w:t>
      </w:r>
      <w:r>
        <w:t xml:space="preserve">2012; </w:t>
      </w:r>
      <w:r w:rsidRPr="005508B3">
        <w:rPr>
          <w:b/>
        </w:rPr>
        <w:t>83</w:t>
      </w:r>
      <w:r>
        <w:t>: 638-645</w:t>
      </w:r>
    </w:p>
    <w:p w14:paraId="54174942" w14:textId="3C069254" w:rsidR="009F7952" w:rsidRDefault="009F7952" w:rsidP="00F24F0F">
      <w:pPr>
        <w:pStyle w:val="ListParagraph"/>
        <w:numPr>
          <w:ilvl w:val="0"/>
          <w:numId w:val="2"/>
        </w:numPr>
        <w:spacing w:after="120" w:line="276" w:lineRule="auto"/>
        <w:contextualSpacing w:val="0"/>
      </w:pPr>
      <w:proofErr w:type="spellStart"/>
      <w:r>
        <w:t>Montojo</w:t>
      </w:r>
      <w:proofErr w:type="spellEnd"/>
      <w:r>
        <w:t xml:space="preserve"> MT, Petit-</w:t>
      </w:r>
      <w:proofErr w:type="spellStart"/>
      <w:r>
        <w:t>Pedrol</w:t>
      </w:r>
      <w:proofErr w:type="spellEnd"/>
      <w:r>
        <w:t xml:space="preserve"> M, </w:t>
      </w:r>
      <w:proofErr w:type="spellStart"/>
      <w:r>
        <w:t>Graus</w:t>
      </w:r>
      <w:proofErr w:type="spellEnd"/>
      <w:r>
        <w:t xml:space="preserve"> F, </w:t>
      </w:r>
      <w:r w:rsidR="00FC2602">
        <w:rPr>
          <w:i/>
        </w:rPr>
        <w:t>et al</w:t>
      </w:r>
      <w:r>
        <w:t xml:space="preserve">.  Clinical spectrum and diagnostic value of antibodies against the potassium channel-related protein complex.  </w:t>
      </w:r>
      <w:proofErr w:type="spellStart"/>
      <w:r>
        <w:rPr>
          <w:i/>
        </w:rPr>
        <w:t>Neurologia</w:t>
      </w:r>
      <w:proofErr w:type="spellEnd"/>
      <w:r>
        <w:rPr>
          <w:i/>
        </w:rPr>
        <w:t xml:space="preserve"> </w:t>
      </w:r>
      <w:r w:rsidR="005508B3">
        <w:t xml:space="preserve">2015; </w:t>
      </w:r>
      <w:r w:rsidR="005508B3" w:rsidRPr="005508B3">
        <w:rPr>
          <w:b/>
        </w:rPr>
        <w:t>30</w:t>
      </w:r>
      <w:r>
        <w:t>: 295-301</w:t>
      </w:r>
    </w:p>
    <w:p w14:paraId="37741D41" w14:textId="77777777" w:rsidR="0078383B" w:rsidRDefault="0078383B" w:rsidP="0078383B">
      <w:pPr>
        <w:pStyle w:val="ListParagraph"/>
        <w:numPr>
          <w:ilvl w:val="0"/>
          <w:numId w:val="2"/>
        </w:numPr>
        <w:spacing w:after="120" w:line="276" w:lineRule="auto"/>
        <w:contextualSpacing w:val="0"/>
      </w:pPr>
      <w:r>
        <w:t xml:space="preserve">Huda S, Wong SH, </w:t>
      </w:r>
      <w:proofErr w:type="spellStart"/>
      <w:r>
        <w:t>Pettingill</w:t>
      </w:r>
      <w:proofErr w:type="spellEnd"/>
      <w:r>
        <w:t xml:space="preserve"> P, </w:t>
      </w:r>
      <w:r>
        <w:rPr>
          <w:i/>
        </w:rPr>
        <w:t>et al</w:t>
      </w:r>
      <w:r>
        <w:t xml:space="preserve">. An 11-year retrospective experience of antibodies against the voltage-gated potassium channel (VGKC) complex from a tertiary neurological centre. </w:t>
      </w:r>
      <w:r>
        <w:rPr>
          <w:i/>
        </w:rPr>
        <w:t xml:space="preserve">J </w:t>
      </w:r>
      <w:proofErr w:type="spellStart"/>
      <w:r>
        <w:rPr>
          <w:i/>
        </w:rPr>
        <w:t>Neurol</w:t>
      </w:r>
      <w:proofErr w:type="spellEnd"/>
      <w:r>
        <w:rPr>
          <w:i/>
        </w:rPr>
        <w:t xml:space="preserve"> 2015;</w:t>
      </w:r>
      <w:r>
        <w:t xml:space="preserve"> </w:t>
      </w:r>
      <w:r>
        <w:rPr>
          <w:b/>
        </w:rPr>
        <w:t>262</w:t>
      </w:r>
      <w:r w:rsidRPr="00981639">
        <w:t>:418-424</w:t>
      </w:r>
    </w:p>
    <w:p w14:paraId="36DE6671" w14:textId="77777777" w:rsidR="00F24F0F" w:rsidRDefault="00F24F0F" w:rsidP="00F24F0F">
      <w:pPr>
        <w:pStyle w:val="ListParagraph"/>
        <w:numPr>
          <w:ilvl w:val="0"/>
          <w:numId w:val="2"/>
        </w:numPr>
        <w:spacing w:after="120" w:line="276" w:lineRule="auto"/>
        <w:contextualSpacing w:val="0"/>
      </w:pPr>
      <w:r>
        <w:t xml:space="preserve">Randomness and Integrity Services Ltd. </w:t>
      </w:r>
      <w:r w:rsidRPr="00F12DE9">
        <w:rPr>
          <w:i/>
        </w:rPr>
        <w:t>RANDOM.ORG</w:t>
      </w:r>
      <w:r>
        <w:t xml:space="preserve">. [Computer program]. Dublin, Ireland.  Available from: </w:t>
      </w:r>
      <w:hyperlink r:id="rId8" w:history="1">
        <w:r w:rsidRPr="00636E94">
          <w:rPr>
            <w:rStyle w:val="Hyperlink"/>
          </w:rPr>
          <w:t>http://www.random.org</w:t>
        </w:r>
      </w:hyperlink>
      <w:r>
        <w:t>.  Accessed 16</w:t>
      </w:r>
      <w:r w:rsidRPr="00EE32A7">
        <w:rPr>
          <w:vertAlign w:val="superscript"/>
        </w:rPr>
        <w:t>th</w:t>
      </w:r>
      <w:r>
        <w:t xml:space="preserve"> October 2014</w:t>
      </w:r>
    </w:p>
    <w:p w14:paraId="3B4D3A74" w14:textId="2454F670" w:rsidR="00F24F0F" w:rsidRDefault="00F24F0F" w:rsidP="00F24F0F">
      <w:pPr>
        <w:pStyle w:val="ListParagraph"/>
        <w:numPr>
          <w:ilvl w:val="0"/>
          <w:numId w:val="2"/>
        </w:numPr>
        <w:spacing w:after="120" w:line="276" w:lineRule="auto"/>
        <w:contextualSpacing w:val="0"/>
      </w:pPr>
      <w:proofErr w:type="gramStart"/>
      <w:r>
        <w:t>von</w:t>
      </w:r>
      <w:proofErr w:type="gramEnd"/>
      <w:r>
        <w:t xml:space="preserve"> Elm E, Altman DG, Egger M, </w:t>
      </w:r>
      <w:r w:rsidR="00FC2602">
        <w:rPr>
          <w:i/>
        </w:rPr>
        <w:t xml:space="preserve">et al. </w:t>
      </w:r>
      <w:r>
        <w:t xml:space="preserve">STROBE initiative.  The Strengthening the Reporting of Observational Studies in Epidemiology (STROBE) statement: guidelines for reporting observational studies.  </w:t>
      </w:r>
      <w:r w:rsidRPr="005827BA">
        <w:rPr>
          <w:i/>
        </w:rPr>
        <w:t>Lancet</w:t>
      </w:r>
      <w:r w:rsidR="0078227B">
        <w:t xml:space="preserve"> 2007; </w:t>
      </w:r>
      <w:r w:rsidR="0078227B" w:rsidRPr="0078227B">
        <w:rPr>
          <w:b/>
        </w:rPr>
        <w:t>370</w:t>
      </w:r>
      <w:r>
        <w:t>:1453-7</w:t>
      </w:r>
    </w:p>
    <w:p w14:paraId="1143AB04" w14:textId="304F6151" w:rsidR="00461F29" w:rsidRDefault="00461F29" w:rsidP="00F24F0F">
      <w:pPr>
        <w:pStyle w:val="ListParagraph"/>
        <w:numPr>
          <w:ilvl w:val="0"/>
          <w:numId w:val="2"/>
        </w:numPr>
        <w:spacing w:after="120" w:line="276" w:lineRule="auto"/>
        <w:contextualSpacing w:val="0"/>
      </w:pPr>
      <w:proofErr w:type="spellStart"/>
      <w:r>
        <w:t>Majoie</w:t>
      </w:r>
      <w:proofErr w:type="spellEnd"/>
      <w:r>
        <w:t xml:space="preserve"> HJ, de </w:t>
      </w:r>
      <w:proofErr w:type="spellStart"/>
      <w:r>
        <w:t>Baets</w:t>
      </w:r>
      <w:proofErr w:type="spellEnd"/>
      <w:r>
        <w:t xml:space="preserve"> M, </w:t>
      </w:r>
      <w:proofErr w:type="spellStart"/>
      <w:r>
        <w:t>Renier</w:t>
      </w:r>
      <w:proofErr w:type="spellEnd"/>
      <w:r>
        <w:t xml:space="preserve"> W, </w:t>
      </w:r>
      <w:r w:rsidR="004071F9">
        <w:rPr>
          <w:i/>
        </w:rPr>
        <w:t>et al</w:t>
      </w:r>
      <w:r>
        <w:t xml:space="preserve">.  Antibodies to voltage-gated potassium and calcium channels in epilepsy.  </w:t>
      </w:r>
      <w:r>
        <w:rPr>
          <w:i/>
        </w:rPr>
        <w:t xml:space="preserve">Epilepsy Research </w:t>
      </w:r>
      <w:r w:rsidR="0078227B">
        <w:t xml:space="preserve">2006; </w:t>
      </w:r>
      <w:r w:rsidR="0078227B" w:rsidRPr="0078227B">
        <w:rPr>
          <w:b/>
        </w:rPr>
        <w:t>71</w:t>
      </w:r>
      <w:r>
        <w:t>: 135-141</w:t>
      </w:r>
    </w:p>
    <w:p w14:paraId="1D985655" w14:textId="28ABFE73" w:rsidR="004D36CE" w:rsidRDefault="004D36CE" w:rsidP="00F24F0F">
      <w:pPr>
        <w:pStyle w:val="ListParagraph"/>
        <w:numPr>
          <w:ilvl w:val="0"/>
          <w:numId w:val="2"/>
        </w:numPr>
        <w:spacing w:after="120" w:line="276" w:lineRule="auto"/>
        <w:contextualSpacing w:val="0"/>
      </w:pPr>
      <w:proofErr w:type="spellStart"/>
      <w:r>
        <w:t>Newey</w:t>
      </w:r>
      <w:proofErr w:type="spellEnd"/>
      <w:r>
        <w:t xml:space="preserve"> CR, </w:t>
      </w:r>
      <w:proofErr w:type="spellStart"/>
      <w:r>
        <w:t>Sarwal</w:t>
      </w:r>
      <w:proofErr w:type="spellEnd"/>
      <w:r>
        <w:t xml:space="preserve"> A.  Hyponatraemia and Voltage Gated Potassium Channel Antibody Associated Limbic Encephalitis.  </w:t>
      </w:r>
      <w:r>
        <w:rPr>
          <w:i/>
        </w:rPr>
        <w:t xml:space="preserve">Neurology and Neurophysiology </w:t>
      </w:r>
      <w:r w:rsidR="0078227B">
        <w:t xml:space="preserve">2014; </w:t>
      </w:r>
      <w:r w:rsidR="0078227B" w:rsidRPr="0078227B">
        <w:rPr>
          <w:b/>
        </w:rPr>
        <w:t>5</w:t>
      </w:r>
      <w:r>
        <w:t>:</w:t>
      </w:r>
      <w:r w:rsidR="00DE2156">
        <w:t xml:space="preserve"> 1-3</w:t>
      </w:r>
    </w:p>
    <w:p w14:paraId="57C2E73A" w14:textId="77777777" w:rsidR="007B7E85" w:rsidRDefault="007B7E85" w:rsidP="00F24F0F">
      <w:pPr>
        <w:pStyle w:val="ListParagraph"/>
        <w:numPr>
          <w:ilvl w:val="0"/>
          <w:numId w:val="2"/>
        </w:numPr>
        <w:spacing w:after="120" w:line="276" w:lineRule="auto"/>
        <w:contextualSpacing w:val="0"/>
      </w:pPr>
      <w:proofErr w:type="spellStart"/>
      <w:r>
        <w:lastRenderedPageBreak/>
        <w:t>Cros</w:t>
      </w:r>
      <w:proofErr w:type="spellEnd"/>
      <w:r>
        <w:t xml:space="preserve"> D, Pearson C, Verity MA. </w:t>
      </w:r>
      <w:proofErr w:type="spellStart"/>
      <w:r>
        <w:t>Polymyositis</w:t>
      </w:r>
      <w:proofErr w:type="spellEnd"/>
      <w:r>
        <w:t xml:space="preserve">-dermatomyositis: diagnostic and prognostic significance of muscular alkaline phosphatase. </w:t>
      </w:r>
      <w:r w:rsidRPr="00DE3890">
        <w:rPr>
          <w:i/>
        </w:rPr>
        <w:t xml:space="preserve">Am J </w:t>
      </w:r>
      <w:proofErr w:type="spellStart"/>
      <w:r w:rsidRPr="00DE3890">
        <w:rPr>
          <w:i/>
        </w:rPr>
        <w:t>Pathol</w:t>
      </w:r>
      <w:proofErr w:type="spellEnd"/>
      <w:r>
        <w:t xml:space="preserve"> 1980; </w:t>
      </w:r>
      <w:r w:rsidRPr="0086688D">
        <w:rPr>
          <w:b/>
        </w:rPr>
        <w:t>10</w:t>
      </w:r>
      <w:r>
        <w:t>: 159-176</w:t>
      </w:r>
    </w:p>
    <w:p w14:paraId="75FEDE2D" w14:textId="108975CD" w:rsidR="00870CAB" w:rsidRDefault="00870CAB" w:rsidP="00F24F0F">
      <w:pPr>
        <w:pStyle w:val="ListParagraph"/>
        <w:numPr>
          <w:ilvl w:val="0"/>
          <w:numId w:val="2"/>
        </w:numPr>
        <w:spacing w:after="120" w:line="276" w:lineRule="auto"/>
        <w:contextualSpacing w:val="0"/>
      </w:pPr>
      <w:proofErr w:type="spellStart"/>
      <w:r>
        <w:t>Bhatti</w:t>
      </w:r>
      <w:proofErr w:type="spellEnd"/>
      <w:r>
        <w:t xml:space="preserve"> SF, </w:t>
      </w:r>
      <w:proofErr w:type="spellStart"/>
      <w:r>
        <w:t>Vanhaesebrouck</w:t>
      </w:r>
      <w:proofErr w:type="spellEnd"/>
      <w:r>
        <w:t xml:space="preserve"> AE, </w:t>
      </w:r>
      <w:proofErr w:type="spellStart"/>
      <w:r>
        <w:t>Soens</w:t>
      </w:r>
      <w:proofErr w:type="spellEnd"/>
      <w:r>
        <w:t xml:space="preserve"> IV, </w:t>
      </w:r>
      <w:r w:rsidR="004071F9">
        <w:rPr>
          <w:i/>
        </w:rPr>
        <w:t>et al</w:t>
      </w:r>
      <w:r>
        <w:t xml:space="preserve">. </w:t>
      </w:r>
      <w:proofErr w:type="spellStart"/>
      <w:r>
        <w:t>Myokymia</w:t>
      </w:r>
      <w:proofErr w:type="spellEnd"/>
      <w:r>
        <w:t xml:space="preserve"> and neuromyotonia in 37 Jack Russell terriers. </w:t>
      </w:r>
      <w:r w:rsidRPr="00870CAB">
        <w:rPr>
          <w:i/>
        </w:rPr>
        <w:t>The Vet J 2001;</w:t>
      </w:r>
      <w:r>
        <w:t xml:space="preserve"> </w:t>
      </w:r>
      <w:r>
        <w:rPr>
          <w:b/>
        </w:rPr>
        <w:t>189</w:t>
      </w:r>
      <w:r>
        <w:t>: 284-8</w:t>
      </w:r>
    </w:p>
    <w:p w14:paraId="303D593D" w14:textId="3C9A4226" w:rsidR="00DE2156" w:rsidRDefault="00DE2156" w:rsidP="00F24F0F">
      <w:pPr>
        <w:pStyle w:val="ListParagraph"/>
        <w:numPr>
          <w:ilvl w:val="0"/>
          <w:numId w:val="2"/>
        </w:numPr>
        <w:spacing w:after="120" w:line="276" w:lineRule="auto"/>
        <w:contextualSpacing w:val="0"/>
      </w:pPr>
      <w:proofErr w:type="spellStart"/>
      <w:r>
        <w:t>Liguori</w:t>
      </w:r>
      <w:proofErr w:type="spellEnd"/>
      <w:r>
        <w:t xml:space="preserve"> R, Vincent A, Clover L </w:t>
      </w:r>
      <w:r w:rsidRPr="004071F9">
        <w:rPr>
          <w:i/>
        </w:rPr>
        <w:t>et al.</w:t>
      </w:r>
      <w:r>
        <w:t xml:space="preserve">  </w:t>
      </w:r>
      <w:proofErr w:type="spellStart"/>
      <w:r>
        <w:t>Morvan’s</w:t>
      </w:r>
      <w:proofErr w:type="spellEnd"/>
      <w:r>
        <w:t xml:space="preserve"> syndrome: peripheral and central nervous system and cardiac involvement with antibodies to voltage-gated potassium channels.  </w:t>
      </w:r>
      <w:r>
        <w:rPr>
          <w:i/>
        </w:rPr>
        <w:t xml:space="preserve">Brain </w:t>
      </w:r>
      <w:r w:rsidR="0086688D">
        <w:t xml:space="preserve">2001; </w:t>
      </w:r>
      <w:r w:rsidR="0086688D" w:rsidRPr="0086688D">
        <w:rPr>
          <w:b/>
        </w:rPr>
        <w:t>124</w:t>
      </w:r>
      <w:r>
        <w:t>: 2417-26</w:t>
      </w:r>
    </w:p>
    <w:p w14:paraId="555009D3" w14:textId="77777777" w:rsidR="00210ECB" w:rsidRDefault="00210ECB" w:rsidP="00210ECB">
      <w:pPr>
        <w:spacing w:after="120" w:line="276" w:lineRule="auto"/>
      </w:pPr>
    </w:p>
    <w:p w14:paraId="186C7BFC" w14:textId="77777777" w:rsidR="00D0151C" w:rsidRDefault="00D0151C" w:rsidP="00210ECB">
      <w:pPr>
        <w:spacing w:after="120" w:line="276" w:lineRule="auto"/>
      </w:pPr>
    </w:p>
    <w:p w14:paraId="14DD2E0B" w14:textId="77777777" w:rsidR="00D0151C" w:rsidRDefault="00D0151C" w:rsidP="00210ECB">
      <w:pPr>
        <w:spacing w:after="120" w:line="276" w:lineRule="auto"/>
      </w:pPr>
    </w:p>
    <w:p w14:paraId="043C1805" w14:textId="77777777" w:rsidR="00D0151C" w:rsidRDefault="00D0151C" w:rsidP="00210ECB">
      <w:pPr>
        <w:spacing w:after="120" w:line="276" w:lineRule="auto"/>
      </w:pPr>
    </w:p>
    <w:p w14:paraId="1F3353A9" w14:textId="77777777" w:rsidR="00210ECB" w:rsidRDefault="00210ECB" w:rsidP="00210ECB">
      <w:pPr>
        <w:spacing w:after="120" w:line="276" w:lineRule="auto"/>
      </w:pPr>
    </w:p>
    <w:p w14:paraId="027F884B" w14:textId="6AE0C333" w:rsidR="00210ECB" w:rsidRPr="008A3F1C" w:rsidRDefault="00210ECB" w:rsidP="00210ECB">
      <w:pPr>
        <w:rPr>
          <w:b/>
          <w:sz w:val="22"/>
          <w:szCs w:val="22"/>
        </w:rPr>
      </w:pPr>
      <w:r w:rsidRPr="008A3F1C">
        <w:rPr>
          <w:b/>
          <w:sz w:val="22"/>
          <w:szCs w:val="22"/>
        </w:rPr>
        <w:t xml:space="preserve">Table 1. </w:t>
      </w:r>
      <w:r w:rsidRPr="008A3F1C">
        <w:rPr>
          <w:sz w:val="22"/>
          <w:szCs w:val="22"/>
        </w:rPr>
        <w:t>Clinical case definitions</w:t>
      </w:r>
      <w:r w:rsidR="0010675C">
        <w:rPr>
          <w:sz w:val="22"/>
          <w:szCs w:val="22"/>
        </w:rPr>
        <w:t xml:space="preserve"> of patients tested for VG</w:t>
      </w:r>
      <w:r>
        <w:rPr>
          <w:sz w:val="22"/>
          <w:szCs w:val="22"/>
        </w:rPr>
        <w:t>KC-complex antibodies in a tertiary care centre</w:t>
      </w:r>
    </w:p>
    <w:p w14:paraId="719C5AF8" w14:textId="77777777" w:rsidR="00210ECB" w:rsidRDefault="00210ECB" w:rsidP="00210ECB">
      <w:pPr>
        <w:spacing w:after="120"/>
        <w:rPr>
          <w:b/>
          <w:sz w:val="22"/>
          <w:szCs w:val="22"/>
        </w:rPr>
      </w:pPr>
    </w:p>
    <w:tbl>
      <w:tblPr>
        <w:tblStyle w:val="TableGrid"/>
        <w:tblpPr w:leftFromText="180" w:rightFromText="180" w:vertAnchor="text" w:horzAnchor="page" w:tblpX="1369" w:tblpY="271"/>
        <w:tblW w:w="512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3477"/>
        <w:gridCol w:w="3477"/>
      </w:tblGrid>
      <w:tr w:rsidR="00210ECB" w:rsidRPr="00210ECB" w14:paraId="07DBD021" w14:textId="77777777" w:rsidTr="00292802">
        <w:trPr>
          <w:trHeight w:hRule="exact" w:val="652"/>
        </w:trPr>
        <w:tc>
          <w:tcPr>
            <w:tcW w:w="1018" w:type="pct"/>
            <w:tcBorders>
              <w:top w:val="single" w:sz="4" w:space="0" w:color="auto"/>
              <w:bottom w:val="single" w:sz="4" w:space="0" w:color="auto"/>
            </w:tcBorders>
            <w:vAlign w:val="center"/>
          </w:tcPr>
          <w:p w14:paraId="165ABF01" w14:textId="77777777" w:rsidR="00210ECB" w:rsidRPr="00210ECB" w:rsidRDefault="00210ECB" w:rsidP="00292802">
            <w:pPr>
              <w:jc w:val="center"/>
              <w:rPr>
                <w:b/>
                <w:sz w:val="20"/>
              </w:rPr>
            </w:pPr>
            <w:r w:rsidRPr="00210ECB">
              <w:rPr>
                <w:b/>
                <w:sz w:val="20"/>
              </w:rPr>
              <w:t>Serum Antibody Titre</w:t>
            </w:r>
          </w:p>
        </w:tc>
        <w:tc>
          <w:tcPr>
            <w:tcW w:w="1991" w:type="pct"/>
            <w:tcBorders>
              <w:top w:val="single" w:sz="4" w:space="0" w:color="auto"/>
              <w:bottom w:val="single" w:sz="4" w:space="0" w:color="auto"/>
            </w:tcBorders>
            <w:vAlign w:val="center"/>
          </w:tcPr>
          <w:p w14:paraId="325E4AED" w14:textId="77777777" w:rsidR="00210ECB" w:rsidRPr="00210ECB" w:rsidRDefault="00210ECB" w:rsidP="00292802">
            <w:pPr>
              <w:jc w:val="center"/>
              <w:rPr>
                <w:b/>
                <w:sz w:val="20"/>
              </w:rPr>
            </w:pPr>
            <w:r w:rsidRPr="00210ECB">
              <w:rPr>
                <w:b/>
                <w:sz w:val="20"/>
              </w:rPr>
              <w:t>Clinical Case Definition</w:t>
            </w:r>
          </w:p>
        </w:tc>
        <w:tc>
          <w:tcPr>
            <w:tcW w:w="1991" w:type="pct"/>
            <w:tcBorders>
              <w:top w:val="single" w:sz="4" w:space="0" w:color="auto"/>
              <w:bottom w:val="single" w:sz="4" w:space="0" w:color="auto"/>
            </w:tcBorders>
            <w:vAlign w:val="center"/>
          </w:tcPr>
          <w:p w14:paraId="666D3D76" w14:textId="77777777" w:rsidR="00210ECB" w:rsidRPr="00210ECB" w:rsidRDefault="00210ECB" w:rsidP="00292802">
            <w:pPr>
              <w:jc w:val="center"/>
              <w:rPr>
                <w:b/>
                <w:sz w:val="20"/>
              </w:rPr>
            </w:pPr>
            <w:r w:rsidRPr="00210ECB">
              <w:rPr>
                <w:b/>
                <w:sz w:val="20"/>
              </w:rPr>
              <w:t>Criteria</w:t>
            </w:r>
          </w:p>
        </w:tc>
      </w:tr>
      <w:tr w:rsidR="00210ECB" w:rsidRPr="00210ECB" w14:paraId="329C31A2" w14:textId="77777777" w:rsidTr="00292802">
        <w:trPr>
          <w:trHeight w:val="1225"/>
        </w:trPr>
        <w:tc>
          <w:tcPr>
            <w:tcW w:w="1018" w:type="pct"/>
            <w:vMerge w:val="restart"/>
            <w:tcBorders>
              <w:top w:val="single" w:sz="4" w:space="0" w:color="auto"/>
            </w:tcBorders>
            <w:vAlign w:val="center"/>
          </w:tcPr>
          <w:p w14:paraId="16CC49EC" w14:textId="33FBF309" w:rsidR="00210ECB" w:rsidRPr="00210ECB" w:rsidRDefault="00210ECB" w:rsidP="00292802">
            <w:pPr>
              <w:jc w:val="center"/>
              <w:rPr>
                <w:sz w:val="20"/>
              </w:rPr>
            </w:pPr>
            <w:r w:rsidRPr="00210ECB">
              <w:rPr>
                <w:sz w:val="20"/>
              </w:rPr>
              <w:t xml:space="preserve">Positive titre </w:t>
            </w:r>
            <w:r w:rsidR="005A4906">
              <w:rPr>
                <w:sz w:val="20"/>
              </w:rPr>
              <w:t>*</w:t>
            </w:r>
          </w:p>
          <w:p w14:paraId="363CA499" w14:textId="60E70B3C" w:rsidR="00210ECB" w:rsidRPr="00210ECB" w:rsidRDefault="00210ECB" w:rsidP="00292802">
            <w:pPr>
              <w:jc w:val="center"/>
              <w:rPr>
                <w:sz w:val="20"/>
              </w:rPr>
            </w:pPr>
          </w:p>
        </w:tc>
        <w:tc>
          <w:tcPr>
            <w:tcW w:w="1991" w:type="pct"/>
            <w:tcBorders>
              <w:top w:val="single" w:sz="4" w:space="0" w:color="auto"/>
            </w:tcBorders>
            <w:vAlign w:val="center"/>
          </w:tcPr>
          <w:p w14:paraId="4F834E75" w14:textId="77777777" w:rsidR="00210ECB" w:rsidRPr="00210ECB" w:rsidRDefault="00210ECB" w:rsidP="00292802">
            <w:pPr>
              <w:jc w:val="center"/>
              <w:rPr>
                <w:sz w:val="20"/>
              </w:rPr>
            </w:pPr>
            <w:r w:rsidRPr="00210ECB">
              <w:rPr>
                <w:sz w:val="20"/>
              </w:rPr>
              <w:t xml:space="preserve">VGKC-complex antibody-associated CNS disease  </w:t>
            </w:r>
          </w:p>
          <w:p w14:paraId="7B65C647" w14:textId="77777777" w:rsidR="00210ECB" w:rsidRPr="00210ECB" w:rsidRDefault="00210ECB" w:rsidP="00292802">
            <w:pPr>
              <w:jc w:val="center"/>
              <w:rPr>
                <w:sz w:val="20"/>
              </w:rPr>
            </w:pPr>
            <w:r w:rsidRPr="00210ECB">
              <w:rPr>
                <w:sz w:val="20"/>
              </w:rPr>
              <w:t>(Limbic Encephalitis)</w:t>
            </w:r>
          </w:p>
        </w:tc>
        <w:tc>
          <w:tcPr>
            <w:tcW w:w="1991" w:type="pct"/>
            <w:tcBorders>
              <w:top w:val="single" w:sz="4" w:space="0" w:color="auto"/>
            </w:tcBorders>
            <w:vAlign w:val="center"/>
          </w:tcPr>
          <w:p w14:paraId="0A748197" w14:textId="1995E407" w:rsidR="00210ECB" w:rsidRPr="00210ECB" w:rsidRDefault="00F5611D" w:rsidP="00F5611D">
            <w:pPr>
              <w:jc w:val="center"/>
              <w:rPr>
                <w:sz w:val="20"/>
              </w:rPr>
            </w:pPr>
            <w:r>
              <w:rPr>
                <w:sz w:val="20"/>
              </w:rPr>
              <w:t>S</w:t>
            </w:r>
            <w:r w:rsidR="00210ECB" w:rsidRPr="00210ECB">
              <w:rPr>
                <w:sz w:val="20"/>
              </w:rPr>
              <w:t xml:space="preserve">eizures </w:t>
            </w:r>
            <w:r w:rsidRPr="00F5611D">
              <w:rPr>
                <w:sz w:val="20"/>
              </w:rPr>
              <w:t>and/or</w:t>
            </w:r>
            <w:r w:rsidR="00210ECB" w:rsidRPr="00210ECB">
              <w:rPr>
                <w:sz w:val="20"/>
              </w:rPr>
              <w:t xml:space="preserve"> neuropsychiatric symptoms.  Absence of peripheral motor or sensory signs and symptoms</w:t>
            </w:r>
          </w:p>
        </w:tc>
      </w:tr>
      <w:tr w:rsidR="00210ECB" w:rsidRPr="00210ECB" w14:paraId="4EA4EA2A" w14:textId="77777777" w:rsidTr="00292802">
        <w:trPr>
          <w:trHeight w:val="932"/>
        </w:trPr>
        <w:tc>
          <w:tcPr>
            <w:tcW w:w="1018" w:type="pct"/>
            <w:vMerge/>
            <w:vAlign w:val="center"/>
          </w:tcPr>
          <w:p w14:paraId="2D28DB09" w14:textId="77777777" w:rsidR="00210ECB" w:rsidRPr="00210ECB" w:rsidRDefault="00210ECB" w:rsidP="00292802">
            <w:pPr>
              <w:jc w:val="center"/>
              <w:rPr>
                <w:sz w:val="20"/>
              </w:rPr>
            </w:pPr>
          </w:p>
        </w:tc>
        <w:tc>
          <w:tcPr>
            <w:tcW w:w="1991" w:type="pct"/>
            <w:vAlign w:val="center"/>
          </w:tcPr>
          <w:p w14:paraId="1367B12E" w14:textId="77777777" w:rsidR="00210ECB" w:rsidRPr="00210ECB" w:rsidRDefault="00210ECB" w:rsidP="00292802">
            <w:pPr>
              <w:jc w:val="center"/>
              <w:rPr>
                <w:sz w:val="20"/>
              </w:rPr>
            </w:pPr>
            <w:r w:rsidRPr="00210ECB">
              <w:rPr>
                <w:sz w:val="20"/>
              </w:rPr>
              <w:t xml:space="preserve">VGKC-complex antibody-associated PNS disease </w:t>
            </w:r>
          </w:p>
          <w:p w14:paraId="0C04DB13" w14:textId="77777777" w:rsidR="00210ECB" w:rsidRPr="00210ECB" w:rsidRDefault="00210ECB" w:rsidP="00292802">
            <w:pPr>
              <w:jc w:val="center"/>
              <w:rPr>
                <w:sz w:val="20"/>
              </w:rPr>
            </w:pPr>
            <w:r w:rsidRPr="00210ECB">
              <w:rPr>
                <w:sz w:val="20"/>
              </w:rPr>
              <w:t>(Isaac’s syndrome/Neuromyotonia)</w:t>
            </w:r>
          </w:p>
        </w:tc>
        <w:tc>
          <w:tcPr>
            <w:tcW w:w="1991" w:type="pct"/>
            <w:vAlign w:val="center"/>
          </w:tcPr>
          <w:p w14:paraId="31552592" w14:textId="77777777" w:rsidR="00210ECB" w:rsidRPr="00210ECB" w:rsidRDefault="00210ECB" w:rsidP="00292802">
            <w:pPr>
              <w:jc w:val="center"/>
              <w:rPr>
                <w:sz w:val="20"/>
              </w:rPr>
            </w:pPr>
            <w:r w:rsidRPr="00210ECB">
              <w:rPr>
                <w:sz w:val="20"/>
              </w:rPr>
              <w:t>Clinical evidence of peripheral nerve hyperexcitability.</w:t>
            </w:r>
          </w:p>
          <w:p w14:paraId="2A8F1853" w14:textId="77777777" w:rsidR="00210ECB" w:rsidRPr="00210ECB" w:rsidRDefault="00210ECB" w:rsidP="00292802">
            <w:pPr>
              <w:jc w:val="center"/>
              <w:rPr>
                <w:sz w:val="20"/>
              </w:rPr>
            </w:pPr>
            <w:r w:rsidRPr="00210ECB">
              <w:rPr>
                <w:sz w:val="20"/>
              </w:rPr>
              <w:t>Absence of central nervous signs and symptoms.</w:t>
            </w:r>
          </w:p>
        </w:tc>
      </w:tr>
      <w:tr w:rsidR="00210ECB" w:rsidRPr="00210ECB" w14:paraId="0BCC99BA" w14:textId="77777777" w:rsidTr="00292802">
        <w:trPr>
          <w:trHeight w:val="976"/>
        </w:trPr>
        <w:tc>
          <w:tcPr>
            <w:tcW w:w="1018" w:type="pct"/>
            <w:vMerge/>
            <w:vAlign w:val="center"/>
          </w:tcPr>
          <w:p w14:paraId="27B82813" w14:textId="77777777" w:rsidR="00210ECB" w:rsidRPr="00210ECB" w:rsidRDefault="00210ECB" w:rsidP="00292802">
            <w:pPr>
              <w:jc w:val="center"/>
              <w:rPr>
                <w:rFonts w:eastAsia="MS Gothic"/>
                <w:color w:val="000000"/>
                <w:sz w:val="20"/>
              </w:rPr>
            </w:pPr>
          </w:p>
        </w:tc>
        <w:tc>
          <w:tcPr>
            <w:tcW w:w="1991" w:type="pct"/>
            <w:vAlign w:val="center"/>
          </w:tcPr>
          <w:p w14:paraId="5EE61A12" w14:textId="77777777" w:rsidR="00210ECB" w:rsidRPr="00210ECB" w:rsidRDefault="00210ECB" w:rsidP="00292802">
            <w:pPr>
              <w:jc w:val="center"/>
              <w:rPr>
                <w:sz w:val="20"/>
              </w:rPr>
            </w:pPr>
            <w:r w:rsidRPr="00210ECB">
              <w:rPr>
                <w:sz w:val="20"/>
              </w:rPr>
              <w:t>VGKC-complex antibody-associated CNS and PNS disease (</w:t>
            </w:r>
            <w:proofErr w:type="spellStart"/>
            <w:r w:rsidRPr="00210ECB">
              <w:rPr>
                <w:sz w:val="20"/>
              </w:rPr>
              <w:t>Morvan’s</w:t>
            </w:r>
            <w:proofErr w:type="spellEnd"/>
            <w:r w:rsidRPr="00210ECB">
              <w:rPr>
                <w:sz w:val="20"/>
              </w:rPr>
              <w:t xml:space="preserve"> syndrome)</w:t>
            </w:r>
          </w:p>
        </w:tc>
        <w:tc>
          <w:tcPr>
            <w:tcW w:w="1991" w:type="pct"/>
            <w:vAlign w:val="center"/>
          </w:tcPr>
          <w:p w14:paraId="3C831515" w14:textId="3ACBD8B8" w:rsidR="00210ECB" w:rsidRPr="00210ECB" w:rsidRDefault="00F5611D" w:rsidP="00292802">
            <w:pPr>
              <w:jc w:val="center"/>
              <w:rPr>
                <w:sz w:val="20"/>
              </w:rPr>
            </w:pPr>
            <w:r>
              <w:rPr>
                <w:rFonts w:eastAsia="MS Gothic"/>
                <w:color w:val="000000"/>
                <w:sz w:val="20"/>
              </w:rPr>
              <w:t>S</w:t>
            </w:r>
            <w:r w:rsidR="00210ECB" w:rsidRPr="00210ECB">
              <w:rPr>
                <w:rFonts w:eastAsia="MS Gothic"/>
                <w:color w:val="000000"/>
                <w:sz w:val="20"/>
              </w:rPr>
              <w:t xml:space="preserve">eizures </w:t>
            </w:r>
            <w:r>
              <w:rPr>
                <w:rFonts w:eastAsia="MS Gothic"/>
                <w:color w:val="000000"/>
                <w:sz w:val="20"/>
              </w:rPr>
              <w:t>and/</w:t>
            </w:r>
            <w:r w:rsidR="00210ECB" w:rsidRPr="00210ECB">
              <w:rPr>
                <w:rFonts w:eastAsia="MS Gothic"/>
                <w:color w:val="000000"/>
                <w:sz w:val="20"/>
              </w:rPr>
              <w:t xml:space="preserve">or neuropsychiatric symptoms </w:t>
            </w:r>
            <w:r w:rsidR="00210ECB" w:rsidRPr="00210ECB">
              <w:rPr>
                <w:rFonts w:eastAsia="MS Gothic"/>
                <w:color w:val="000000"/>
                <w:sz w:val="20"/>
                <w:u w:val="single"/>
              </w:rPr>
              <w:t>and</w:t>
            </w:r>
            <w:r w:rsidR="00210ECB" w:rsidRPr="00210ECB">
              <w:rPr>
                <w:rFonts w:eastAsia="MS Gothic"/>
                <w:color w:val="000000"/>
                <w:sz w:val="20"/>
              </w:rPr>
              <w:t xml:space="preserve"> clinical evidence of peripheral nerve hyperexcitability</w:t>
            </w:r>
          </w:p>
        </w:tc>
      </w:tr>
      <w:tr w:rsidR="00210ECB" w:rsidRPr="00210ECB" w14:paraId="4D67E19B" w14:textId="77777777" w:rsidTr="00292802">
        <w:trPr>
          <w:trHeight w:val="688"/>
        </w:trPr>
        <w:tc>
          <w:tcPr>
            <w:tcW w:w="1018" w:type="pct"/>
            <w:vMerge/>
            <w:tcBorders>
              <w:bottom w:val="single" w:sz="4" w:space="0" w:color="auto"/>
            </w:tcBorders>
            <w:vAlign w:val="center"/>
          </w:tcPr>
          <w:p w14:paraId="433238E8" w14:textId="77777777" w:rsidR="00210ECB" w:rsidRPr="00210ECB" w:rsidRDefault="00210ECB" w:rsidP="00292802">
            <w:pPr>
              <w:jc w:val="center"/>
              <w:rPr>
                <w:sz w:val="20"/>
              </w:rPr>
            </w:pPr>
          </w:p>
        </w:tc>
        <w:tc>
          <w:tcPr>
            <w:tcW w:w="1991" w:type="pct"/>
            <w:tcBorders>
              <w:bottom w:val="single" w:sz="4" w:space="0" w:color="auto"/>
            </w:tcBorders>
            <w:vAlign w:val="center"/>
          </w:tcPr>
          <w:p w14:paraId="78BDE8EE" w14:textId="45CC6C2A" w:rsidR="00210ECB" w:rsidRPr="00210ECB" w:rsidRDefault="00C12DC5" w:rsidP="00292802">
            <w:pPr>
              <w:jc w:val="center"/>
              <w:rPr>
                <w:sz w:val="20"/>
              </w:rPr>
            </w:pPr>
            <w:r>
              <w:rPr>
                <w:sz w:val="20"/>
              </w:rPr>
              <w:t xml:space="preserve">Clinically-insignificant </w:t>
            </w:r>
            <w:r w:rsidR="00210ECB" w:rsidRPr="00210ECB">
              <w:rPr>
                <w:sz w:val="20"/>
              </w:rPr>
              <w:t>positive</w:t>
            </w:r>
          </w:p>
        </w:tc>
        <w:tc>
          <w:tcPr>
            <w:tcW w:w="1991" w:type="pct"/>
            <w:tcBorders>
              <w:bottom w:val="single" w:sz="4" w:space="0" w:color="auto"/>
            </w:tcBorders>
            <w:vAlign w:val="center"/>
          </w:tcPr>
          <w:p w14:paraId="289DEBB2" w14:textId="77777777" w:rsidR="00210ECB" w:rsidRPr="00210ECB" w:rsidRDefault="00210ECB" w:rsidP="00292802">
            <w:pPr>
              <w:jc w:val="center"/>
              <w:rPr>
                <w:sz w:val="20"/>
              </w:rPr>
            </w:pPr>
            <w:r w:rsidRPr="00210ECB">
              <w:rPr>
                <w:sz w:val="20"/>
              </w:rPr>
              <w:t>Alternative diagnosis more likely</w:t>
            </w:r>
          </w:p>
        </w:tc>
      </w:tr>
      <w:tr w:rsidR="00210ECB" w:rsidRPr="00210ECB" w14:paraId="5CFE924B" w14:textId="77777777" w:rsidTr="00292802">
        <w:trPr>
          <w:trHeight w:val="795"/>
        </w:trPr>
        <w:tc>
          <w:tcPr>
            <w:tcW w:w="1018" w:type="pct"/>
            <w:tcBorders>
              <w:top w:val="single" w:sz="4" w:space="0" w:color="auto"/>
              <w:bottom w:val="single" w:sz="4" w:space="0" w:color="auto"/>
            </w:tcBorders>
            <w:vAlign w:val="center"/>
          </w:tcPr>
          <w:p w14:paraId="2546DE43" w14:textId="63A7650E" w:rsidR="00210ECB" w:rsidRPr="00210ECB" w:rsidRDefault="00210ECB" w:rsidP="00292802">
            <w:pPr>
              <w:jc w:val="center"/>
              <w:rPr>
                <w:sz w:val="20"/>
              </w:rPr>
            </w:pPr>
            <w:r w:rsidRPr="00210ECB">
              <w:rPr>
                <w:sz w:val="20"/>
              </w:rPr>
              <w:t xml:space="preserve">Negative titre </w:t>
            </w:r>
            <w:r w:rsidR="005A4906">
              <w:rPr>
                <w:sz w:val="20"/>
              </w:rPr>
              <w:t>*</w:t>
            </w:r>
          </w:p>
          <w:p w14:paraId="2AC979D9" w14:textId="0361FB01" w:rsidR="00210ECB" w:rsidRPr="00210ECB" w:rsidRDefault="00210ECB" w:rsidP="00292802">
            <w:pPr>
              <w:jc w:val="center"/>
              <w:rPr>
                <w:sz w:val="20"/>
              </w:rPr>
            </w:pPr>
          </w:p>
        </w:tc>
        <w:tc>
          <w:tcPr>
            <w:tcW w:w="1991" w:type="pct"/>
            <w:tcBorders>
              <w:top w:val="single" w:sz="4" w:space="0" w:color="auto"/>
              <w:bottom w:val="single" w:sz="4" w:space="0" w:color="auto"/>
            </w:tcBorders>
            <w:vAlign w:val="center"/>
          </w:tcPr>
          <w:p w14:paraId="0E543494" w14:textId="77777777" w:rsidR="00210ECB" w:rsidRPr="00210ECB" w:rsidRDefault="00210ECB" w:rsidP="00292802">
            <w:pPr>
              <w:jc w:val="center"/>
              <w:rPr>
                <w:sz w:val="20"/>
              </w:rPr>
            </w:pPr>
            <w:r w:rsidRPr="00210ECB">
              <w:rPr>
                <w:sz w:val="20"/>
              </w:rPr>
              <w:t>VGKC-complex antibody negative disease</w:t>
            </w:r>
          </w:p>
        </w:tc>
        <w:tc>
          <w:tcPr>
            <w:tcW w:w="1991" w:type="pct"/>
            <w:tcBorders>
              <w:top w:val="single" w:sz="4" w:space="0" w:color="auto"/>
              <w:bottom w:val="single" w:sz="4" w:space="0" w:color="auto"/>
            </w:tcBorders>
            <w:vAlign w:val="center"/>
          </w:tcPr>
          <w:p w14:paraId="4F71D4D3" w14:textId="77777777" w:rsidR="00210ECB" w:rsidRPr="00210ECB" w:rsidRDefault="00210ECB" w:rsidP="00292802">
            <w:pPr>
              <w:jc w:val="center"/>
              <w:rPr>
                <w:sz w:val="20"/>
              </w:rPr>
            </w:pPr>
          </w:p>
        </w:tc>
      </w:tr>
    </w:tbl>
    <w:p w14:paraId="64C4A23F" w14:textId="77777777" w:rsidR="00175137" w:rsidRDefault="00175137" w:rsidP="005A4906">
      <w:pPr>
        <w:spacing w:after="120"/>
        <w:ind w:left="-567" w:firstLine="283"/>
        <w:rPr>
          <w:sz w:val="18"/>
          <w:szCs w:val="18"/>
        </w:rPr>
      </w:pPr>
    </w:p>
    <w:p w14:paraId="0057664B" w14:textId="1CC5A12B" w:rsidR="005A4906" w:rsidRPr="005A4906" w:rsidRDefault="005A4906" w:rsidP="00175137">
      <w:pPr>
        <w:spacing w:after="120"/>
        <w:ind w:left="-567"/>
        <w:rPr>
          <w:sz w:val="18"/>
          <w:szCs w:val="18"/>
        </w:rPr>
      </w:pPr>
      <w:r>
        <w:rPr>
          <w:sz w:val="18"/>
          <w:szCs w:val="18"/>
        </w:rPr>
        <w:t>*</w:t>
      </w:r>
      <w:r w:rsidRPr="005A4906">
        <w:rPr>
          <w:sz w:val="18"/>
          <w:szCs w:val="18"/>
        </w:rPr>
        <w:t xml:space="preserve">A positive titre was defined as </w:t>
      </w:r>
      <w:r w:rsidRPr="005A4906">
        <w:rPr>
          <w:sz w:val="18"/>
          <w:szCs w:val="18"/>
          <w:u w:val="single"/>
        </w:rPr>
        <w:t>&gt;</w:t>
      </w:r>
      <w:r w:rsidRPr="005A4906">
        <w:rPr>
          <w:sz w:val="18"/>
          <w:szCs w:val="18"/>
        </w:rPr>
        <w:t xml:space="preserve">100pmol/L on the Oxford assay and </w:t>
      </w:r>
      <w:r w:rsidRPr="005A4906">
        <w:rPr>
          <w:sz w:val="18"/>
          <w:szCs w:val="18"/>
          <w:u w:val="single"/>
        </w:rPr>
        <w:t>&gt;</w:t>
      </w:r>
      <w:r w:rsidRPr="005A4906">
        <w:rPr>
          <w:sz w:val="18"/>
          <w:szCs w:val="18"/>
        </w:rPr>
        <w:t xml:space="preserve">85pmol/L on the </w:t>
      </w:r>
      <w:r w:rsidR="00175137">
        <w:rPr>
          <w:sz w:val="18"/>
          <w:szCs w:val="18"/>
        </w:rPr>
        <w:t xml:space="preserve">commercial assay at the </w:t>
      </w:r>
      <w:r w:rsidRPr="005A4906">
        <w:rPr>
          <w:sz w:val="18"/>
          <w:szCs w:val="18"/>
        </w:rPr>
        <w:t>Walton Centre.</w:t>
      </w:r>
    </w:p>
    <w:p w14:paraId="253BD4DD" w14:textId="77777777" w:rsidR="005A4906" w:rsidRDefault="005A4906" w:rsidP="005A4906">
      <w:pPr>
        <w:spacing w:after="120"/>
        <w:rPr>
          <w:b/>
          <w:sz w:val="22"/>
          <w:szCs w:val="22"/>
        </w:rPr>
      </w:pPr>
    </w:p>
    <w:p w14:paraId="3C014511" w14:textId="77777777" w:rsidR="00210ECB" w:rsidRDefault="00210ECB" w:rsidP="00210ECB">
      <w:pPr>
        <w:spacing w:after="120"/>
        <w:rPr>
          <w:b/>
          <w:sz w:val="22"/>
          <w:szCs w:val="22"/>
        </w:rPr>
      </w:pPr>
    </w:p>
    <w:p w14:paraId="17C37405" w14:textId="77777777" w:rsidR="00210ECB" w:rsidRDefault="00210ECB" w:rsidP="00210ECB">
      <w:pPr>
        <w:spacing w:after="120"/>
        <w:rPr>
          <w:b/>
          <w:sz w:val="22"/>
          <w:szCs w:val="22"/>
        </w:rPr>
      </w:pPr>
    </w:p>
    <w:p w14:paraId="4046AB4C" w14:textId="77777777" w:rsidR="00210ECB" w:rsidRDefault="00210ECB" w:rsidP="00210ECB">
      <w:pPr>
        <w:spacing w:after="120"/>
        <w:rPr>
          <w:b/>
          <w:sz w:val="22"/>
          <w:szCs w:val="22"/>
        </w:rPr>
      </w:pPr>
    </w:p>
    <w:p w14:paraId="72266763" w14:textId="77777777" w:rsidR="00210ECB" w:rsidRDefault="00210ECB" w:rsidP="00210ECB">
      <w:pPr>
        <w:rPr>
          <w:b/>
          <w:sz w:val="22"/>
          <w:szCs w:val="22"/>
        </w:rPr>
      </w:pPr>
      <w:r>
        <w:rPr>
          <w:b/>
          <w:sz w:val="22"/>
          <w:szCs w:val="22"/>
        </w:rPr>
        <w:lastRenderedPageBreak/>
        <w:br w:type="page"/>
      </w:r>
    </w:p>
    <w:p w14:paraId="46592691" w14:textId="376CDF32" w:rsidR="00210ECB" w:rsidRPr="008A3F1C" w:rsidRDefault="00210ECB" w:rsidP="00175137">
      <w:pPr>
        <w:rPr>
          <w:b/>
          <w:sz w:val="22"/>
          <w:szCs w:val="22"/>
        </w:rPr>
      </w:pPr>
      <w:r>
        <w:rPr>
          <w:b/>
          <w:sz w:val="22"/>
          <w:szCs w:val="22"/>
        </w:rPr>
        <w:lastRenderedPageBreak/>
        <w:t>Table 2a</w:t>
      </w:r>
      <w:r w:rsidRPr="008A3F1C">
        <w:rPr>
          <w:b/>
          <w:sz w:val="22"/>
          <w:szCs w:val="22"/>
        </w:rPr>
        <w:t xml:space="preserve">. </w:t>
      </w:r>
      <w:r>
        <w:rPr>
          <w:sz w:val="22"/>
          <w:szCs w:val="22"/>
        </w:rPr>
        <w:t>Alternative</w:t>
      </w:r>
      <w:r w:rsidRPr="008A3F1C">
        <w:rPr>
          <w:sz w:val="22"/>
          <w:szCs w:val="22"/>
        </w:rPr>
        <w:t xml:space="preserve"> diagnoses of </w:t>
      </w:r>
      <w:r>
        <w:rPr>
          <w:sz w:val="22"/>
          <w:szCs w:val="22"/>
        </w:rPr>
        <w:t>VGKC-</w:t>
      </w:r>
      <w:r w:rsidR="007E321A">
        <w:rPr>
          <w:sz w:val="22"/>
          <w:szCs w:val="22"/>
        </w:rPr>
        <w:t xml:space="preserve">complex </w:t>
      </w:r>
      <w:proofErr w:type="gramStart"/>
      <w:r w:rsidR="00E4476D">
        <w:rPr>
          <w:sz w:val="22"/>
          <w:szCs w:val="22"/>
        </w:rPr>
        <w:t>clinically-insignificant</w:t>
      </w:r>
      <w:proofErr w:type="gramEnd"/>
      <w:r w:rsidR="007E321A">
        <w:rPr>
          <w:sz w:val="22"/>
          <w:szCs w:val="22"/>
        </w:rPr>
        <w:t xml:space="preserve"> positive patients</w:t>
      </w:r>
    </w:p>
    <w:p w14:paraId="65296E34" w14:textId="77777777" w:rsidR="00210ECB" w:rsidRDefault="00210ECB" w:rsidP="00175137">
      <w:pPr>
        <w:spacing w:after="120"/>
        <w:rPr>
          <w:b/>
          <w:sz w:val="22"/>
          <w:szCs w:val="22"/>
        </w:rPr>
      </w:pPr>
    </w:p>
    <w:tbl>
      <w:tblPr>
        <w:tblStyle w:val="TableGrid"/>
        <w:tblpPr w:leftFromText="180" w:rightFromText="180" w:vertAnchor="page" w:horzAnchor="page" w:tblpX="1909" w:tblpY="2701"/>
        <w:tblW w:w="7926" w:type="dxa"/>
        <w:tblLook w:val="04A0" w:firstRow="1" w:lastRow="0" w:firstColumn="1" w:lastColumn="0" w:noHBand="0" w:noVBand="1"/>
      </w:tblPr>
      <w:tblGrid>
        <w:gridCol w:w="2209"/>
        <w:gridCol w:w="4417"/>
        <w:gridCol w:w="1300"/>
      </w:tblGrid>
      <w:tr w:rsidR="00175137" w:rsidRPr="006D2BF3" w14:paraId="5A442187" w14:textId="77777777" w:rsidTr="00175137">
        <w:trPr>
          <w:trHeight w:val="689"/>
        </w:trPr>
        <w:tc>
          <w:tcPr>
            <w:tcW w:w="2209" w:type="dxa"/>
            <w:tcBorders>
              <w:top w:val="single" w:sz="4" w:space="0" w:color="auto"/>
              <w:left w:val="nil"/>
              <w:bottom w:val="single" w:sz="4" w:space="0" w:color="auto"/>
              <w:right w:val="nil"/>
            </w:tcBorders>
            <w:vAlign w:val="center"/>
          </w:tcPr>
          <w:p w14:paraId="01759F74" w14:textId="77777777" w:rsidR="00210ECB" w:rsidRPr="006D2BF3" w:rsidRDefault="00210ECB" w:rsidP="00175137">
            <w:pPr>
              <w:jc w:val="center"/>
              <w:rPr>
                <w:b/>
                <w:sz w:val="20"/>
                <w:szCs w:val="20"/>
              </w:rPr>
            </w:pPr>
            <w:r w:rsidRPr="006D2BF3">
              <w:rPr>
                <w:b/>
                <w:sz w:val="20"/>
                <w:szCs w:val="20"/>
              </w:rPr>
              <w:t>Diagnostic category</w:t>
            </w:r>
          </w:p>
        </w:tc>
        <w:tc>
          <w:tcPr>
            <w:tcW w:w="4417" w:type="dxa"/>
            <w:tcBorders>
              <w:top w:val="single" w:sz="4" w:space="0" w:color="auto"/>
              <w:left w:val="nil"/>
              <w:bottom w:val="single" w:sz="4" w:space="0" w:color="auto"/>
              <w:right w:val="nil"/>
            </w:tcBorders>
            <w:vAlign w:val="center"/>
          </w:tcPr>
          <w:p w14:paraId="1872E176" w14:textId="77777777" w:rsidR="00210ECB" w:rsidRPr="006D2BF3" w:rsidRDefault="00210ECB" w:rsidP="00175137">
            <w:pPr>
              <w:jc w:val="center"/>
              <w:rPr>
                <w:b/>
                <w:sz w:val="20"/>
                <w:szCs w:val="20"/>
              </w:rPr>
            </w:pPr>
            <w:r w:rsidRPr="006D2BF3">
              <w:rPr>
                <w:b/>
                <w:sz w:val="20"/>
                <w:szCs w:val="20"/>
              </w:rPr>
              <w:t>Diagnosis</w:t>
            </w:r>
          </w:p>
        </w:tc>
        <w:tc>
          <w:tcPr>
            <w:tcW w:w="1300" w:type="dxa"/>
            <w:tcBorders>
              <w:top w:val="single" w:sz="4" w:space="0" w:color="auto"/>
              <w:left w:val="nil"/>
              <w:bottom w:val="single" w:sz="4" w:space="0" w:color="auto"/>
              <w:right w:val="nil"/>
            </w:tcBorders>
            <w:vAlign w:val="center"/>
          </w:tcPr>
          <w:p w14:paraId="0A4027D1" w14:textId="77777777" w:rsidR="00210ECB" w:rsidRPr="006D2BF3" w:rsidRDefault="00210ECB" w:rsidP="00175137">
            <w:pPr>
              <w:jc w:val="center"/>
              <w:rPr>
                <w:b/>
                <w:sz w:val="20"/>
                <w:szCs w:val="20"/>
              </w:rPr>
            </w:pPr>
            <w:r w:rsidRPr="006D2BF3">
              <w:rPr>
                <w:b/>
                <w:sz w:val="20"/>
                <w:szCs w:val="20"/>
              </w:rPr>
              <w:t>Number (n)</w:t>
            </w:r>
          </w:p>
        </w:tc>
      </w:tr>
      <w:tr w:rsidR="00175137" w:rsidRPr="006D2BF3" w14:paraId="4EFF2719" w14:textId="77777777" w:rsidTr="00175137">
        <w:trPr>
          <w:trHeight w:val="537"/>
        </w:trPr>
        <w:tc>
          <w:tcPr>
            <w:tcW w:w="2209" w:type="dxa"/>
            <w:tcBorders>
              <w:top w:val="single" w:sz="4" w:space="0" w:color="auto"/>
              <w:left w:val="nil"/>
              <w:bottom w:val="nil"/>
              <w:right w:val="single" w:sz="4" w:space="0" w:color="auto"/>
            </w:tcBorders>
            <w:vAlign w:val="center"/>
          </w:tcPr>
          <w:p w14:paraId="02C71AC4" w14:textId="77777777" w:rsidR="00210ECB" w:rsidRPr="006D2BF3" w:rsidRDefault="00210ECB" w:rsidP="00175137">
            <w:pPr>
              <w:jc w:val="center"/>
              <w:rPr>
                <w:sz w:val="20"/>
                <w:szCs w:val="20"/>
              </w:rPr>
            </w:pPr>
            <w:r w:rsidRPr="006D2BF3">
              <w:rPr>
                <w:sz w:val="20"/>
                <w:szCs w:val="20"/>
              </w:rPr>
              <w:t>Immune/Inflammatory</w:t>
            </w:r>
          </w:p>
        </w:tc>
        <w:tc>
          <w:tcPr>
            <w:tcW w:w="4417" w:type="dxa"/>
            <w:tcBorders>
              <w:top w:val="single" w:sz="4" w:space="0" w:color="auto"/>
              <w:left w:val="single" w:sz="4" w:space="0" w:color="auto"/>
              <w:bottom w:val="nil"/>
              <w:right w:val="nil"/>
            </w:tcBorders>
            <w:vAlign w:val="center"/>
          </w:tcPr>
          <w:p w14:paraId="2B5A7D6A" w14:textId="77777777" w:rsidR="00210ECB" w:rsidRPr="006D2BF3" w:rsidRDefault="00210ECB" w:rsidP="00175137">
            <w:pPr>
              <w:rPr>
                <w:sz w:val="20"/>
                <w:szCs w:val="20"/>
              </w:rPr>
            </w:pPr>
            <w:r w:rsidRPr="006D2BF3">
              <w:rPr>
                <w:sz w:val="20"/>
                <w:szCs w:val="20"/>
              </w:rPr>
              <w:t>Myasthenia Gravis</w:t>
            </w:r>
          </w:p>
        </w:tc>
        <w:tc>
          <w:tcPr>
            <w:tcW w:w="1300" w:type="dxa"/>
            <w:tcBorders>
              <w:top w:val="single" w:sz="4" w:space="0" w:color="auto"/>
              <w:left w:val="nil"/>
              <w:bottom w:val="nil"/>
              <w:right w:val="nil"/>
            </w:tcBorders>
            <w:vAlign w:val="center"/>
          </w:tcPr>
          <w:p w14:paraId="498A056E" w14:textId="77777777" w:rsidR="00210ECB" w:rsidRPr="006D2BF3" w:rsidRDefault="00210ECB" w:rsidP="00175137">
            <w:pPr>
              <w:jc w:val="center"/>
              <w:rPr>
                <w:sz w:val="20"/>
                <w:szCs w:val="20"/>
              </w:rPr>
            </w:pPr>
            <w:r w:rsidRPr="006D2BF3">
              <w:rPr>
                <w:sz w:val="20"/>
                <w:szCs w:val="20"/>
              </w:rPr>
              <w:t>6</w:t>
            </w:r>
          </w:p>
        </w:tc>
      </w:tr>
      <w:tr w:rsidR="00175137" w:rsidRPr="006D2BF3" w14:paraId="59E2D489" w14:textId="77777777" w:rsidTr="00175137">
        <w:trPr>
          <w:trHeight w:val="537"/>
        </w:trPr>
        <w:tc>
          <w:tcPr>
            <w:tcW w:w="2209" w:type="dxa"/>
            <w:tcBorders>
              <w:top w:val="nil"/>
              <w:left w:val="nil"/>
              <w:bottom w:val="nil"/>
              <w:right w:val="single" w:sz="4" w:space="0" w:color="auto"/>
            </w:tcBorders>
            <w:vAlign w:val="center"/>
          </w:tcPr>
          <w:p w14:paraId="2D8BD7A1"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68DC0464" w14:textId="77777777" w:rsidR="00210ECB" w:rsidRPr="006D2BF3" w:rsidRDefault="00210ECB" w:rsidP="00175137">
            <w:pPr>
              <w:rPr>
                <w:sz w:val="20"/>
                <w:szCs w:val="20"/>
              </w:rPr>
            </w:pPr>
            <w:r w:rsidRPr="006D2BF3">
              <w:rPr>
                <w:sz w:val="20"/>
                <w:szCs w:val="20"/>
              </w:rPr>
              <w:t>Acute Inflammatory Demyelinating Polyneuropathy</w:t>
            </w:r>
          </w:p>
        </w:tc>
        <w:tc>
          <w:tcPr>
            <w:tcW w:w="1300" w:type="dxa"/>
            <w:tcBorders>
              <w:top w:val="nil"/>
              <w:left w:val="nil"/>
              <w:bottom w:val="nil"/>
              <w:right w:val="nil"/>
            </w:tcBorders>
            <w:vAlign w:val="center"/>
          </w:tcPr>
          <w:p w14:paraId="5BA1666A" w14:textId="77777777" w:rsidR="00210ECB" w:rsidRPr="006D2BF3" w:rsidRDefault="00210ECB" w:rsidP="00175137">
            <w:pPr>
              <w:jc w:val="center"/>
              <w:rPr>
                <w:sz w:val="20"/>
                <w:szCs w:val="20"/>
              </w:rPr>
            </w:pPr>
            <w:r w:rsidRPr="006D2BF3">
              <w:rPr>
                <w:sz w:val="20"/>
                <w:szCs w:val="20"/>
              </w:rPr>
              <w:t>5</w:t>
            </w:r>
          </w:p>
        </w:tc>
      </w:tr>
      <w:tr w:rsidR="00175137" w:rsidRPr="006D2BF3" w14:paraId="16FA9A6A" w14:textId="77777777" w:rsidTr="00175137">
        <w:trPr>
          <w:trHeight w:val="537"/>
        </w:trPr>
        <w:tc>
          <w:tcPr>
            <w:tcW w:w="2209" w:type="dxa"/>
            <w:tcBorders>
              <w:top w:val="nil"/>
              <w:left w:val="nil"/>
              <w:bottom w:val="nil"/>
              <w:right w:val="single" w:sz="4" w:space="0" w:color="auto"/>
            </w:tcBorders>
            <w:vAlign w:val="center"/>
          </w:tcPr>
          <w:p w14:paraId="6E00786A"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231862E3" w14:textId="77777777" w:rsidR="00210ECB" w:rsidRPr="006D2BF3" w:rsidRDefault="00210ECB" w:rsidP="00175137">
            <w:pPr>
              <w:rPr>
                <w:sz w:val="20"/>
                <w:szCs w:val="20"/>
              </w:rPr>
            </w:pPr>
            <w:r w:rsidRPr="006D2BF3">
              <w:rPr>
                <w:sz w:val="20"/>
                <w:szCs w:val="20"/>
              </w:rPr>
              <w:t>Chronic Inflammatory Demyelinating Polyneuropathy</w:t>
            </w:r>
          </w:p>
        </w:tc>
        <w:tc>
          <w:tcPr>
            <w:tcW w:w="1300" w:type="dxa"/>
            <w:tcBorders>
              <w:top w:val="nil"/>
              <w:left w:val="nil"/>
              <w:bottom w:val="nil"/>
              <w:right w:val="nil"/>
            </w:tcBorders>
            <w:vAlign w:val="center"/>
          </w:tcPr>
          <w:p w14:paraId="799652FD" w14:textId="77777777" w:rsidR="00210ECB" w:rsidRPr="006D2BF3" w:rsidRDefault="00210ECB" w:rsidP="00175137">
            <w:pPr>
              <w:jc w:val="center"/>
              <w:rPr>
                <w:sz w:val="20"/>
                <w:szCs w:val="20"/>
              </w:rPr>
            </w:pPr>
            <w:r w:rsidRPr="006D2BF3">
              <w:rPr>
                <w:sz w:val="20"/>
                <w:szCs w:val="20"/>
              </w:rPr>
              <w:t>1</w:t>
            </w:r>
          </w:p>
        </w:tc>
      </w:tr>
      <w:tr w:rsidR="00175137" w:rsidRPr="006D2BF3" w14:paraId="2A1875CF" w14:textId="77777777" w:rsidTr="00175137">
        <w:trPr>
          <w:trHeight w:val="537"/>
        </w:trPr>
        <w:tc>
          <w:tcPr>
            <w:tcW w:w="2209" w:type="dxa"/>
            <w:tcBorders>
              <w:top w:val="nil"/>
              <w:left w:val="nil"/>
              <w:bottom w:val="nil"/>
              <w:right w:val="single" w:sz="4" w:space="0" w:color="auto"/>
            </w:tcBorders>
            <w:vAlign w:val="center"/>
          </w:tcPr>
          <w:p w14:paraId="27029A91"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29F08026" w14:textId="77777777" w:rsidR="00210ECB" w:rsidRPr="006D2BF3" w:rsidRDefault="00210ECB" w:rsidP="00175137">
            <w:pPr>
              <w:rPr>
                <w:sz w:val="20"/>
                <w:szCs w:val="20"/>
              </w:rPr>
            </w:pPr>
            <w:r w:rsidRPr="006D2BF3">
              <w:rPr>
                <w:sz w:val="20"/>
                <w:szCs w:val="20"/>
              </w:rPr>
              <w:t xml:space="preserve">Lambert-Eaton </w:t>
            </w:r>
            <w:proofErr w:type="spellStart"/>
            <w:r w:rsidRPr="006D2BF3">
              <w:rPr>
                <w:sz w:val="20"/>
                <w:szCs w:val="20"/>
              </w:rPr>
              <w:t>Myasthenic</w:t>
            </w:r>
            <w:proofErr w:type="spellEnd"/>
            <w:r w:rsidRPr="006D2BF3">
              <w:rPr>
                <w:sz w:val="20"/>
                <w:szCs w:val="20"/>
              </w:rPr>
              <w:t xml:space="preserve"> Syndrome</w:t>
            </w:r>
          </w:p>
        </w:tc>
        <w:tc>
          <w:tcPr>
            <w:tcW w:w="1300" w:type="dxa"/>
            <w:tcBorders>
              <w:top w:val="nil"/>
              <w:left w:val="nil"/>
              <w:bottom w:val="nil"/>
              <w:right w:val="nil"/>
            </w:tcBorders>
            <w:vAlign w:val="center"/>
          </w:tcPr>
          <w:p w14:paraId="0A70F29F" w14:textId="77777777" w:rsidR="00210ECB" w:rsidRPr="006D2BF3" w:rsidRDefault="00210ECB" w:rsidP="00175137">
            <w:pPr>
              <w:jc w:val="center"/>
              <w:rPr>
                <w:sz w:val="20"/>
                <w:szCs w:val="20"/>
              </w:rPr>
            </w:pPr>
            <w:r w:rsidRPr="006D2BF3">
              <w:rPr>
                <w:sz w:val="20"/>
                <w:szCs w:val="20"/>
              </w:rPr>
              <w:t>1</w:t>
            </w:r>
          </w:p>
        </w:tc>
      </w:tr>
      <w:tr w:rsidR="00175137" w:rsidRPr="006D2BF3" w14:paraId="664B9E01" w14:textId="77777777" w:rsidTr="00175137">
        <w:trPr>
          <w:trHeight w:val="537"/>
        </w:trPr>
        <w:tc>
          <w:tcPr>
            <w:tcW w:w="2209" w:type="dxa"/>
            <w:tcBorders>
              <w:top w:val="nil"/>
              <w:left w:val="nil"/>
              <w:bottom w:val="nil"/>
              <w:right w:val="single" w:sz="4" w:space="0" w:color="auto"/>
            </w:tcBorders>
            <w:vAlign w:val="center"/>
          </w:tcPr>
          <w:p w14:paraId="076C5AF2"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62E9BA19" w14:textId="77777777" w:rsidR="00210ECB" w:rsidRPr="006D2BF3" w:rsidRDefault="00210ECB" w:rsidP="00175137">
            <w:pPr>
              <w:rPr>
                <w:sz w:val="20"/>
                <w:szCs w:val="20"/>
              </w:rPr>
            </w:pPr>
            <w:r w:rsidRPr="006D2BF3">
              <w:rPr>
                <w:sz w:val="20"/>
                <w:szCs w:val="20"/>
              </w:rPr>
              <w:t>Stiff Person Syndrome</w:t>
            </w:r>
          </w:p>
        </w:tc>
        <w:tc>
          <w:tcPr>
            <w:tcW w:w="1300" w:type="dxa"/>
            <w:tcBorders>
              <w:top w:val="nil"/>
              <w:left w:val="nil"/>
              <w:bottom w:val="nil"/>
              <w:right w:val="nil"/>
            </w:tcBorders>
            <w:vAlign w:val="center"/>
          </w:tcPr>
          <w:p w14:paraId="3B953629" w14:textId="77777777" w:rsidR="00210ECB" w:rsidRPr="006D2BF3" w:rsidRDefault="00210ECB" w:rsidP="00175137">
            <w:pPr>
              <w:jc w:val="center"/>
              <w:rPr>
                <w:sz w:val="20"/>
                <w:szCs w:val="20"/>
              </w:rPr>
            </w:pPr>
            <w:r w:rsidRPr="006D2BF3">
              <w:rPr>
                <w:sz w:val="20"/>
                <w:szCs w:val="20"/>
              </w:rPr>
              <w:t>1</w:t>
            </w:r>
          </w:p>
        </w:tc>
      </w:tr>
      <w:tr w:rsidR="00175137" w:rsidRPr="006D2BF3" w14:paraId="1652F533" w14:textId="77777777" w:rsidTr="00175137">
        <w:trPr>
          <w:trHeight w:val="537"/>
        </w:trPr>
        <w:tc>
          <w:tcPr>
            <w:tcW w:w="2209" w:type="dxa"/>
            <w:tcBorders>
              <w:top w:val="nil"/>
              <w:left w:val="nil"/>
              <w:bottom w:val="nil"/>
              <w:right w:val="single" w:sz="4" w:space="0" w:color="auto"/>
            </w:tcBorders>
            <w:vAlign w:val="center"/>
          </w:tcPr>
          <w:p w14:paraId="7DF987C4"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68DA709F" w14:textId="77777777" w:rsidR="00210ECB" w:rsidRPr="006D2BF3" w:rsidRDefault="00210ECB" w:rsidP="00175137">
            <w:pPr>
              <w:rPr>
                <w:sz w:val="20"/>
                <w:szCs w:val="20"/>
              </w:rPr>
            </w:pPr>
            <w:r w:rsidRPr="006D2BF3">
              <w:rPr>
                <w:sz w:val="20"/>
                <w:szCs w:val="20"/>
              </w:rPr>
              <w:t>Multiple Sclerosis</w:t>
            </w:r>
          </w:p>
        </w:tc>
        <w:tc>
          <w:tcPr>
            <w:tcW w:w="1300" w:type="dxa"/>
            <w:tcBorders>
              <w:top w:val="nil"/>
              <w:left w:val="nil"/>
              <w:bottom w:val="nil"/>
              <w:right w:val="nil"/>
            </w:tcBorders>
            <w:vAlign w:val="center"/>
          </w:tcPr>
          <w:p w14:paraId="1F1F7EDF" w14:textId="77777777" w:rsidR="00210ECB" w:rsidRPr="006D2BF3" w:rsidRDefault="00210ECB" w:rsidP="00175137">
            <w:pPr>
              <w:jc w:val="center"/>
              <w:rPr>
                <w:sz w:val="20"/>
                <w:szCs w:val="20"/>
              </w:rPr>
            </w:pPr>
            <w:r w:rsidRPr="006D2BF3">
              <w:rPr>
                <w:sz w:val="20"/>
                <w:szCs w:val="20"/>
              </w:rPr>
              <w:t>1</w:t>
            </w:r>
          </w:p>
        </w:tc>
      </w:tr>
      <w:tr w:rsidR="00175137" w:rsidRPr="006D2BF3" w14:paraId="002ABF0A" w14:textId="77777777" w:rsidTr="00175137">
        <w:trPr>
          <w:trHeight w:val="537"/>
        </w:trPr>
        <w:tc>
          <w:tcPr>
            <w:tcW w:w="2209" w:type="dxa"/>
            <w:tcBorders>
              <w:left w:val="nil"/>
              <w:bottom w:val="nil"/>
              <w:right w:val="single" w:sz="4" w:space="0" w:color="auto"/>
            </w:tcBorders>
            <w:vAlign w:val="center"/>
          </w:tcPr>
          <w:p w14:paraId="0795643F" w14:textId="77777777" w:rsidR="00210ECB" w:rsidRPr="006D2BF3" w:rsidRDefault="00210ECB" w:rsidP="00175137">
            <w:pPr>
              <w:jc w:val="center"/>
              <w:rPr>
                <w:sz w:val="20"/>
                <w:szCs w:val="20"/>
              </w:rPr>
            </w:pPr>
            <w:r w:rsidRPr="006D2BF3">
              <w:rPr>
                <w:sz w:val="20"/>
                <w:szCs w:val="20"/>
              </w:rPr>
              <w:t>Degenerative</w:t>
            </w:r>
          </w:p>
        </w:tc>
        <w:tc>
          <w:tcPr>
            <w:tcW w:w="4417" w:type="dxa"/>
            <w:tcBorders>
              <w:top w:val="nil"/>
              <w:left w:val="single" w:sz="4" w:space="0" w:color="auto"/>
              <w:bottom w:val="nil"/>
              <w:right w:val="nil"/>
            </w:tcBorders>
            <w:vAlign w:val="center"/>
          </w:tcPr>
          <w:p w14:paraId="093379A4" w14:textId="77777777" w:rsidR="00210ECB" w:rsidRPr="006D2BF3" w:rsidRDefault="00210ECB" w:rsidP="00175137">
            <w:pPr>
              <w:rPr>
                <w:sz w:val="20"/>
                <w:szCs w:val="20"/>
              </w:rPr>
            </w:pPr>
            <w:r w:rsidRPr="006D2BF3">
              <w:rPr>
                <w:sz w:val="20"/>
                <w:szCs w:val="20"/>
              </w:rPr>
              <w:t>Dementia</w:t>
            </w:r>
          </w:p>
        </w:tc>
        <w:tc>
          <w:tcPr>
            <w:tcW w:w="1300" w:type="dxa"/>
            <w:tcBorders>
              <w:top w:val="nil"/>
              <w:left w:val="nil"/>
              <w:bottom w:val="nil"/>
              <w:right w:val="nil"/>
            </w:tcBorders>
            <w:vAlign w:val="center"/>
          </w:tcPr>
          <w:p w14:paraId="16CE3743" w14:textId="77777777" w:rsidR="00210ECB" w:rsidRPr="006D2BF3" w:rsidRDefault="00210ECB" w:rsidP="00175137">
            <w:pPr>
              <w:jc w:val="center"/>
              <w:rPr>
                <w:sz w:val="20"/>
                <w:szCs w:val="20"/>
              </w:rPr>
            </w:pPr>
            <w:r w:rsidRPr="006D2BF3">
              <w:rPr>
                <w:sz w:val="20"/>
                <w:szCs w:val="20"/>
              </w:rPr>
              <w:t>1</w:t>
            </w:r>
          </w:p>
        </w:tc>
      </w:tr>
      <w:tr w:rsidR="00175137" w:rsidRPr="006D2BF3" w14:paraId="367E901C" w14:textId="77777777" w:rsidTr="00175137">
        <w:trPr>
          <w:trHeight w:val="537"/>
        </w:trPr>
        <w:tc>
          <w:tcPr>
            <w:tcW w:w="2209" w:type="dxa"/>
            <w:tcBorders>
              <w:top w:val="nil"/>
              <w:left w:val="nil"/>
              <w:bottom w:val="nil"/>
              <w:right w:val="single" w:sz="4" w:space="0" w:color="auto"/>
            </w:tcBorders>
            <w:shd w:val="clear" w:color="auto" w:fill="auto"/>
            <w:vAlign w:val="center"/>
          </w:tcPr>
          <w:p w14:paraId="02EF90DE"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3B954AE6" w14:textId="77777777" w:rsidR="00210ECB" w:rsidRPr="006D2BF3" w:rsidRDefault="00210ECB" w:rsidP="00175137">
            <w:pPr>
              <w:rPr>
                <w:sz w:val="20"/>
                <w:szCs w:val="20"/>
              </w:rPr>
            </w:pPr>
            <w:r w:rsidRPr="006D2BF3">
              <w:rPr>
                <w:sz w:val="20"/>
                <w:szCs w:val="20"/>
              </w:rPr>
              <w:t>Multiple System Atrophy</w:t>
            </w:r>
          </w:p>
        </w:tc>
        <w:tc>
          <w:tcPr>
            <w:tcW w:w="1300" w:type="dxa"/>
            <w:tcBorders>
              <w:top w:val="nil"/>
              <w:left w:val="nil"/>
              <w:bottom w:val="nil"/>
              <w:right w:val="nil"/>
            </w:tcBorders>
            <w:vAlign w:val="center"/>
          </w:tcPr>
          <w:p w14:paraId="69672EE2" w14:textId="77777777" w:rsidR="00210ECB" w:rsidRPr="006D2BF3" w:rsidRDefault="00210ECB" w:rsidP="00175137">
            <w:pPr>
              <w:jc w:val="center"/>
              <w:rPr>
                <w:sz w:val="20"/>
                <w:szCs w:val="20"/>
              </w:rPr>
            </w:pPr>
            <w:r w:rsidRPr="006D2BF3">
              <w:rPr>
                <w:sz w:val="20"/>
                <w:szCs w:val="20"/>
              </w:rPr>
              <w:t>1</w:t>
            </w:r>
          </w:p>
        </w:tc>
      </w:tr>
      <w:tr w:rsidR="00175137" w:rsidRPr="006D2BF3" w14:paraId="18E7A7B7" w14:textId="77777777" w:rsidTr="00175137">
        <w:trPr>
          <w:trHeight w:val="537"/>
        </w:trPr>
        <w:tc>
          <w:tcPr>
            <w:tcW w:w="2209" w:type="dxa"/>
            <w:tcBorders>
              <w:top w:val="nil"/>
              <w:left w:val="nil"/>
              <w:right w:val="single" w:sz="4" w:space="0" w:color="auto"/>
            </w:tcBorders>
            <w:shd w:val="clear" w:color="auto" w:fill="auto"/>
            <w:vAlign w:val="center"/>
          </w:tcPr>
          <w:p w14:paraId="306B4D40"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1F7F6A3E" w14:textId="77777777" w:rsidR="00210ECB" w:rsidRPr="006D2BF3" w:rsidRDefault="00210ECB" w:rsidP="00175137">
            <w:pPr>
              <w:rPr>
                <w:sz w:val="20"/>
                <w:szCs w:val="20"/>
              </w:rPr>
            </w:pPr>
            <w:r w:rsidRPr="006D2BF3">
              <w:rPr>
                <w:sz w:val="20"/>
                <w:szCs w:val="20"/>
              </w:rPr>
              <w:t>Primary Lateral Sclerosis</w:t>
            </w:r>
          </w:p>
        </w:tc>
        <w:tc>
          <w:tcPr>
            <w:tcW w:w="1300" w:type="dxa"/>
            <w:tcBorders>
              <w:top w:val="nil"/>
              <w:left w:val="nil"/>
              <w:bottom w:val="nil"/>
              <w:right w:val="nil"/>
            </w:tcBorders>
            <w:vAlign w:val="center"/>
          </w:tcPr>
          <w:p w14:paraId="761B85C4" w14:textId="77777777" w:rsidR="00210ECB" w:rsidRPr="006D2BF3" w:rsidRDefault="00210ECB" w:rsidP="00175137">
            <w:pPr>
              <w:jc w:val="center"/>
              <w:rPr>
                <w:sz w:val="20"/>
                <w:szCs w:val="20"/>
              </w:rPr>
            </w:pPr>
            <w:r w:rsidRPr="006D2BF3">
              <w:rPr>
                <w:sz w:val="20"/>
                <w:szCs w:val="20"/>
              </w:rPr>
              <w:t>1</w:t>
            </w:r>
          </w:p>
        </w:tc>
      </w:tr>
      <w:tr w:rsidR="00175137" w:rsidRPr="006D2BF3" w14:paraId="30DFE501" w14:textId="77777777" w:rsidTr="00175137">
        <w:trPr>
          <w:trHeight w:val="537"/>
        </w:trPr>
        <w:tc>
          <w:tcPr>
            <w:tcW w:w="2209" w:type="dxa"/>
            <w:tcBorders>
              <w:left w:val="nil"/>
              <w:bottom w:val="nil"/>
              <w:right w:val="single" w:sz="4" w:space="0" w:color="auto"/>
            </w:tcBorders>
            <w:vAlign w:val="center"/>
          </w:tcPr>
          <w:p w14:paraId="0A19E689" w14:textId="77777777" w:rsidR="00210ECB" w:rsidRPr="006D2BF3" w:rsidRDefault="00210ECB" w:rsidP="00175137">
            <w:pPr>
              <w:jc w:val="center"/>
              <w:rPr>
                <w:sz w:val="20"/>
                <w:szCs w:val="20"/>
              </w:rPr>
            </w:pPr>
            <w:r w:rsidRPr="006D2BF3">
              <w:rPr>
                <w:sz w:val="20"/>
                <w:szCs w:val="20"/>
              </w:rPr>
              <w:t>Structural</w:t>
            </w:r>
          </w:p>
        </w:tc>
        <w:tc>
          <w:tcPr>
            <w:tcW w:w="4417" w:type="dxa"/>
            <w:tcBorders>
              <w:top w:val="nil"/>
              <w:left w:val="single" w:sz="4" w:space="0" w:color="auto"/>
              <w:bottom w:val="nil"/>
              <w:right w:val="nil"/>
            </w:tcBorders>
            <w:vAlign w:val="center"/>
          </w:tcPr>
          <w:p w14:paraId="1EADBB16" w14:textId="77777777" w:rsidR="00210ECB" w:rsidRPr="006D2BF3" w:rsidRDefault="00210ECB" w:rsidP="00175137">
            <w:pPr>
              <w:rPr>
                <w:sz w:val="20"/>
                <w:szCs w:val="20"/>
              </w:rPr>
            </w:pPr>
            <w:r w:rsidRPr="006D2BF3">
              <w:rPr>
                <w:sz w:val="20"/>
                <w:szCs w:val="20"/>
              </w:rPr>
              <w:t>Normal Pressure Hydrocephalus</w:t>
            </w:r>
          </w:p>
        </w:tc>
        <w:tc>
          <w:tcPr>
            <w:tcW w:w="1300" w:type="dxa"/>
            <w:tcBorders>
              <w:top w:val="nil"/>
              <w:left w:val="nil"/>
              <w:bottom w:val="nil"/>
              <w:right w:val="nil"/>
            </w:tcBorders>
            <w:vAlign w:val="center"/>
          </w:tcPr>
          <w:p w14:paraId="09EF0001" w14:textId="77777777" w:rsidR="00210ECB" w:rsidRPr="006D2BF3" w:rsidRDefault="00210ECB" w:rsidP="00175137">
            <w:pPr>
              <w:jc w:val="center"/>
              <w:rPr>
                <w:sz w:val="20"/>
                <w:szCs w:val="20"/>
              </w:rPr>
            </w:pPr>
            <w:r w:rsidRPr="006D2BF3">
              <w:rPr>
                <w:sz w:val="20"/>
                <w:szCs w:val="20"/>
              </w:rPr>
              <w:t>1</w:t>
            </w:r>
          </w:p>
        </w:tc>
      </w:tr>
      <w:tr w:rsidR="00175137" w:rsidRPr="006D2BF3" w14:paraId="41B80235" w14:textId="77777777" w:rsidTr="00175137">
        <w:trPr>
          <w:trHeight w:val="537"/>
        </w:trPr>
        <w:tc>
          <w:tcPr>
            <w:tcW w:w="2209" w:type="dxa"/>
            <w:tcBorders>
              <w:top w:val="nil"/>
              <w:left w:val="nil"/>
              <w:right w:val="single" w:sz="4" w:space="0" w:color="auto"/>
            </w:tcBorders>
            <w:vAlign w:val="center"/>
          </w:tcPr>
          <w:p w14:paraId="18612B83"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62CEF364" w14:textId="77777777" w:rsidR="00210ECB" w:rsidRPr="006D2BF3" w:rsidRDefault="00210ECB" w:rsidP="00175137">
            <w:pPr>
              <w:rPr>
                <w:sz w:val="20"/>
                <w:szCs w:val="20"/>
              </w:rPr>
            </w:pPr>
            <w:r w:rsidRPr="006D2BF3">
              <w:rPr>
                <w:sz w:val="20"/>
                <w:szCs w:val="20"/>
              </w:rPr>
              <w:t xml:space="preserve">Recurrent Right Petrous Apex </w:t>
            </w:r>
            <w:proofErr w:type="spellStart"/>
            <w:r w:rsidRPr="006D2BF3">
              <w:rPr>
                <w:sz w:val="20"/>
                <w:szCs w:val="20"/>
              </w:rPr>
              <w:t>Cholesteatoma</w:t>
            </w:r>
            <w:proofErr w:type="spellEnd"/>
          </w:p>
        </w:tc>
        <w:tc>
          <w:tcPr>
            <w:tcW w:w="1300" w:type="dxa"/>
            <w:tcBorders>
              <w:top w:val="nil"/>
              <w:left w:val="nil"/>
              <w:bottom w:val="nil"/>
              <w:right w:val="nil"/>
            </w:tcBorders>
            <w:vAlign w:val="center"/>
          </w:tcPr>
          <w:p w14:paraId="385C2303" w14:textId="77777777" w:rsidR="00210ECB" w:rsidRPr="006D2BF3" w:rsidRDefault="00210ECB" w:rsidP="00175137">
            <w:pPr>
              <w:jc w:val="center"/>
              <w:rPr>
                <w:sz w:val="20"/>
                <w:szCs w:val="20"/>
              </w:rPr>
            </w:pPr>
            <w:r w:rsidRPr="006D2BF3">
              <w:rPr>
                <w:sz w:val="20"/>
                <w:szCs w:val="20"/>
              </w:rPr>
              <w:t>1</w:t>
            </w:r>
          </w:p>
        </w:tc>
      </w:tr>
      <w:tr w:rsidR="00175137" w:rsidRPr="006D2BF3" w14:paraId="7D70EC96" w14:textId="77777777" w:rsidTr="00175137">
        <w:trPr>
          <w:trHeight w:val="537"/>
        </w:trPr>
        <w:tc>
          <w:tcPr>
            <w:tcW w:w="2209" w:type="dxa"/>
            <w:tcBorders>
              <w:left w:val="nil"/>
              <w:right w:val="single" w:sz="4" w:space="0" w:color="auto"/>
            </w:tcBorders>
            <w:vAlign w:val="center"/>
          </w:tcPr>
          <w:p w14:paraId="4B39761B" w14:textId="77777777" w:rsidR="00210ECB" w:rsidRPr="006D2BF3" w:rsidRDefault="00210ECB" w:rsidP="00175137">
            <w:pPr>
              <w:jc w:val="center"/>
              <w:rPr>
                <w:sz w:val="20"/>
                <w:szCs w:val="20"/>
              </w:rPr>
            </w:pPr>
            <w:r w:rsidRPr="006D2BF3">
              <w:rPr>
                <w:sz w:val="20"/>
                <w:szCs w:val="20"/>
              </w:rPr>
              <w:t>Vascular</w:t>
            </w:r>
          </w:p>
        </w:tc>
        <w:tc>
          <w:tcPr>
            <w:tcW w:w="4417" w:type="dxa"/>
            <w:tcBorders>
              <w:top w:val="nil"/>
              <w:left w:val="single" w:sz="4" w:space="0" w:color="auto"/>
              <w:bottom w:val="nil"/>
              <w:right w:val="nil"/>
            </w:tcBorders>
            <w:vAlign w:val="center"/>
          </w:tcPr>
          <w:p w14:paraId="7674D541" w14:textId="77777777" w:rsidR="00210ECB" w:rsidRPr="006D2BF3" w:rsidRDefault="00210ECB" w:rsidP="00175137">
            <w:pPr>
              <w:rPr>
                <w:sz w:val="20"/>
                <w:szCs w:val="20"/>
              </w:rPr>
            </w:pPr>
            <w:r w:rsidRPr="006D2BF3">
              <w:rPr>
                <w:sz w:val="20"/>
                <w:szCs w:val="20"/>
              </w:rPr>
              <w:t>Cerebrovascular Disease</w:t>
            </w:r>
          </w:p>
        </w:tc>
        <w:tc>
          <w:tcPr>
            <w:tcW w:w="1300" w:type="dxa"/>
            <w:tcBorders>
              <w:top w:val="nil"/>
              <w:left w:val="nil"/>
              <w:bottom w:val="nil"/>
              <w:right w:val="nil"/>
            </w:tcBorders>
            <w:vAlign w:val="center"/>
          </w:tcPr>
          <w:p w14:paraId="7B260A95" w14:textId="77777777" w:rsidR="00210ECB" w:rsidRPr="006D2BF3" w:rsidRDefault="00210ECB" w:rsidP="00175137">
            <w:pPr>
              <w:jc w:val="center"/>
              <w:rPr>
                <w:sz w:val="20"/>
                <w:szCs w:val="20"/>
              </w:rPr>
            </w:pPr>
            <w:r w:rsidRPr="006D2BF3">
              <w:rPr>
                <w:sz w:val="20"/>
                <w:szCs w:val="20"/>
              </w:rPr>
              <w:t>1</w:t>
            </w:r>
          </w:p>
        </w:tc>
      </w:tr>
      <w:tr w:rsidR="00175137" w:rsidRPr="006D2BF3" w14:paraId="7DB1D915" w14:textId="77777777" w:rsidTr="00175137">
        <w:trPr>
          <w:trHeight w:val="537"/>
        </w:trPr>
        <w:tc>
          <w:tcPr>
            <w:tcW w:w="2209" w:type="dxa"/>
            <w:tcBorders>
              <w:left w:val="nil"/>
              <w:right w:val="single" w:sz="4" w:space="0" w:color="auto"/>
            </w:tcBorders>
            <w:vAlign w:val="center"/>
          </w:tcPr>
          <w:p w14:paraId="70313D6F" w14:textId="77777777" w:rsidR="00210ECB" w:rsidRPr="006D2BF3" w:rsidRDefault="00210ECB" w:rsidP="00175137">
            <w:pPr>
              <w:jc w:val="center"/>
              <w:rPr>
                <w:sz w:val="20"/>
                <w:szCs w:val="20"/>
              </w:rPr>
            </w:pPr>
            <w:r w:rsidRPr="006D2BF3">
              <w:rPr>
                <w:sz w:val="20"/>
                <w:szCs w:val="20"/>
              </w:rPr>
              <w:t>Metabolic</w:t>
            </w:r>
          </w:p>
        </w:tc>
        <w:tc>
          <w:tcPr>
            <w:tcW w:w="4417" w:type="dxa"/>
            <w:tcBorders>
              <w:top w:val="nil"/>
              <w:left w:val="single" w:sz="4" w:space="0" w:color="auto"/>
              <w:bottom w:val="nil"/>
              <w:right w:val="nil"/>
            </w:tcBorders>
            <w:vAlign w:val="center"/>
          </w:tcPr>
          <w:p w14:paraId="2C0ED0C6" w14:textId="77777777" w:rsidR="00210ECB" w:rsidRPr="006D2BF3" w:rsidRDefault="00210ECB" w:rsidP="00175137">
            <w:pPr>
              <w:rPr>
                <w:sz w:val="20"/>
                <w:szCs w:val="20"/>
              </w:rPr>
            </w:pPr>
            <w:r w:rsidRPr="006D2BF3">
              <w:rPr>
                <w:sz w:val="20"/>
                <w:szCs w:val="20"/>
              </w:rPr>
              <w:t>Alcoholic Neuropathy</w:t>
            </w:r>
          </w:p>
        </w:tc>
        <w:tc>
          <w:tcPr>
            <w:tcW w:w="1300" w:type="dxa"/>
            <w:tcBorders>
              <w:top w:val="nil"/>
              <w:left w:val="nil"/>
              <w:bottom w:val="nil"/>
              <w:right w:val="nil"/>
            </w:tcBorders>
            <w:vAlign w:val="center"/>
          </w:tcPr>
          <w:p w14:paraId="4F6C02BC" w14:textId="77777777" w:rsidR="00210ECB" w:rsidRPr="006D2BF3" w:rsidRDefault="00210ECB" w:rsidP="00175137">
            <w:pPr>
              <w:jc w:val="center"/>
              <w:rPr>
                <w:sz w:val="20"/>
                <w:szCs w:val="20"/>
              </w:rPr>
            </w:pPr>
            <w:r w:rsidRPr="006D2BF3">
              <w:rPr>
                <w:sz w:val="20"/>
                <w:szCs w:val="20"/>
              </w:rPr>
              <w:t>1</w:t>
            </w:r>
          </w:p>
        </w:tc>
      </w:tr>
      <w:tr w:rsidR="00175137" w:rsidRPr="006D2BF3" w14:paraId="2E1ED00A" w14:textId="77777777" w:rsidTr="00175137">
        <w:trPr>
          <w:trHeight w:val="537"/>
        </w:trPr>
        <w:tc>
          <w:tcPr>
            <w:tcW w:w="2209" w:type="dxa"/>
            <w:tcBorders>
              <w:left w:val="nil"/>
              <w:bottom w:val="nil"/>
              <w:right w:val="single" w:sz="4" w:space="0" w:color="auto"/>
            </w:tcBorders>
            <w:vAlign w:val="center"/>
          </w:tcPr>
          <w:p w14:paraId="2AE20553" w14:textId="77777777" w:rsidR="00210ECB" w:rsidRPr="006D2BF3" w:rsidRDefault="00210ECB" w:rsidP="00175137">
            <w:pPr>
              <w:jc w:val="center"/>
              <w:rPr>
                <w:sz w:val="20"/>
                <w:szCs w:val="20"/>
              </w:rPr>
            </w:pPr>
            <w:r w:rsidRPr="006D2BF3">
              <w:rPr>
                <w:sz w:val="20"/>
                <w:szCs w:val="20"/>
              </w:rPr>
              <w:t>Other</w:t>
            </w:r>
          </w:p>
        </w:tc>
        <w:tc>
          <w:tcPr>
            <w:tcW w:w="4417" w:type="dxa"/>
            <w:tcBorders>
              <w:top w:val="nil"/>
              <w:left w:val="single" w:sz="4" w:space="0" w:color="auto"/>
              <w:bottom w:val="nil"/>
              <w:right w:val="nil"/>
            </w:tcBorders>
            <w:vAlign w:val="center"/>
          </w:tcPr>
          <w:p w14:paraId="3BF2FD05" w14:textId="77777777" w:rsidR="00210ECB" w:rsidRPr="006D2BF3" w:rsidRDefault="00210ECB" w:rsidP="00175137">
            <w:pPr>
              <w:rPr>
                <w:sz w:val="20"/>
                <w:szCs w:val="20"/>
              </w:rPr>
            </w:pPr>
            <w:r w:rsidRPr="006D2BF3">
              <w:rPr>
                <w:sz w:val="20"/>
                <w:szCs w:val="20"/>
              </w:rPr>
              <w:t>Narcolepsy</w:t>
            </w:r>
          </w:p>
        </w:tc>
        <w:tc>
          <w:tcPr>
            <w:tcW w:w="1300" w:type="dxa"/>
            <w:tcBorders>
              <w:top w:val="nil"/>
              <w:left w:val="nil"/>
              <w:bottom w:val="nil"/>
              <w:right w:val="nil"/>
            </w:tcBorders>
            <w:vAlign w:val="center"/>
          </w:tcPr>
          <w:p w14:paraId="73E187AC" w14:textId="77777777" w:rsidR="00210ECB" w:rsidRPr="006D2BF3" w:rsidRDefault="00210ECB" w:rsidP="00175137">
            <w:pPr>
              <w:jc w:val="center"/>
              <w:rPr>
                <w:sz w:val="20"/>
                <w:szCs w:val="20"/>
              </w:rPr>
            </w:pPr>
            <w:r w:rsidRPr="006D2BF3">
              <w:rPr>
                <w:sz w:val="20"/>
                <w:szCs w:val="20"/>
              </w:rPr>
              <w:t>2</w:t>
            </w:r>
          </w:p>
        </w:tc>
      </w:tr>
      <w:tr w:rsidR="00175137" w:rsidRPr="006D2BF3" w14:paraId="2D551D79" w14:textId="77777777" w:rsidTr="00175137">
        <w:trPr>
          <w:trHeight w:val="537"/>
        </w:trPr>
        <w:tc>
          <w:tcPr>
            <w:tcW w:w="2209" w:type="dxa"/>
            <w:tcBorders>
              <w:top w:val="nil"/>
              <w:left w:val="nil"/>
              <w:bottom w:val="nil"/>
              <w:right w:val="single" w:sz="4" w:space="0" w:color="auto"/>
            </w:tcBorders>
            <w:vAlign w:val="center"/>
          </w:tcPr>
          <w:p w14:paraId="6F1FE187"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351BE657" w14:textId="77777777" w:rsidR="00210ECB" w:rsidRPr="006D2BF3" w:rsidRDefault="00210ECB" w:rsidP="00175137">
            <w:pPr>
              <w:rPr>
                <w:sz w:val="20"/>
                <w:szCs w:val="20"/>
              </w:rPr>
            </w:pPr>
            <w:r w:rsidRPr="006D2BF3">
              <w:rPr>
                <w:sz w:val="20"/>
                <w:szCs w:val="20"/>
              </w:rPr>
              <w:t>Complex Regional Pain Syndrome</w:t>
            </w:r>
          </w:p>
        </w:tc>
        <w:tc>
          <w:tcPr>
            <w:tcW w:w="1300" w:type="dxa"/>
            <w:tcBorders>
              <w:top w:val="nil"/>
              <w:left w:val="nil"/>
              <w:bottom w:val="nil"/>
              <w:right w:val="nil"/>
            </w:tcBorders>
            <w:vAlign w:val="center"/>
          </w:tcPr>
          <w:p w14:paraId="0A605979" w14:textId="77777777" w:rsidR="00210ECB" w:rsidRPr="006D2BF3" w:rsidRDefault="00210ECB" w:rsidP="00175137">
            <w:pPr>
              <w:jc w:val="center"/>
              <w:rPr>
                <w:sz w:val="20"/>
                <w:szCs w:val="20"/>
              </w:rPr>
            </w:pPr>
            <w:r w:rsidRPr="006D2BF3">
              <w:rPr>
                <w:sz w:val="20"/>
                <w:szCs w:val="20"/>
              </w:rPr>
              <w:t>1</w:t>
            </w:r>
          </w:p>
        </w:tc>
      </w:tr>
      <w:tr w:rsidR="00175137" w:rsidRPr="006D2BF3" w14:paraId="599D117B" w14:textId="77777777" w:rsidTr="00175137">
        <w:trPr>
          <w:trHeight w:val="537"/>
        </w:trPr>
        <w:tc>
          <w:tcPr>
            <w:tcW w:w="2209" w:type="dxa"/>
            <w:tcBorders>
              <w:top w:val="nil"/>
              <w:left w:val="nil"/>
              <w:bottom w:val="nil"/>
              <w:right w:val="single" w:sz="4" w:space="0" w:color="auto"/>
            </w:tcBorders>
            <w:vAlign w:val="center"/>
          </w:tcPr>
          <w:p w14:paraId="35586C5F" w14:textId="77777777" w:rsidR="00210ECB" w:rsidRPr="006D2BF3" w:rsidRDefault="00210ECB" w:rsidP="00175137">
            <w:pPr>
              <w:jc w:val="center"/>
              <w:rPr>
                <w:sz w:val="20"/>
                <w:szCs w:val="20"/>
              </w:rPr>
            </w:pPr>
          </w:p>
        </w:tc>
        <w:tc>
          <w:tcPr>
            <w:tcW w:w="4417" w:type="dxa"/>
            <w:tcBorders>
              <w:top w:val="nil"/>
              <w:left w:val="single" w:sz="4" w:space="0" w:color="auto"/>
              <w:bottom w:val="nil"/>
              <w:right w:val="nil"/>
            </w:tcBorders>
            <w:vAlign w:val="center"/>
          </w:tcPr>
          <w:p w14:paraId="1C4241F2" w14:textId="77777777" w:rsidR="00210ECB" w:rsidRPr="006D2BF3" w:rsidRDefault="00210ECB" w:rsidP="00175137">
            <w:pPr>
              <w:rPr>
                <w:sz w:val="20"/>
                <w:szCs w:val="20"/>
              </w:rPr>
            </w:pPr>
            <w:r w:rsidRPr="006D2BF3">
              <w:rPr>
                <w:sz w:val="20"/>
                <w:szCs w:val="20"/>
              </w:rPr>
              <w:t>Focal Seizure Disorder</w:t>
            </w:r>
          </w:p>
        </w:tc>
        <w:tc>
          <w:tcPr>
            <w:tcW w:w="1300" w:type="dxa"/>
            <w:tcBorders>
              <w:top w:val="nil"/>
              <w:left w:val="nil"/>
              <w:bottom w:val="nil"/>
              <w:right w:val="nil"/>
            </w:tcBorders>
            <w:vAlign w:val="center"/>
          </w:tcPr>
          <w:p w14:paraId="34E894B1" w14:textId="77777777" w:rsidR="00210ECB" w:rsidRPr="006D2BF3" w:rsidRDefault="00210ECB" w:rsidP="00175137">
            <w:pPr>
              <w:jc w:val="center"/>
              <w:rPr>
                <w:sz w:val="20"/>
                <w:szCs w:val="20"/>
              </w:rPr>
            </w:pPr>
            <w:r w:rsidRPr="006D2BF3">
              <w:rPr>
                <w:sz w:val="20"/>
                <w:szCs w:val="20"/>
              </w:rPr>
              <w:t>1</w:t>
            </w:r>
          </w:p>
        </w:tc>
      </w:tr>
      <w:tr w:rsidR="00175137" w:rsidRPr="006D2BF3" w14:paraId="0737D136" w14:textId="77777777" w:rsidTr="00175137">
        <w:trPr>
          <w:trHeight w:val="537"/>
        </w:trPr>
        <w:tc>
          <w:tcPr>
            <w:tcW w:w="2209" w:type="dxa"/>
            <w:tcBorders>
              <w:top w:val="nil"/>
              <w:left w:val="nil"/>
              <w:bottom w:val="nil"/>
              <w:right w:val="single" w:sz="4" w:space="0" w:color="auto"/>
            </w:tcBorders>
            <w:vAlign w:val="center"/>
          </w:tcPr>
          <w:p w14:paraId="79B48AF3" w14:textId="77777777" w:rsidR="00210ECB" w:rsidRPr="006D2BF3" w:rsidRDefault="00210ECB" w:rsidP="00175137">
            <w:pPr>
              <w:jc w:val="center"/>
              <w:rPr>
                <w:sz w:val="20"/>
                <w:szCs w:val="20"/>
              </w:rPr>
            </w:pPr>
          </w:p>
        </w:tc>
        <w:tc>
          <w:tcPr>
            <w:tcW w:w="4417" w:type="dxa"/>
            <w:tcBorders>
              <w:top w:val="nil"/>
              <w:left w:val="single" w:sz="4" w:space="0" w:color="auto"/>
              <w:bottom w:val="single" w:sz="4" w:space="0" w:color="auto"/>
              <w:right w:val="nil"/>
            </w:tcBorders>
            <w:vAlign w:val="center"/>
          </w:tcPr>
          <w:p w14:paraId="1E43825E" w14:textId="77777777" w:rsidR="00210ECB" w:rsidRPr="006D2BF3" w:rsidRDefault="00210ECB" w:rsidP="00175137">
            <w:pPr>
              <w:rPr>
                <w:sz w:val="20"/>
                <w:szCs w:val="20"/>
              </w:rPr>
            </w:pPr>
            <w:r w:rsidRPr="006D2BF3">
              <w:rPr>
                <w:sz w:val="20"/>
                <w:szCs w:val="20"/>
              </w:rPr>
              <w:t>Restless Leg Syndrome</w:t>
            </w:r>
          </w:p>
        </w:tc>
        <w:tc>
          <w:tcPr>
            <w:tcW w:w="1300" w:type="dxa"/>
            <w:tcBorders>
              <w:top w:val="nil"/>
              <w:left w:val="nil"/>
              <w:bottom w:val="single" w:sz="4" w:space="0" w:color="auto"/>
              <w:right w:val="nil"/>
            </w:tcBorders>
            <w:vAlign w:val="center"/>
          </w:tcPr>
          <w:p w14:paraId="1EED0DD1" w14:textId="77777777" w:rsidR="00210ECB" w:rsidRPr="006D2BF3" w:rsidRDefault="00210ECB" w:rsidP="00175137">
            <w:pPr>
              <w:jc w:val="center"/>
              <w:rPr>
                <w:sz w:val="20"/>
                <w:szCs w:val="20"/>
              </w:rPr>
            </w:pPr>
            <w:r w:rsidRPr="006D2BF3">
              <w:rPr>
                <w:sz w:val="20"/>
                <w:szCs w:val="20"/>
              </w:rPr>
              <w:t>1</w:t>
            </w:r>
          </w:p>
        </w:tc>
      </w:tr>
      <w:tr w:rsidR="00175137" w:rsidRPr="006D2BF3" w14:paraId="1A855B68" w14:textId="77777777" w:rsidTr="00175137">
        <w:trPr>
          <w:trHeight w:val="537"/>
        </w:trPr>
        <w:tc>
          <w:tcPr>
            <w:tcW w:w="2209" w:type="dxa"/>
            <w:tcBorders>
              <w:top w:val="nil"/>
              <w:left w:val="nil"/>
              <w:bottom w:val="single" w:sz="4" w:space="0" w:color="auto"/>
              <w:right w:val="single" w:sz="4" w:space="0" w:color="auto"/>
            </w:tcBorders>
            <w:vAlign w:val="center"/>
          </w:tcPr>
          <w:p w14:paraId="0361C6A2" w14:textId="77777777" w:rsidR="00210ECB" w:rsidRPr="006D2BF3" w:rsidRDefault="00210ECB" w:rsidP="00175137">
            <w:pPr>
              <w:jc w:val="center"/>
              <w:rPr>
                <w:sz w:val="20"/>
                <w:szCs w:val="20"/>
              </w:rPr>
            </w:pPr>
          </w:p>
        </w:tc>
        <w:tc>
          <w:tcPr>
            <w:tcW w:w="4417" w:type="dxa"/>
            <w:tcBorders>
              <w:top w:val="single" w:sz="4" w:space="0" w:color="auto"/>
              <w:left w:val="single" w:sz="4" w:space="0" w:color="auto"/>
              <w:bottom w:val="single" w:sz="4" w:space="0" w:color="auto"/>
              <w:right w:val="nil"/>
            </w:tcBorders>
            <w:vAlign w:val="center"/>
          </w:tcPr>
          <w:p w14:paraId="590DE94D" w14:textId="77777777" w:rsidR="00210ECB" w:rsidRPr="006D2BF3" w:rsidRDefault="00210ECB" w:rsidP="00175137">
            <w:pPr>
              <w:jc w:val="right"/>
              <w:rPr>
                <w:b/>
                <w:sz w:val="20"/>
                <w:szCs w:val="20"/>
              </w:rPr>
            </w:pPr>
            <w:r w:rsidRPr="006D2BF3">
              <w:rPr>
                <w:b/>
                <w:sz w:val="20"/>
                <w:szCs w:val="20"/>
              </w:rPr>
              <w:t>Total</w:t>
            </w:r>
          </w:p>
        </w:tc>
        <w:tc>
          <w:tcPr>
            <w:tcW w:w="1300" w:type="dxa"/>
            <w:tcBorders>
              <w:top w:val="single" w:sz="4" w:space="0" w:color="auto"/>
              <w:left w:val="nil"/>
              <w:bottom w:val="single" w:sz="4" w:space="0" w:color="auto"/>
              <w:right w:val="nil"/>
            </w:tcBorders>
            <w:vAlign w:val="center"/>
          </w:tcPr>
          <w:p w14:paraId="05BC0E83" w14:textId="77777777" w:rsidR="00210ECB" w:rsidRPr="006D2BF3" w:rsidRDefault="00210ECB" w:rsidP="00175137">
            <w:pPr>
              <w:jc w:val="center"/>
              <w:rPr>
                <w:sz w:val="20"/>
                <w:szCs w:val="20"/>
              </w:rPr>
            </w:pPr>
            <w:r w:rsidRPr="006D2BF3">
              <w:rPr>
                <w:sz w:val="20"/>
                <w:szCs w:val="20"/>
              </w:rPr>
              <w:t>27</w:t>
            </w:r>
          </w:p>
        </w:tc>
      </w:tr>
    </w:tbl>
    <w:p w14:paraId="091077E1" w14:textId="77777777" w:rsidR="00210ECB" w:rsidRDefault="00210ECB" w:rsidP="00210ECB">
      <w:pPr>
        <w:spacing w:after="120"/>
        <w:rPr>
          <w:b/>
          <w:sz w:val="22"/>
          <w:szCs w:val="22"/>
        </w:rPr>
      </w:pPr>
    </w:p>
    <w:p w14:paraId="57D3B712" w14:textId="77777777" w:rsidR="00210ECB" w:rsidRDefault="00210ECB" w:rsidP="00210ECB">
      <w:pPr>
        <w:spacing w:after="120"/>
        <w:rPr>
          <w:b/>
          <w:sz w:val="22"/>
          <w:szCs w:val="22"/>
        </w:rPr>
      </w:pPr>
    </w:p>
    <w:p w14:paraId="7023208D" w14:textId="77777777" w:rsidR="00210ECB" w:rsidRDefault="00210ECB" w:rsidP="00210ECB">
      <w:pPr>
        <w:spacing w:after="120"/>
        <w:rPr>
          <w:b/>
          <w:sz w:val="22"/>
          <w:szCs w:val="22"/>
        </w:rPr>
      </w:pPr>
    </w:p>
    <w:p w14:paraId="0EA4BA76" w14:textId="77777777" w:rsidR="00210ECB" w:rsidRDefault="00210ECB" w:rsidP="00210ECB">
      <w:pPr>
        <w:spacing w:after="120"/>
        <w:rPr>
          <w:b/>
          <w:sz w:val="22"/>
          <w:szCs w:val="22"/>
        </w:rPr>
      </w:pPr>
    </w:p>
    <w:p w14:paraId="6091F072" w14:textId="77777777" w:rsidR="00210ECB" w:rsidRDefault="00210ECB" w:rsidP="00210ECB">
      <w:pPr>
        <w:spacing w:after="120"/>
        <w:rPr>
          <w:b/>
          <w:sz w:val="22"/>
          <w:szCs w:val="22"/>
        </w:rPr>
      </w:pPr>
    </w:p>
    <w:p w14:paraId="59C22C5D" w14:textId="77777777" w:rsidR="00210ECB" w:rsidRDefault="00210ECB" w:rsidP="00210ECB">
      <w:pPr>
        <w:spacing w:after="120"/>
        <w:rPr>
          <w:b/>
          <w:sz w:val="22"/>
          <w:szCs w:val="22"/>
        </w:rPr>
      </w:pPr>
    </w:p>
    <w:p w14:paraId="06F65D54" w14:textId="77777777" w:rsidR="00210ECB" w:rsidRDefault="00210ECB" w:rsidP="00210ECB">
      <w:pPr>
        <w:spacing w:after="120"/>
        <w:rPr>
          <w:b/>
          <w:sz w:val="22"/>
          <w:szCs w:val="22"/>
        </w:rPr>
        <w:sectPr w:rsidR="00210ECB" w:rsidSect="00292802">
          <w:footerReference w:type="even" r:id="rId9"/>
          <w:footerReference w:type="default" r:id="rId10"/>
          <w:pgSz w:w="11900" w:h="16820"/>
          <w:pgMar w:top="1440" w:right="1800" w:bottom="1440" w:left="1800" w:header="708" w:footer="708" w:gutter="0"/>
          <w:cols w:space="708"/>
          <w:docGrid w:linePitch="360"/>
        </w:sectPr>
      </w:pPr>
    </w:p>
    <w:p w14:paraId="0682BD96" w14:textId="77777777" w:rsidR="007E321A" w:rsidRDefault="007E321A" w:rsidP="007E321A">
      <w:pPr>
        <w:rPr>
          <w:b/>
          <w:sz w:val="22"/>
          <w:szCs w:val="22"/>
        </w:rPr>
      </w:pPr>
      <w:r>
        <w:rPr>
          <w:b/>
          <w:sz w:val="22"/>
          <w:szCs w:val="22"/>
        </w:rPr>
        <w:lastRenderedPageBreak/>
        <w:t>Table 2b</w:t>
      </w:r>
      <w:r w:rsidRPr="008A3F1C">
        <w:rPr>
          <w:b/>
          <w:sz w:val="22"/>
          <w:szCs w:val="22"/>
        </w:rPr>
        <w:t xml:space="preserve">. </w:t>
      </w:r>
      <w:r w:rsidRPr="008A3F1C">
        <w:rPr>
          <w:sz w:val="22"/>
          <w:szCs w:val="22"/>
        </w:rPr>
        <w:t>Final diagnoses of VGKC-complex antibody negative patients</w:t>
      </w:r>
    </w:p>
    <w:tbl>
      <w:tblPr>
        <w:tblStyle w:val="TableGrid"/>
        <w:tblpPr w:leftFromText="180" w:rightFromText="180" w:vertAnchor="page" w:horzAnchor="page" w:tblpX="2089" w:tblpY="2521"/>
        <w:tblW w:w="70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9"/>
        <w:gridCol w:w="991"/>
      </w:tblGrid>
      <w:tr w:rsidR="007E321A" w:rsidRPr="009C2F96" w14:paraId="6BCA5D41" w14:textId="77777777" w:rsidTr="00175137">
        <w:trPr>
          <w:trHeight w:val="653"/>
        </w:trPr>
        <w:tc>
          <w:tcPr>
            <w:tcW w:w="6029" w:type="dxa"/>
            <w:tcBorders>
              <w:top w:val="single" w:sz="4" w:space="0" w:color="auto"/>
              <w:bottom w:val="single" w:sz="4" w:space="0" w:color="auto"/>
            </w:tcBorders>
            <w:vAlign w:val="center"/>
          </w:tcPr>
          <w:p w14:paraId="60AFE4E7" w14:textId="77777777" w:rsidR="007E321A" w:rsidRPr="00D31640" w:rsidRDefault="007E321A" w:rsidP="004E737B">
            <w:pPr>
              <w:jc w:val="center"/>
              <w:rPr>
                <w:b/>
                <w:sz w:val="20"/>
              </w:rPr>
            </w:pPr>
            <w:r w:rsidRPr="00D31640">
              <w:rPr>
                <w:b/>
                <w:sz w:val="20"/>
              </w:rPr>
              <w:t>Diagnosis</w:t>
            </w:r>
          </w:p>
        </w:tc>
        <w:tc>
          <w:tcPr>
            <w:tcW w:w="991" w:type="dxa"/>
            <w:tcBorders>
              <w:top w:val="single" w:sz="4" w:space="0" w:color="auto"/>
              <w:bottom w:val="single" w:sz="4" w:space="0" w:color="auto"/>
            </w:tcBorders>
            <w:vAlign w:val="center"/>
          </w:tcPr>
          <w:p w14:paraId="56ED61B6" w14:textId="77777777" w:rsidR="007E321A" w:rsidRPr="00D31640" w:rsidRDefault="007E321A" w:rsidP="004E737B">
            <w:pPr>
              <w:jc w:val="center"/>
              <w:rPr>
                <w:b/>
                <w:sz w:val="20"/>
              </w:rPr>
            </w:pPr>
            <w:r w:rsidRPr="00D31640">
              <w:rPr>
                <w:b/>
                <w:sz w:val="20"/>
              </w:rPr>
              <w:t xml:space="preserve">Number </w:t>
            </w:r>
          </w:p>
        </w:tc>
      </w:tr>
      <w:tr w:rsidR="007E321A" w14:paraId="30E674F0" w14:textId="77777777" w:rsidTr="00175137">
        <w:trPr>
          <w:trHeight w:val="509"/>
        </w:trPr>
        <w:tc>
          <w:tcPr>
            <w:tcW w:w="6029" w:type="dxa"/>
            <w:tcBorders>
              <w:top w:val="single" w:sz="4" w:space="0" w:color="auto"/>
            </w:tcBorders>
            <w:vAlign w:val="center"/>
          </w:tcPr>
          <w:p w14:paraId="4D687428" w14:textId="77777777" w:rsidR="007E321A" w:rsidRPr="00D31640" w:rsidRDefault="007E321A" w:rsidP="004E737B">
            <w:pPr>
              <w:rPr>
                <w:sz w:val="20"/>
                <w:szCs w:val="22"/>
              </w:rPr>
            </w:pPr>
            <w:r w:rsidRPr="00D31640">
              <w:rPr>
                <w:sz w:val="20"/>
                <w:szCs w:val="22"/>
              </w:rPr>
              <w:t>No Diagnosis</w:t>
            </w:r>
          </w:p>
        </w:tc>
        <w:tc>
          <w:tcPr>
            <w:tcW w:w="991" w:type="dxa"/>
            <w:tcBorders>
              <w:top w:val="single" w:sz="4" w:space="0" w:color="auto"/>
            </w:tcBorders>
            <w:vAlign w:val="center"/>
          </w:tcPr>
          <w:p w14:paraId="3B3D11F3" w14:textId="77777777" w:rsidR="007E321A" w:rsidRPr="00D31640" w:rsidRDefault="007E321A" w:rsidP="004E737B">
            <w:pPr>
              <w:rPr>
                <w:sz w:val="20"/>
                <w:szCs w:val="22"/>
              </w:rPr>
            </w:pPr>
            <w:r w:rsidRPr="00D31640">
              <w:rPr>
                <w:sz w:val="20"/>
                <w:szCs w:val="22"/>
              </w:rPr>
              <w:t>12</w:t>
            </w:r>
          </w:p>
        </w:tc>
      </w:tr>
      <w:tr w:rsidR="007E321A" w14:paraId="1EFADB88" w14:textId="77777777" w:rsidTr="00175137">
        <w:trPr>
          <w:trHeight w:val="509"/>
        </w:trPr>
        <w:tc>
          <w:tcPr>
            <w:tcW w:w="6029" w:type="dxa"/>
            <w:vAlign w:val="center"/>
          </w:tcPr>
          <w:p w14:paraId="1420F6FA" w14:textId="77777777" w:rsidR="007E321A" w:rsidRPr="00D31640" w:rsidRDefault="007E321A" w:rsidP="004E737B">
            <w:pPr>
              <w:rPr>
                <w:sz w:val="20"/>
                <w:szCs w:val="22"/>
              </w:rPr>
            </w:pPr>
            <w:r w:rsidRPr="00D31640">
              <w:rPr>
                <w:sz w:val="20"/>
                <w:szCs w:val="22"/>
              </w:rPr>
              <w:t>Unexplained Peripheral Nerve Hyperexcitability Syndrome</w:t>
            </w:r>
          </w:p>
        </w:tc>
        <w:tc>
          <w:tcPr>
            <w:tcW w:w="991" w:type="dxa"/>
            <w:vAlign w:val="center"/>
          </w:tcPr>
          <w:p w14:paraId="4FAF9BDA" w14:textId="77777777" w:rsidR="007E321A" w:rsidRPr="00D31640" w:rsidRDefault="007E321A" w:rsidP="004E737B">
            <w:pPr>
              <w:rPr>
                <w:sz w:val="20"/>
                <w:szCs w:val="22"/>
              </w:rPr>
            </w:pPr>
            <w:r w:rsidRPr="00D31640">
              <w:rPr>
                <w:sz w:val="20"/>
                <w:szCs w:val="22"/>
              </w:rPr>
              <w:t>6</w:t>
            </w:r>
          </w:p>
        </w:tc>
      </w:tr>
      <w:tr w:rsidR="007E321A" w14:paraId="5FF4BC0D" w14:textId="77777777" w:rsidTr="00175137">
        <w:trPr>
          <w:trHeight w:val="509"/>
        </w:trPr>
        <w:tc>
          <w:tcPr>
            <w:tcW w:w="6029" w:type="dxa"/>
            <w:vAlign w:val="center"/>
          </w:tcPr>
          <w:p w14:paraId="18C4A203" w14:textId="77777777" w:rsidR="007E321A" w:rsidRPr="00D31640" w:rsidRDefault="007E321A" w:rsidP="004E737B">
            <w:pPr>
              <w:rPr>
                <w:sz w:val="20"/>
                <w:szCs w:val="22"/>
              </w:rPr>
            </w:pPr>
            <w:r w:rsidRPr="00D31640">
              <w:rPr>
                <w:sz w:val="20"/>
                <w:szCs w:val="22"/>
              </w:rPr>
              <w:t>Sleep Disorder</w:t>
            </w:r>
          </w:p>
        </w:tc>
        <w:tc>
          <w:tcPr>
            <w:tcW w:w="991" w:type="dxa"/>
            <w:vAlign w:val="center"/>
          </w:tcPr>
          <w:p w14:paraId="4A880A02" w14:textId="77777777" w:rsidR="007E321A" w:rsidRPr="00D31640" w:rsidRDefault="007E321A" w:rsidP="004E737B">
            <w:pPr>
              <w:rPr>
                <w:sz w:val="20"/>
                <w:szCs w:val="22"/>
              </w:rPr>
            </w:pPr>
            <w:r w:rsidRPr="00D31640">
              <w:rPr>
                <w:sz w:val="20"/>
                <w:szCs w:val="22"/>
              </w:rPr>
              <w:t>4</w:t>
            </w:r>
          </w:p>
        </w:tc>
      </w:tr>
      <w:tr w:rsidR="007E321A" w14:paraId="67611C91" w14:textId="77777777" w:rsidTr="00175137">
        <w:trPr>
          <w:trHeight w:val="509"/>
        </w:trPr>
        <w:tc>
          <w:tcPr>
            <w:tcW w:w="6029" w:type="dxa"/>
            <w:vAlign w:val="center"/>
          </w:tcPr>
          <w:p w14:paraId="4ADF29F2" w14:textId="77777777" w:rsidR="007E321A" w:rsidRPr="00D31640" w:rsidRDefault="007E321A" w:rsidP="004E737B">
            <w:pPr>
              <w:rPr>
                <w:sz w:val="20"/>
                <w:szCs w:val="22"/>
              </w:rPr>
            </w:pPr>
            <w:r w:rsidRPr="00D31640">
              <w:rPr>
                <w:sz w:val="20"/>
                <w:szCs w:val="22"/>
              </w:rPr>
              <w:t>Benign Cramps</w:t>
            </w:r>
          </w:p>
        </w:tc>
        <w:tc>
          <w:tcPr>
            <w:tcW w:w="991" w:type="dxa"/>
            <w:vAlign w:val="center"/>
          </w:tcPr>
          <w:p w14:paraId="6E58FFFA" w14:textId="77777777" w:rsidR="007E321A" w:rsidRPr="00D31640" w:rsidRDefault="007E321A" w:rsidP="004E737B">
            <w:pPr>
              <w:rPr>
                <w:sz w:val="20"/>
                <w:szCs w:val="22"/>
              </w:rPr>
            </w:pPr>
            <w:r w:rsidRPr="00D31640">
              <w:rPr>
                <w:sz w:val="20"/>
                <w:szCs w:val="22"/>
              </w:rPr>
              <w:t>4</w:t>
            </w:r>
          </w:p>
        </w:tc>
      </w:tr>
      <w:tr w:rsidR="007E321A" w14:paraId="50C27E80" w14:textId="77777777" w:rsidTr="00175137">
        <w:trPr>
          <w:trHeight w:val="509"/>
        </w:trPr>
        <w:tc>
          <w:tcPr>
            <w:tcW w:w="6029" w:type="dxa"/>
            <w:vAlign w:val="center"/>
          </w:tcPr>
          <w:p w14:paraId="1391E588" w14:textId="77777777" w:rsidR="007E321A" w:rsidRPr="00D31640" w:rsidRDefault="007E321A" w:rsidP="004E737B">
            <w:pPr>
              <w:rPr>
                <w:sz w:val="20"/>
                <w:szCs w:val="22"/>
              </w:rPr>
            </w:pPr>
            <w:r w:rsidRPr="00D31640">
              <w:rPr>
                <w:sz w:val="20"/>
                <w:szCs w:val="22"/>
              </w:rPr>
              <w:t>Dementia</w:t>
            </w:r>
          </w:p>
        </w:tc>
        <w:tc>
          <w:tcPr>
            <w:tcW w:w="991" w:type="dxa"/>
            <w:vAlign w:val="center"/>
          </w:tcPr>
          <w:p w14:paraId="5F1F59BD" w14:textId="77777777" w:rsidR="007E321A" w:rsidRPr="00D31640" w:rsidRDefault="007E321A" w:rsidP="004E737B">
            <w:pPr>
              <w:rPr>
                <w:sz w:val="20"/>
                <w:szCs w:val="22"/>
              </w:rPr>
            </w:pPr>
            <w:r w:rsidRPr="00D31640">
              <w:rPr>
                <w:sz w:val="20"/>
                <w:szCs w:val="22"/>
              </w:rPr>
              <w:t>3</w:t>
            </w:r>
          </w:p>
        </w:tc>
      </w:tr>
      <w:tr w:rsidR="007E321A" w14:paraId="17B93AFE" w14:textId="77777777" w:rsidTr="00175137">
        <w:trPr>
          <w:trHeight w:val="509"/>
        </w:trPr>
        <w:tc>
          <w:tcPr>
            <w:tcW w:w="6029" w:type="dxa"/>
            <w:vAlign w:val="center"/>
          </w:tcPr>
          <w:p w14:paraId="507BE258" w14:textId="77777777" w:rsidR="007E321A" w:rsidRPr="00D31640" w:rsidRDefault="007E321A" w:rsidP="004E737B">
            <w:pPr>
              <w:rPr>
                <w:sz w:val="20"/>
                <w:szCs w:val="22"/>
              </w:rPr>
            </w:pPr>
            <w:r w:rsidRPr="00D31640">
              <w:rPr>
                <w:sz w:val="20"/>
                <w:szCs w:val="22"/>
              </w:rPr>
              <w:t>Myasthenia Gravis/Lambert Eaton Syndrome</w:t>
            </w:r>
          </w:p>
        </w:tc>
        <w:tc>
          <w:tcPr>
            <w:tcW w:w="991" w:type="dxa"/>
            <w:vAlign w:val="center"/>
          </w:tcPr>
          <w:p w14:paraId="3BA72EBF" w14:textId="77777777" w:rsidR="007E321A" w:rsidRPr="00D31640" w:rsidRDefault="007E321A" w:rsidP="004E737B">
            <w:pPr>
              <w:rPr>
                <w:sz w:val="20"/>
                <w:szCs w:val="22"/>
              </w:rPr>
            </w:pPr>
            <w:r w:rsidRPr="00D31640">
              <w:rPr>
                <w:sz w:val="20"/>
                <w:szCs w:val="22"/>
              </w:rPr>
              <w:t>3</w:t>
            </w:r>
          </w:p>
        </w:tc>
      </w:tr>
      <w:tr w:rsidR="007E321A" w14:paraId="244BA792" w14:textId="77777777" w:rsidTr="00175137">
        <w:trPr>
          <w:trHeight w:val="509"/>
        </w:trPr>
        <w:tc>
          <w:tcPr>
            <w:tcW w:w="6029" w:type="dxa"/>
            <w:vAlign w:val="center"/>
          </w:tcPr>
          <w:p w14:paraId="3818E170" w14:textId="77777777" w:rsidR="007E321A" w:rsidRPr="00D31640" w:rsidRDefault="007E321A" w:rsidP="004E737B">
            <w:pPr>
              <w:rPr>
                <w:sz w:val="20"/>
                <w:szCs w:val="22"/>
              </w:rPr>
            </w:pPr>
            <w:r w:rsidRPr="00D31640">
              <w:rPr>
                <w:sz w:val="20"/>
                <w:szCs w:val="22"/>
              </w:rPr>
              <w:t>Multiple Sclerosis</w:t>
            </w:r>
          </w:p>
        </w:tc>
        <w:tc>
          <w:tcPr>
            <w:tcW w:w="991" w:type="dxa"/>
            <w:vAlign w:val="center"/>
          </w:tcPr>
          <w:p w14:paraId="2D8D6440" w14:textId="77777777" w:rsidR="007E321A" w:rsidRPr="00D31640" w:rsidRDefault="007E321A" w:rsidP="004E737B">
            <w:pPr>
              <w:rPr>
                <w:sz w:val="20"/>
                <w:szCs w:val="22"/>
              </w:rPr>
            </w:pPr>
            <w:r w:rsidRPr="00D31640">
              <w:rPr>
                <w:sz w:val="20"/>
                <w:szCs w:val="22"/>
              </w:rPr>
              <w:t>2</w:t>
            </w:r>
          </w:p>
        </w:tc>
      </w:tr>
      <w:tr w:rsidR="007E321A" w14:paraId="30239D29" w14:textId="77777777" w:rsidTr="00175137">
        <w:trPr>
          <w:trHeight w:val="509"/>
        </w:trPr>
        <w:tc>
          <w:tcPr>
            <w:tcW w:w="6029" w:type="dxa"/>
            <w:vAlign w:val="center"/>
          </w:tcPr>
          <w:p w14:paraId="056847FC" w14:textId="77777777" w:rsidR="007E321A" w:rsidRPr="00D31640" w:rsidRDefault="007E321A" w:rsidP="004E737B">
            <w:pPr>
              <w:rPr>
                <w:sz w:val="20"/>
                <w:szCs w:val="22"/>
              </w:rPr>
            </w:pPr>
            <w:r w:rsidRPr="00D31640">
              <w:rPr>
                <w:sz w:val="20"/>
                <w:szCs w:val="22"/>
              </w:rPr>
              <w:t>Spinal Stenosis</w:t>
            </w:r>
          </w:p>
        </w:tc>
        <w:tc>
          <w:tcPr>
            <w:tcW w:w="991" w:type="dxa"/>
            <w:vAlign w:val="center"/>
          </w:tcPr>
          <w:p w14:paraId="0C9E4E04" w14:textId="77777777" w:rsidR="007E321A" w:rsidRPr="00D31640" w:rsidRDefault="007E321A" w:rsidP="004E737B">
            <w:pPr>
              <w:rPr>
                <w:sz w:val="20"/>
                <w:szCs w:val="22"/>
              </w:rPr>
            </w:pPr>
            <w:r w:rsidRPr="00D31640">
              <w:rPr>
                <w:sz w:val="20"/>
                <w:szCs w:val="22"/>
              </w:rPr>
              <w:t>2</w:t>
            </w:r>
          </w:p>
        </w:tc>
      </w:tr>
      <w:tr w:rsidR="007E321A" w14:paraId="125F3AA4" w14:textId="77777777" w:rsidTr="00175137">
        <w:trPr>
          <w:trHeight w:val="509"/>
        </w:trPr>
        <w:tc>
          <w:tcPr>
            <w:tcW w:w="6029" w:type="dxa"/>
            <w:vAlign w:val="center"/>
          </w:tcPr>
          <w:p w14:paraId="61510017" w14:textId="77777777" w:rsidR="007E321A" w:rsidRPr="00D31640" w:rsidRDefault="007E321A" w:rsidP="004E737B">
            <w:pPr>
              <w:rPr>
                <w:sz w:val="20"/>
                <w:szCs w:val="22"/>
              </w:rPr>
            </w:pPr>
            <w:r w:rsidRPr="00D31640">
              <w:rPr>
                <w:sz w:val="20"/>
                <w:szCs w:val="22"/>
              </w:rPr>
              <w:t>CNS Malignancy in the absenc</w:t>
            </w:r>
            <w:r>
              <w:rPr>
                <w:sz w:val="20"/>
                <w:szCs w:val="22"/>
              </w:rPr>
              <w:t>e of autoimmune a</w:t>
            </w:r>
            <w:r w:rsidRPr="00D31640">
              <w:rPr>
                <w:sz w:val="20"/>
                <w:szCs w:val="22"/>
              </w:rPr>
              <w:t>ntibodies</w:t>
            </w:r>
          </w:p>
        </w:tc>
        <w:tc>
          <w:tcPr>
            <w:tcW w:w="991" w:type="dxa"/>
            <w:vAlign w:val="center"/>
          </w:tcPr>
          <w:p w14:paraId="7B7D5628" w14:textId="77777777" w:rsidR="007E321A" w:rsidRPr="00D31640" w:rsidRDefault="007E321A" w:rsidP="004E737B">
            <w:pPr>
              <w:rPr>
                <w:sz w:val="20"/>
                <w:szCs w:val="22"/>
              </w:rPr>
            </w:pPr>
            <w:r w:rsidRPr="00D31640">
              <w:rPr>
                <w:sz w:val="20"/>
                <w:szCs w:val="22"/>
              </w:rPr>
              <w:t>2</w:t>
            </w:r>
          </w:p>
        </w:tc>
      </w:tr>
      <w:tr w:rsidR="007E321A" w14:paraId="0A5DEF7D" w14:textId="77777777" w:rsidTr="00175137">
        <w:trPr>
          <w:trHeight w:val="509"/>
        </w:trPr>
        <w:tc>
          <w:tcPr>
            <w:tcW w:w="6029" w:type="dxa"/>
            <w:vAlign w:val="center"/>
          </w:tcPr>
          <w:p w14:paraId="6A594DAA" w14:textId="77777777" w:rsidR="007E321A" w:rsidRPr="00D31640" w:rsidRDefault="007E321A" w:rsidP="004E737B">
            <w:pPr>
              <w:rPr>
                <w:sz w:val="20"/>
                <w:szCs w:val="22"/>
              </w:rPr>
            </w:pPr>
            <w:r w:rsidRPr="00D31640">
              <w:rPr>
                <w:sz w:val="20"/>
                <w:szCs w:val="22"/>
              </w:rPr>
              <w:t>Epilepsy</w:t>
            </w:r>
          </w:p>
        </w:tc>
        <w:tc>
          <w:tcPr>
            <w:tcW w:w="991" w:type="dxa"/>
            <w:vAlign w:val="center"/>
          </w:tcPr>
          <w:p w14:paraId="7F055369" w14:textId="77777777" w:rsidR="007E321A" w:rsidRPr="00D31640" w:rsidRDefault="007E321A" w:rsidP="004E737B">
            <w:pPr>
              <w:rPr>
                <w:sz w:val="20"/>
                <w:szCs w:val="22"/>
              </w:rPr>
            </w:pPr>
            <w:r w:rsidRPr="00D31640">
              <w:rPr>
                <w:sz w:val="20"/>
                <w:szCs w:val="22"/>
              </w:rPr>
              <w:t>1</w:t>
            </w:r>
          </w:p>
        </w:tc>
      </w:tr>
      <w:tr w:rsidR="007E321A" w14:paraId="768C5F13" w14:textId="77777777" w:rsidTr="00175137">
        <w:trPr>
          <w:trHeight w:val="509"/>
        </w:trPr>
        <w:tc>
          <w:tcPr>
            <w:tcW w:w="6029" w:type="dxa"/>
            <w:vAlign w:val="center"/>
          </w:tcPr>
          <w:p w14:paraId="50B94A21" w14:textId="77777777" w:rsidR="007E321A" w:rsidRPr="00D31640" w:rsidRDefault="007E321A" w:rsidP="004E737B">
            <w:pPr>
              <w:rPr>
                <w:sz w:val="20"/>
                <w:szCs w:val="22"/>
              </w:rPr>
            </w:pPr>
            <w:r w:rsidRPr="00D31640">
              <w:rPr>
                <w:sz w:val="20"/>
                <w:szCs w:val="22"/>
              </w:rPr>
              <w:t xml:space="preserve">Motor </w:t>
            </w:r>
            <w:proofErr w:type="spellStart"/>
            <w:r w:rsidRPr="00D31640">
              <w:rPr>
                <w:sz w:val="20"/>
                <w:szCs w:val="22"/>
              </w:rPr>
              <w:t>Neurone</w:t>
            </w:r>
            <w:proofErr w:type="spellEnd"/>
            <w:r w:rsidRPr="00D31640">
              <w:rPr>
                <w:sz w:val="20"/>
                <w:szCs w:val="22"/>
              </w:rPr>
              <w:t xml:space="preserve"> Disease</w:t>
            </w:r>
          </w:p>
        </w:tc>
        <w:tc>
          <w:tcPr>
            <w:tcW w:w="991" w:type="dxa"/>
            <w:vAlign w:val="center"/>
          </w:tcPr>
          <w:p w14:paraId="6F5DA4E9" w14:textId="77777777" w:rsidR="007E321A" w:rsidRPr="00D31640" w:rsidRDefault="007E321A" w:rsidP="004E737B">
            <w:pPr>
              <w:rPr>
                <w:sz w:val="20"/>
                <w:szCs w:val="22"/>
              </w:rPr>
            </w:pPr>
            <w:r w:rsidRPr="00D31640">
              <w:rPr>
                <w:sz w:val="20"/>
                <w:szCs w:val="22"/>
              </w:rPr>
              <w:t>1</w:t>
            </w:r>
          </w:p>
        </w:tc>
      </w:tr>
      <w:tr w:rsidR="007E321A" w14:paraId="1AC4B1A2" w14:textId="77777777" w:rsidTr="00175137">
        <w:trPr>
          <w:trHeight w:val="509"/>
        </w:trPr>
        <w:tc>
          <w:tcPr>
            <w:tcW w:w="6029" w:type="dxa"/>
            <w:vAlign w:val="center"/>
          </w:tcPr>
          <w:p w14:paraId="0228536B" w14:textId="77777777" w:rsidR="007E321A" w:rsidRPr="00D31640" w:rsidRDefault="007E321A" w:rsidP="004E737B">
            <w:pPr>
              <w:rPr>
                <w:sz w:val="20"/>
                <w:szCs w:val="22"/>
              </w:rPr>
            </w:pPr>
            <w:r w:rsidRPr="00D31640">
              <w:rPr>
                <w:sz w:val="20"/>
                <w:szCs w:val="22"/>
              </w:rPr>
              <w:t xml:space="preserve">Blocked </w:t>
            </w:r>
            <w:proofErr w:type="spellStart"/>
            <w:r w:rsidRPr="00D31640">
              <w:rPr>
                <w:sz w:val="20"/>
                <w:szCs w:val="22"/>
              </w:rPr>
              <w:t>Ventriculo</w:t>
            </w:r>
            <w:proofErr w:type="spellEnd"/>
            <w:r w:rsidRPr="00D31640">
              <w:rPr>
                <w:sz w:val="20"/>
                <w:szCs w:val="22"/>
              </w:rPr>
              <w:t>-Peritoneal Shunt</w:t>
            </w:r>
          </w:p>
        </w:tc>
        <w:tc>
          <w:tcPr>
            <w:tcW w:w="991" w:type="dxa"/>
            <w:vAlign w:val="center"/>
          </w:tcPr>
          <w:p w14:paraId="6014D88E" w14:textId="77777777" w:rsidR="007E321A" w:rsidRPr="00D31640" w:rsidRDefault="007E321A" w:rsidP="004E737B">
            <w:pPr>
              <w:rPr>
                <w:sz w:val="20"/>
                <w:szCs w:val="22"/>
              </w:rPr>
            </w:pPr>
            <w:r w:rsidRPr="00D31640">
              <w:rPr>
                <w:sz w:val="20"/>
                <w:szCs w:val="22"/>
              </w:rPr>
              <w:t>1</w:t>
            </w:r>
          </w:p>
        </w:tc>
      </w:tr>
      <w:tr w:rsidR="007E321A" w14:paraId="6C7290A7" w14:textId="77777777" w:rsidTr="00175137">
        <w:trPr>
          <w:trHeight w:val="509"/>
        </w:trPr>
        <w:tc>
          <w:tcPr>
            <w:tcW w:w="6029" w:type="dxa"/>
            <w:vAlign w:val="center"/>
          </w:tcPr>
          <w:p w14:paraId="06DF4981" w14:textId="77777777" w:rsidR="007E321A" w:rsidRPr="00D31640" w:rsidRDefault="007E321A" w:rsidP="004E737B">
            <w:pPr>
              <w:rPr>
                <w:sz w:val="20"/>
                <w:szCs w:val="22"/>
              </w:rPr>
            </w:pPr>
            <w:r w:rsidRPr="00D31640">
              <w:rPr>
                <w:sz w:val="20"/>
                <w:szCs w:val="22"/>
              </w:rPr>
              <w:t>Polyneuropathy</w:t>
            </w:r>
          </w:p>
        </w:tc>
        <w:tc>
          <w:tcPr>
            <w:tcW w:w="991" w:type="dxa"/>
            <w:vAlign w:val="center"/>
          </w:tcPr>
          <w:p w14:paraId="3F138F70" w14:textId="77777777" w:rsidR="007E321A" w:rsidRPr="00D31640" w:rsidRDefault="007E321A" w:rsidP="004E737B">
            <w:pPr>
              <w:rPr>
                <w:sz w:val="20"/>
                <w:szCs w:val="22"/>
              </w:rPr>
            </w:pPr>
            <w:r w:rsidRPr="00D31640">
              <w:rPr>
                <w:sz w:val="20"/>
                <w:szCs w:val="22"/>
              </w:rPr>
              <w:t>1</w:t>
            </w:r>
          </w:p>
        </w:tc>
      </w:tr>
      <w:tr w:rsidR="007E321A" w14:paraId="352321EE" w14:textId="77777777" w:rsidTr="00175137">
        <w:trPr>
          <w:trHeight w:val="509"/>
        </w:trPr>
        <w:tc>
          <w:tcPr>
            <w:tcW w:w="6029" w:type="dxa"/>
            <w:vAlign w:val="center"/>
          </w:tcPr>
          <w:p w14:paraId="02245620" w14:textId="77777777" w:rsidR="007E321A" w:rsidRPr="00D31640" w:rsidRDefault="007E321A" w:rsidP="004E737B">
            <w:pPr>
              <w:rPr>
                <w:sz w:val="20"/>
                <w:szCs w:val="22"/>
              </w:rPr>
            </w:pPr>
            <w:r w:rsidRPr="00D31640">
              <w:rPr>
                <w:sz w:val="20"/>
                <w:szCs w:val="22"/>
              </w:rPr>
              <w:t xml:space="preserve">Cerebral Amyloid </w:t>
            </w:r>
            <w:proofErr w:type="spellStart"/>
            <w:r w:rsidRPr="00D31640">
              <w:rPr>
                <w:sz w:val="20"/>
                <w:szCs w:val="22"/>
              </w:rPr>
              <w:t>Angiopathy</w:t>
            </w:r>
            <w:proofErr w:type="spellEnd"/>
          </w:p>
        </w:tc>
        <w:tc>
          <w:tcPr>
            <w:tcW w:w="991" w:type="dxa"/>
            <w:vAlign w:val="center"/>
          </w:tcPr>
          <w:p w14:paraId="4708BC0D" w14:textId="77777777" w:rsidR="007E321A" w:rsidRPr="00D31640" w:rsidRDefault="007E321A" w:rsidP="004E737B">
            <w:pPr>
              <w:rPr>
                <w:sz w:val="20"/>
                <w:szCs w:val="22"/>
              </w:rPr>
            </w:pPr>
            <w:r w:rsidRPr="00D31640">
              <w:rPr>
                <w:sz w:val="20"/>
                <w:szCs w:val="22"/>
              </w:rPr>
              <w:t>1</w:t>
            </w:r>
          </w:p>
        </w:tc>
      </w:tr>
      <w:tr w:rsidR="007E321A" w14:paraId="24715C32" w14:textId="77777777" w:rsidTr="00175137">
        <w:trPr>
          <w:trHeight w:val="509"/>
        </w:trPr>
        <w:tc>
          <w:tcPr>
            <w:tcW w:w="6029" w:type="dxa"/>
            <w:vAlign w:val="center"/>
          </w:tcPr>
          <w:p w14:paraId="1FD984D3" w14:textId="77777777" w:rsidR="007E321A" w:rsidRPr="00D31640" w:rsidRDefault="007E321A" w:rsidP="004E737B">
            <w:pPr>
              <w:rPr>
                <w:sz w:val="20"/>
                <w:szCs w:val="22"/>
              </w:rPr>
            </w:pPr>
            <w:r w:rsidRPr="00D31640">
              <w:rPr>
                <w:sz w:val="20"/>
                <w:szCs w:val="22"/>
              </w:rPr>
              <w:t xml:space="preserve">Superior Oblique </w:t>
            </w:r>
            <w:proofErr w:type="spellStart"/>
            <w:r w:rsidRPr="00D31640">
              <w:rPr>
                <w:sz w:val="20"/>
                <w:szCs w:val="22"/>
              </w:rPr>
              <w:t>Myokymia</w:t>
            </w:r>
            <w:proofErr w:type="spellEnd"/>
          </w:p>
        </w:tc>
        <w:tc>
          <w:tcPr>
            <w:tcW w:w="991" w:type="dxa"/>
            <w:vAlign w:val="center"/>
          </w:tcPr>
          <w:p w14:paraId="76C95290" w14:textId="77777777" w:rsidR="007E321A" w:rsidRPr="00D31640" w:rsidRDefault="007E321A" w:rsidP="004E737B">
            <w:pPr>
              <w:rPr>
                <w:sz w:val="20"/>
                <w:szCs w:val="22"/>
              </w:rPr>
            </w:pPr>
            <w:r w:rsidRPr="00D31640">
              <w:rPr>
                <w:sz w:val="20"/>
                <w:szCs w:val="22"/>
              </w:rPr>
              <w:t>1</w:t>
            </w:r>
          </w:p>
        </w:tc>
      </w:tr>
      <w:tr w:rsidR="007E321A" w14:paraId="4EC97DE4" w14:textId="77777777" w:rsidTr="00175137">
        <w:trPr>
          <w:trHeight w:val="509"/>
        </w:trPr>
        <w:tc>
          <w:tcPr>
            <w:tcW w:w="6029" w:type="dxa"/>
            <w:vAlign w:val="center"/>
          </w:tcPr>
          <w:p w14:paraId="2BEAA3A3" w14:textId="77777777" w:rsidR="007E321A" w:rsidRPr="00D31640" w:rsidRDefault="007E321A" w:rsidP="004E737B">
            <w:pPr>
              <w:rPr>
                <w:sz w:val="20"/>
                <w:szCs w:val="22"/>
              </w:rPr>
            </w:pPr>
            <w:r w:rsidRPr="00D31640">
              <w:rPr>
                <w:sz w:val="20"/>
                <w:szCs w:val="22"/>
              </w:rPr>
              <w:t>Chronic Motor Tic Syndrome</w:t>
            </w:r>
          </w:p>
        </w:tc>
        <w:tc>
          <w:tcPr>
            <w:tcW w:w="991" w:type="dxa"/>
            <w:vAlign w:val="center"/>
          </w:tcPr>
          <w:p w14:paraId="639463E7" w14:textId="77777777" w:rsidR="007E321A" w:rsidRPr="00D31640" w:rsidRDefault="007E321A" w:rsidP="004E737B">
            <w:pPr>
              <w:rPr>
                <w:sz w:val="20"/>
                <w:szCs w:val="22"/>
              </w:rPr>
            </w:pPr>
            <w:r w:rsidRPr="00D31640">
              <w:rPr>
                <w:sz w:val="20"/>
                <w:szCs w:val="22"/>
              </w:rPr>
              <w:t>1</w:t>
            </w:r>
          </w:p>
        </w:tc>
      </w:tr>
      <w:tr w:rsidR="007E321A" w14:paraId="3AC13E59" w14:textId="77777777" w:rsidTr="00175137">
        <w:trPr>
          <w:trHeight w:val="509"/>
        </w:trPr>
        <w:tc>
          <w:tcPr>
            <w:tcW w:w="6029" w:type="dxa"/>
            <w:vAlign w:val="center"/>
          </w:tcPr>
          <w:p w14:paraId="22EF8007" w14:textId="77777777" w:rsidR="007E321A" w:rsidRPr="00D31640" w:rsidRDefault="007E321A" w:rsidP="004E737B">
            <w:pPr>
              <w:rPr>
                <w:sz w:val="20"/>
                <w:szCs w:val="22"/>
              </w:rPr>
            </w:pPr>
            <w:r w:rsidRPr="00D31640">
              <w:rPr>
                <w:sz w:val="20"/>
                <w:szCs w:val="22"/>
              </w:rPr>
              <w:t>Functional Disorder</w:t>
            </w:r>
          </w:p>
        </w:tc>
        <w:tc>
          <w:tcPr>
            <w:tcW w:w="991" w:type="dxa"/>
            <w:vAlign w:val="center"/>
          </w:tcPr>
          <w:p w14:paraId="590F4B1B" w14:textId="77777777" w:rsidR="007E321A" w:rsidRPr="00D31640" w:rsidRDefault="007E321A" w:rsidP="004E737B">
            <w:pPr>
              <w:rPr>
                <w:sz w:val="20"/>
                <w:szCs w:val="22"/>
              </w:rPr>
            </w:pPr>
            <w:r w:rsidRPr="00D31640">
              <w:rPr>
                <w:sz w:val="20"/>
                <w:szCs w:val="22"/>
              </w:rPr>
              <w:t>1</w:t>
            </w:r>
          </w:p>
        </w:tc>
      </w:tr>
      <w:tr w:rsidR="007E321A" w14:paraId="48A61864" w14:textId="77777777" w:rsidTr="00175137">
        <w:trPr>
          <w:trHeight w:val="509"/>
        </w:trPr>
        <w:tc>
          <w:tcPr>
            <w:tcW w:w="6029" w:type="dxa"/>
            <w:vAlign w:val="center"/>
          </w:tcPr>
          <w:p w14:paraId="2281B99F" w14:textId="77777777" w:rsidR="007E321A" w:rsidRPr="00D31640" w:rsidRDefault="007E321A" w:rsidP="004E737B">
            <w:pPr>
              <w:rPr>
                <w:sz w:val="20"/>
                <w:szCs w:val="22"/>
              </w:rPr>
            </w:pPr>
            <w:r w:rsidRPr="00D31640">
              <w:rPr>
                <w:sz w:val="20"/>
                <w:szCs w:val="22"/>
              </w:rPr>
              <w:t>Post-traumatic Brain Injury</w:t>
            </w:r>
          </w:p>
        </w:tc>
        <w:tc>
          <w:tcPr>
            <w:tcW w:w="991" w:type="dxa"/>
            <w:vAlign w:val="center"/>
          </w:tcPr>
          <w:p w14:paraId="65BAC1B5" w14:textId="77777777" w:rsidR="007E321A" w:rsidRPr="00D31640" w:rsidRDefault="007E321A" w:rsidP="004E737B">
            <w:pPr>
              <w:rPr>
                <w:sz w:val="20"/>
                <w:szCs w:val="22"/>
              </w:rPr>
            </w:pPr>
            <w:r w:rsidRPr="00D31640">
              <w:rPr>
                <w:sz w:val="20"/>
                <w:szCs w:val="22"/>
              </w:rPr>
              <w:t>1</w:t>
            </w:r>
          </w:p>
        </w:tc>
      </w:tr>
      <w:tr w:rsidR="007E321A" w14:paraId="1181F170" w14:textId="77777777" w:rsidTr="00175137">
        <w:trPr>
          <w:trHeight w:val="509"/>
        </w:trPr>
        <w:tc>
          <w:tcPr>
            <w:tcW w:w="6029" w:type="dxa"/>
            <w:vAlign w:val="center"/>
          </w:tcPr>
          <w:p w14:paraId="270293CA" w14:textId="77777777" w:rsidR="007E321A" w:rsidRPr="00D31640" w:rsidRDefault="007E321A" w:rsidP="004E737B">
            <w:pPr>
              <w:rPr>
                <w:sz w:val="20"/>
                <w:szCs w:val="22"/>
              </w:rPr>
            </w:pPr>
            <w:r w:rsidRPr="00D31640">
              <w:rPr>
                <w:sz w:val="20"/>
                <w:szCs w:val="22"/>
              </w:rPr>
              <w:t>Systemic Inflammatory Connective Tissue Disorder</w:t>
            </w:r>
          </w:p>
        </w:tc>
        <w:tc>
          <w:tcPr>
            <w:tcW w:w="991" w:type="dxa"/>
            <w:vAlign w:val="center"/>
          </w:tcPr>
          <w:p w14:paraId="28EC6F98" w14:textId="77777777" w:rsidR="007E321A" w:rsidRPr="00D31640" w:rsidRDefault="007E321A" w:rsidP="004E737B">
            <w:pPr>
              <w:rPr>
                <w:sz w:val="20"/>
                <w:szCs w:val="22"/>
              </w:rPr>
            </w:pPr>
            <w:r w:rsidRPr="00D31640">
              <w:rPr>
                <w:sz w:val="20"/>
                <w:szCs w:val="22"/>
              </w:rPr>
              <w:t>1</w:t>
            </w:r>
          </w:p>
        </w:tc>
      </w:tr>
      <w:tr w:rsidR="007E321A" w14:paraId="1D50C0CC" w14:textId="77777777" w:rsidTr="00175137">
        <w:trPr>
          <w:trHeight w:val="509"/>
        </w:trPr>
        <w:tc>
          <w:tcPr>
            <w:tcW w:w="6029" w:type="dxa"/>
            <w:vAlign w:val="center"/>
          </w:tcPr>
          <w:p w14:paraId="411819A6" w14:textId="77777777" w:rsidR="007E321A" w:rsidRPr="00D31640" w:rsidRDefault="007E321A" w:rsidP="004E737B">
            <w:pPr>
              <w:rPr>
                <w:sz w:val="20"/>
                <w:szCs w:val="22"/>
              </w:rPr>
            </w:pPr>
            <w:r w:rsidRPr="00D31640">
              <w:rPr>
                <w:sz w:val="20"/>
                <w:szCs w:val="22"/>
              </w:rPr>
              <w:t>Creutzfeldt-Jakob Disease</w:t>
            </w:r>
          </w:p>
        </w:tc>
        <w:tc>
          <w:tcPr>
            <w:tcW w:w="991" w:type="dxa"/>
            <w:vAlign w:val="center"/>
          </w:tcPr>
          <w:p w14:paraId="549CC57A" w14:textId="77777777" w:rsidR="007E321A" w:rsidRPr="00D31640" w:rsidRDefault="007E321A" w:rsidP="004E737B">
            <w:pPr>
              <w:rPr>
                <w:sz w:val="20"/>
                <w:szCs w:val="22"/>
              </w:rPr>
            </w:pPr>
            <w:r w:rsidRPr="00D31640">
              <w:rPr>
                <w:sz w:val="20"/>
                <w:szCs w:val="22"/>
              </w:rPr>
              <w:t>1</w:t>
            </w:r>
          </w:p>
        </w:tc>
      </w:tr>
      <w:tr w:rsidR="007E321A" w14:paraId="63C4C84D" w14:textId="77777777" w:rsidTr="00175137">
        <w:trPr>
          <w:trHeight w:val="509"/>
        </w:trPr>
        <w:tc>
          <w:tcPr>
            <w:tcW w:w="6029" w:type="dxa"/>
            <w:vAlign w:val="center"/>
          </w:tcPr>
          <w:p w14:paraId="3E012608" w14:textId="77777777" w:rsidR="007E321A" w:rsidRPr="00D31640" w:rsidRDefault="007E321A" w:rsidP="004E737B">
            <w:pPr>
              <w:rPr>
                <w:sz w:val="20"/>
                <w:szCs w:val="22"/>
              </w:rPr>
            </w:pPr>
            <w:r>
              <w:rPr>
                <w:sz w:val="20"/>
                <w:szCs w:val="22"/>
              </w:rPr>
              <w:t>Post-Polio S</w:t>
            </w:r>
            <w:r w:rsidRPr="00D31640">
              <w:rPr>
                <w:sz w:val="20"/>
                <w:szCs w:val="22"/>
              </w:rPr>
              <w:t>yndrome</w:t>
            </w:r>
          </w:p>
        </w:tc>
        <w:tc>
          <w:tcPr>
            <w:tcW w:w="991" w:type="dxa"/>
            <w:vAlign w:val="center"/>
          </w:tcPr>
          <w:p w14:paraId="4D1CC52A" w14:textId="77777777" w:rsidR="007E321A" w:rsidRPr="00D31640" w:rsidRDefault="007E321A" w:rsidP="004E737B">
            <w:pPr>
              <w:rPr>
                <w:sz w:val="20"/>
                <w:szCs w:val="22"/>
              </w:rPr>
            </w:pPr>
            <w:r w:rsidRPr="00D31640">
              <w:rPr>
                <w:sz w:val="20"/>
                <w:szCs w:val="22"/>
              </w:rPr>
              <w:t>1</w:t>
            </w:r>
          </w:p>
        </w:tc>
      </w:tr>
      <w:tr w:rsidR="007E321A" w14:paraId="5B53735C" w14:textId="77777777" w:rsidTr="00175137">
        <w:trPr>
          <w:trHeight w:val="509"/>
        </w:trPr>
        <w:tc>
          <w:tcPr>
            <w:tcW w:w="6029" w:type="dxa"/>
            <w:vAlign w:val="center"/>
          </w:tcPr>
          <w:p w14:paraId="0F452F55" w14:textId="77777777" w:rsidR="007E321A" w:rsidRPr="00D31640" w:rsidRDefault="007E321A" w:rsidP="004E737B">
            <w:pPr>
              <w:rPr>
                <w:b/>
                <w:sz w:val="20"/>
                <w:szCs w:val="22"/>
              </w:rPr>
            </w:pPr>
            <w:r w:rsidRPr="00D31640">
              <w:rPr>
                <w:b/>
                <w:sz w:val="20"/>
                <w:szCs w:val="22"/>
              </w:rPr>
              <w:t>Total</w:t>
            </w:r>
          </w:p>
        </w:tc>
        <w:tc>
          <w:tcPr>
            <w:tcW w:w="991" w:type="dxa"/>
            <w:vAlign w:val="center"/>
          </w:tcPr>
          <w:p w14:paraId="6C357EEE" w14:textId="77777777" w:rsidR="007E321A" w:rsidRPr="00D31640" w:rsidRDefault="007E321A" w:rsidP="004E737B">
            <w:pPr>
              <w:rPr>
                <w:sz w:val="20"/>
                <w:szCs w:val="22"/>
              </w:rPr>
            </w:pPr>
            <w:r w:rsidRPr="00D31640">
              <w:rPr>
                <w:sz w:val="20"/>
                <w:szCs w:val="22"/>
              </w:rPr>
              <w:t>50</w:t>
            </w:r>
          </w:p>
        </w:tc>
      </w:tr>
    </w:tbl>
    <w:p w14:paraId="7435AF54" w14:textId="20A9DCDB" w:rsidR="00291091" w:rsidRDefault="00291091" w:rsidP="00210ECB">
      <w:pPr>
        <w:rPr>
          <w:sz w:val="22"/>
          <w:szCs w:val="22"/>
        </w:rPr>
      </w:pPr>
    </w:p>
    <w:p w14:paraId="382CC236" w14:textId="77777777" w:rsidR="00291091" w:rsidRPr="00291091" w:rsidRDefault="00291091" w:rsidP="00291091">
      <w:pPr>
        <w:rPr>
          <w:sz w:val="22"/>
          <w:szCs w:val="22"/>
        </w:rPr>
      </w:pPr>
    </w:p>
    <w:p w14:paraId="6F65D5A0" w14:textId="77777777" w:rsidR="00291091" w:rsidRPr="00291091" w:rsidRDefault="00291091" w:rsidP="00291091">
      <w:pPr>
        <w:rPr>
          <w:sz w:val="22"/>
          <w:szCs w:val="22"/>
        </w:rPr>
      </w:pPr>
    </w:p>
    <w:p w14:paraId="07F2F01D" w14:textId="77777777" w:rsidR="007E321A" w:rsidRDefault="00210ECB" w:rsidP="00210ECB">
      <w:pPr>
        <w:rPr>
          <w:sz w:val="22"/>
          <w:szCs w:val="22"/>
        </w:rPr>
        <w:sectPr w:rsidR="007E321A" w:rsidSect="007E321A">
          <w:pgSz w:w="11900" w:h="16820"/>
          <w:pgMar w:top="1440" w:right="1800" w:bottom="1440" w:left="1800" w:header="708" w:footer="708" w:gutter="0"/>
          <w:cols w:space="708"/>
          <w:docGrid w:linePitch="360"/>
        </w:sectPr>
      </w:pPr>
      <w:r w:rsidRPr="00291091">
        <w:rPr>
          <w:sz w:val="22"/>
          <w:szCs w:val="22"/>
        </w:rPr>
        <w:br w:type="page"/>
      </w:r>
    </w:p>
    <w:p w14:paraId="184B8AB6" w14:textId="0745484A" w:rsidR="00210ECB" w:rsidRDefault="00210ECB" w:rsidP="00210ECB">
      <w:pPr>
        <w:rPr>
          <w:sz w:val="22"/>
          <w:szCs w:val="22"/>
        </w:rPr>
      </w:pPr>
      <w:r w:rsidRPr="003430A8">
        <w:rPr>
          <w:b/>
          <w:sz w:val="22"/>
          <w:szCs w:val="22"/>
        </w:rPr>
        <w:lastRenderedPageBreak/>
        <w:t>T</w:t>
      </w:r>
      <w:r>
        <w:rPr>
          <w:b/>
          <w:sz w:val="22"/>
          <w:szCs w:val="22"/>
        </w:rPr>
        <w:t>able 3</w:t>
      </w:r>
      <w:r w:rsidRPr="003430A8">
        <w:rPr>
          <w:b/>
          <w:sz w:val="22"/>
          <w:szCs w:val="22"/>
        </w:rPr>
        <w:t xml:space="preserve">. </w:t>
      </w:r>
      <w:r>
        <w:rPr>
          <w:b/>
          <w:sz w:val="22"/>
          <w:szCs w:val="22"/>
        </w:rPr>
        <w:t xml:space="preserve"> </w:t>
      </w:r>
      <w:r w:rsidRPr="003F5E71">
        <w:rPr>
          <w:sz w:val="22"/>
          <w:szCs w:val="22"/>
        </w:rPr>
        <w:t>Comparison between the symptoms and</w:t>
      </w:r>
      <w:r>
        <w:rPr>
          <w:sz w:val="22"/>
          <w:szCs w:val="22"/>
        </w:rPr>
        <w:t xml:space="preserve"> signs reported in patients with </w:t>
      </w:r>
      <w:r w:rsidRPr="00B72D77">
        <w:rPr>
          <w:sz w:val="22"/>
          <w:szCs w:val="22"/>
        </w:rPr>
        <w:t>VGKC</w:t>
      </w:r>
      <w:r>
        <w:rPr>
          <w:sz w:val="22"/>
          <w:szCs w:val="22"/>
        </w:rPr>
        <w:t>-complex</w:t>
      </w:r>
      <w:r w:rsidRPr="00B72D77">
        <w:rPr>
          <w:sz w:val="22"/>
          <w:szCs w:val="22"/>
        </w:rPr>
        <w:t xml:space="preserve"> antibody positive disease </w:t>
      </w:r>
      <w:r>
        <w:rPr>
          <w:sz w:val="22"/>
          <w:szCs w:val="22"/>
        </w:rPr>
        <w:t>and</w:t>
      </w:r>
      <w:r w:rsidRPr="00B72D77">
        <w:rPr>
          <w:sz w:val="22"/>
          <w:szCs w:val="22"/>
        </w:rPr>
        <w:t xml:space="preserve"> VGKC</w:t>
      </w:r>
      <w:r>
        <w:rPr>
          <w:sz w:val="22"/>
          <w:szCs w:val="22"/>
        </w:rPr>
        <w:t>-complex</w:t>
      </w:r>
      <w:r w:rsidRPr="00B72D77">
        <w:rPr>
          <w:sz w:val="22"/>
          <w:szCs w:val="22"/>
        </w:rPr>
        <w:t xml:space="preserve"> antibody negative </w:t>
      </w:r>
      <w:r>
        <w:rPr>
          <w:sz w:val="22"/>
          <w:szCs w:val="22"/>
        </w:rPr>
        <w:t>controls</w:t>
      </w:r>
    </w:p>
    <w:tbl>
      <w:tblPr>
        <w:tblpPr w:leftFromText="180" w:rightFromText="180" w:vertAnchor="page" w:horzAnchor="page" w:tblpX="1189" w:tblpY="2881"/>
        <w:tblW w:w="15306" w:type="dxa"/>
        <w:tblLayout w:type="fixed"/>
        <w:tblLook w:val="04A0" w:firstRow="1" w:lastRow="0" w:firstColumn="1" w:lastColumn="0" w:noHBand="0" w:noVBand="1"/>
      </w:tblPr>
      <w:tblGrid>
        <w:gridCol w:w="1842"/>
        <w:gridCol w:w="1134"/>
        <w:gridCol w:w="1134"/>
        <w:gridCol w:w="1275"/>
        <w:gridCol w:w="1701"/>
        <w:gridCol w:w="1843"/>
        <w:gridCol w:w="1133"/>
        <w:gridCol w:w="1134"/>
        <w:gridCol w:w="709"/>
        <w:gridCol w:w="708"/>
        <w:gridCol w:w="1843"/>
        <w:gridCol w:w="850"/>
      </w:tblGrid>
      <w:tr w:rsidR="00644DCD" w:rsidRPr="00743621" w14:paraId="02F9E814" w14:textId="77777777" w:rsidTr="00887519">
        <w:trPr>
          <w:trHeight w:val="300"/>
        </w:trPr>
        <w:tc>
          <w:tcPr>
            <w:tcW w:w="1842" w:type="dxa"/>
            <w:tcBorders>
              <w:top w:val="nil"/>
              <w:left w:val="nil"/>
              <w:bottom w:val="single" w:sz="4" w:space="0" w:color="auto"/>
              <w:right w:val="single" w:sz="4" w:space="0" w:color="auto"/>
            </w:tcBorders>
            <w:shd w:val="clear" w:color="auto" w:fill="auto"/>
            <w:noWrap/>
            <w:vAlign w:val="center"/>
            <w:hideMark/>
          </w:tcPr>
          <w:p w14:paraId="503EB316" w14:textId="77777777" w:rsidR="00644DCD" w:rsidRPr="00743621" w:rsidRDefault="00644DCD" w:rsidP="00887519">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color w:val="000000"/>
                <w:sz w:val="20"/>
                <w:szCs w:val="20"/>
                <w:lang w:val="en-GB"/>
              </w:rPr>
              <w:t>Clinical features</w:t>
            </w:r>
          </w:p>
        </w:tc>
        <w:tc>
          <w:tcPr>
            <w:tcW w:w="3543" w:type="dxa"/>
            <w:gridSpan w:val="3"/>
            <w:tcBorders>
              <w:top w:val="nil"/>
              <w:left w:val="nil"/>
              <w:bottom w:val="single" w:sz="4" w:space="0" w:color="A6A6A6"/>
              <w:right w:val="single" w:sz="4" w:space="0" w:color="000000"/>
            </w:tcBorders>
            <w:shd w:val="clear" w:color="auto" w:fill="auto"/>
            <w:noWrap/>
            <w:vAlign w:val="center"/>
            <w:hideMark/>
          </w:tcPr>
          <w:p w14:paraId="106943B0" w14:textId="77777777" w:rsidR="00644DCD" w:rsidRDefault="00644DCD" w:rsidP="00887519">
            <w:pPr>
              <w:jc w:val="center"/>
              <w:rPr>
                <w:rFonts w:ascii="Calibri" w:eastAsia="Times New Roman" w:hAnsi="Calibri" w:cs="Times New Roman"/>
                <w:b/>
                <w:color w:val="000000"/>
                <w:sz w:val="20"/>
                <w:szCs w:val="20"/>
                <w:lang w:val="en-GB"/>
              </w:rPr>
            </w:pPr>
            <w:r>
              <w:rPr>
                <w:rFonts w:ascii="Calibri" w:eastAsia="Times New Roman" w:hAnsi="Calibri" w:cs="Times New Roman"/>
                <w:b/>
                <w:color w:val="000000"/>
                <w:sz w:val="20"/>
                <w:szCs w:val="20"/>
                <w:lang w:val="en-GB"/>
              </w:rPr>
              <w:t>Diagnostic group</w:t>
            </w:r>
          </w:p>
          <w:p w14:paraId="3156719C" w14:textId="77777777" w:rsidR="00644DCD" w:rsidRPr="00743621" w:rsidRDefault="00644DCD" w:rsidP="00887519">
            <w:pPr>
              <w:jc w:val="center"/>
              <w:rPr>
                <w:rFonts w:ascii="Calibri" w:eastAsia="Times New Roman" w:hAnsi="Calibri" w:cs="Times New Roman"/>
                <w:b/>
                <w:color w:val="000000"/>
                <w:sz w:val="20"/>
                <w:szCs w:val="20"/>
                <w:lang w:val="en-GB"/>
              </w:rPr>
            </w:pPr>
            <w:r>
              <w:rPr>
                <w:rFonts w:ascii="Calibri" w:eastAsia="Times New Roman" w:hAnsi="Calibri" w:cs="Times New Roman"/>
                <w:b/>
                <w:color w:val="000000"/>
                <w:sz w:val="20"/>
                <w:szCs w:val="20"/>
                <w:lang w:val="en-GB"/>
              </w:rPr>
              <w:t>CNS                  PNS                CNS/PNS</w:t>
            </w:r>
          </w:p>
        </w:tc>
        <w:tc>
          <w:tcPr>
            <w:tcW w:w="1701" w:type="dxa"/>
            <w:tcBorders>
              <w:top w:val="nil"/>
              <w:left w:val="single" w:sz="4" w:space="0" w:color="auto"/>
              <w:right w:val="single" w:sz="4" w:space="0" w:color="auto"/>
            </w:tcBorders>
          </w:tcPr>
          <w:p w14:paraId="5C5129C3" w14:textId="15A5EEEC" w:rsidR="00644DCD" w:rsidRPr="00743621" w:rsidRDefault="00644DCD" w:rsidP="00C12DC5">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color w:val="000000"/>
                <w:sz w:val="20"/>
                <w:szCs w:val="20"/>
                <w:lang w:val="en-GB"/>
              </w:rPr>
              <w:t xml:space="preserve">Antibody positive </w:t>
            </w:r>
            <w:r w:rsidR="00C12DC5">
              <w:rPr>
                <w:rFonts w:ascii="Calibri" w:eastAsia="Times New Roman" w:hAnsi="Calibri" w:cs="Times New Roman"/>
                <w:b/>
                <w:color w:val="000000"/>
                <w:sz w:val="20"/>
                <w:szCs w:val="20"/>
                <w:lang w:val="en-GB"/>
              </w:rPr>
              <w:t>cases</w:t>
            </w:r>
            <w:r>
              <w:rPr>
                <w:rFonts w:ascii="Calibri" w:eastAsia="Times New Roman" w:hAnsi="Calibri" w:cs="Times New Roman"/>
                <w:b/>
                <w:color w:val="000000"/>
                <w:sz w:val="20"/>
                <w:szCs w:val="20"/>
                <w:lang w:val="en-GB"/>
              </w:rPr>
              <w:t xml:space="preserve"> (n=35)</w:t>
            </w:r>
          </w:p>
        </w:tc>
        <w:tc>
          <w:tcPr>
            <w:tcW w:w="1843" w:type="dxa"/>
            <w:tcBorders>
              <w:top w:val="nil"/>
              <w:left w:val="single" w:sz="4" w:space="0" w:color="auto"/>
              <w:bottom w:val="nil"/>
              <w:right w:val="single" w:sz="4" w:space="0" w:color="auto"/>
            </w:tcBorders>
            <w:shd w:val="clear" w:color="auto" w:fill="auto"/>
            <w:noWrap/>
            <w:vAlign w:val="center"/>
            <w:hideMark/>
          </w:tcPr>
          <w:p w14:paraId="30BC119B" w14:textId="77777777" w:rsidR="00644DCD" w:rsidRPr="00743621" w:rsidRDefault="00644DCD" w:rsidP="00887519">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color w:val="000000"/>
                <w:sz w:val="20"/>
                <w:szCs w:val="20"/>
                <w:lang w:val="en-GB"/>
              </w:rPr>
              <w:t xml:space="preserve">Antibody negative </w:t>
            </w:r>
            <w:r>
              <w:rPr>
                <w:rFonts w:ascii="Calibri" w:eastAsia="Times New Roman" w:hAnsi="Calibri" w:cs="Times New Roman"/>
                <w:b/>
                <w:color w:val="000000"/>
                <w:sz w:val="20"/>
                <w:szCs w:val="20"/>
                <w:lang w:val="en-GB"/>
              </w:rPr>
              <w:t xml:space="preserve">controls (n=50) </w:t>
            </w:r>
          </w:p>
        </w:tc>
        <w:tc>
          <w:tcPr>
            <w:tcW w:w="1133" w:type="dxa"/>
            <w:tcBorders>
              <w:top w:val="nil"/>
              <w:left w:val="single" w:sz="4" w:space="0" w:color="auto"/>
              <w:bottom w:val="nil"/>
              <w:right w:val="single" w:sz="4" w:space="0" w:color="auto"/>
            </w:tcBorders>
            <w:shd w:val="clear" w:color="auto" w:fill="auto"/>
            <w:noWrap/>
            <w:vAlign w:val="center"/>
            <w:hideMark/>
          </w:tcPr>
          <w:p w14:paraId="39FC3323" w14:textId="77777777" w:rsidR="00644DCD" w:rsidRPr="00743621" w:rsidRDefault="00644DCD" w:rsidP="00887519">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color w:val="000000"/>
                <w:sz w:val="20"/>
                <w:szCs w:val="20"/>
                <w:lang w:val="en-GB"/>
              </w:rPr>
              <w:t>Sensitivity</w:t>
            </w:r>
          </w:p>
        </w:tc>
        <w:tc>
          <w:tcPr>
            <w:tcW w:w="1134" w:type="dxa"/>
            <w:tcBorders>
              <w:top w:val="nil"/>
              <w:left w:val="single" w:sz="4" w:space="0" w:color="auto"/>
              <w:bottom w:val="nil"/>
              <w:right w:val="single" w:sz="4" w:space="0" w:color="auto"/>
            </w:tcBorders>
            <w:shd w:val="clear" w:color="auto" w:fill="auto"/>
            <w:noWrap/>
            <w:vAlign w:val="center"/>
            <w:hideMark/>
          </w:tcPr>
          <w:p w14:paraId="1B4298AA" w14:textId="77777777" w:rsidR="00644DCD" w:rsidRPr="00743621" w:rsidRDefault="00644DCD" w:rsidP="00887519">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color w:val="000000"/>
                <w:sz w:val="20"/>
                <w:szCs w:val="20"/>
                <w:lang w:val="en-GB"/>
              </w:rPr>
              <w:t>Specificity</w:t>
            </w:r>
          </w:p>
        </w:tc>
        <w:tc>
          <w:tcPr>
            <w:tcW w:w="709" w:type="dxa"/>
            <w:tcBorders>
              <w:top w:val="nil"/>
              <w:left w:val="single" w:sz="4" w:space="0" w:color="auto"/>
              <w:bottom w:val="nil"/>
              <w:right w:val="single" w:sz="4" w:space="0" w:color="auto"/>
            </w:tcBorders>
            <w:shd w:val="clear" w:color="auto" w:fill="auto"/>
            <w:noWrap/>
            <w:vAlign w:val="center"/>
            <w:hideMark/>
          </w:tcPr>
          <w:p w14:paraId="64E76827" w14:textId="77777777" w:rsidR="00644DCD" w:rsidRPr="00743621" w:rsidRDefault="00644DCD" w:rsidP="00887519">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color w:val="000000"/>
                <w:sz w:val="20"/>
                <w:szCs w:val="20"/>
                <w:lang w:val="en-GB"/>
              </w:rPr>
              <w:t>PPV</w:t>
            </w:r>
          </w:p>
        </w:tc>
        <w:tc>
          <w:tcPr>
            <w:tcW w:w="708" w:type="dxa"/>
            <w:tcBorders>
              <w:top w:val="nil"/>
              <w:left w:val="single" w:sz="4" w:space="0" w:color="auto"/>
              <w:bottom w:val="nil"/>
              <w:right w:val="single" w:sz="4" w:space="0" w:color="auto"/>
            </w:tcBorders>
            <w:shd w:val="clear" w:color="auto" w:fill="auto"/>
            <w:noWrap/>
            <w:vAlign w:val="center"/>
            <w:hideMark/>
          </w:tcPr>
          <w:p w14:paraId="1C939B6D" w14:textId="77777777" w:rsidR="00644DCD" w:rsidRPr="00743621" w:rsidRDefault="00644DCD" w:rsidP="00887519">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color w:val="000000"/>
                <w:sz w:val="20"/>
                <w:szCs w:val="20"/>
                <w:lang w:val="en-GB"/>
              </w:rPr>
              <w:t>NPV</w:t>
            </w:r>
          </w:p>
        </w:tc>
        <w:tc>
          <w:tcPr>
            <w:tcW w:w="1843" w:type="dxa"/>
            <w:tcBorders>
              <w:top w:val="nil"/>
              <w:left w:val="single" w:sz="4" w:space="0" w:color="auto"/>
              <w:bottom w:val="nil"/>
              <w:right w:val="single" w:sz="4" w:space="0" w:color="auto"/>
            </w:tcBorders>
            <w:shd w:val="clear" w:color="auto" w:fill="auto"/>
            <w:noWrap/>
            <w:vAlign w:val="center"/>
            <w:hideMark/>
          </w:tcPr>
          <w:p w14:paraId="65BE76B8" w14:textId="77777777" w:rsidR="00644DCD" w:rsidRPr="00743621" w:rsidRDefault="00644DCD" w:rsidP="00887519">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color w:val="000000"/>
                <w:sz w:val="20"/>
                <w:szCs w:val="20"/>
                <w:lang w:val="en-GB"/>
              </w:rPr>
              <w:t>OR (95% CI)</w:t>
            </w:r>
          </w:p>
        </w:tc>
        <w:tc>
          <w:tcPr>
            <w:tcW w:w="850" w:type="dxa"/>
            <w:tcBorders>
              <w:top w:val="nil"/>
              <w:left w:val="single" w:sz="4" w:space="0" w:color="auto"/>
              <w:bottom w:val="nil"/>
              <w:right w:val="nil"/>
            </w:tcBorders>
            <w:shd w:val="clear" w:color="auto" w:fill="auto"/>
            <w:noWrap/>
            <w:vAlign w:val="center"/>
            <w:hideMark/>
          </w:tcPr>
          <w:p w14:paraId="56DD4DAE" w14:textId="77777777" w:rsidR="00644DCD" w:rsidRPr="00743621" w:rsidRDefault="00644DCD" w:rsidP="00887519">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i/>
                <w:color w:val="000000"/>
                <w:sz w:val="20"/>
                <w:szCs w:val="20"/>
                <w:lang w:val="en-GB"/>
              </w:rPr>
              <w:t>P</w:t>
            </w:r>
            <w:r w:rsidRPr="00743621">
              <w:rPr>
                <w:rFonts w:ascii="Calibri" w:eastAsia="Times New Roman" w:hAnsi="Calibri" w:cs="Times New Roman"/>
                <w:b/>
                <w:color w:val="000000"/>
                <w:sz w:val="20"/>
                <w:szCs w:val="20"/>
                <w:lang w:val="en-GB"/>
              </w:rPr>
              <w:t>-value</w:t>
            </w:r>
          </w:p>
        </w:tc>
      </w:tr>
      <w:tr w:rsidR="00644DCD" w:rsidRPr="005827BA" w14:paraId="0CF5BE8F" w14:textId="77777777" w:rsidTr="00887519">
        <w:trPr>
          <w:trHeight w:val="300"/>
        </w:trPr>
        <w:tc>
          <w:tcPr>
            <w:tcW w:w="1842" w:type="dxa"/>
            <w:tcBorders>
              <w:top w:val="single" w:sz="8" w:space="0" w:color="auto"/>
              <w:left w:val="nil"/>
              <w:bottom w:val="single" w:sz="4" w:space="0" w:color="A6A6A6"/>
              <w:right w:val="single" w:sz="4" w:space="0" w:color="auto"/>
            </w:tcBorders>
            <w:shd w:val="clear" w:color="auto" w:fill="auto"/>
            <w:noWrap/>
            <w:vAlign w:val="center"/>
            <w:hideMark/>
          </w:tcPr>
          <w:p w14:paraId="4848EEE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Seizures</w:t>
            </w:r>
            <w:r>
              <w:rPr>
                <w:rFonts w:ascii="Calibri" w:eastAsia="Times New Roman" w:hAnsi="Calibri" w:cs="Times New Roman"/>
                <w:color w:val="000000"/>
                <w:sz w:val="20"/>
                <w:szCs w:val="20"/>
                <w:lang w:val="en-GB"/>
              </w:rPr>
              <w:t xml:space="preserve"> (n=33)</w:t>
            </w:r>
          </w:p>
        </w:tc>
        <w:tc>
          <w:tcPr>
            <w:tcW w:w="1134" w:type="dxa"/>
            <w:tcBorders>
              <w:top w:val="nil"/>
              <w:left w:val="single" w:sz="4" w:space="0" w:color="auto"/>
              <w:bottom w:val="single" w:sz="4" w:space="0" w:color="A6A6A6"/>
              <w:right w:val="single" w:sz="4" w:space="0" w:color="A6A6A6"/>
            </w:tcBorders>
            <w:shd w:val="clear" w:color="auto" w:fill="auto"/>
            <w:noWrap/>
            <w:vAlign w:val="center"/>
            <w:hideMark/>
          </w:tcPr>
          <w:p w14:paraId="3101F122"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10</w:t>
            </w:r>
          </w:p>
        </w:tc>
        <w:tc>
          <w:tcPr>
            <w:tcW w:w="1134" w:type="dxa"/>
            <w:tcBorders>
              <w:top w:val="nil"/>
              <w:left w:val="nil"/>
              <w:bottom w:val="single" w:sz="4" w:space="0" w:color="A6A6A6"/>
              <w:right w:val="single" w:sz="4" w:space="0" w:color="A6A6A6"/>
            </w:tcBorders>
            <w:shd w:val="clear" w:color="auto" w:fill="auto"/>
            <w:noWrap/>
            <w:vAlign w:val="center"/>
            <w:hideMark/>
          </w:tcPr>
          <w:p w14:paraId="328C6E55"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w:t>
            </w:r>
          </w:p>
        </w:tc>
        <w:tc>
          <w:tcPr>
            <w:tcW w:w="1275" w:type="dxa"/>
            <w:tcBorders>
              <w:top w:val="nil"/>
              <w:left w:val="nil"/>
              <w:bottom w:val="single" w:sz="4" w:space="0" w:color="A6A6A6"/>
              <w:right w:val="single" w:sz="4" w:space="0" w:color="auto"/>
            </w:tcBorders>
            <w:shd w:val="clear" w:color="auto" w:fill="auto"/>
            <w:noWrap/>
            <w:vAlign w:val="center"/>
            <w:hideMark/>
          </w:tcPr>
          <w:p w14:paraId="50718992"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w:t>
            </w:r>
          </w:p>
        </w:tc>
        <w:tc>
          <w:tcPr>
            <w:tcW w:w="1701" w:type="dxa"/>
            <w:tcBorders>
              <w:top w:val="single" w:sz="8" w:space="0" w:color="auto"/>
              <w:left w:val="single" w:sz="4" w:space="0" w:color="auto"/>
              <w:bottom w:val="single" w:sz="4" w:space="0" w:color="A6A6A6"/>
              <w:right w:val="single" w:sz="4" w:space="0" w:color="auto"/>
            </w:tcBorders>
            <w:vAlign w:val="center"/>
          </w:tcPr>
          <w:p w14:paraId="2EB785F3"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11</w:t>
            </w:r>
          </w:p>
        </w:tc>
        <w:tc>
          <w:tcPr>
            <w:tcW w:w="1843" w:type="dxa"/>
            <w:tcBorders>
              <w:top w:val="single" w:sz="8" w:space="0" w:color="auto"/>
              <w:left w:val="single" w:sz="4" w:space="0" w:color="auto"/>
              <w:bottom w:val="single" w:sz="4" w:space="0" w:color="A6A6A6"/>
              <w:right w:val="single" w:sz="4" w:space="0" w:color="auto"/>
            </w:tcBorders>
            <w:shd w:val="clear" w:color="auto" w:fill="auto"/>
            <w:noWrap/>
            <w:vAlign w:val="center"/>
            <w:hideMark/>
          </w:tcPr>
          <w:p w14:paraId="519A81EF"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3</w:t>
            </w:r>
            <w:r>
              <w:rPr>
                <w:rFonts w:ascii="Calibri" w:eastAsia="Times New Roman" w:hAnsi="Calibri" w:cs="Times New Roman"/>
                <w:color w:val="000000"/>
                <w:sz w:val="20"/>
                <w:szCs w:val="20"/>
                <w:lang w:val="en-GB"/>
              </w:rPr>
              <w:t xml:space="preserve"> </w:t>
            </w:r>
          </w:p>
        </w:tc>
        <w:tc>
          <w:tcPr>
            <w:tcW w:w="1133" w:type="dxa"/>
            <w:tcBorders>
              <w:top w:val="single" w:sz="8" w:space="0" w:color="auto"/>
              <w:left w:val="single" w:sz="4" w:space="0" w:color="auto"/>
              <w:bottom w:val="single" w:sz="4" w:space="0" w:color="A6A6A6"/>
              <w:right w:val="single" w:sz="4" w:space="0" w:color="A6A6A6"/>
            </w:tcBorders>
            <w:shd w:val="clear" w:color="auto" w:fill="auto"/>
            <w:noWrap/>
            <w:vAlign w:val="bottom"/>
            <w:hideMark/>
          </w:tcPr>
          <w:p w14:paraId="2F7792AE"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68.75</w:t>
            </w:r>
          </w:p>
        </w:tc>
        <w:tc>
          <w:tcPr>
            <w:tcW w:w="1134" w:type="dxa"/>
            <w:tcBorders>
              <w:top w:val="single" w:sz="8" w:space="0" w:color="auto"/>
              <w:left w:val="nil"/>
              <w:bottom w:val="single" w:sz="4" w:space="0" w:color="A6A6A6"/>
              <w:right w:val="single" w:sz="4" w:space="0" w:color="A6A6A6"/>
            </w:tcBorders>
            <w:shd w:val="clear" w:color="auto" w:fill="auto"/>
            <w:noWrap/>
            <w:vAlign w:val="bottom"/>
            <w:hideMark/>
          </w:tcPr>
          <w:p w14:paraId="1942E36C"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82.35</w:t>
            </w:r>
          </w:p>
        </w:tc>
        <w:tc>
          <w:tcPr>
            <w:tcW w:w="709" w:type="dxa"/>
            <w:tcBorders>
              <w:top w:val="single" w:sz="8" w:space="0" w:color="auto"/>
              <w:left w:val="nil"/>
              <w:bottom w:val="single" w:sz="4" w:space="0" w:color="A6A6A6"/>
              <w:right w:val="single" w:sz="4" w:space="0" w:color="A6A6A6"/>
            </w:tcBorders>
            <w:shd w:val="clear" w:color="auto" w:fill="auto"/>
            <w:noWrap/>
            <w:vAlign w:val="bottom"/>
            <w:hideMark/>
          </w:tcPr>
          <w:p w14:paraId="361B614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0.79</w:t>
            </w:r>
          </w:p>
        </w:tc>
        <w:tc>
          <w:tcPr>
            <w:tcW w:w="708" w:type="dxa"/>
            <w:tcBorders>
              <w:top w:val="single" w:sz="8" w:space="0" w:color="auto"/>
              <w:left w:val="nil"/>
              <w:bottom w:val="single" w:sz="4" w:space="0" w:color="A6A6A6"/>
              <w:right w:val="single" w:sz="4" w:space="0" w:color="A6A6A6"/>
            </w:tcBorders>
            <w:shd w:val="clear" w:color="auto" w:fill="auto"/>
            <w:noWrap/>
            <w:vAlign w:val="bottom"/>
            <w:hideMark/>
          </w:tcPr>
          <w:p w14:paraId="536FBFBA"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0.74</w:t>
            </w:r>
          </w:p>
        </w:tc>
        <w:tc>
          <w:tcPr>
            <w:tcW w:w="1843" w:type="dxa"/>
            <w:tcBorders>
              <w:top w:val="single" w:sz="8" w:space="0" w:color="auto"/>
              <w:left w:val="nil"/>
              <w:bottom w:val="single" w:sz="4" w:space="0" w:color="A6A6A6"/>
              <w:right w:val="single" w:sz="4" w:space="0" w:color="A6A6A6"/>
            </w:tcBorders>
            <w:shd w:val="clear" w:color="auto" w:fill="auto"/>
            <w:noWrap/>
            <w:vAlign w:val="bottom"/>
            <w:hideMark/>
          </w:tcPr>
          <w:p w14:paraId="011B21BC"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10.27 (2.0-52.7)</w:t>
            </w:r>
          </w:p>
        </w:tc>
        <w:tc>
          <w:tcPr>
            <w:tcW w:w="850" w:type="dxa"/>
            <w:tcBorders>
              <w:top w:val="single" w:sz="8" w:space="0" w:color="auto"/>
              <w:left w:val="nil"/>
              <w:bottom w:val="single" w:sz="4" w:space="0" w:color="A6A6A6"/>
              <w:right w:val="nil"/>
            </w:tcBorders>
            <w:shd w:val="clear" w:color="auto" w:fill="auto"/>
            <w:noWrap/>
            <w:vAlign w:val="bottom"/>
            <w:hideMark/>
          </w:tcPr>
          <w:p w14:paraId="08E9D0A3"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0.005</w:t>
            </w:r>
          </w:p>
        </w:tc>
      </w:tr>
      <w:tr w:rsidR="00644DCD" w:rsidRPr="005827BA" w14:paraId="69121D9F" w14:textId="77777777" w:rsidTr="00887519">
        <w:trPr>
          <w:trHeight w:val="300"/>
        </w:trPr>
        <w:tc>
          <w:tcPr>
            <w:tcW w:w="1842" w:type="dxa"/>
            <w:tcBorders>
              <w:top w:val="nil"/>
              <w:left w:val="nil"/>
              <w:bottom w:val="single" w:sz="4" w:space="0" w:color="A6A6A6"/>
              <w:right w:val="single" w:sz="4" w:space="0" w:color="auto"/>
            </w:tcBorders>
            <w:shd w:val="clear" w:color="auto" w:fill="auto"/>
            <w:noWrap/>
            <w:vAlign w:val="center"/>
            <w:hideMark/>
          </w:tcPr>
          <w:p w14:paraId="4A9C1B8C"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Muscle Cramping</w:t>
            </w:r>
            <w:r>
              <w:rPr>
                <w:rFonts w:ascii="Calibri" w:eastAsia="Times New Roman" w:hAnsi="Calibri" w:cs="Times New Roman"/>
                <w:color w:val="000000"/>
                <w:sz w:val="20"/>
                <w:szCs w:val="20"/>
                <w:lang w:val="en-GB"/>
              </w:rPr>
              <w:t xml:space="preserve"> (n=26)</w:t>
            </w:r>
          </w:p>
        </w:tc>
        <w:tc>
          <w:tcPr>
            <w:tcW w:w="1134" w:type="dxa"/>
            <w:tcBorders>
              <w:top w:val="nil"/>
              <w:left w:val="single" w:sz="4" w:space="0" w:color="auto"/>
              <w:bottom w:val="single" w:sz="4" w:space="0" w:color="A6A6A6"/>
              <w:right w:val="single" w:sz="4" w:space="0" w:color="A6A6A6"/>
            </w:tcBorders>
            <w:shd w:val="clear" w:color="auto" w:fill="auto"/>
            <w:noWrap/>
            <w:vAlign w:val="center"/>
            <w:hideMark/>
          </w:tcPr>
          <w:p w14:paraId="61D9B6C4"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w:t>
            </w:r>
          </w:p>
        </w:tc>
        <w:tc>
          <w:tcPr>
            <w:tcW w:w="1134" w:type="dxa"/>
            <w:tcBorders>
              <w:top w:val="nil"/>
              <w:left w:val="nil"/>
              <w:bottom w:val="single" w:sz="4" w:space="0" w:color="A6A6A6"/>
              <w:right w:val="single" w:sz="4" w:space="0" w:color="A6A6A6"/>
            </w:tcBorders>
            <w:shd w:val="clear" w:color="auto" w:fill="auto"/>
            <w:noWrap/>
            <w:vAlign w:val="center"/>
            <w:hideMark/>
          </w:tcPr>
          <w:p w14:paraId="78456ABF"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8</w:t>
            </w:r>
          </w:p>
        </w:tc>
        <w:tc>
          <w:tcPr>
            <w:tcW w:w="1275" w:type="dxa"/>
            <w:tcBorders>
              <w:top w:val="nil"/>
              <w:left w:val="nil"/>
              <w:bottom w:val="single" w:sz="4" w:space="0" w:color="A6A6A6"/>
              <w:right w:val="single" w:sz="4" w:space="0" w:color="auto"/>
            </w:tcBorders>
            <w:shd w:val="clear" w:color="auto" w:fill="auto"/>
            <w:noWrap/>
            <w:vAlign w:val="center"/>
            <w:hideMark/>
          </w:tcPr>
          <w:p w14:paraId="1A1D10A8"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w:t>
            </w:r>
          </w:p>
        </w:tc>
        <w:tc>
          <w:tcPr>
            <w:tcW w:w="1701" w:type="dxa"/>
            <w:tcBorders>
              <w:top w:val="nil"/>
              <w:left w:val="single" w:sz="4" w:space="0" w:color="auto"/>
              <w:bottom w:val="single" w:sz="4" w:space="0" w:color="A6A6A6"/>
              <w:right w:val="single" w:sz="4" w:space="0" w:color="auto"/>
            </w:tcBorders>
            <w:vAlign w:val="center"/>
          </w:tcPr>
          <w:p w14:paraId="6814CCD4"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9 </w:t>
            </w:r>
          </w:p>
        </w:tc>
        <w:tc>
          <w:tcPr>
            <w:tcW w:w="1843" w:type="dxa"/>
            <w:tcBorders>
              <w:top w:val="nil"/>
              <w:left w:val="single" w:sz="4" w:space="0" w:color="auto"/>
              <w:bottom w:val="single" w:sz="4" w:space="0" w:color="A6A6A6"/>
              <w:right w:val="single" w:sz="4" w:space="0" w:color="auto"/>
            </w:tcBorders>
            <w:shd w:val="clear" w:color="auto" w:fill="auto"/>
            <w:noWrap/>
            <w:vAlign w:val="center"/>
            <w:hideMark/>
          </w:tcPr>
          <w:p w14:paraId="0102CC04"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5</w:t>
            </w:r>
            <w:r>
              <w:rPr>
                <w:rFonts w:ascii="Calibri" w:eastAsia="Times New Roman" w:hAnsi="Calibri" w:cs="Times New Roman"/>
                <w:color w:val="000000"/>
                <w:sz w:val="20"/>
                <w:szCs w:val="20"/>
                <w:lang w:val="en-GB"/>
              </w:rPr>
              <w:t xml:space="preserve"> </w:t>
            </w:r>
          </w:p>
        </w:tc>
        <w:tc>
          <w:tcPr>
            <w:tcW w:w="1133" w:type="dxa"/>
            <w:tcBorders>
              <w:top w:val="nil"/>
              <w:left w:val="single" w:sz="4" w:space="0" w:color="auto"/>
              <w:bottom w:val="single" w:sz="4" w:space="0" w:color="A6A6A6"/>
              <w:right w:val="single" w:sz="4" w:space="0" w:color="A6A6A6"/>
            </w:tcBorders>
            <w:shd w:val="clear" w:color="auto" w:fill="auto"/>
            <w:noWrap/>
            <w:vAlign w:val="bottom"/>
            <w:hideMark/>
          </w:tcPr>
          <w:p w14:paraId="6359779D"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64.29</w:t>
            </w:r>
          </w:p>
        </w:tc>
        <w:tc>
          <w:tcPr>
            <w:tcW w:w="1134" w:type="dxa"/>
            <w:tcBorders>
              <w:top w:val="nil"/>
              <w:left w:val="nil"/>
              <w:bottom w:val="single" w:sz="4" w:space="0" w:color="A6A6A6"/>
              <w:right w:val="single" w:sz="4" w:space="0" w:color="A6A6A6"/>
            </w:tcBorders>
            <w:shd w:val="clear" w:color="auto" w:fill="auto"/>
            <w:noWrap/>
            <w:vAlign w:val="bottom"/>
            <w:hideMark/>
          </w:tcPr>
          <w:p w14:paraId="7A4EAAC8"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58.33</w:t>
            </w:r>
          </w:p>
        </w:tc>
        <w:tc>
          <w:tcPr>
            <w:tcW w:w="709" w:type="dxa"/>
            <w:tcBorders>
              <w:top w:val="nil"/>
              <w:left w:val="nil"/>
              <w:bottom w:val="single" w:sz="4" w:space="0" w:color="A6A6A6"/>
              <w:right w:val="single" w:sz="4" w:space="0" w:color="A6A6A6"/>
            </w:tcBorders>
            <w:shd w:val="clear" w:color="auto" w:fill="auto"/>
            <w:noWrap/>
            <w:vAlign w:val="bottom"/>
            <w:hideMark/>
          </w:tcPr>
          <w:p w14:paraId="36FAC3C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0.64</w:t>
            </w:r>
          </w:p>
        </w:tc>
        <w:tc>
          <w:tcPr>
            <w:tcW w:w="708" w:type="dxa"/>
            <w:tcBorders>
              <w:top w:val="nil"/>
              <w:left w:val="nil"/>
              <w:bottom w:val="single" w:sz="4" w:space="0" w:color="A6A6A6"/>
              <w:right w:val="single" w:sz="4" w:space="0" w:color="A6A6A6"/>
            </w:tcBorders>
            <w:shd w:val="clear" w:color="auto" w:fill="auto"/>
            <w:noWrap/>
            <w:vAlign w:val="bottom"/>
            <w:hideMark/>
          </w:tcPr>
          <w:p w14:paraId="4D356C5A"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0.58</w:t>
            </w:r>
          </w:p>
        </w:tc>
        <w:tc>
          <w:tcPr>
            <w:tcW w:w="1843" w:type="dxa"/>
            <w:tcBorders>
              <w:top w:val="nil"/>
              <w:left w:val="nil"/>
              <w:bottom w:val="single" w:sz="4" w:space="0" w:color="A6A6A6"/>
              <w:right w:val="single" w:sz="4" w:space="0" w:color="A6A6A6"/>
            </w:tcBorders>
            <w:shd w:val="clear" w:color="auto" w:fill="auto"/>
            <w:noWrap/>
            <w:vAlign w:val="bottom"/>
            <w:hideMark/>
          </w:tcPr>
          <w:p w14:paraId="158AA857"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2.52 (0.52-12.30)</w:t>
            </w:r>
          </w:p>
        </w:tc>
        <w:tc>
          <w:tcPr>
            <w:tcW w:w="850" w:type="dxa"/>
            <w:tcBorders>
              <w:top w:val="nil"/>
              <w:left w:val="nil"/>
              <w:bottom w:val="single" w:sz="4" w:space="0" w:color="A6A6A6"/>
              <w:right w:val="nil"/>
            </w:tcBorders>
            <w:shd w:val="clear" w:color="auto" w:fill="auto"/>
            <w:noWrap/>
            <w:vAlign w:val="bottom"/>
            <w:hideMark/>
          </w:tcPr>
          <w:p w14:paraId="0368DDD0"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0.25</w:t>
            </w:r>
          </w:p>
        </w:tc>
      </w:tr>
      <w:tr w:rsidR="00644DCD" w:rsidRPr="005827BA" w14:paraId="7B2FC6B5" w14:textId="77777777" w:rsidTr="00887519">
        <w:trPr>
          <w:trHeight w:val="300"/>
        </w:trPr>
        <w:tc>
          <w:tcPr>
            <w:tcW w:w="1842" w:type="dxa"/>
            <w:tcBorders>
              <w:top w:val="nil"/>
              <w:left w:val="nil"/>
              <w:bottom w:val="single" w:sz="4" w:space="0" w:color="A6A6A6"/>
              <w:right w:val="single" w:sz="4" w:space="0" w:color="auto"/>
            </w:tcBorders>
            <w:shd w:val="clear" w:color="auto" w:fill="auto"/>
            <w:noWrap/>
            <w:vAlign w:val="center"/>
            <w:hideMark/>
          </w:tcPr>
          <w:p w14:paraId="77074B4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Fatigue</w:t>
            </w:r>
            <w:r>
              <w:rPr>
                <w:rFonts w:ascii="Calibri" w:eastAsia="Times New Roman" w:hAnsi="Calibri" w:cs="Times New Roman"/>
                <w:color w:val="000000"/>
                <w:sz w:val="20"/>
                <w:szCs w:val="20"/>
                <w:lang w:val="en-GB"/>
              </w:rPr>
              <w:t xml:space="preserve"> (n=26)</w:t>
            </w:r>
          </w:p>
        </w:tc>
        <w:tc>
          <w:tcPr>
            <w:tcW w:w="1134" w:type="dxa"/>
            <w:tcBorders>
              <w:top w:val="nil"/>
              <w:left w:val="single" w:sz="4" w:space="0" w:color="auto"/>
              <w:bottom w:val="single" w:sz="4" w:space="0" w:color="A6A6A6"/>
              <w:right w:val="single" w:sz="4" w:space="0" w:color="A6A6A6"/>
            </w:tcBorders>
            <w:shd w:val="clear" w:color="auto" w:fill="auto"/>
            <w:noWrap/>
            <w:vAlign w:val="center"/>
            <w:hideMark/>
          </w:tcPr>
          <w:p w14:paraId="6DDFDFEC"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w:t>
            </w:r>
          </w:p>
        </w:tc>
        <w:tc>
          <w:tcPr>
            <w:tcW w:w="1134" w:type="dxa"/>
            <w:tcBorders>
              <w:top w:val="nil"/>
              <w:left w:val="nil"/>
              <w:bottom w:val="single" w:sz="4" w:space="0" w:color="A6A6A6"/>
              <w:right w:val="single" w:sz="4" w:space="0" w:color="A6A6A6"/>
            </w:tcBorders>
            <w:shd w:val="clear" w:color="auto" w:fill="auto"/>
            <w:noWrap/>
            <w:vAlign w:val="center"/>
            <w:hideMark/>
          </w:tcPr>
          <w:p w14:paraId="409E47C3"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4</w:t>
            </w:r>
          </w:p>
        </w:tc>
        <w:tc>
          <w:tcPr>
            <w:tcW w:w="1275" w:type="dxa"/>
            <w:tcBorders>
              <w:top w:val="nil"/>
              <w:left w:val="nil"/>
              <w:bottom w:val="single" w:sz="4" w:space="0" w:color="A6A6A6"/>
              <w:right w:val="single" w:sz="4" w:space="0" w:color="auto"/>
            </w:tcBorders>
            <w:shd w:val="clear" w:color="auto" w:fill="auto"/>
            <w:noWrap/>
            <w:vAlign w:val="center"/>
            <w:hideMark/>
          </w:tcPr>
          <w:p w14:paraId="1333D464"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3</w:t>
            </w:r>
          </w:p>
        </w:tc>
        <w:tc>
          <w:tcPr>
            <w:tcW w:w="1701" w:type="dxa"/>
            <w:tcBorders>
              <w:top w:val="nil"/>
              <w:left w:val="single" w:sz="4" w:space="0" w:color="auto"/>
              <w:bottom w:val="single" w:sz="4" w:space="0" w:color="A6A6A6"/>
              <w:right w:val="single" w:sz="4" w:space="0" w:color="auto"/>
            </w:tcBorders>
            <w:vAlign w:val="center"/>
          </w:tcPr>
          <w:p w14:paraId="4667BDEB"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8 </w:t>
            </w:r>
          </w:p>
        </w:tc>
        <w:tc>
          <w:tcPr>
            <w:tcW w:w="1843" w:type="dxa"/>
            <w:tcBorders>
              <w:top w:val="nil"/>
              <w:left w:val="single" w:sz="4" w:space="0" w:color="auto"/>
              <w:bottom w:val="single" w:sz="4" w:space="0" w:color="A6A6A6"/>
              <w:right w:val="single" w:sz="4" w:space="0" w:color="auto"/>
            </w:tcBorders>
            <w:shd w:val="clear" w:color="auto" w:fill="auto"/>
            <w:noWrap/>
            <w:vAlign w:val="center"/>
            <w:hideMark/>
          </w:tcPr>
          <w:p w14:paraId="14EDC60D"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10</w:t>
            </w:r>
            <w:r>
              <w:rPr>
                <w:rFonts w:ascii="Calibri" w:eastAsia="Times New Roman" w:hAnsi="Calibri" w:cs="Times New Roman"/>
                <w:color w:val="000000"/>
                <w:sz w:val="20"/>
                <w:szCs w:val="20"/>
                <w:lang w:val="en-GB"/>
              </w:rPr>
              <w:t xml:space="preserve"> </w:t>
            </w:r>
          </w:p>
        </w:tc>
        <w:tc>
          <w:tcPr>
            <w:tcW w:w="1133" w:type="dxa"/>
            <w:tcBorders>
              <w:top w:val="nil"/>
              <w:left w:val="single" w:sz="4" w:space="0" w:color="auto"/>
              <w:bottom w:val="single" w:sz="4" w:space="0" w:color="A6A6A6"/>
              <w:right w:val="single" w:sz="4" w:space="0" w:color="A6A6A6"/>
            </w:tcBorders>
            <w:shd w:val="clear" w:color="auto" w:fill="auto"/>
            <w:noWrap/>
            <w:vAlign w:val="bottom"/>
            <w:hideMark/>
          </w:tcPr>
          <w:p w14:paraId="00D3A6DC"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61.54</w:t>
            </w:r>
          </w:p>
        </w:tc>
        <w:tc>
          <w:tcPr>
            <w:tcW w:w="1134" w:type="dxa"/>
            <w:tcBorders>
              <w:top w:val="nil"/>
              <w:left w:val="nil"/>
              <w:bottom w:val="single" w:sz="4" w:space="0" w:color="A6A6A6"/>
              <w:right w:val="single" w:sz="4" w:space="0" w:color="A6A6A6"/>
            </w:tcBorders>
            <w:shd w:val="clear" w:color="auto" w:fill="auto"/>
            <w:noWrap/>
            <w:vAlign w:val="bottom"/>
            <w:hideMark/>
          </w:tcPr>
          <w:p w14:paraId="52B4F9FF"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23.08</w:t>
            </w:r>
          </w:p>
        </w:tc>
        <w:tc>
          <w:tcPr>
            <w:tcW w:w="709" w:type="dxa"/>
            <w:tcBorders>
              <w:top w:val="nil"/>
              <w:left w:val="nil"/>
              <w:bottom w:val="single" w:sz="4" w:space="0" w:color="A6A6A6"/>
              <w:right w:val="single" w:sz="4" w:space="0" w:color="A6A6A6"/>
            </w:tcBorders>
            <w:shd w:val="clear" w:color="auto" w:fill="auto"/>
            <w:noWrap/>
            <w:vAlign w:val="bottom"/>
            <w:hideMark/>
          </w:tcPr>
          <w:p w14:paraId="03E78EB2"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0.44</w:t>
            </w:r>
          </w:p>
        </w:tc>
        <w:tc>
          <w:tcPr>
            <w:tcW w:w="708" w:type="dxa"/>
            <w:tcBorders>
              <w:top w:val="nil"/>
              <w:left w:val="nil"/>
              <w:bottom w:val="single" w:sz="4" w:space="0" w:color="A6A6A6"/>
              <w:right w:val="single" w:sz="4" w:space="0" w:color="A6A6A6"/>
            </w:tcBorders>
            <w:shd w:val="clear" w:color="auto" w:fill="auto"/>
            <w:noWrap/>
            <w:vAlign w:val="bottom"/>
            <w:hideMark/>
          </w:tcPr>
          <w:p w14:paraId="655A068C"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0.38</w:t>
            </w:r>
          </w:p>
        </w:tc>
        <w:tc>
          <w:tcPr>
            <w:tcW w:w="1843" w:type="dxa"/>
            <w:tcBorders>
              <w:top w:val="nil"/>
              <w:left w:val="nil"/>
              <w:bottom w:val="single" w:sz="4" w:space="0" w:color="A6A6A6"/>
              <w:right w:val="single" w:sz="4" w:space="0" w:color="A6A6A6"/>
            </w:tcBorders>
            <w:shd w:val="clear" w:color="auto" w:fill="auto"/>
            <w:noWrap/>
            <w:vAlign w:val="bottom"/>
            <w:hideMark/>
          </w:tcPr>
          <w:p w14:paraId="49BA186D"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0.48 (0.087-2.65)</w:t>
            </w:r>
          </w:p>
        </w:tc>
        <w:tc>
          <w:tcPr>
            <w:tcW w:w="850" w:type="dxa"/>
            <w:tcBorders>
              <w:top w:val="nil"/>
              <w:left w:val="nil"/>
              <w:bottom w:val="single" w:sz="4" w:space="0" w:color="A6A6A6"/>
              <w:right w:val="nil"/>
            </w:tcBorders>
            <w:shd w:val="clear" w:color="auto" w:fill="auto"/>
            <w:noWrap/>
            <w:vAlign w:val="bottom"/>
            <w:hideMark/>
          </w:tcPr>
          <w:p w14:paraId="0347F933"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0.40</w:t>
            </w:r>
          </w:p>
        </w:tc>
      </w:tr>
      <w:tr w:rsidR="00644DCD" w:rsidRPr="005827BA" w14:paraId="61A86A7B" w14:textId="77777777" w:rsidTr="00887519">
        <w:trPr>
          <w:trHeight w:val="300"/>
        </w:trPr>
        <w:tc>
          <w:tcPr>
            <w:tcW w:w="1842" w:type="dxa"/>
            <w:tcBorders>
              <w:top w:val="nil"/>
              <w:left w:val="nil"/>
              <w:bottom w:val="single" w:sz="4" w:space="0" w:color="A6A6A6"/>
              <w:right w:val="single" w:sz="4" w:space="0" w:color="auto"/>
            </w:tcBorders>
            <w:shd w:val="clear" w:color="auto" w:fill="auto"/>
            <w:noWrap/>
            <w:vAlign w:val="center"/>
            <w:hideMark/>
          </w:tcPr>
          <w:p w14:paraId="72E6FBE6"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Paraesthesia</w:t>
            </w:r>
            <w:r>
              <w:rPr>
                <w:rFonts w:ascii="Calibri" w:eastAsia="Times New Roman" w:hAnsi="Calibri" w:cs="Times New Roman"/>
                <w:color w:val="000000"/>
                <w:sz w:val="20"/>
                <w:szCs w:val="20"/>
                <w:lang w:val="en-GB"/>
              </w:rPr>
              <w:t xml:space="preserve"> (n=40)</w:t>
            </w:r>
          </w:p>
        </w:tc>
        <w:tc>
          <w:tcPr>
            <w:tcW w:w="1134" w:type="dxa"/>
            <w:tcBorders>
              <w:top w:val="nil"/>
              <w:left w:val="single" w:sz="4" w:space="0" w:color="auto"/>
              <w:bottom w:val="single" w:sz="4" w:space="0" w:color="A6A6A6"/>
              <w:right w:val="single" w:sz="4" w:space="0" w:color="A6A6A6"/>
            </w:tcBorders>
            <w:shd w:val="clear" w:color="auto" w:fill="auto"/>
            <w:noWrap/>
            <w:vAlign w:val="center"/>
            <w:hideMark/>
          </w:tcPr>
          <w:p w14:paraId="225A97EC"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w:t>
            </w:r>
          </w:p>
        </w:tc>
        <w:tc>
          <w:tcPr>
            <w:tcW w:w="1134" w:type="dxa"/>
            <w:tcBorders>
              <w:top w:val="nil"/>
              <w:left w:val="nil"/>
              <w:bottom w:val="single" w:sz="4" w:space="0" w:color="A6A6A6"/>
              <w:right w:val="single" w:sz="4" w:space="0" w:color="A6A6A6"/>
            </w:tcBorders>
            <w:shd w:val="clear" w:color="auto" w:fill="auto"/>
            <w:noWrap/>
            <w:vAlign w:val="center"/>
            <w:hideMark/>
          </w:tcPr>
          <w:p w14:paraId="08830BD5"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9</w:t>
            </w:r>
          </w:p>
        </w:tc>
        <w:tc>
          <w:tcPr>
            <w:tcW w:w="1275" w:type="dxa"/>
            <w:tcBorders>
              <w:top w:val="nil"/>
              <w:left w:val="nil"/>
              <w:bottom w:val="single" w:sz="4" w:space="0" w:color="A6A6A6"/>
              <w:right w:val="single" w:sz="4" w:space="0" w:color="auto"/>
            </w:tcBorders>
            <w:shd w:val="clear" w:color="auto" w:fill="auto"/>
            <w:noWrap/>
            <w:vAlign w:val="center"/>
            <w:hideMark/>
          </w:tcPr>
          <w:p w14:paraId="2669AEB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w:t>
            </w:r>
          </w:p>
        </w:tc>
        <w:tc>
          <w:tcPr>
            <w:tcW w:w="1701" w:type="dxa"/>
            <w:tcBorders>
              <w:top w:val="nil"/>
              <w:left w:val="single" w:sz="4" w:space="0" w:color="auto"/>
              <w:bottom w:val="single" w:sz="4" w:space="0" w:color="A6A6A6"/>
              <w:right w:val="single" w:sz="4" w:space="0" w:color="auto"/>
            </w:tcBorders>
            <w:vAlign w:val="center"/>
          </w:tcPr>
          <w:p w14:paraId="3F606F22"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13 </w:t>
            </w:r>
          </w:p>
        </w:tc>
        <w:tc>
          <w:tcPr>
            <w:tcW w:w="1843" w:type="dxa"/>
            <w:tcBorders>
              <w:top w:val="nil"/>
              <w:left w:val="single" w:sz="4" w:space="0" w:color="auto"/>
              <w:bottom w:val="single" w:sz="4" w:space="0" w:color="A6A6A6"/>
              <w:right w:val="single" w:sz="4" w:space="0" w:color="auto"/>
            </w:tcBorders>
            <w:shd w:val="clear" w:color="auto" w:fill="auto"/>
            <w:noWrap/>
            <w:vAlign w:val="center"/>
            <w:hideMark/>
          </w:tcPr>
          <w:p w14:paraId="71943E38"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12</w:t>
            </w:r>
            <w:r>
              <w:rPr>
                <w:rFonts w:ascii="Calibri" w:eastAsia="Times New Roman" w:hAnsi="Calibri" w:cs="Times New Roman"/>
                <w:color w:val="000000"/>
                <w:sz w:val="20"/>
                <w:szCs w:val="20"/>
                <w:lang w:val="en-GB"/>
              </w:rPr>
              <w:t xml:space="preserve"> </w:t>
            </w:r>
          </w:p>
        </w:tc>
        <w:tc>
          <w:tcPr>
            <w:tcW w:w="1133" w:type="dxa"/>
            <w:tcBorders>
              <w:top w:val="nil"/>
              <w:left w:val="single" w:sz="4" w:space="0" w:color="auto"/>
              <w:bottom w:val="single" w:sz="4" w:space="0" w:color="A6A6A6"/>
              <w:right w:val="single" w:sz="4" w:space="0" w:color="A6A6A6"/>
            </w:tcBorders>
            <w:shd w:val="clear" w:color="auto" w:fill="auto"/>
            <w:noWrap/>
            <w:vAlign w:val="bottom"/>
            <w:hideMark/>
          </w:tcPr>
          <w:p w14:paraId="5F23E680"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65.00</w:t>
            </w:r>
          </w:p>
        </w:tc>
        <w:tc>
          <w:tcPr>
            <w:tcW w:w="1134" w:type="dxa"/>
            <w:tcBorders>
              <w:top w:val="nil"/>
              <w:left w:val="nil"/>
              <w:bottom w:val="single" w:sz="4" w:space="0" w:color="A6A6A6"/>
              <w:right w:val="single" w:sz="4" w:space="0" w:color="A6A6A6"/>
            </w:tcBorders>
            <w:shd w:val="clear" w:color="auto" w:fill="auto"/>
            <w:noWrap/>
            <w:vAlign w:val="bottom"/>
            <w:hideMark/>
          </w:tcPr>
          <w:p w14:paraId="7F4E9596"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40.00</w:t>
            </w:r>
          </w:p>
        </w:tc>
        <w:tc>
          <w:tcPr>
            <w:tcW w:w="709" w:type="dxa"/>
            <w:tcBorders>
              <w:top w:val="nil"/>
              <w:left w:val="nil"/>
              <w:bottom w:val="single" w:sz="4" w:space="0" w:color="A6A6A6"/>
              <w:right w:val="single" w:sz="4" w:space="0" w:color="A6A6A6"/>
            </w:tcBorders>
            <w:shd w:val="clear" w:color="auto" w:fill="auto"/>
            <w:noWrap/>
            <w:vAlign w:val="bottom"/>
            <w:hideMark/>
          </w:tcPr>
          <w:p w14:paraId="04CD9A93"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0.52</w:t>
            </w:r>
          </w:p>
        </w:tc>
        <w:tc>
          <w:tcPr>
            <w:tcW w:w="708" w:type="dxa"/>
            <w:tcBorders>
              <w:top w:val="nil"/>
              <w:left w:val="nil"/>
              <w:bottom w:val="single" w:sz="4" w:space="0" w:color="A6A6A6"/>
              <w:right w:val="single" w:sz="4" w:space="0" w:color="A6A6A6"/>
            </w:tcBorders>
            <w:shd w:val="clear" w:color="auto" w:fill="auto"/>
            <w:noWrap/>
            <w:vAlign w:val="bottom"/>
            <w:hideMark/>
          </w:tcPr>
          <w:p w14:paraId="5EAFAF46"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0.53</w:t>
            </w:r>
          </w:p>
        </w:tc>
        <w:tc>
          <w:tcPr>
            <w:tcW w:w="1843" w:type="dxa"/>
            <w:tcBorders>
              <w:top w:val="nil"/>
              <w:left w:val="nil"/>
              <w:bottom w:val="single" w:sz="4" w:space="0" w:color="A6A6A6"/>
              <w:right w:val="single" w:sz="4" w:space="0" w:color="A6A6A6"/>
            </w:tcBorders>
            <w:shd w:val="clear" w:color="auto" w:fill="auto"/>
            <w:noWrap/>
            <w:vAlign w:val="bottom"/>
            <w:hideMark/>
          </w:tcPr>
          <w:p w14:paraId="14E40146"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1.23 (0.34-4.46)</w:t>
            </w:r>
          </w:p>
        </w:tc>
        <w:tc>
          <w:tcPr>
            <w:tcW w:w="850" w:type="dxa"/>
            <w:tcBorders>
              <w:top w:val="nil"/>
              <w:left w:val="nil"/>
              <w:bottom w:val="single" w:sz="4" w:space="0" w:color="A6A6A6"/>
              <w:right w:val="nil"/>
            </w:tcBorders>
            <w:shd w:val="clear" w:color="auto" w:fill="auto"/>
            <w:noWrap/>
            <w:vAlign w:val="bottom"/>
            <w:hideMark/>
          </w:tcPr>
          <w:p w14:paraId="0A11A30A"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0.74</w:t>
            </w:r>
          </w:p>
        </w:tc>
      </w:tr>
      <w:tr w:rsidR="00644DCD" w:rsidRPr="005827BA" w14:paraId="5BE89790" w14:textId="77777777" w:rsidTr="00887519">
        <w:trPr>
          <w:trHeight w:val="300"/>
        </w:trPr>
        <w:tc>
          <w:tcPr>
            <w:tcW w:w="1842" w:type="dxa"/>
            <w:tcBorders>
              <w:top w:val="nil"/>
              <w:left w:val="nil"/>
              <w:bottom w:val="single" w:sz="4" w:space="0" w:color="A6A6A6"/>
              <w:right w:val="single" w:sz="4" w:space="0" w:color="auto"/>
            </w:tcBorders>
            <w:shd w:val="clear" w:color="auto" w:fill="auto"/>
            <w:noWrap/>
            <w:vAlign w:val="center"/>
            <w:hideMark/>
          </w:tcPr>
          <w:p w14:paraId="1509E533"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Headache</w:t>
            </w:r>
            <w:r>
              <w:rPr>
                <w:rFonts w:ascii="Calibri" w:eastAsia="Times New Roman" w:hAnsi="Calibri" w:cs="Times New Roman"/>
                <w:color w:val="000000"/>
                <w:sz w:val="20"/>
                <w:szCs w:val="20"/>
                <w:lang w:val="en-GB"/>
              </w:rPr>
              <w:t xml:space="preserve"> (n=21)</w:t>
            </w:r>
          </w:p>
        </w:tc>
        <w:tc>
          <w:tcPr>
            <w:tcW w:w="1134" w:type="dxa"/>
            <w:tcBorders>
              <w:top w:val="nil"/>
              <w:left w:val="single" w:sz="4" w:space="0" w:color="auto"/>
              <w:bottom w:val="single" w:sz="4" w:space="0" w:color="A6A6A6"/>
              <w:right w:val="single" w:sz="4" w:space="0" w:color="A6A6A6"/>
            </w:tcBorders>
            <w:shd w:val="clear" w:color="auto" w:fill="auto"/>
            <w:noWrap/>
            <w:vAlign w:val="center"/>
            <w:hideMark/>
          </w:tcPr>
          <w:p w14:paraId="37AA9A50"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w:t>
            </w:r>
          </w:p>
        </w:tc>
        <w:tc>
          <w:tcPr>
            <w:tcW w:w="1134" w:type="dxa"/>
            <w:tcBorders>
              <w:top w:val="nil"/>
              <w:left w:val="nil"/>
              <w:bottom w:val="single" w:sz="4" w:space="0" w:color="A6A6A6"/>
              <w:right w:val="single" w:sz="4" w:space="0" w:color="A6A6A6"/>
            </w:tcBorders>
            <w:shd w:val="clear" w:color="auto" w:fill="auto"/>
            <w:noWrap/>
            <w:vAlign w:val="center"/>
            <w:hideMark/>
          </w:tcPr>
          <w:p w14:paraId="26EEBF2A"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w:t>
            </w:r>
          </w:p>
        </w:tc>
        <w:tc>
          <w:tcPr>
            <w:tcW w:w="1275" w:type="dxa"/>
            <w:tcBorders>
              <w:top w:val="nil"/>
              <w:left w:val="nil"/>
              <w:bottom w:val="single" w:sz="4" w:space="0" w:color="A6A6A6"/>
              <w:right w:val="single" w:sz="4" w:space="0" w:color="auto"/>
            </w:tcBorders>
            <w:shd w:val="clear" w:color="auto" w:fill="auto"/>
            <w:noWrap/>
            <w:vAlign w:val="center"/>
            <w:hideMark/>
          </w:tcPr>
          <w:p w14:paraId="3028686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w:t>
            </w:r>
          </w:p>
        </w:tc>
        <w:tc>
          <w:tcPr>
            <w:tcW w:w="1701" w:type="dxa"/>
            <w:tcBorders>
              <w:top w:val="nil"/>
              <w:left w:val="single" w:sz="4" w:space="0" w:color="auto"/>
              <w:bottom w:val="single" w:sz="4" w:space="0" w:color="A6A6A6"/>
              <w:right w:val="single" w:sz="4" w:space="0" w:color="auto"/>
            </w:tcBorders>
            <w:vAlign w:val="center"/>
          </w:tcPr>
          <w:p w14:paraId="193A0F76"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4 </w:t>
            </w:r>
          </w:p>
        </w:tc>
        <w:tc>
          <w:tcPr>
            <w:tcW w:w="1843" w:type="dxa"/>
            <w:tcBorders>
              <w:top w:val="nil"/>
              <w:left w:val="single" w:sz="4" w:space="0" w:color="auto"/>
              <w:bottom w:val="single" w:sz="4" w:space="0" w:color="A6A6A6"/>
              <w:right w:val="single" w:sz="4" w:space="0" w:color="auto"/>
            </w:tcBorders>
            <w:shd w:val="clear" w:color="auto" w:fill="auto"/>
            <w:noWrap/>
            <w:vAlign w:val="center"/>
            <w:hideMark/>
          </w:tcPr>
          <w:p w14:paraId="636FE5C0"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7</w:t>
            </w:r>
            <w:r>
              <w:rPr>
                <w:rFonts w:ascii="Calibri" w:eastAsia="Times New Roman" w:hAnsi="Calibri" w:cs="Times New Roman"/>
                <w:color w:val="000000"/>
                <w:sz w:val="20"/>
                <w:szCs w:val="20"/>
                <w:lang w:val="en-GB"/>
              </w:rPr>
              <w:t xml:space="preserve"> </w:t>
            </w:r>
          </w:p>
        </w:tc>
        <w:tc>
          <w:tcPr>
            <w:tcW w:w="1133" w:type="dxa"/>
            <w:tcBorders>
              <w:top w:val="nil"/>
              <w:left w:val="single" w:sz="4" w:space="0" w:color="auto"/>
              <w:bottom w:val="single" w:sz="4" w:space="0" w:color="A6A6A6"/>
              <w:right w:val="single" w:sz="4" w:space="0" w:color="A6A6A6"/>
            </w:tcBorders>
            <w:shd w:val="clear" w:color="auto" w:fill="auto"/>
            <w:noWrap/>
            <w:vAlign w:val="bottom"/>
            <w:hideMark/>
          </w:tcPr>
          <w:p w14:paraId="56CDE651"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57.14</w:t>
            </w:r>
          </w:p>
        </w:tc>
        <w:tc>
          <w:tcPr>
            <w:tcW w:w="1134" w:type="dxa"/>
            <w:tcBorders>
              <w:top w:val="nil"/>
              <w:left w:val="nil"/>
              <w:bottom w:val="single" w:sz="4" w:space="0" w:color="A6A6A6"/>
              <w:right w:val="single" w:sz="4" w:space="0" w:color="A6A6A6"/>
            </w:tcBorders>
            <w:shd w:val="clear" w:color="auto" w:fill="auto"/>
            <w:noWrap/>
            <w:vAlign w:val="bottom"/>
            <w:hideMark/>
          </w:tcPr>
          <w:p w14:paraId="34099D06"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50.00</w:t>
            </w:r>
          </w:p>
        </w:tc>
        <w:tc>
          <w:tcPr>
            <w:tcW w:w="709" w:type="dxa"/>
            <w:tcBorders>
              <w:top w:val="nil"/>
              <w:left w:val="nil"/>
              <w:bottom w:val="single" w:sz="4" w:space="0" w:color="A6A6A6"/>
              <w:right w:val="single" w:sz="4" w:space="0" w:color="A6A6A6"/>
            </w:tcBorders>
            <w:shd w:val="clear" w:color="auto" w:fill="auto"/>
            <w:noWrap/>
            <w:vAlign w:val="bottom"/>
            <w:hideMark/>
          </w:tcPr>
          <w:p w14:paraId="6FD9C2B9"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0.36</w:t>
            </w:r>
          </w:p>
        </w:tc>
        <w:tc>
          <w:tcPr>
            <w:tcW w:w="708" w:type="dxa"/>
            <w:tcBorders>
              <w:top w:val="nil"/>
              <w:left w:val="nil"/>
              <w:bottom w:val="single" w:sz="4" w:space="0" w:color="A6A6A6"/>
              <w:right w:val="single" w:sz="4" w:space="0" w:color="A6A6A6"/>
            </w:tcBorders>
            <w:shd w:val="clear" w:color="auto" w:fill="auto"/>
            <w:noWrap/>
            <w:vAlign w:val="bottom"/>
            <w:hideMark/>
          </w:tcPr>
          <w:p w14:paraId="1010215B"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0.70</w:t>
            </w:r>
          </w:p>
        </w:tc>
        <w:tc>
          <w:tcPr>
            <w:tcW w:w="1843" w:type="dxa"/>
            <w:tcBorders>
              <w:top w:val="nil"/>
              <w:left w:val="nil"/>
              <w:bottom w:val="single" w:sz="4" w:space="0" w:color="A6A6A6"/>
              <w:right w:val="single" w:sz="4" w:space="0" w:color="A6A6A6"/>
            </w:tcBorders>
            <w:shd w:val="clear" w:color="auto" w:fill="auto"/>
            <w:noWrap/>
            <w:vAlign w:val="bottom"/>
            <w:hideMark/>
          </w:tcPr>
          <w:p w14:paraId="55DC5422"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1.33 (0.21-8.29)</w:t>
            </w:r>
          </w:p>
        </w:tc>
        <w:tc>
          <w:tcPr>
            <w:tcW w:w="850" w:type="dxa"/>
            <w:tcBorders>
              <w:top w:val="nil"/>
              <w:left w:val="nil"/>
              <w:bottom w:val="single" w:sz="4" w:space="0" w:color="A6A6A6"/>
              <w:right w:val="nil"/>
            </w:tcBorders>
            <w:shd w:val="clear" w:color="auto" w:fill="auto"/>
            <w:noWrap/>
            <w:vAlign w:val="bottom"/>
            <w:hideMark/>
          </w:tcPr>
          <w:p w14:paraId="00947F69"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0.76</w:t>
            </w:r>
          </w:p>
        </w:tc>
      </w:tr>
      <w:tr w:rsidR="00644DCD" w:rsidRPr="005827BA" w14:paraId="7EC4C05E" w14:textId="77777777" w:rsidTr="00887519">
        <w:trPr>
          <w:trHeight w:val="300"/>
        </w:trPr>
        <w:tc>
          <w:tcPr>
            <w:tcW w:w="1842" w:type="dxa"/>
            <w:tcBorders>
              <w:top w:val="nil"/>
              <w:left w:val="nil"/>
              <w:bottom w:val="single" w:sz="4" w:space="0" w:color="A6A6A6"/>
              <w:right w:val="single" w:sz="4" w:space="0" w:color="auto"/>
            </w:tcBorders>
            <w:shd w:val="clear" w:color="auto" w:fill="auto"/>
            <w:noWrap/>
            <w:vAlign w:val="center"/>
            <w:hideMark/>
          </w:tcPr>
          <w:p w14:paraId="050B66E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sz w:val="20"/>
                <w:szCs w:val="20"/>
                <w:lang w:val="en-GB"/>
              </w:rPr>
              <w:t>Hallucinations</w:t>
            </w:r>
            <w:r>
              <w:rPr>
                <w:rFonts w:ascii="Calibri" w:eastAsia="Times New Roman" w:hAnsi="Calibri" w:cs="Times New Roman"/>
                <w:sz w:val="20"/>
                <w:szCs w:val="20"/>
                <w:lang w:val="en-GB"/>
              </w:rPr>
              <w:t xml:space="preserve"> (n=18)</w:t>
            </w:r>
          </w:p>
        </w:tc>
        <w:tc>
          <w:tcPr>
            <w:tcW w:w="1134" w:type="dxa"/>
            <w:tcBorders>
              <w:top w:val="nil"/>
              <w:left w:val="single" w:sz="4" w:space="0" w:color="auto"/>
              <w:bottom w:val="single" w:sz="4" w:space="0" w:color="A6A6A6"/>
              <w:right w:val="single" w:sz="4" w:space="0" w:color="A6A6A6"/>
            </w:tcBorders>
            <w:shd w:val="clear" w:color="auto" w:fill="auto"/>
            <w:noWrap/>
            <w:vAlign w:val="center"/>
            <w:hideMark/>
          </w:tcPr>
          <w:p w14:paraId="217766F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sz w:val="20"/>
                <w:szCs w:val="20"/>
                <w:lang w:val="en-GB"/>
              </w:rPr>
              <w:t>4</w:t>
            </w:r>
          </w:p>
        </w:tc>
        <w:tc>
          <w:tcPr>
            <w:tcW w:w="1134" w:type="dxa"/>
            <w:tcBorders>
              <w:top w:val="nil"/>
              <w:left w:val="nil"/>
              <w:bottom w:val="single" w:sz="4" w:space="0" w:color="A6A6A6"/>
              <w:right w:val="single" w:sz="4" w:space="0" w:color="A6A6A6"/>
            </w:tcBorders>
            <w:shd w:val="clear" w:color="auto" w:fill="auto"/>
            <w:noWrap/>
            <w:vAlign w:val="center"/>
            <w:hideMark/>
          </w:tcPr>
          <w:p w14:paraId="7CB5CA4C"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sz w:val="20"/>
                <w:szCs w:val="20"/>
                <w:lang w:val="en-GB"/>
              </w:rPr>
              <w:t>0</w:t>
            </w:r>
          </w:p>
        </w:tc>
        <w:tc>
          <w:tcPr>
            <w:tcW w:w="1275" w:type="dxa"/>
            <w:tcBorders>
              <w:top w:val="nil"/>
              <w:left w:val="nil"/>
              <w:bottom w:val="single" w:sz="4" w:space="0" w:color="A6A6A6"/>
              <w:right w:val="single" w:sz="4" w:space="0" w:color="auto"/>
            </w:tcBorders>
            <w:shd w:val="clear" w:color="auto" w:fill="auto"/>
            <w:noWrap/>
            <w:vAlign w:val="center"/>
            <w:hideMark/>
          </w:tcPr>
          <w:p w14:paraId="651ECB21"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sz w:val="20"/>
                <w:szCs w:val="20"/>
                <w:lang w:val="en-GB"/>
              </w:rPr>
              <w:t>1</w:t>
            </w:r>
          </w:p>
        </w:tc>
        <w:tc>
          <w:tcPr>
            <w:tcW w:w="1701" w:type="dxa"/>
            <w:tcBorders>
              <w:top w:val="nil"/>
              <w:left w:val="single" w:sz="4" w:space="0" w:color="auto"/>
              <w:bottom w:val="single" w:sz="4" w:space="0" w:color="A6A6A6"/>
              <w:right w:val="single" w:sz="4" w:space="0" w:color="auto"/>
            </w:tcBorders>
            <w:vAlign w:val="center"/>
          </w:tcPr>
          <w:p w14:paraId="6963A533" w14:textId="77777777" w:rsidR="00644DCD" w:rsidRPr="005827BA" w:rsidRDefault="00644DCD" w:rsidP="00887519">
            <w:pPr>
              <w:jc w:val="right"/>
              <w:rPr>
                <w:rFonts w:ascii="Calibri" w:eastAsia="Times New Roman" w:hAnsi="Calibri" w:cs="Times New Roman"/>
                <w:sz w:val="20"/>
                <w:szCs w:val="20"/>
                <w:lang w:val="en-GB"/>
              </w:rPr>
            </w:pPr>
            <w:r>
              <w:rPr>
                <w:rFonts w:ascii="Calibri" w:eastAsia="Times New Roman" w:hAnsi="Calibri" w:cs="Times New Roman"/>
                <w:color w:val="000000"/>
                <w:sz w:val="20"/>
                <w:szCs w:val="20"/>
                <w:lang w:val="en-GB"/>
              </w:rPr>
              <w:t xml:space="preserve">5 </w:t>
            </w:r>
          </w:p>
        </w:tc>
        <w:tc>
          <w:tcPr>
            <w:tcW w:w="1843" w:type="dxa"/>
            <w:tcBorders>
              <w:top w:val="nil"/>
              <w:left w:val="single" w:sz="4" w:space="0" w:color="auto"/>
              <w:bottom w:val="single" w:sz="4" w:space="0" w:color="A6A6A6"/>
              <w:right w:val="single" w:sz="4" w:space="0" w:color="auto"/>
            </w:tcBorders>
            <w:shd w:val="clear" w:color="auto" w:fill="auto"/>
            <w:noWrap/>
            <w:vAlign w:val="center"/>
            <w:hideMark/>
          </w:tcPr>
          <w:p w14:paraId="2EC58B2B"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sz w:val="20"/>
                <w:szCs w:val="20"/>
                <w:lang w:val="en-GB"/>
              </w:rPr>
              <w:t>2</w:t>
            </w:r>
            <w:r>
              <w:rPr>
                <w:rFonts w:ascii="Calibri" w:eastAsia="Times New Roman" w:hAnsi="Calibri" w:cs="Times New Roman"/>
                <w:sz w:val="20"/>
                <w:szCs w:val="20"/>
                <w:lang w:val="en-GB"/>
              </w:rPr>
              <w:t xml:space="preserve"> </w:t>
            </w:r>
          </w:p>
        </w:tc>
        <w:tc>
          <w:tcPr>
            <w:tcW w:w="1133" w:type="dxa"/>
            <w:tcBorders>
              <w:top w:val="nil"/>
              <w:left w:val="single" w:sz="4" w:space="0" w:color="auto"/>
              <w:bottom w:val="single" w:sz="4" w:space="0" w:color="A6A6A6"/>
              <w:right w:val="single" w:sz="4" w:space="0" w:color="A6A6A6"/>
            </w:tcBorders>
            <w:shd w:val="clear" w:color="auto" w:fill="auto"/>
            <w:noWrap/>
            <w:vAlign w:val="bottom"/>
            <w:hideMark/>
          </w:tcPr>
          <w:p w14:paraId="6B78AAD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sz w:val="20"/>
                <w:szCs w:val="20"/>
                <w:lang w:val="en-GB"/>
              </w:rPr>
              <w:t>23.81</w:t>
            </w:r>
          </w:p>
        </w:tc>
        <w:tc>
          <w:tcPr>
            <w:tcW w:w="1134" w:type="dxa"/>
            <w:tcBorders>
              <w:top w:val="nil"/>
              <w:left w:val="nil"/>
              <w:bottom w:val="single" w:sz="4" w:space="0" w:color="A6A6A6"/>
              <w:right w:val="single" w:sz="4" w:space="0" w:color="A6A6A6"/>
            </w:tcBorders>
            <w:shd w:val="clear" w:color="auto" w:fill="auto"/>
            <w:noWrap/>
            <w:vAlign w:val="bottom"/>
            <w:hideMark/>
          </w:tcPr>
          <w:p w14:paraId="0F3ED91E"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sz w:val="20"/>
                <w:szCs w:val="20"/>
                <w:lang w:val="en-GB"/>
              </w:rPr>
              <w:t>77.78</w:t>
            </w:r>
          </w:p>
        </w:tc>
        <w:tc>
          <w:tcPr>
            <w:tcW w:w="709" w:type="dxa"/>
            <w:tcBorders>
              <w:top w:val="nil"/>
              <w:left w:val="nil"/>
              <w:bottom w:val="single" w:sz="4" w:space="0" w:color="A6A6A6"/>
              <w:right w:val="single" w:sz="4" w:space="0" w:color="A6A6A6"/>
            </w:tcBorders>
            <w:shd w:val="clear" w:color="auto" w:fill="auto"/>
            <w:noWrap/>
            <w:vAlign w:val="bottom"/>
            <w:hideMark/>
          </w:tcPr>
          <w:p w14:paraId="791C13A9"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sz w:val="20"/>
                <w:szCs w:val="20"/>
                <w:lang w:val="en-GB"/>
              </w:rPr>
              <w:t>0.71</w:t>
            </w:r>
          </w:p>
        </w:tc>
        <w:tc>
          <w:tcPr>
            <w:tcW w:w="708" w:type="dxa"/>
            <w:tcBorders>
              <w:top w:val="nil"/>
              <w:left w:val="nil"/>
              <w:bottom w:val="single" w:sz="4" w:space="0" w:color="A6A6A6"/>
              <w:right w:val="single" w:sz="4" w:space="0" w:color="A6A6A6"/>
            </w:tcBorders>
            <w:shd w:val="clear" w:color="auto" w:fill="auto"/>
            <w:noWrap/>
            <w:vAlign w:val="bottom"/>
            <w:hideMark/>
          </w:tcPr>
          <w:p w14:paraId="452B2A56"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0.30</w:t>
            </w:r>
          </w:p>
        </w:tc>
        <w:tc>
          <w:tcPr>
            <w:tcW w:w="1843" w:type="dxa"/>
            <w:tcBorders>
              <w:top w:val="nil"/>
              <w:left w:val="nil"/>
              <w:bottom w:val="single" w:sz="4" w:space="0" w:color="A6A6A6"/>
              <w:right w:val="single" w:sz="4" w:space="0" w:color="A6A6A6"/>
            </w:tcBorders>
            <w:shd w:val="clear" w:color="auto" w:fill="auto"/>
            <w:noWrap/>
            <w:vAlign w:val="bottom"/>
            <w:hideMark/>
          </w:tcPr>
          <w:p w14:paraId="24040D78"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1.09 (0.17-7.06)</w:t>
            </w:r>
          </w:p>
        </w:tc>
        <w:tc>
          <w:tcPr>
            <w:tcW w:w="850" w:type="dxa"/>
            <w:tcBorders>
              <w:top w:val="nil"/>
              <w:left w:val="nil"/>
              <w:bottom w:val="single" w:sz="4" w:space="0" w:color="A6A6A6"/>
              <w:right w:val="nil"/>
            </w:tcBorders>
            <w:shd w:val="clear" w:color="auto" w:fill="auto"/>
            <w:noWrap/>
            <w:vAlign w:val="bottom"/>
            <w:hideMark/>
          </w:tcPr>
          <w:p w14:paraId="4A858178"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0.9</w:t>
            </w:r>
            <w:r>
              <w:rPr>
                <w:rFonts w:ascii="Calibri" w:eastAsia="Times New Roman" w:hAnsi="Calibri" w:cs="Times New Roman"/>
                <w:color w:val="000000"/>
                <w:sz w:val="20"/>
                <w:szCs w:val="20"/>
                <w:lang w:val="en-GB"/>
              </w:rPr>
              <w:t>3</w:t>
            </w:r>
          </w:p>
        </w:tc>
      </w:tr>
      <w:tr w:rsidR="00644DCD" w:rsidRPr="005827BA" w14:paraId="65533FA7" w14:textId="77777777" w:rsidTr="00887519">
        <w:trPr>
          <w:trHeight w:val="300"/>
        </w:trPr>
        <w:tc>
          <w:tcPr>
            <w:tcW w:w="1842" w:type="dxa"/>
            <w:tcBorders>
              <w:top w:val="single" w:sz="4" w:space="0" w:color="A6A6A6"/>
              <w:left w:val="nil"/>
              <w:right w:val="single" w:sz="4" w:space="0" w:color="auto"/>
            </w:tcBorders>
            <w:shd w:val="clear" w:color="auto" w:fill="auto"/>
            <w:noWrap/>
            <w:vAlign w:val="center"/>
          </w:tcPr>
          <w:p w14:paraId="5D14C5F1"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134" w:type="dxa"/>
            <w:tcBorders>
              <w:top w:val="single" w:sz="4" w:space="0" w:color="A6A6A6"/>
              <w:left w:val="single" w:sz="4" w:space="0" w:color="auto"/>
            </w:tcBorders>
            <w:shd w:val="clear" w:color="auto" w:fill="auto"/>
            <w:noWrap/>
            <w:vAlign w:val="center"/>
          </w:tcPr>
          <w:p w14:paraId="00FA88B2"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134" w:type="dxa"/>
            <w:tcBorders>
              <w:top w:val="single" w:sz="4" w:space="0" w:color="A6A6A6"/>
            </w:tcBorders>
            <w:shd w:val="clear" w:color="auto" w:fill="auto"/>
            <w:noWrap/>
            <w:vAlign w:val="center"/>
          </w:tcPr>
          <w:p w14:paraId="265AB57C"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275" w:type="dxa"/>
            <w:tcBorders>
              <w:top w:val="single" w:sz="4" w:space="0" w:color="A6A6A6"/>
              <w:right w:val="single" w:sz="4" w:space="0" w:color="auto"/>
            </w:tcBorders>
            <w:shd w:val="clear" w:color="auto" w:fill="auto"/>
            <w:noWrap/>
            <w:vAlign w:val="center"/>
          </w:tcPr>
          <w:p w14:paraId="00F11EF5"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701" w:type="dxa"/>
            <w:tcBorders>
              <w:top w:val="single" w:sz="4" w:space="0" w:color="A6A6A6"/>
              <w:left w:val="single" w:sz="4" w:space="0" w:color="auto"/>
              <w:right w:val="single" w:sz="4" w:space="0" w:color="auto"/>
            </w:tcBorders>
            <w:vAlign w:val="center"/>
          </w:tcPr>
          <w:p w14:paraId="3D3D51DE"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sz w:val="20"/>
                <w:szCs w:val="20"/>
                <w:lang w:val="en-GB"/>
              </w:rPr>
              <w:t xml:space="preserve"> </w:t>
            </w:r>
          </w:p>
        </w:tc>
        <w:tc>
          <w:tcPr>
            <w:tcW w:w="1843" w:type="dxa"/>
            <w:tcBorders>
              <w:top w:val="single" w:sz="4" w:space="0" w:color="A6A6A6"/>
              <w:left w:val="single" w:sz="4" w:space="0" w:color="auto"/>
              <w:right w:val="single" w:sz="4" w:space="0" w:color="auto"/>
            </w:tcBorders>
            <w:shd w:val="clear" w:color="auto" w:fill="auto"/>
            <w:noWrap/>
            <w:vAlign w:val="center"/>
          </w:tcPr>
          <w:p w14:paraId="747A7DF6"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133" w:type="dxa"/>
            <w:tcBorders>
              <w:top w:val="single" w:sz="4" w:space="0" w:color="A6A6A6"/>
              <w:left w:val="single" w:sz="4" w:space="0" w:color="auto"/>
            </w:tcBorders>
            <w:shd w:val="clear" w:color="auto" w:fill="auto"/>
            <w:noWrap/>
            <w:vAlign w:val="bottom"/>
          </w:tcPr>
          <w:p w14:paraId="1A3F3EEE"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134" w:type="dxa"/>
            <w:tcBorders>
              <w:top w:val="single" w:sz="4" w:space="0" w:color="A6A6A6"/>
            </w:tcBorders>
            <w:shd w:val="clear" w:color="auto" w:fill="auto"/>
            <w:noWrap/>
            <w:vAlign w:val="bottom"/>
          </w:tcPr>
          <w:p w14:paraId="075DEDFB"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709" w:type="dxa"/>
            <w:tcBorders>
              <w:top w:val="single" w:sz="4" w:space="0" w:color="A6A6A6"/>
            </w:tcBorders>
            <w:shd w:val="clear" w:color="auto" w:fill="auto"/>
            <w:noWrap/>
            <w:vAlign w:val="bottom"/>
          </w:tcPr>
          <w:p w14:paraId="397F6E88"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708" w:type="dxa"/>
            <w:tcBorders>
              <w:top w:val="single" w:sz="4" w:space="0" w:color="A6A6A6"/>
            </w:tcBorders>
            <w:shd w:val="clear" w:color="auto" w:fill="auto"/>
            <w:noWrap/>
            <w:vAlign w:val="bottom"/>
          </w:tcPr>
          <w:p w14:paraId="68C021A8"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843" w:type="dxa"/>
            <w:tcBorders>
              <w:top w:val="single" w:sz="4" w:space="0" w:color="A6A6A6"/>
            </w:tcBorders>
            <w:shd w:val="clear" w:color="auto" w:fill="auto"/>
            <w:noWrap/>
            <w:vAlign w:val="bottom"/>
          </w:tcPr>
          <w:p w14:paraId="2DD82A76" w14:textId="77777777" w:rsidR="00644DCD" w:rsidRPr="005827BA" w:rsidRDefault="00644DCD" w:rsidP="00887519">
            <w:pPr>
              <w:rPr>
                <w:rFonts w:ascii="Calibri" w:eastAsia="Times New Roman" w:hAnsi="Calibri" w:cs="Times New Roman"/>
                <w:color w:val="000000"/>
                <w:sz w:val="20"/>
                <w:szCs w:val="20"/>
                <w:lang w:val="en-GB"/>
              </w:rPr>
            </w:pPr>
          </w:p>
        </w:tc>
        <w:tc>
          <w:tcPr>
            <w:tcW w:w="850" w:type="dxa"/>
            <w:tcBorders>
              <w:top w:val="single" w:sz="4" w:space="0" w:color="A6A6A6"/>
              <w:right w:val="nil"/>
            </w:tcBorders>
            <w:shd w:val="clear" w:color="auto" w:fill="auto"/>
            <w:noWrap/>
            <w:vAlign w:val="bottom"/>
          </w:tcPr>
          <w:p w14:paraId="58E1B114" w14:textId="77777777" w:rsidR="00644DCD" w:rsidRPr="005827BA" w:rsidRDefault="00644DCD" w:rsidP="00887519">
            <w:pPr>
              <w:jc w:val="right"/>
              <w:rPr>
                <w:rFonts w:ascii="Calibri" w:eastAsia="Times New Roman" w:hAnsi="Calibri" w:cs="Times New Roman"/>
                <w:color w:val="000000"/>
                <w:sz w:val="20"/>
                <w:szCs w:val="20"/>
                <w:lang w:val="en-GB"/>
              </w:rPr>
            </w:pPr>
          </w:p>
        </w:tc>
      </w:tr>
      <w:tr w:rsidR="00644DCD" w:rsidRPr="005827BA" w14:paraId="4EF61E61" w14:textId="77777777" w:rsidTr="00887519">
        <w:trPr>
          <w:trHeight w:val="300"/>
        </w:trPr>
        <w:tc>
          <w:tcPr>
            <w:tcW w:w="1842" w:type="dxa"/>
            <w:tcBorders>
              <w:left w:val="nil"/>
              <w:bottom w:val="single" w:sz="4" w:space="0" w:color="000000" w:themeColor="text1"/>
              <w:right w:val="single" w:sz="4" w:space="0" w:color="auto"/>
            </w:tcBorders>
            <w:shd w:val="clear" w:color="auto" w:fill="auto"/>
            <w:noWrap/>
            <w:vAlign w:val="center"/>
          </w:tcPr>
          <w:p w14:paraId="45BDDF61" w14:textId="153F3444" w:rsidR="00644DCD" w:rsidRPr="00743621" w:rsidRDefault="00644DCD" w:rsidP="00887519">
            <w:pPr>
              <w:jc w:val="center"/>
              <w:rPr>
                <w:rFonts w:ascii="Calibri" w:eastAsia="Times New Roman" w:hAnsi="Calibri" w:cs="Times New Roman"/>
                <w:b/>
                <w:color w:val="000000"/>
                <w:sz w:val="20"/>
                <w:szCs w:val="20"/>
                <w:lang w:val="en-GB"/>
              </w:rPr>
            </w:pPr>
            <w:r w:rsidRPr="00743621">
              <w:rPr>
                <w:rFonts w:ascii="Calibri" w:eastAsia="Times New Roman" w:hAnsi="Calibri" w:cs="Times New Roman"/>
                <w:b/>
                <w:color w:val="000000"/>
                <w:sz w:val="20"/>
                <w:szCs w:val="20"/>
                <w:lang w:val="en-GB"/>
              </w:rPr>
              <w:t>Signs</w:t>
            </w:r>
            <w:r>
              <w:rPr>
                <w:rFonts w:ascii="Calibri" w:eastAsia="Times New Roman" w:hAnsi="Calibri" w:cs="Times New Roman"/>
                <w:b/>
                <w:color w:val="000000"/>
                <w:sz w:val="20"/>
                <w:szCs w:val="20"/>
                <w:lang w:val="en-GB"/>
              </w:rPr>
              <w:t>/Investigation</w:t>
            </w:r>
          </w:p>
        </w:tc>
        <w:tc>
          <w:tcPr>
            <w:tcW w:w="1134" w:type="dxa"/>
            <w:tcBorders>
              <w:left w:val="single" w:sz="4" w:space="0" w:color="auto"/>
              <w:bottom w:val="single" w:sz="4" w:space="0" w:color="000000" w:themeColor="text1"/>
              <w:right w:val="single" w:sz="4" w:space="0" w:color="000000" w:themeColor="text1"/>
            </w:tcBorders>
            <w:shd w:val="clear" w:color="auto" w:fill="auto"/>
            <w:noWrap/>
            <w:vAlign w:val="center"/>
          </w:tcPr>
          <w:p w14:paraId="202F73CB"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134" w:type="dxa"/>
            <w:tcBorders>
              <w:left w:val="single" w:sz="4" w:space="0" w:color="000000" w:themeColor="text1"/>
              <w:bottom w:val="single" w:sz="4" w:space="0" w:color="000000" w:themeColor="text1"/>
              <w:right w:val="single" w:sz="4" w:space="0" w:color="000000" w:themeColor="text1"/>
            </w:tcBorders>
            <w:shd w:val="clear" w:color="auto" w:fill="auto"/>
            <w:noWrap/>
            <w:vAlign w:val="center"/>
          </w:tcPr>
          <w:p w14:paraId="5779E745"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275" w:type="dxa"/>
            <w:tcBorders>
              <w:left w:val="single" w:sz="4" w:space="0" w:color="000000" w:themeColor="text1"/>
              <w:bottom w:val="single" w:sz="4" w:space="0" w:color="000000" w:themeColor="text1"/>
              <w:right w:val="single" w:sz="4" w:space="0" w:color="auto"/>
            </w:tcBorders>
            <w:shd w:val="clear" w:color="auto" w:fill="auto"/>
            <w:noWrap/>
            <w:vAlign w:val="center"/>
          </w:tcPr>
          <w:p w14:paraId="7AAA2891"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701" w:type="dxa"/>
            <w:tcBorders>
              <w:left w:val="single" w:sz="4" w:space="0" w:color="auto"/>
              <w:bottom w:val="single" w:sz="4" w:space="0" w:color="000000" w:themeColor="text1"/>
              <w:right w:val="single" w:sz="4" w:space="0" w:color="auto"/>
            </w:tcBorders>
            <w:vAlign w:val="center"/>
          </w:tcPr>
          <w:p w14:paraId="6CE32F18"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843" w:type="dxa"/>
            <w:tcBorders>
              <w:left w:val="single" w:sz="4" w:space="0" w:color="auto"/>
              <w:bottom w:val="single" w:sz="4" w:space="0" w:color="000000" w:themeColor="text1"/>
              <w:right w:val="single" w:sz="4" w:space="0" w:color="auto"/>
            </w:tcBorders>
            <w:shd w:val="clear" w:color="auto" w:fill="auto"/>
            <w:noWrap/>
            <w:vAlign w:val="center"/>
          </w:tcPr>
          <w:p w14:paraId="6292A5A0"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133" w:type="dxa"/>
            <w:tcBorders>
              <w:left w:val="single" w:sz="4" w:space="0" w:color="auto"/>
              <w:bottom w:val="single" w:sz="4" w:space="0" w:color="000000" w:themeColor="text1"/>
              <w:right w:val="single" w:sz="4" w:space="0" w:color="000000" w:themeColor="text1"/>
            </w:tcBorders>
            <w:shd w:val="clear" w:color="auto" w:fill="auto"/>
            <w:noWrap/>
            <w:vAlign w:val="bottom"/>
          </w:tcPr>
          <w:p w14:paraId="2EE8D959"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134" w:type="dxa"/>
            <w:tcBorders>
              <w:left w:val="single" w:sz="4" w:space="0" w:color="000000" w:themeColor="text1"/>
              <w:bottom w:val="single" w:sz="4" w:space="0" w:color="000000" w:themeColor="text1"/>
              <w:right w:val="single" w:sz="4" w:space="0" w:color="000000" w:themeColor="text1"/>
            </w:tcBorders>
            <w:shd w:val="clear" w:color="auto" w:fill="auto"/>
            <w:noWrap/>
            <w:vAlign w:val="bottom"/>
          </w:tcPr>
          <w:p w14:paraId="35E6E63A"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709" w:type="dxa"/>
            <w:tcBorders>
              <w:left w:val="single" w:sz="4" w:space="0" w:color="000000" w:themeColor="text1"/>
              <w:bottom w:val="single" w:sz="4" w:space="0" w:color="000000" w:themeColor="text1"/>
              <w:right w:val="single" w:sz="4" w:space="0" w:color="000000" w:themeColor="text1"/>
            </w:tcBorders>
            <w:shd w:val="clear" w:color="auto" w:fill="auto"/>
            <w:noWrap/>
            <w:vAlign w:val="bottom"/>
          </w:tcPr>
          <w:p w14:paraId="761B1011"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708" w:type="dxa"/>
            <w:tcBorders>
              <w:left w:val="single" w:sz="4" w:space="0" w:color="000000" w:themeColor="text1"/>
              <w:bottom w:val="single" w:sz="4" w:space="0" w:color="000000" w:themeColor="text1"/>
              <w:right w:val="single" w:sz="4" w:space="0" w:color="000000" w:themeColor="text1"/>
            </w:tcBorders>
            <w:shd w:val="clear" w:color="auto" w:fill="auto"/>
            <w:noWrap/>
            <w:vAlign w:val="bottom"/>
          </w:tcPr>
          <w:p w14:paraId="07444395" w14:textId="77777777" w:rsidR="00644DCD" w:rsidRPr="005827BA" w:rsidRDefault="00644DCD" w:rsidP="00887519">
            <w:pPr>
              <w:jc w:val="right"/>
              <w:rPr>
                <w:rFonts w:ascii="Calibri" w:eastAsia="Times New Roman" w:hAnsi="Calibri" w:cs="Times New Roman"/>
                <w:color w:val="000000"/>
                <w:sz w:val="20"/>
                <w:szCs w:val="20"/>
                <w:lang w:val="en-GB"/>
              </w:rPr>
            </w:pPr>
          </w:p>
        </w:tc>
        <w:tc>
          <w:tcPr>
            <w:tcW w:w="1843" w:type="dxa"/>
            <w:tcBorders>
              <w:left w:val="single" w:sz="4" w:space="0" w:color="000000" w:themeColor="text1"/>
              <w:bottom w:val="single" w:sz="4" w:space="0" w:color="000000" w:themeColor="text1"/>
              <w:right w:val="single" w:sz="4" w:space="0" w:color="000000" w:themeColor="text1"/>
            </w:tcBorders>
            <w:shd w:val="clear" w:color="auto" w:fill="auto"/>
            <w:noWrap/>
            <w:vAlign w:val="bottom"/>
          </w:tcPr>
          <w:p w14:paraId="60E151B7" w14:textId="77777777" w:rsidR="00644DCD" w:rsidRPr="005827BA" w:rsidRDefault="00644DCD" w:rsidP="00887519">
            <w:pPr>
              <w:rPr>
                <w:rFonts w:ascii="Calibri" w:eastAsia="Times New Roman" w:hAnsi="Calibri" w:cs="Times New Roman"/>
                <w:color w:val="000000"/>
                <w:sz w:val="20"/>
                <w:szCs w:val="20"/>
                <w:lang w:val="en-GB"/>
              </w:rPr>
            </w:pPr>
          </w:p>
        </w:tc>
        <w:tc>
          <w:tcPr>
            <w:tcW w:w="850" w:type="dxa"/>
            <w:tcBorders>
              <w:left w:val="single" w:sz="4" w:space="0" w:color="000000" w:themeColor="text1"/>
              <w:bottom w:val="single" w:sz="4" w:space="0" w:color="000000" w:themeColor="text1"/>
              <w:right w:val="nil"/>
            </w:tcBorders>
            <w:shd w:val="clear" w:color="auto" w:fill="auto"/>
            <w:noWrap/>
            <w:vAlign w:val="bottom"/>
          </w:tcPr>
          <w:p w14:paraId="3F08C83A" w14:textId="77777777" w:rsidR="00644DCD" w:rsidRPr="005827BA" w:rsidRDefault="00644DCD" w:rsidP="00887519">
            <w:pPr>
              <w:jc w:val="right"/>
              <w:rPr>
                <w:rFonts w:ascii="Calibri" w:eastAsia="Times New Roman" w:hAnsi="Calibri" w:cs="Times New Roman"/>
                <w:color w:val="000000"/>
                <w:sz w:val="20"/>
                <w:szCs w:val="20"/>
                <w:lang w:val="en-GB"/>
              </w:rPr>
            </w:pPr>
          </w:p>
        </w:tc>
      </w:tr>
      <w:tr w:rsidR="00644DCD" w:rsidRPr="005827BA" w14:paraId="55187EB4" w14:textId="77777777" w:rsidTr="00887519">
        <w:trPr>
          <w:trHeight w:val="658"/>
        </w:trPr>
        <w:tc>
          <w:tcPr>
            <w:tcW w:w="1842" w:type="dxa"/>
            <w:tcBorders>
              <w:top w:val="single" w:sz="4" w:space="0" w:color="000000" w:themeColor="text1"/>
              <w:left w:val="nil"/>
              <w:bottom w:val="single" w:sz="4" w:space="0" w:color="A6A6A6"/>
              <w:right w:val="single" w:sz="4" w:space="0" w:color="auto"/>
            </w:tcBorders>
            <w:shd w:val="clear" w:color="auto" w:fill="auto"/>
            <w:noWrap/>
            <w:vAlign w:val="center"/>
            <w:hideMark/>
          </w:tcPr>
          <w:p w14:paraId="52F849C0"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Uncontrollable faciobrachial</w:t>
            </w:r>
            <w:r w:rsidRPr="005827BA">
              <w:rPr>
                <w:rFonts w:ascii="Calibri" w:eastAsia="Times New Roman" w:hAnsi="Calibri" w:cs="Times New Roman"/>
                <w:color w:val="000000"/>
                <w:sz w:val="20"/>
                <w:szCs w:val="20"/>
                <w:lang w:val="en-GB"/>
              </w:rPr>
              <w:t xml:space="preserve"> movements</w:t>
            </w:r>
            <w:r>
              <w:rPr>
                <w:rFonts w:ascii="Calibri" w:eastAsia="Times New Roman" w:hAnsi="Calibri" w:cs="Times New Roman"/>
                <w:color w:val="000000"/>
                <w:sz w:val="20"/>
                <w:szCs w:val="20"/>
                <w:lang w:val="en-GB"/>
              </w:rPr>
              <w:t xml:space="preserve"> (n=16)</w:t>
            </w:r>
          </w:p>
        </w:tc>
        <w:tc>
          <w:tcPr>
            <w:tcW w:w="1134" w:type="dxa"/>
            <w:tcBorders>
              <w:top w:val="single" w:sz="4" w:space="0" w:color="000000" w:themeColor="text1"/>
              <w:left w:val="single" w:sz="4" w:space="0" w:color="auto"/>
              <w:bottom w:val="single" w:sz="4" w:space="0" w:color="A6A6A6"/>
              <w:right w:val="single" w:sz="4" w:space="0" w:color="A6A6A6"/>
            </w:tcBorders>
            <w:shd w:val="clear" w:color="auto" w:fill="auto"/>
            <w:noWrap/>
            <w:vAlign w:val="center"/>
            <w:hideMark/>
          </w:tcPr>
          <w:p w14:paraId="1A3234C7"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2</w:t>
            </w:r>
          </w:p>
        </w:tc>
        <w:tc>
          <w:tcPr>
            <w:tcW w:w="1134" w:type="dxa"/>
            <w:tcBorders>
              <w:top w:val="single" w:sz="4" w:space="0" w:color="000000" w:themeColor="text1"/>
              <w:left w:val="nil"/>
              <w:bottom w:val="single" w:sz="4" w:space="0" w:color="A6A6A6"/>
              <w:right w:val="single" w:sz="4" w:space="0" w:color="A6A6A6"/>
            </w:tcBorders>
            <w:shd w:val="clear" w:color="auto" w:fill="auto"/>
            <w:noWrap/>
            <w:vAlign w:val="center"/>
            <w:hideMark/>
          </w:tcPr>
          <w:p w14:paraId="131F6A99"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0</w:t>
            </w:r>
          </w:p>
        </w:tc>
        <w:tc>
          <w:tcPr>
            <w:tcW w:w="1275" w:type="dxa"/>
            <w:tcBorders>
              <w:top w:val="single" w:sz="4" w:space="0" w:color="000000" w:themeColor="text1"/>
              <w:left w:val="nil"/>
              <w:bottom w:val="single" w:sz="4" w:space="0" w:color="A6A6A6"/>
              <w:right w:val="single" w:sz="4" w:space="0" w:color="auto"/>
            </w:tcBorders>
            <w:shd w:val="clear" w:color="auto" w:fill="auto"/>
            <w:noWrap/>
            <w:vAlign w:val="center"/>
            <w:hideMark/>
          </w:tcPr>
          <w:p w14:paraId="37491AD1"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w:t>
            </w:r>
          </w:p>
        </w:tc>
        <w:tc>
          <w:tcPr>
            <w:tcW w:w="1701" w:type="dxa"/>
            <w:tcBorders>
              <w:top w:val="single" w:sz="4" w:space="0" w:color="000000" w:themeColor="text1"/>
              <w:left w:val="single" w:sz="4" w:space="0" w:color="auto"/>
              <w:bottom w:val="single" w:sz="4" w:space="0" w:color="A6A6A6"/>
              <w:right w:val="single" w:sz="4" w:space="0" w:color="auto"/>
            </w:tcBorders>
            <w:vAlign w:val="center"/>
          </w:tcPr>
          <w:p w14:paraId="0A96965A"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4</w:t>
            </w:r>
          </w:p>
        </w:tc>
        <w:tc>
          <w:tcPr>
            <w:tcW w:w="1843" w:type="dxa"/>
            <w:tcBorders>
              <w:top w:val="single" w:sz="4" w:space="0" w:color="000000" w:themeColor="text1"/>
              <w:left w:val="single" w:sz="4" w:space="0" w:color="auto"/>
              <w:bottom w:val="single" w:sz="4" w:space="0" w:color="A6A6A6"/>
              <w:right w:val="single" w:sz="4" w:space="0" w:color="auto"/>
            </w:tcBorders>
            <w:shd w:val="clear" w:color="auto" w:fill="auto"/>
            <w:noWrap/>
            <w:vAlign w:val="center"/>
            <w:hideMark/>
          </w:tcPr>
          <w:p w14:paraId="4E12A6AD"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w:t>
            </w:r>
            <w:r>
              <w:rPr>
                <w:rFonts w:ascii="Calibri" w:eastAsia="Times New Roman" w:hAnsi="Calibri" w:cs="Times New Roman"/>
                <w:color w:val="000000"/>
                <w:sz w:val="20"/>
                <w:szCs w:val="20"/>
                <w:lang w:val="en-GB"/>
              </w:rPr>
              <w:t xml:space="preserve"> </w:t>
            </w:r>
          </w:p>
        </w:tc>
        <w:tc>
          <w:tcPr>
            <w:tcW w:w="1133" w:type="dxa"/>
            <w:tcBorders>
              <w:top w:val="single" w:sz="4" w:space="0" w:color="000000" w:themeColor="text1"/>
              <w:left w:val="single" w:sz="4" w:space="0" w:color="auto"/>
              <w:bottom w:val="single" w:sz="4" w:space="0" w:color="A6A6A6"/>
              <w:right w:val="single" w:sz="4" w:space="0" w:color="A6A6A6"/>
            </w:tcBorders>
            <w:shd w:val="clear" w:color="auto" w:fill="auto"/>
            <w:noWrap/>
            <w:vAlign w:val="bottom"/>
            <w:hideMark/>
          </w:tcPr>
          <w:p w14:paraId="3C912C9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50.00</w:t>
            </w:r>
          </w:p>
        </w:tc>
        <w:tc>
          <w:tcPr>
            <w:tcW w:w="1134" w:type="dxa"/>
            <w:tcBorders>
              <w:top w:val="single" w:sz="4" w:space="0" w:color="000000" w:themeColor="text1"/>
              <w:left w:val="nil"/>
              <w:bottom w:val="single" w:sz="4" w:space="0" w:color="A6A6A6"/>
              <w:right w:val="single" w:sz="4" w:space="0" w:color="A6A6A6"/>
            </w:tcBorders>
            <w:shd w:val="clear" w:color="auto" w:fill="auto"/>
            <w:noWrap/>
            <w:vAlign w:val="bottom"/>
            <w:hideMark/>
          </w:tcPr>
          <w:p w14:paraId="28686C5B"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100.00</w:t>
            </w:r>
          </w:p>
        </w:tc>
        <w:tc>
          <w:tcPr>
            <w:tcW w:w="709" w:type="dxa"/>
            <w:tcBorders>
              <w:top w:val="single" w:sz="4" w:space="0" w:color="000000" w:themeColor="text1"/>
              <w:left w:val="nil"/>
              <w:bottom w:val="single" w:sz="4" w:space="0" w:color="A6A6A6"/>
              <w:right w:val="single" w:sz="4" w:space="0" w:color="A6A6A6"/>
            </w:tcBorders>
            <w:shd w:val="clear" w:color="auto" w:fill="auto"/>
            <w:noWrap/>
            <w:vAlign w:val="bottom"/>
            <w:hideMark/>
          </w:tcPr>
          <w:p w14:paraId="4911AE2F"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1.00</w:t>
            </w:r>
          </w:p>
        </w:tc>
        <w:tc>
          <w:tcPr>
            <w:tcW w:w="708" w:type="dxa"/>
            <w:tcBorders>
              <w:top w:val="single" w:sz="4" w:space="0" w:color="000000" w:themeColor="text1"/>
              <w:left w:val="nil"/>
              <w:bottom w:val="single" w:sz="4" w:space="0" w:color="A6A6A6"/>
              <w:right w:val="single" w:sz="4" w:space="0" w:color="A6A6A6"/>
            </w:tcBorders>
            <w:shd w:val="clear" w:color="auto" w:fill="auto"/>
            <w:noWrap/>
            <w:vAlign w:val="bottom"/>
            <w:hideMark/>
          </w:tcPr>
          <w:p w14:paraId="465413B8"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0.67</w:t>
            </w:r>
          </w:p>
        </w:tc>
        <w:tc>
          <w:tcPr>
            <w:tcW w:w="1843" w:type="dxa"/>
            <w:tcBorders>
              <w:top w:val="single" w:sz="4" w:space="0" w:color="000000" w:themeColor="text1"/>
              <w:left w:val="nil"/>
              <w:bottom w:val="single" w:sz="4" w:space="0" w:color="A6A6A6"/>
              <w:right w:val="single" w:sz="4" w:space="0" w:color="A6A6A6"/>
            </w:tcBorders>
            <w:shd w:val="clear" w:color="auto" w:fill="auto"/>
            <w:noWrap/>
            <w:vAlign w:val="bottom"/>
            <w:hideMark/>
          </w:tcPr>
          <w:p w14:paraId="22856119" w14:textId="77777777" w:rsidR="00644DCD" w:rsidRPr="005827BA" w:rsidRDefault="00644DCD" w:rsidP="00887519">
            <w:pPr>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17.00 (0.74</w:t>
            </w:r>
            <w:r w:rsidRPr="005827BA">
              <w:rPr>
                <w:rFonts w:ascii="Calibri" w:eastAsia="Times New Roman" w:hAnsi="Calibri" w:cs="Times New Roman"/>
                <w:color w:val="000000"/>
                <w:sz w:val="20"/>
                <w:szCs w:val="20"/>
                <w:lang w:val="en-GB"/>
              </w:rPr>
              <w:t>-391.7)</w:t>
            </w:r>
          </w:p>
        </w:tc>
        <w:tc>
          <w:tcPr>
            <w:tcW w:w="850" w:type="dxa"/>
            <w:tcBorders>
              <w:top w:val="single" w:sz="4" w:space="0" w:color="000000" w:themeColor="text1"/>
              <w:left w:val="nil"/>
              <w:bottom w:val="single" w:sz="4" w:space="0" w:color="A6A6A6"/>
              <w:right w:val="nil"/>
            </w:tcBorders>
            <w:shd w:val="clear" w:color="auto" w:fill="auto"/>
            <w:noWrap/>
            <w:vAlign w:val="bottom"/>
            <w:hideMark/>
          </w:tcPr>
          <w:p w14:paraId="71EABB18"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0.077</w:t>
            </w:r>
          </w:p>
        </w:tc>
      </w:tr>
      <w:tr w:rsidR="00644DCD" w:rsidRPr="005827BA" w14:paraId="7ED05C52" w14:textId="77777777" w:rsidTr="00887519">
        <w:trPr>
          <w:trHeight w:val="300"/>
        </w:trPr>
        <w:tc>
          <w:tcPr>
            <w:tcW w:w="1842" w:type="dxa"/>
            <w:tcBorders>
              <w:top w:val="nil"/>
              <w:left w:val="nil"/>
              <w:bottom w:val="single" w:sz="4" w:space="0" w:color="A6A6A6"/>
              <w:right w:val="single" w:sz="4" w:space="0" w:color="auto"/>
            </w:tcBorders>
            <w:shd w:val="clear" w:color="auto" w:fill="auto"/>
            <w:noWrap/>
            <w:vAlign w:val="center"/>
            <w:hideMark/>
          </w:tcPr>
          <w:p w14:paraId="27C1AA51"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Confusion</w:t>
            </w:r>
            <w:r>
              <w:rPr>
                <w:rFonts w:ascii="Calibri" w:eastAsia="Times New Roman" w:hAnsi="Calibri" w:cs="Times New Roman"/>
                <w:color w:val="000000"/>
                <w:sz w:val="20"/>
                <w:szCs w:val="20"/>
                <w:lang w:val="en-GB"/>
              </w:rPr>
              <w:t xml:space="preserve"> (n=36)</w:t>
            </w:r>
          </w:p>
        </w:tc>
        <w:tc>
          <w:tcPr>
            <w:tcW w:w="1134" w:type="dxa"/>
            <w:tcBorders>
              <w:top w:val="nil"/>
              <w:left w:val="single" w:sz="4" w:space="0" w:color="auto"/>
              <w:bottom w:val="single" w:sz="4" w:space="0" w:color="A6A6A6"/>
              <w:right w:val="single" w:sz="4" w:space="0" w:color="A6A6A6"/>
            </w:tcBorders>
            <w:shd w:val="clear" w:color="auto" w:fill="auto"/>
            <w:noWrap/>
            <w:vAlign w:val="center"/>
            <w:hideMark/>
          </w:tcPr>
          <w:p w14:paraId="4BAFA09E"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8</w:t>
            </w:r>
          </w:p>
        </w:tc>
        <w:tc>
          <w:tcPr>
            <w:tcW w:w="1134" w:type="dxa"/>
            <w:tcBorders>
              <w:top w:val="nil"/>
              <w:left w:val="nil"/>
              <w:bottom w:val="single" w:sz="4" w:space="0" w:color="A6A6A6"/>
              <w:right w:val="single" w:sz="4" w:space="0" w:color="A6A6A6"/>
            </w:tcBorders>
            <w:shd w:val="clear" w:color="auto" w:fill="auto"/>
            <w:noWrap/>
            <w:vAlign w:val="center"/>
            <w:hideMark/>
          </w:tcPr>
          <w:p w14:paraId="2BB1BA45"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w:t>
            </w:r>
          </w:p>
        </w:tc>
        <w:tc>
          <w:tcPr>
            <w:tcW w:w="1275" w:type="dxa"/>
            <w:tcBorders>
              <w:top w:val="nil"/>
              <w:left w:val="nil"/>
              <w:bottom w:val="single" w:sz="4" w:space="0" w:color="A6A6A6"/>
              <w:right w:val="single" w:sz="4" w:space="0" w:color="auto"/>
            </w:tcBorders>
            <w:shd w:val="clear" w:color="auto" w:fill="auto"/>
            <w:noWrap/>
            <w:vAlign w:val="center"/>
            <w:hideMark/>
          </w:tcPr>
          <w:p w14:paraId="5C43BFFB"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w:t>
            </w:r>
          </w:p>
        </w:tc>
        <w:tc>
          <w:tcPr>
            <w:tcW w:w="1701" w:type="dxa"/>
            <w:tcBorders>
              <w:top w:val="nil"/>
              <w:left w:val="single" w:sz="4" w:space="0" w:color="auto"/>
              <w:bottom w:val="single" w:sz="4" w:space="0" w:color="A6A6A6"/>
              <w:right w:val="single" w:sz="4" w:space="0" w:color="auto"/>
            </w:tcBorders>
            <w:vAlign w:val="center"/>
          </w:tcPr>
          <w:p w14:paraId="2E28F500"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10 </w:t>
            </w:r>
          </w:p>
        </w:tc>
        <w:tc>
          <w:tcPr>
            <w:tcW w:w="1843" w:type="dxa"/>
            <w:tcBorders>
              <w:top w:val="nil"/>
              <w:left w:val="single" w:sz="4" w:space="0" w:color="auto"/>
              <w:bottom w:val="single" w:sz="4" w:space="0" w:color="A6A6A6"/>
              <w:right w:val="single" w:sz="4" w:space="0" w:color="auto"/>
            </w:tcBorders>
            <w:shd w:val="clear" w:color="auto" w:fill="auto"/>
            <w:noWrap/>
            <w:vAlign w:val="center"/>
            <w:hideMark/>
          </w:tcPr>
          <w:p w14:paraId="744BBB4B"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11</w:t>
            </w:r>
          </w:p>
        </w:tc>
        <w:tc>
          <w:tcPr>
            <w:tcW w:w="1133" w:type="dxa"/>
            <w:tcBorders>
              <w:top w:val="nil"/>
              <w:left w:val="single" w:sz="4" w:space="0" w:color="auto"/>
              <w:bottom w:val="single" w:sz="4" w:space="0" w:color="A6A6A6"/>
              <w:right w:val="single" w:sz="4" w:space="0" w:color="A6A6A6"/>
            </w:tcBorders>
            <w:shd w:val="clear" w:color="auto" w:fill="auto"/>
            <w:noWrap/>
            <w:vAlign w:val="bottom"/>
            <w:hideMark/>
          </w:tcPr>
          <w:p w14:paraId="185D123A"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71.43</w:t>
            </w:r>
          </w:p>
        </w:tc>
        <w:tc>
          <w:tcPr>
            <w:tcW w:w="1134" w:type="dxa"/>
            <w:tcBorders>
              <w:top w:val="nil"/>
              <w:left w:val="nil"/>
              <w:bottom w:val="single" w:sz="4" w:space="0" w:color="A6A6A6"/>
              <w:right w:val="single" w:sz="4" w:space="0" w:color="A6A6A6"/>
            </w:tcBorders>
            <w:shd w:val="clear" w:color="auto" w:fill="auto"/>
            <w:noWrap/>
            <w:vAlign w:val="bottom"/>
            <w:hideMark/>
          </w:tcPr>
          <w:p w14:paraId="4590F6CA"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50.00</w:t>
            </w:r>
          </w:p>
        </w:tc>
        <w:tc>
          <w:tcPr>
            <w:tcW w:w="709" w:type="dxa"/>
            <w:tcBorders>
              <w:top w:val="nil"/>
              <w:left w:val="nil"/>
              <w:bottom w:val="single" w:sz="4" w:space="0" w:color="A6A6A6"/>
              <w:right w:val="single" w:sz="4" w:space="0" w:color="A6A6A6"/>
            </w:tcBorders>
            <w:shd w:val="clear" w:color="auto" w:fill="auto"/>
            <w:noWrap/>
            <w:vAlign w:val="bottom"/>
            <w:hideMark/>
          </w:tcPr>
          <w:p w14:paraId="6558744E"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0.48</w:t>
            </w:r>
          </w:p>
        </w:tc>
        <w:tc>
          <w:tcPr>
            <w:tcW w:w="708" w:type="dxa"/>
            <w:tcBorders>
              <w:top w:val="nil"/>
              <w:left w:val="nil"/>
              <w:bottom w:val="single" w:sz="4" w:space="0" w:color="A6A6A6"/>
              <w:right w:val="single" w:sz="4" w:space="0" w:color="A6A6A6"/>
            </w:tcBorders>
            <w:shd w:val="clear" w:color="auto" w:fill="auto"/>
            <w:noWrap/>
            <w:vAlign w:val="bottom"/>
            <w:hideMark/>
          </w:tcPr>
          <w:p w14:paraId="0D72B4C6"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0.73</w:t>
            </w:r>
          </w:p>
        </w:tc>
        <w:tc>
          <w:tcPr>
            <w:tcW w:w="1843" w:type="dxa"/>
            <w:tcBorders>
              <w:top w:val="nil"/>
              <w:left w:val="nil"/>
              <w:bottom w:val="single" w:sz="4" w:space="0" w:color="A6A6A6"/>
              <w:right w:val="single" w:sz="4" w:space="0" w:color="A6A6A6"/>
            </w:tcBorders>
            <w:shd w:val="clear" w:color="auto" w:fill="auto"/>
            <w:noWrap/>
            <w:vAlign w:val="bottom"/>
            <w:hideMark/>
          </w:tcPr>
          <w:p w14:paraId="048DBAA5"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2.50 (0.60-10.44)</w:t>
            </w:r>
          </w:p>
        </w:tc>
        <w:tc>
          <w:tcPr>
            <w:tcW w:w="850" w:type="dxa"/>
            <w:tcBorders>
              <w:top w:val="nil"/>
              <w:left w:val="nil"/>
              <w:bottom w:val="single" w:sz="4" w:space="0" w:color="A6A6A6"/>
              <w:right w:val="nil"/>
            </w:tcBorders>
            <w:shd w:val="clear" w:color="auto" w:fill="auto"/>
            <w:noWrap/>
            <w:vAlign w:val="bottom"/>
            <w:hideMark/>
          </w:tcPr>
          <w:p w14:paraId="4C3DED95"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0.21</w:t>
            </w:r>
          </w:p>
        </w:tc>
      </w:tr>
      <w:tr w:rsidR="00644DCD" w:rsidRPr="005827BA" w14:paraId="5C9AD5C9" w14:textId="77777777" w:rsidTr="00887519">
        <w:trPr>
          <w:trHeight w:val="300"/>
        </w:trPr>
        <w:tc>
          <w:tcPr>
            <w:tcW w:w="1842" w:type="dxa"/>
            <w:tcBorders>
              <w:top w:val="nil"/>
              <w:left w:val="nil"/>
              <w:bottom w:val="single" w:sz="4" w:space="0" w:color="A6A6A6"/>
              <w:right w:val="single" w:sz="4" w:space="0" w:color="auto"/>
            </w:tcBorders>
            <w:shd w:val="clear" w:color="auto" w:fill="auto"/>
            <w:noWrap/>
            <w:vAlign w:val="center"/>
            <w:hideMark/>
          </w:tcPr>
          <w:p w14:paraId="1A72A4E9"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Altered Speech</w:t>
            </w:r>
            <w:r>
              <w:rPr>
                <w:rFonts w:ascii="Calibri" w:eastAsia="Times New Roman" w:hAnsi="Calibri" w:cs="Times New Roman"/>
                <w:color w:val="000000"/>
                <w:sz w:val="20"/>
                <w:szCs w:val="20"/>
                <w:lang w:val="en-GB"/>
              </w:rPr>
              <w:t xml:space="preserve"> (n=20)</w:t>
            </w:r>
          </w:p>
        </w:tc>
        <w:tc>
          <w:tcPr>
            <w:tcW w:w="1134" w:type="dxa"/>
            <w:tcBorders>
              <w:top w:val="nil"/>
              <w:left w:val="single" w:sz="4" w:space="0" w:color="auto"/>
              <w:bottom w:val="single" w:sz="4" w:space="0" w:color="A6A6A6"/>
              <w:right w:val="single" w:sz="4" w:space="0" w:color="A6A6A6"/>
            </w:tcBorders>
            <w:shd w:val="clear" w:color="auto" w:fill="auto"/>
            <w:noWrap/>
            <w:vAlign w:val="center"/>
            <w:hideMark/>
          </w:tcPr>
          <w:p w14:paraId="3B2D4082"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5</w:t>
            </w:r>
          </w:p>
        </w:tc>
        <w:tc>
          <w:tcPr>
            <w:tcW w:w="1134" w:type="dxa"/>
            <w:tcBorders>
              <w:top w:val="nil"/>
              <w:left w:val="nil"/>
              <w:bottom w:val="single" w:sz="4" w:space="0" w:color="A6A6A6"/>
              <w:right w:val="single" w:sz="4" w:space="0" w:color="A6A6A6"/>
            </w:tcBorders>
            <w:shd w:val="clear" w:color="auto" w:fill="auto"/>
            <w:noWrap/>
            <w:vAlign w:val="center"/>
            <w:hideMark/>
          </w:tcPr>
          <w:p w14:paraId="5210881A"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w:t>
            </w:r>
          </w:p>
        </w:tc>
        <w:tc>
          <w:tcPr>
            <w:tcW w:w="1275" w:type="dxa"/>
            <w:tcBorders>
              <w:top w:val="nil"/>
              <w:left w:val="nil"/>
              <w:bottom w:val="single" w:sz="4" w:space="0" w:color="A6A6A6"/>
              <w:right w:val="single" w:sz="4" w:space="0" w:color="auto"/>
            </w:tcBorders>
            <w:shd w:val="clear" w:color="auto" w:fill="auto"/>
            <w:noWrap/>
            <w:vAlign w:val="center"/>
            <w:hideMark/>
          </w:tcPr>
          <w:p w14:paraId="5F423538"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w:t>
            </w:r>
          </w:p>
        </w:tc>
        <w:tc>
          <w:tcPr>
            <w:tcW w:w="1701" w:type="dxa"/>
            <w:tcBorders>
              <w:top w:val="nil"/>
              <w:left w:val="single" w:sz="4" w:space="0" w:color="auto"/>
              <w:bottom w:val="single" w:sz="4" w:space="0" w:color="A6A6A6"/>
              <w:right w:val="single" w:sz="4" w:space="0" w:color="auto"/>
            </w:tcBorders>
            <w:vAlign w:val="center"/>
          </w:tcPr>
          <w:p w14:paraId="0A009524"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7 </w:t>
            </w:r>
          </w:p>
        </w:tc>
        <w:tc>
          <w:tcPr>
            <w:tcW w:w="1843" w:type="dxa"/>
            <w:tcBorders>
              <w:top w:val="nil"/>
              <w:left w:val="single" w:sz="4" w:space="0" w:color="auto"/>
              <w:bottom w:val="single" w:sz="4" w:space="0" w:color="A6A6A6"/>
              <w:right w:val="single" w:sz="4" w:space="0" w:color="auto"/>
            </w:tcBorders>
            <w:shd w:val="clear" w:color="auto" w:fill="auto"/>
            <w:noWrap/>
            <w:vAlign w:val="center"/>
            <w:hideMark/>
          </w:tcPr>
          <w:p w14:paraId="536639DA"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9</w:t>
            </w:r>
            <w:r>
              <w:rPr>
                <w:rFonts w:ascii="Calibri" w:eastAsia="Times New Roman" w:hAnsi="Calibri" w:cs="Times New Roman"/>
                <w:color w:val="000000"/>
                <w:sz w:val="20"/>
                <w:szCs w:val="20"/>
                <w:lang w:val="en-GB"/>
              </w:rPr>
              <w:t xml:space="preserve"> </w:t>
            </w:r>
          </w:p>
        </w:tc>
        <w:tc>
          <w:tcPr>
            <w:tcW w:w="1133" w:type="dxa"/>
            <w:tcBorders>
              <w:top w:val="nil"/>
              <w:left w:val="single" w:sz="4" w:space="0" w:color="auto"/>
              <w:bottom w:val="single" w:sz="4" w:space="0" w:color="A6A6A6"/>
              <w:right w:val="single" w:sz="4" w:space="0" w:color="A6A6A6"/>
            </w:tcBorders>
            <w:shd w:val="clear" w:color="auto" w:fill="auto"/>
            <w:noWrap/>
            <w:vAlign w:val="bottom"/>
            <w:hideMark/>
          </w:tcPr>
          <w:p w14:paraId="13C64DBE"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87.50</w:t>
            </w:r>
          </w:p>
        </w:tc>
        <w:tc>
          <w:tcPr>
            <w:tcW w:w="1134" w:type="dxa"/>
            <w:tcBorders>
              <w:top w:val="nil"/>
              <w:left w:val="nil"/>
              <w:bottom w:val="single" w:sz="4" w:space="0" w:color="A6A6A6"/>
              <w:right w:val="single" w:sz="4" w:space="0" w:color="A6A6A6"/>
            </w:tcBorders>
            <w:shd w:val="clear" w:color="auto" w:fill="auto"/>
            <w:noWrap/>
            <w:vAlign w:val="bottom"/>
            <w:hideMark/>
          </w:tcPr>
          <w:p w14:paraId="39A13AEE"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25.00</w:t>
            </w:r>
          </w:p>
        </w:tc>
        <w:tc>
          <w:tcPr>
            <w:tcW w:w="709" w:type="dxa"/>
            <w:tcBorders>
              <w:top w:val="nil"/>
              <w:left w:val="nil"/>
              <w:bottom w:val="single" w:sz="4" w:space="0" w:color="A6A6A6"/>
              <w:right w:val="single" w:sz="4" w:space="0" w:color="A6A6A6"/>
            </w:tcBorders>
            <w:shd w:val="clear" w:color="auto" w:fill="auto"/>
            <w:noWrap/>
            <w:vAlign w:val="bottom"/>
            <w:hideMark/>
          </w:tcPr>
          <w:p w14:paraId="795E8C2E"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0.44</w:t>
            </w:r>
          </w:p>
        </w:tc>
        <w:tc>
          <w:tcPr>
            <w:tcW w:w="708" w:type="dxa"/>
            <w:tcBorders>
              <w:top w:val="nil"/>
              <w:left w:val="nil"/>
              <w:bottom w:val="single" w:sz="4" w:space="0" w:color="A6A6A6"/>
              <w:right w:val="single" w:sz="4" w:space="0" w:color="A6A6A6"/>
            </w:tcBorders>
            <w:shd w:val="clear" w:color="auto" w:fill="auto"/>
            <w:noWrap/>
            <w:vAlign w:val="bottom"/>
            <w:hideMark/>
          </w:tcPr>
          <w:p w14:paraId="3B34CB1B"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0.75</w:t>
            </w:r>
          </w:p>
        </w:tc>
        <w:tc>
          <w:tcPr>
            <w:tcW w:w="1843" w:type="dxa"/>
            <w:tcBorders>
              <w:top w:val="nil"/>
              <w:left w:val="nil"/>
              <w:bottom w:val="single" w:sz="4" w:space="0" w:color="A6A6A6"/>
              <w:right w:val="single" w:sz="4" w:space="0" w:color="A6A6A6"/>
            </w:tcBorders>
            <w:shd w:val="clear" w:color="auto" w:fill="auto"/>
            <w:noWrap/>
            <w:vAlign w:val="bottom"/>
            <w:hideMark/>
          </w:tcPr>
          <w:p w14:paraId="7360912A"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2.33 (0.20-27.6)</w:t>
            </w:r>
          </w:p>
        </w:tc>
        <w:tc>
          <w:tcPr>
            <w:tcW w:w="850" w:type="dxa"/>
            <w:tcBorders>
              <w:top w:val="nil"/>
              <w:left w:val="nil"/>
              <w:bottom w:val="single" w:sz="4" w:space="0" w:color="A6A6A6"/>
              <w:right w:val="nil"/>
            </w:tcBorders>
            <w:shd w:val="clear" w:color="auto" w:fill="auto"/>
            <w:noWrap/>
            <w:vAlign w:val="bottom"/>
            <w:hideMark/>
          </w:tcPr>
          <w:p w14:paraId="5AADE79A"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0.50</w:t>
            </w:r>
          </w:p>
        </w:tc>
      </w:tr>
      <w:tr w:rsidR="00644DCD" w:rsidRPr="005827BA" w14:paraId="11570D4D" w14:textId="77777777" w:rsidTr="00644DCD">
        <w:trPr>
          <w:trHeight w:val="300"/>
        </w:trPr>
        <w:tc>
          <w:tcPr>
            <w:tcW w:w="1842" w:type="dxa"/>
            <w:tcBorders>
              <w:top w:val="nil"/>
              <w:left w:val="nil"/>
              <w:bottom w:val="single" w:sz="4" w:space="0" w:color="A6A6A6"/>
              <w:right w:val="single" w:sz="4" w:space="0" w:color="auto"/>
            </w:tcBorders>
            <w:shd w:val="clear" w:color="auto" w:fill="auto"/>
            <w:noWrap/>
            <w:vAlign w:val="center"/>
            <w:hideMark/>
          </w:tcPr>
          <w:p w14:paraId="3B086DDD" w14:textId="77777777" w:rsidR="00644DCD" w:rsidRPr="005827BA" w:rsidRDefault="00644DCD" w:rsidP="00887519">
            <w:pPr>
              <w:jc w:val="right"/>
              <w:rPr>
                <w:rFonts w:ascii="Calibri" w:eastAsia="Times New Roman" w:hAnsi="Calibri" w:cs="Times New Roman"/>
                <w:color w:val="000000"/>
                <w:sz w:val="20"/>
                <w:szCs w:val="20"/>
                <w:lang w:val="en-GB"/>
              </w:rPr>
            </w:pPr>
            <w:proofErr w:type="spellStart"/>
            <w:r>
              <w:rPr>
                <w:rFonts w:ascii="Calibri" w:eastAsia="Times New Roman" w:hAnsi="Calibri" w:cs="Times New Roman"/>
                <w:color w:val="000000"/>
                <w:sz w:val="20"/>
                <w:szCs w:val="20"/>
                <w:lang w:val="en-GB"/>
              </w:rPr>
              <w:t>Fasciculations</w:t>
            </w:r>
            <w:proofErr w:type="spellEnd"/>
            <w:r>
              <w:rPr>
                <w:rFonts w:ascii="Calibri" w:eastAsia="Times New Roman" w:hAnsi="Calibri" w:cs="Times New Roman"/>
                <w:color w:val="000000"/>
                <w:sz w:val="20"/>
                <w:szCs w:val="20"/>
                <w:lang w:val="en-GB"/>
              </w:rPr>
              <w:t xml:space="preserve"> (n=40)</w:t>
            </w:r>
          </w:p>
        </w:tc>
        <w:tc>
          <w:tcPr>
            <w:tcW w:w="1134" w:type="dxa"/>
            <w:tcBorders>
              <w:top w:val="nil"/>
              <w:left w:val="single" w:sz="4" w:space="0" w:color="auto"/>
              <w:bottom w:val="single" w:sz="4" w:space="0" w:color="A6A6A6"/>
              <w:right w:val="single" w:sz="4" w:space="0" w:color="A6A6A6"/>
            </w:tcBorders>
            <w:shd w:val="clear" w:color="auto" w:fill="auto"/>
            <w:noWrap/>
            <w:vAlign w:val="center"/>
            <w:hideMark/>
          </w:tcPr>
          <w:p w14:paraId="4D6B9C10"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w:t>
            </w:r>
          </w:p>
        </w:tc>
        <w:tc>
          <w:tcPr>
            <w:tcW w:w="1134" w:type="dxa"/>
            <w:tcBorders>
              <w:top w:val="nil"/>
              <w:left w:val="nil"/>
              <w:bottom w:val="single" w:sz="4" w:space="0" w:color="A6A6A6"/>
              <w:right w:val="single" w:sz="4" w:space="0" w:color="A6A6A6"/>
            </w:tcBorders>
            <w:shd w:val="clear" w:color="auto" w:fill="auto"/>
            <w:noWrap/>
            <w:vAlign w:val="center"/>
            <w:hideMark/>
          </w:tcPr>
          <w:p w14:paraId="344EF76B"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10</w:t>
            </w:r>
          </w:p>
        </w:tc>
        <w:tc>
          <w:tcPr>
            <w:tcW w:w="1275" w:type="dxa"/>
            <w:tcBorders>
              <w:top w:val="nil"/>
              <w:left w:val="nil"/>
              <w:bottom w:val="single" w:sz="4" w:space="0" w:color="A6A6A6"/>
              <w:right w:val="single" w:sz="4" w:space="0" w:color="auto"/>
            </w:tcBorders>
            <w:shd w:val="clear" w:color="auto" w:fill="auto"/>
            <w:noWrap/>
            <w:vAlign w:val="center"/>
            <w:hideMark/>
          </w:tcPr>
          <w:p w14:paraId="54768309"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3</w:t>
            </w:r>
          </w:p>
        </w:tc>
        <w:tc>
          <w:tcPr>
            <w:tcW w:w="1701" w:type="dxa"/>
            <w:tcBorders>
              <w:top w:val="nil"/>
              <w:left w:val="single" w:sz="4" w:space="0" w:color="auto"/>
              <w:bottom w:val="single" w:sz="4" w:space="0" w:color="A6A6A6"/>
              <w:right w:val="single" w:sz="4" w:space="0" w:color="auto"/>
            </w:tcBorders>
            <w:vAlign w:val="center"/>
          </w:tcPr>
          <w:p w14:paraId="618DCED4"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13 </w:t>
            </w:r>
          </w:p>
        </w:tc>
        <w:tc>
          <w:tcPr>
            <w:tcW w:w="1843" w:type="dxa"/>
            <w:tcBorders>
              <w:top w:val="nil"/>
              <w:left w:val="single" w:sz="4" w:space="0" w:color="auto"/>
              <w:bottom w:val="single" w:sz="4" w:space="0" w:color="A6A6A6"/>
              <w:right w:val="single" w:sz="4" w:space="0" w:color="auto"/>
            </w:tcBorders>
            <w:shd w:val="clear" w:color="auto" w:fill="auto"/>
            <w:noWrap/>
            <w:vAlign w:val="center"/>
            <w:hideMark/>
          </w:tcPr>
          <w:p w14:paraId="18447DB3"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16</w:t>
            </w:r>
            <w:r>
              <w:rPr>
                <w:rFonts w:ascii="Calibri" w:eastAsia="Times New Roman" w:hAnsi="Calibri" w:cs="Times New Roman"/>
                <w:color w:val="000000"/>
                <w:sz w:val="20"/>
                <w:szCs w:val="20"/>
                <w:lang w:val="en-GB"/>
              </w:rPr>
              <w:t xml:space="preserve"> </w:t>
            </w:r>
          </w:p>
        </w:tc>
        <w:tc>
          <w:tcPr>
            <w:tcW w:w="1133" w:type="dxa"/>
            <w:tcBorders>
              <w:top w:val="nil"/>
              <w:left w:val="single" w:sz="4" w:space="0" w:color="auto"/>
              <w:bottom w:val="single" w:sz="4" w:space="0" w:color="A6A6A6"/>
              <w:right w:val="single" w:sz="4" w:space="0" w:color="A6A6A6"/>
            </w:tcBorders>
            <w:shd w:val="clear" w:color="auto" w:fill="auto"/>
            <w:noWrap/>
            <w:vAlign w:val="bottom"/>
            <w:hideMark/>
          </w:tcPr>
          <w:p w14:paraId="1696F7F9"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76.47</w:t>
            </w:r>
          </w:p>
        </w:tc>
        <w:tc>
          <w:tcPr>
            <w:tcW w:w="1134" w:type="dxa"/>
            <w:tcBorders>
              <w:top w:val="nil"/>
              <w:left w:val="nil"/>
              <w:bottom w:val="single" w:sz="4" w:space="0" w:color="A6A6A6"/>
              <w:right w:val="single" w:sz="4" w:space="0" w:color="A6A6A6"/>
            </w:tcBorders>
            <w:shd w:val="clear" w:color="auto" w:fill="auto"/>
            <w:noWrap/>
            <w:vAlign w:val="bottom"/>
            <w:hideMark/>
          </w:tcPr>
          <w:p w14:paraId="38B3CAEC"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30.43</w:t>
            </w:r>
          </w:p>
        </w:tc>
        <w:tc>
          <w:tcPr>
            <w:tcW w:w="709" w:type="dxa"/>
            <w:tcBorders>
              <w:top w:val="nil"/>
              <w:left w:val="nil"/>
              <w:bottom w:val="single" w:sz="4" w:space="0" w:color="A6A6A6"/>
              <w:right w:val="single" w:sz="4" w:space="0" w:color="A6A6A6"/>
            </w:tcBorders>
            <w:shd w:val="clear" w:color="auto" w:fill="auto"/>
            <w:noWrap/>
            <w:vAlign w:val="bottom"/>
            <w:hideMark/>
          </w:tcPr>
          <w:p w14:paraId="647C93CD"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0.45</w:t>
            </w:r>
          </w:p>
        </w:tc>
        <w:tc>
          <w:tcPr>
            <w:tcW w:w="708" w:type="dxa"/>
            <w:tcBorders>
              <w:top w:val="nil"/>
              <w:left w:val="nil"/>
              <w:bottom w:val="single" w:sz="4" w:space="0" w:color="A6A6A6"/>
              <w:right w:val="single" w:sz="4" w:space="0" w:color="A6A6A6"/>
            </w:tcBorders>
            <w:shd w:val="clear" w:color="auto" w:fill="auto"/>
            <w:noWrap/>
            <w:vAlign w:val="bottom"/>
            <w:hideMark/>
          </w:tcPr>
          <w:p w14:paraId="1A3F1809"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0.64</w:t>
            </w:r>
          </w:p>
        </w:tc>
        <w:tc>
          <w:tcPr>
            <w:tcW w:w="1843" w:type="dxa"/>
            <w:tcBorders>
              <w:top w:val="nil"/>
              <w:left w:val="nil"/>
              <w:bottom w:val="single" w:sz="4" w:space="0" w:color="A6A6A6"/>
              <w:right w:val="single" w:sz="4" w:space="0" w:color="A6A6A6"/>
            </w:tcBorders>
            <w:shd w:val="clear" w:color="auto" w:fill="auto"/>
            <w:noWrap/>
            <w:vAlign w:val="bottom"/>
            <w:hideMark/>
          </w:tcPr>
          <w:p w14:paraId="0189CEB7"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1.42 (0.34-5.94)</w:t>
            </w:r>
          </w:p>
        </w:tc>
        <w:tc>
          <w:tcPr>
            <w:tcW w:w="850" w:type="dxa"/>
            <w:tcBorders>
              <w:top w:val="nil"/>
              <w:left w:val="nil"/>
              <w:bottom w:val="single" w:sz="4" w:space="0" w:color="A6A6A6"/>
              <w:right w:val="nil"/>
            </w:tcBorders>
            <w:shd w:val="clear" w:color="auto" w:fill="auto"/>
            <w:noWrap/>
            <w:vAlign w:val="bottom"/>
            <w:hideMark/>
          </w:tcPr>
          <w:p w14:paraId="1ECBF3DC"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0.6</w:t>
            </w:r>
            <w:r>
              <w:rPr>
                <w:rFonts w:ascii="Calibri" w:eastAsia="Times New Roman" w:hAnsi="Calibri" w:cs="Times New Roman"/>
                <w:color w:val="000000"/>
                <w:sz w:val="20"/>
                <w:szCs w:val="20"/>
                <w:lang w:val="en-GB"/>
              </w:rPr>
              <w:t>3</w:t>
            </w:r>
          </w:p>
        </w:tc>
      </w:tr>
      <w:tr w:rsidR="00644DCD" w:rsidRPr="005827BA" w14:paraId="1B11DB0C" w14:textId="77777777" w:rsidTr="00644DCD">
        <w:trPr>
          <w:trHeight w:val="300"/>
        </w:trPr>
        <w:tc>
          <w:tcPr>
            <w:tcW w:w="1842" w:type="dxa"/>
            <w:tcBorders>
              <w:top w:val="single" w:sz="4" w:space="0" w:color="A6A6A6"/>
              <w:left w:val="nil"/>
              <w:bottom w:val="single" w:sz="4" w:space="0" w:color="auto"/>
              <w:right w:val="single" w:sz="4" w:space="0" w:color="auto"/>
            </w:tcBorders>
            <w:shd w:val="clear" w:color="auto" w:fill="auto"/>
            <w:noWrap/>
            <w:vAlign w:val="center"/>
            <w:hideMark/>
          </w:tcPr>
          <w:p w14:paraId="53A601CD" w14:textId="77777777" w:rsidR="00644DCD" w:rsidRPr="005827BA" w:rsidRDefault="00644DCD" w:rsidP="00887519">
            <w:pPr>
              <w:jc w:val="right"/>
              <w:rPr>
                <w:rFonts w:ascii="Calibri" w:eastAsia="Times New Roman" w:hAnsi="Calibri" w:cs="Times New Roman"/>
                <w:sz w:val="20"/>
                <w:szCs w:val="20"/>
                <w:lang w:val="en-GB"/>
              </w:rPr>
            </w:pPr>
            <w:r>
              <w:rPr>
                <w:rFonts w:ascii="Calibri" w:eastAsia="Times New Roman" w:hAnsi="Calibri" w:cs="Times New Roman"/>
                <w:color w:val="000000"/>
                <w:sz w:val="20"/>
                <w:szCs w:val="20"/>
                <w:lang w:val="en-GB"/>
              </w:rPr>
              <w:t>Poor short-term memory (n=28)</w:t>
            </w:r>
          </w:p>
        </w:tc>
        <w:tc>
          <w:tcPr>
            <w:tcW w:w="1134" w:type="dxa"/>
            <w:tcBorders>
              <w:top w:val="single" w:sz="4" w:space="0" w:color="A6A6A6"/>
              <w:left w:val="single" w:sz="4" w:space="0" w:color="auto"/>
              <w:bottom w:val="single" w:sz="4" w:space="0" w:color="auto"/>
              <w:right w:val="single" w:sz="4" w:space="0" w:color="A6A6A6"/>
            </w:tcBorders>
            <w:shd w:val="clear" w:color="auto" w:fill="auto"/>
            <w:noWrap/>
            <w:vAlign w:val="center"/>
            <w:hideMark/>
          </w:tcPr>
          <w:p w14:paraId="229FE7DC" w14:textId="77777777" w:rsidR="00644DCD" w:rsidRPr="005827BA" w:rsidRDefault="00644DCD" w:rsidP="00887519">
            <w:pPr>
              <w:jc w:val="right"/>
              <w:rPr>
                <w:rFonts w:ascii="Calibri" w:eastAsia="Times New Roman" w:hAnsi="Calibri" w:cs="Times New Roman"/>
                <w:sz w:val="20"/>
                <w:szCs w:val="20"/>
                <w:lang w:val="en-GB"/>
              </w:rPr>
            </w:pPr>
            <w:r w:rsidRPr="005827BA">
              <w:rPr>
                <w:rFonts w:ascii="Calibri" w:eastAsia="Times New Roman" w:hAnsi="Calibri" w:cs="Times New Roman"/>
                <w:color w:val="000000"/>
                <w:sz w:val="20"/>
                <w:szCs w:val="20"/>
                <w:lang w:val="en-GB"/>
              </w:rPr>
              <w:t>7</w:t>
            </w:r>
          </w:p>
        </w:tc>
        <w:tc>
          <w:tcPr>
            <w:tcW w:w="1134" w:type="dxa"/>
            <w:tcBorders>
              <w:top w:val="single" w:sz="4" w:space="0" w:color="A6A6A6"/>
              <w:left w:val="nil"/>
              <w:bottom w:val="single" w:sz="4" w:space="0" w:color="auto"/>
              <w:right w:val="single" w:sz="4" w:space="0" w:color="A6A6A6"/>
            </w:tcBorders>
            <w:shd w:val="clear" w:color="auto" w:fill="auto"/>
            <w:noWrap/>
            <w:vAlign w:val="center"/>
            <w:hideMark/>
          </w:tcPr>
          <w:p w14:paraId="6B8E9E90" w14:textId="77777777" w:rsidR="00644DCD" w:rsidRPr="005827BA" w:rsidRDefault="00644DCD" w:rsidP="00887519">
            <w:pPr>
              <w:jc w:val="right"/>
              <w:rPr>
                <w:rFonts w:ascii="Calibri" w:eastAsia="Times New Roman" w:hAnsi="Calibri" w:cs="Times New Roman"/>
                <w:sz w:val="20"/>
                <w:szCs w:val="20"/>
                <w:lang w:val="en-GB"/>
              </w:rPr>
            </w:pPr>
            <w:r w:rsidRPr="005827BA">
              <w:rPr>
                <w:rFonts w:ascii="Calibri" w:eastAsia="Times New Roman" w:hAnsi="Calibri" w:cs="Times New Roman"/>
                <w:color w:val="000000"/>
                <w:sz w:val="20"/>
                <w:szCs w:val="20"/>
                <w:lang w:val="en-GB"/>
              </w:rPr>
              <w:t>0</w:t>
            </w:r>
          </w:p>
        </w:tc>
        <w:tc>
          <w:tcPr>
            <w:tcW w:w="1275" w:type="dxa"/>
            <w:tcBorders>
              <w:top w:val="single" w:sz="4" w:space="0" w:color="A6A6A6"/>
              <w:left w:val="nil"/>
              <w:bottom w:val="single" w:sz="4" w:space="0" w:color="auto"/>
              <w:right w:val="single" w:sz="4" w:space="0" w:color="auto"/>
            </w:tcBorders>
            <w:shd w:val="clear" w:color="auto" w:fill="auto"/>
            <w:noWrap/>
            <w:vAlign w:val="center"/>
            <w:hideMark/>
          </w:tcPr>
          <w:p w14:paraId="5965EAA1" w14:textId="77777777" w:rsidR="00644DCD" w:rsidRPr="005827BA" w:rsidRDefault="00644DCD" w:rsidP="00887519">
            <w:pPr>
              <w:jc w:val="right"/>
              <w:rPr>
                <w:rFonts w:ascii="Calibri" w:eastAsia="Times New Roman" w:hAnsi="Calibri" w:cs="Times New Roman"/>
                <w:sz w:val="20"/>
                <w:szCs w:val="20"/>
                <w:lang w:val="en-GB"/>
              </w:rPr>
            </w:pPr>
            <w:r w:rsidRPr="005827BA">
              <w:rPr>
                <w:rFonts w:ascii="Calibri" w:eastAsia="Times New Roman" w:hAnsi="Calibri" w:cs="Times New Roman"/>
                <w:color w:val="000000"/>
                <w:sz w:val="20"/>
                <w:szCs w:val="20"/>
                <w:lang w:val="en-GB"/>
              </w:rPr>
              <w:t>4</w:t>
            </w:r>
          </w:p>
        </w:tc>
        <w:tc>
          <w:tcPr>
            <w:tcW w:w="1701" w:type="dxa"/>
            <w:tcBorders>
              <w:top w:val="single" w:sz="4" w:space="0" w:color="A6A6A6"/>
              <w:left w:val="single" w:sz="4" w:space="0" w:color="auto"/>
              <w:bottom w:val="single" w:sz="4" w:space="0" w:color="auto"/>
              <w:right w:val="single" w:sz="4" w:space="0" w:color="auto"/>
            </w:tcBorders>
            <w:vAlign w:val="center"/>
          </w:tcPr>
          <w:p w14:paraId="35E7071E"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11 </w:t>
            </w:r>
          </w:p>
        </w:tc>
        <w:tc>
          <w:tcPr>
            <w:tcW w:w="1843" w:type="dxa"/>
            <w:tcBorders>
              <w:top w:val="single" w:sz="4" w:space="0" w:color="A6A6A6"/>
              <w:left w:val="single" w:sz="4" w:space="0" w:color="auto"/>
              <w:bottom w:val="single" w:sz="4" w:space="0" w:color="auto"/>
              <w:right w:val="single" w:sz="4" w:space="0" w:color="auto"/>
            </w:tcBorders>
            <w:shd w:val="clear" w:color="auto" w:fill="auto"/>
            <w:noWrap/>
            <w:vAlign w:val="center"/>
            <w:hideMark/>
          </w:tcPr>
          <w:p w14:paraId="7B08E190" w14:textId="77777777" w:rsidR="00644DCD" w:rsidRPr="005827BA" w:rsidRDefault="00644DCD" w:rsidP="00887519">
            <w:pPr>
              <w:jc w:val="right"/>
              <w:rPr>
                <w:rFonts w:ascii="Calibri" w:eastAsia="Times New Roman" w:hAnsi="Calibri" w:cs="Times New Roman"/>
                <w:sz w:val="20"/>
                <w:szCs w:val="20"/>
                <w:lang w:val="en-GB"/>
              </w:rPr>
            </w:pPr>
            <w:r w:rsidRPr="005827BA">
              <w:rPr>
                <w:rFonts w:ascii="Calibri" w:eastAsia="Times New Roman" w:hAnsi="Calibri" w:cs="Times New Roman"/>
                <w:color w:val="000000"/>
                <w:sz w:val="20"/>
                <w:szCs w:val="20"/>
                <w:lang w:val="en-GB"/>
              </w:rPr>
              <w:t>11</w:t>
            </w:r>
            <w:r>
              <w:rPr>
                <w:rFonts w:ascii="Calibri" w:eastAsia="Times New Roman" w:hAnsi="Calibri" w:cs="Times New Roman"/>
                <w:color w:val="000000"/>
                <w:sz w:val="20"/>
                <w:szCs w:val="20"/>
                <w:lang w:val="en-GB"/>
              </w:rPr>
              <w:t xml:space="preserve"> </w:t>
            </w:r>
          </w:p>
        </w:tc>
        <w:tc>
          <w:tcPr>
            <w:tcW w:w="1133" w:type="dxa"/>
            <w:tcBorders>
              <w:top w:val="single" w:sz="4" w:space="0" w:color="A6A6A6"/>
              <w:left w:val="single" w:sz="4" w:space="0" w:color="auto"/>
              <w:bottom w:val="single" w:sz="4" w:space="0" w:color="auto"/>
              <w:right w:val="single" w:sz="4" w:space="0" w:color="A6A6A6"/>
            </w:tcBorders>
            <w:shd w:val="clear" w:color="auto" w:fill="auto"/>
            <w:noWrap/>
            <w:vAlign w:val="bottom"/>
            <w:hideMark/>
          </w:tcPr>
          <w:p w14:paraId="1EC23F16" w14:textId="77777777" w:rsidR="00644DCD" w:rsidRPr="005827BA" w:rsidRDefault="00644DCD" w:rsidP="00887519">
            <w:pPr>
              <w:jc w:val="right"/>
              <w:rPr>
                <w:rFonts w:ascii="Calibri" w:eastAsia="Times New Roman" w:hAnsi="Calibri" w:cs="Times New Roman"/>
                <w:sz w:val="20"/>
                <w:szCs w:val="20"/>
                <w:lang w:val="en-GB"/>
              </w:rPr>
            </w:pPr>
            <w:r w:rsidRPr="005827BA">
              <w:rPr>
                <w:rFonts w:ascii="Calibri" w:eastAsia="Times New Roman" w:hAnsi="Calibri" w:cs="Times New Roman"/>
                <w:color w:val="000000"/>
                <w:sz w:val="20"/>
                <w:szCs w:val="20"/>
                <w:lang w:val="en-GB"/>
              </w:rPr>
              <w:t>78.57</w:t>
            </w:r>
          </w:p>
        </w:tc>
        <w:tc>
          <w:tcPr>
            <w:tcW w:w="1134" w:type="dxa"/>
            <w:tcBorders>
              <w:top w:val="single" w:sz="4" w:space="0" w:color="A6A6A6"/>
              <w:left w:val="nil"/>
              <w:bottom w:val="single" w:sz="4" w:space="0" w:color="auto"/>
              <w:right w:val="single" w:sz="4" w:space="0" w:color="A6A6A6"/>
            </w:tcBorders>
            <w:shd w:val="clear" w:color="auto" w:fill="auto"/>
            <w:noWrap/>
            <w:vAlign w:val="bottom"/>
            <w:hideMark/>
          </w:tcPr>
          <w:p w14:paraId="1CFAE684" w14:textId="77777777" w:rsidR="00644DCD" w:rsidRPr="005827BA" w:rsidRDefault="00644DCD" w:rsidP="00887519">
            <w:pPr>
              <w:jc w:val="right"/>
              <w:rPr>
                <w:rFonts w:ascii="Calibri" w:eastAsia="Times New Roman" w:hAnsi="Calibri" w:cs="Times New Roman"/>
                <w:sz w:val="20"/>
                <w:szCs w:val="20"/>
                <w:lang w:val="en-GB"/>
              </w:rPr>
            </w:pPr>
            <w:r w:rsidRPr="005827BA">
              <w:rPr>
                <w:rFonts w:ascii="Calibri" w:eastAsia="Times New Roman" w:hAnsi="Calibri" w:cs="Times New Roman"/>
                <w:color w:val="000000"/>
                <w:sz w:val="20"/>
                <w:szCs w:val="20"/>
                <w:lang w:val="en-GB"/>
              </w:rPr>
              <w:t>21.43</w:t>
            </w:r>
          </w:p>
        </w:tc>
        <w:tc>
          <w:tcPr>
            <w:tcW w:w="709" w:type="dxa"/>
            <w:tcBorders>
              <w:top w:val="single" w:sz="4" w:space="0" w:color="A6A6A6"/>
              <w:left w:val="nil"/>
              <w:bottom w:val="single" w:sz="4" w:space="0" w:color="auto"/>
              <w:right w:val="single" w:sz="4" w:space="0" w:color="A6A6A6"/>
            </w:tcBorders>
            <w:shd w:val="clear" w:color="auto" w:fill="auto"/>
            <w:noWrap/>
            <w:vAlign w:val="bottom"/>
            <w:hideMark/>
          </w:tcPr>
          <w:p w14:paraId="606A2048" w14:textId="77777777" w:rsidR="00644DCD" w:rsidRPr="005827BA" w:rsidRDefault="00644DCD" w:rsidP="00887519">
            <w:pPr>
              <w:jc w:val="right"/>
              <w:rPr>
                <w:rFonts w:ascii="Calibri" w:eastAsia="Times New Roman" w:hAnsi="Calibri" w:cs="Times New Roman"/>
                <w:sz w:val="20"/>
                <w:szCs w:val="20"/>
                <w:lang w:val="en-GB"/>
              </w:rPr>
            </w:pPr>
            <w:r w:rsidRPr="005827BA">
              <w:rPr>
                <w:rFonts w:ascii="Calibri" w:eastAsia="Times New Roman" w:hAnsi="Calibri" w:cs="Times New Roman"/>
                <w:color w:val="000000"/>
                <w:sz w:val="20"/>
                <w:szCs w:val="20"/>
                <w:lang w:val="en-GB"/>
              </w:rPr>
              <w:t>0.50</w:t>
            </w:r>
          </w:p>
        </w:tc>
        <w:tc>
          <w:tcPr>
            <w:tcW w:w="708" w:type="dxa"/>
            <w:tcBorders>
              <w:top w:val="single" w:sz="4" w:space="0" w:color="A6A6A6"/>
              <w:left w:val="nil"/>
              <w:bottom w:val="single" w:sz="4" w:space="0" w:color="auto"/>
              <w:right w:val="single" w:sz="4" w:space="0" w:color="A6A6A6"/>
            </w:tcBorders>
            <w:shd w:val="clear" w:color="auto" w:fill="auto"/>
            <w:noWrap/>
            <w:vAlign w:val="bottom"/>
            <w:hideMark/>
          </w:tcPr>
          <w:p w14:paraId="62654B30"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0.50</w:t>
            </w:r>
          </w:p>
        </w:tc>
        <w:tc>
          <w:tcPr>
            <w:tcW w:w="1843" w:type="dxa"/>
            <w:tcBorders>
              <w:top w:val="single" w:sz="4" w:space="0" w:color="A6A6A6"/>
              <w:left w:val="nil"/>
              <w:bottom w:val="single" w:sz="4" w:space="0" w:color="auto"/>
              <w:right w:val="single" w:sz="4" w:space="0" w:color="A6A6A6"/>
            </w:tcBorders>
            <w:shd w:val="clear" w:color="auto" w:fill="auto"/>
            <w:noWrap/>
            <w:vAlign w:val="bottom"/>
            <w:hideMark/>
          </w:tcPr>
          <w:p w14:paraId="630252E4" w14:textId="77777777" w:rsidR="00644DCD" w:rsidRPr="005827BA" w:rsidRDefault="00644DCD" w:rsidP="00887519">
            <w:pPr>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1.00 (0.16-6.08)</w:t>
            </w:r>
          </w:p>
        </w:tc>
        <w:tc>
          <w:tcPr>
            <w:tcW w:w="850" w:type="dxa"/>
            <w:tcBorders>
              <w:top w:val="single" w:sz="4" w:space="0" w:color="A6A6A6"/>
              <w:left w:val="nil"/>
              <w:bottom w:val="single" w:sz="4" w:space="0" w:color="auto"/>
              <w:right w:val="nil"/>
            </w:tcBorders>
            <w:shd w:val="clear" w:color="auto" w:fill="auto"/>
            <w:noWrap/>
            <w:vAlign w:val="bottom"/>
            <w:hideMark/>
          </w:tcPr>
          <w:p w14:paraId="6B32E897" w14:textId="77777777" w:rsidR="00644DCD" w:rsidRPr="005827BA" w:rsidRDefault="00644DCD" w:rsidP="00887519">
            <w:pPr>
              <w:jc w:val="right"/>
              <w:rPr>
                <w:rFonts w:ascii="Calibri" w:eastAsia="Times New Roman" w:hAnsi="Calibri" w:cs="Times New Roman"/>
                <w:color w:val="000000"/>
                <w:sz w:val="20"/>
                <w:szCs w:val="20"/>
                <w:lang w:val="en-GB"/>
              </w:rPr>
            </w:pPr>
            <w:r w:rsidRPr="005827BA">
              <w:rPr>
                <w:rFonts w:ascii="Calibri" w:eastAsia="Times New Roman" w:hAnsi="Calibri" w:cs="Times New Roman"/>
                <w:color w:val="000000"/>
                <w:sz w:val="20"/>
                <w:szCs w:val="20"/>
                <w:lang w:val="en-GB"/>
              </w:rPr>
              <w:t>1.0</w:t>
            </w:r>
            <w:r>
              <w:rPr>
                <w:rFonts w:ascii="Calibri" w:eastAsia="Times New Roman" w:hAnsi="Calibri" w:cs="Times New Roman"/>
                <w:color w:val="000000"/>
                <w:sz w:val="20"/>
                <w:szCs w:val="20"/>
                <w:lang w:val="en-GB"/>
              </w:rPr>
              <w:t>0</w:t>
            </w:r>
          </w:p>
        </w:tc>
      </w:tr>
      <w:tr w:rsidR="00644DCD" w:rsidRPr="005827BA" w14:paraId="2F461685" w14:textId="77777777" w:rsidTr="00644DCD">
        <w:trPr>
          <w:trHeight w:val="300"/>
        </w:trPr>
        <w:tc>
          <w:tcPr>
            <w:tcW w:w="1842" w:type="dxa"/>
            <w:tcBorders>
              <w:top w:val="single" w:sz="4" w:space="0" w:color="auto"/>
              <w:left w:val="nil"/>
              <w:bottom w:val="nil"/>
              <w:right w:val="single" w:sz="4" w:space="0" w:color="auto"/>
            </w:tcBorders>
            <w:shd w:val="clear" w:color="auto" w:fill="auto"/>
            <w:noWrap/>
            <w:vAlign w:val="center"/>
          </w:tcPr>
          <w:p w14:paraId="170D2E4F" w14:textId="34C4C3FC" w:rsidR="00644DCD"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ALP &gt; 70u/L (n=65)</w:t>
            </w:r>
          </w:p>
        </w:tc>
        <w:tc>
          <w:tcPr>
            <w:tcW w:w="1134" w:type="dxa"/>
            <w:tcBorders>
              <w:top w:val="single" w:sz="4" w:space="0" w:color="auto"/>
              <w:left w:val="single" w:sz="4" w:space="0" w:color="auto"/>
              <w:bottom w:val="nil"/>
              <w:right w:val="single" w:sz="4" w:space="0" w:color="A6A6A6"/>
            </w:tcBorders>
            <w:shd w:val="clear" w:color="auto" w:fill="auto"/>
            <w:noWrap/>
            <w:vAlign w:val="center"/>
          </w:tcPr>
          <w:p w14:paraId="6FB64318"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8</w:t>
            </w:r>
          </w:p>
        </w:tc>
        <w:tc>
          <w:tcPr>
            <w:tcW w:w="1134" w:type="dxa"/>
            <w:tcBorders>
              <w:top w:val="single" w:sz="4" w:space="0" w:color="auto"/>
              <w:left w:val="nil"/>
              <w:bottom w:val="nil"/>
              <w:right w:val="single" w:sz="4" w:space="0" w:color="A6A6A6"/>
            </w:tcBorders>
            <w:shd w:val="clear" w:color="auto" w:fill="auto"/>
            <w:noWrap/>
            <w:vAlign w:val="center"/>
          </w:tcPr>
          <w:p w14:paraId="3E38EAFA"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12</w:t>
            </w:r>
          </w:p>
        </w:tc>
        <w:tc>
          <w:tcPr>
            <w:tcW w:w="1275" w:type="dxa"/>
            <w:tcBorders>
              <w:top w:val="single" w:sz="4" w:space="0" w:color="auto"/>
              <w:left w:val="nil"/>
              <w:bottom w:val="nil"/>
              <w:right w:val="single" w:sz="4" w:space="0" w:color="auto"/>
            </w:tcBorders>
            <w:shd w:val="clear" w:color="auto" w:fill="auto"/>
            <w:noWrap/>
            <w:vAlign w:val="center"/>
          </w:tcPr>
          <w:p w14:paraId="289B4B05"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2</w:t>
            </w:r>
          </w:p>
        </w:tc>
        <w:tc>
          <w:tcPr>
            <w:tcW w:w="1701" w:type="dxa"/>
            <w:tcBorders>
              <w:top w:val="single" w:sz="4" w:space="0" w:color="auto"/>
              <w:left w:val="single" w:sz="4" w:space="0" w:color="auto"/>
              <w:bottom w:val="nil"/>
              <w:right w:val="single" w:sz="4" w:space="0" w:color="auto"/>
            </w:tcBorders>
            <w:vAlign w:val="center"/>
          </w:tcPr>
          <w:p w14:paraId="6899BC41" w14:textId="77777777" w:rsidR="00644DCD"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23</w:t>
            </w:r>
          </w:p>
        </w:tc>
        <w:tc>
          <w:tcPr>
            <w:tcW w:w="1843" w:type="dxa"/>
            <w:tcBorders>
              <w:top w:val="single" w:sz="4" w:space="0" w:color="auto"/>
              <w:left w:val="single" w:sz="4" w:space="0" w:color="auto"/>
              <w:bottom w:val="nil"/>
              <w:right w:val="single" w:sz="4" w:space="0" w:color="auto"/>
            </w:tcBorders>
            <w:shd w:val="clear" w:color="auto" w:fill="auto"/>
            <w:noWrap/>
            <w:vAlign w:val="center"/>
          </w:tcPr>
          <w:p w14:paraId="6CD807B7"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14</w:t>
            </w:r>
          </w:p>
        </w:tc>
        <w:tc>
          <w:tcPr>
            <w:tcW w:w="1133" w:type="dxa"/>
            <w:tcBorders>
              <w:top w:val="single" w:sz="4" w:space="0" w:color="auto"/>
              <w:left w:val="single" w:sz="4" w:space="0" w:color="auto"/>
              <w:bottom w:val="nil"/>
              <w:right w:val="single" w:sz="4" w:space="0" w:color="A6A6A6"/>
            </w:tcBorders>
            <w:shd w:val="clear" w:color="auto" w:fill="auto"/>
            <w:noWrap/>
            <w:vAlign w:val="bottom"/>
          </w:tcPr>
          <w:p w14:paraId="36ACEC38"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74.19</w:t>
            </w:r>
          </w:p>
        </w:tc>
        <w:tc>
          <w:tcPr>
            <w:tcW w:w="1134" w:type="dxa"/>
            <w:tcBorders>
              <w:top w:val="single" w:sz="4" w:space="0" w:color="auto"/>
              <w:left w:val="nil"/>
              <w:bottom w:val="nil"/>
              <w:right w:val="single" w:sz="4" w:space="0" w:color="A6A6A6"/>
            </w:tcBorders>
            <w:shd w:val="clear" w:color="auto" w:fill="auto"/>
            <w:noWrap/>
            <w:vAlign w:val="bottom"/>
          </w:tcPr>
          <w:p w14:paraId="22EEFA2F"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58.82</w:t>
            </w:r>
          </w:p>
        </w:tc>
        <w:tc>
          <w:tcPr>
            <w:tcW w:w="709" w:type="dxa"/>
            <w:tcBorders>
              <w:top w:val="single" w:sz="4" w:space="0" w:color="auto"/>
              <w:left w:val="nil"/>
              <w:bottom w:val="nil"/>
              <w:right w:val="single" w:sz="4" w:space="0" w:color="A6A6A6"/>
            </w:tcBorders>
            <w:shd w:val="clear" w:color="auto" w:fill="auto"/>
            <w:noWrap/>
            <w:vAlign w:val="bottom"/>
          </w:tcPr>
          <w:p w14:paraId="4500AEBF"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0.62</w:t>
            </w:r>
          </w:p>
        </w:tc>
        <w:tc>
          <w:tcPr>
            <w:tcW w:w="708" w:type="dxa"/>
            <w:tcBorders>
              <w:top w:val="single" w:sz="4" w:space="0" w:color="auto"/>
              <w:left w:val="nil"/>
              <w:bottom w:val="nil"/>
              <w:right w:val="single" w:sz="4" w:space="0" w:color="A6A6A6"/>
            </w:tcBorders>
            <w:shd w:val="clear" w:color="auto" w:fill="auto"/>
            <w:noWrap/>
            <w:vAlign w:val="bottom"/>
          </w:tcPr>
          <w:p w14:paraId="463CAEC7"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0.71</w:t>
            </w:r>
          </w:p>
        </w:tc>
        <w:tc>
          <w:tcPr>
            <w:tcW w:w="1843" w:type="dxa"/>
            <w:tcBorders>
              <w:top w:val="single" w:sz="4" w:space="0" w:color="auto"/>
              <w:left w:val="nil"/>
              <w:bottom w:val="nil"/>
              <w:right w:val="single" w:sz="4" w:space="0" w:color="A6A6A6"/>
            </w:tcBorders>
            <w:shd w:val="clear" w:color="auto" w:fill="auto"/>
            <w:noWrap/>
            <w:vAlign w:val="bottom"/>
          </w:tcPr>
          <w:p w14:paraId="2109D685" w14:textId="77777777" w:rsidR="00644DCD" w:rsidRPr="005827BA" w:rsidRDefault="00644DCD" w:rsidP="00887519">
            <w:pPr>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4.11 (1.43-11.8)</w:t>
            </w:r>
          </w:p>
        </w:tc>
        <w:tc>
          <w:tcPr>
            <w:tcW w:w="850" w:type="dxa"/>
            <w:tcBorders>
              <w:top w:val="single" w:sz="4" w:space="0" w:color="auto"/>
              <w:left w:val="nil"/>
              <w:bottom w:val="nil"/>
              <w:right w:val="nil"/>
            </w:tcBorders>
            <w:shd w:val="clear" w:color="auto" w:fill="auto"/>
            <w:noWrap/>
            <w:vAlign w:val="bottom"/>
          </w:tcPr>
          <w:p w14:paraId="11777812" w14:textId="77777777" w:rsidR="00644DCD" w:rsidRPr="005827BA" w:rsidRDefault="00644DCD" w:rsidP="00887519">
            <w:pPr>
              <w:jc w:val="righ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0.007</w:t>
            </w:r>
          </w:p>
        </w:tc>
      </w:tr>
    </w:tbl>
    <w:p w14:paraId="7E86AA8A" w14:textId="77777777" w:rsidR="00210ECB" w:rsidRDefault="00210ECB" w:rsidP="00210ECB">
      <w:pPr>
        <w:rPr>
          <w:sz w:val="22"/>
          <w:szCs w:val="22"/>
        </w:rPr>
      </w:pPr>
    </w:p>
    <w:p w14:paraId="0F497BCD" w14:textId="77777777" w:rsidR="00210ECB" w:rsidRDefault="00210ECB" w:rsidP="00210ECB">
      <w:pPr>
        <w:rPr>
          <w:sz w:val="22"/>
          <w:szCs w:val="22"/>
        </w:rPr>
      </w:pPr>
    </w:p>
    <w:p w14:paraId="111F3121" w14:textId="77777777" w:rsidR="00210ECB" w:rsidRDefault="00210ECB" w:rsidP="00210ECB">
      <w:pPr>
        <w:spacing w:after="120"/>
        <w:rPr>
          <w:b/>
          <w:sz w:val="22"/>
          <w:szCs w:val="22"/>
        </w:rPr>
      </w:pPr>
    </w:p>
    <w:p w14:paraId="56060024" w14:textId="22C21ABD" w:rsidR="00D138AF" w:rsidRPr="00E46246" w:rsidRDefault="00210ECB" w:rsidP="00E46246">
      <w:pPr>
        <w:spacing w:after="120" w:line="276" w:lineRule="auto"/>
        <w:rPr>
          <w:sz w:val="20"/>
          <w:szCs w:val="20"/>
        </w:rPr>
        <w:sectPr w:rsidR="00D138AF" w:rsidRPr="00E46246" w:rsidSect="007E321A">
          <w:pgSz w:w="16820" w:h="11900" w:orient="landscape"/>
          <w:pgMar w:top="1800" w:right="1440" w:bottom="1800" w:left="1440" w:header="708" w:footer="708" w:gutter="0"/>
          <w:cols w:space="708"/>
          <w:docGrid w:linePitch="360"/>
        </w:sectPr>
      </w:pPr>
      <w:r>
        <w:rPr>
          <w:sz w:val="20"/>
          <w:szCs w:val="20"/>
        </w:rPr>
        <w:t>(</w:t>
      </w:r>
      <w:r w:rsidR="00E30768">
        <w:rPr>
          <w:sz w:val="20"/>
          <w:szCs w:val="20"/>
        </w:rPr>
        <w:t xml:space="preserve">Sensitivity, specificity, PPV and NPV expressed as the proportion for </w:t>
      </w:r>
      <w:proofErr w:type="gramStart"/>
      <w:r w:rsidR="00E30768">
        <w:rPr>
          <w:sz w:val="20"/>
          <w:szCs w:val="20"/>
        </w:rPr>
        <w:t>whom</w:t>
      </w:r>
      <w:proofErr w:type="gramEnd"/>
      <w:r w:rsidR="00E30768">
        <w:rPr>
          <w:sz w:val="20"/>
          <w:szCs w:val="20"/>
        </w:rPr>
        <w:t xml:space="preserve"> data were available. </w:t>
      </w:r>
      <w:r w:rsidR="003D6079">
        <w:rPr>
          <w:sz w:val="20"/>
          <w:szCs w:val="20"/>
        </w:rPr>
        <w:t xml:space="preserve">ALP- Alkaline phosphatase; </w:t>
      </w:r>
      <w:r w:rsidR="00BE07B3">
        <w:rPr>
          <w:sz w:val="20"/>
          <w:szCs w:val="20"/>
        </w:rPr>
        <w:t xml:space="preserve">CNS- central nervous system; PNS- peripheral nervous system; </w:t>
      </w:r>
      <w:r>
        <w:rPr>
          <w:sz w:val="20"/>
          <w:szCs w:val="20"/>
        </w:rPr>
        <w:t>PPV – positive predictive value; NPV – negative predictive value; OR – odds ra</w:t>
      </w:r>
      <w:r w:rsidR="00E46246">
        <w:rPr>
          <w:sz w:val="20"/>
          <w:szCs w:val="20"/>
        </w:rPr>
        <w:t>tio; CI – confidence intervals).</w:t>
      </w:r>
    </w:p>
    <w:p w14:paraId="47608E28" w14:textId="77777777" w:rsidR="00400EF6" w:rsidRPr="00E46246" w:rsidRDefault="00400EF6" w:rsidP="00E46246"/>
    <w:sectPr w:rsidR="00400EF6" w:rsidRPr="00E46246" w:rsidSect="00586FC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7B275" w14:textId="77777777" w:rsidR="00BB1404" w:rsidRDefault="00BB1404" w:rsidP="0097334D">
      <w:r>
        <w:separator/>
      </w:r>
    </w:p>
  </w:endnote>
  <w:endnote w:type="continuationSeparator" w:id="0">
    <w:p w14:paraId="37B484E6" w14:textId="77777777" w:rsidR="00BB1404" w:rsidRDefault="00BB1404" w:rsidP="0097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996FA" w14:textId="77777777" w:rsidR="00BB1404" w:rsidRDefault="00BB1404" w:rsidP="00973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A1DE52" w14:textId="77777777" w:rsidR="00BB1404" w:rsidRDefault="00BB1404" w:rsidP="0097334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607B6" w14:textId="77777777" w:rsidR="00BB1404" w:rsidRDefault="00BB1404" w:rsidP="00973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13A0">
      <w:rPr>
        <w:rStyle w:val="PageNumber"/>
        <w:noProof/>
      </w:rPr>
      <w:t>1</w:t>
    </w:r>
    <w:r>
      <w:rPr>
        <w:rStyle w:val="PageNumber"/>
      </w:rPr>
      <w:fldChar w:fldCharType="end"/>
    </w:r>
  </w:p>
  <w:p w14:paraId="3462C748" w14:textId="77777777" w:rsidR="00BB1404" w:rsidRDefault="00BB1404" w:rsidP="0097334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31B18" w14:textId="77777777" w:rsidR="00BB1404" w:rsidRDefault="00BB1404" w:rsidP="0097334D">
      <w:r>
        <w:separator/>
      </w:r>
    </w:p>
  </w:footnote>
  <w:footnote w:type="continuationSeparator" w:id="0">
    <w:p w14:paraId="3AB54C87" w14:textId="77777777" w:rsidR="00BB1404" w:rsidRDefault="00BB1404" w:rsidP="009733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165"/>
    <w:multiLevelType w:val="hybridMultilevel"/>
    <w:tmpl w:val="4CCE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F7E1C"/>
    <w:multiLevelType w:val="hybridMultilevel"/>
    <w:tmpl w:val="81D44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76D5D"/>
    <w:multiLevelType w:val="hybridMultilevel"/>
    <w:tmpl w:val="B226D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7015F"/>
    <w:multiLevelType w:val="hybridMultilevel"/>
    <w:tmpl w:val="A3800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A3"/>
    <w:rsid w:val="0000094E"/>
    <w:rsid w:val="00001D4E"/>
    <w:rsid w:val="000020E3"/>
    <w:rsid w:val="00010933"/>
    <w:rsid w:val="00011E59"/>
    <w:rsid w:val="00012220"/>
    <w:rsid w:val="0001239D"/>
    <w:rsid w:val="0001372D"/>
    <w:rsid w:val="00014A01"/>
    <w:rsid w:val="00015B77"/>
    <w:rsid w:val="00017552"/>
    <w:rsid w:val="0001755D"/>
    <w:rsid w:val="0001768D"/>
    <w:rsid w:val="00017EE5"/>
    <w:rsid w:val="000254B2"/>
    <w:rsid w:val="00026848"/>
    <w:rsid w:val="00026C8B"/>
    <w:rsid w:val="00030917"/>
    <w:rsid w:val="000406AD"/>
    <w:rsid w:val="00040836"/>
    <w:rsid w:val="00041143"/>
    <w:rsid w:val="0004528B"/>
    <w:rsid w:val="00046940"/>
    <w:rsid w:val="000566D0"/>
    <w:rsid w:val="00060BA1"/>
    <w:rsid w:val="000641A7"/>
    <w:rsid w:val="00065A27"/>
    <w:rsid w:val="00066C2B"/>
    <w:rsid w:val="000670A8"/>
    <w:rsid w:val="00067CF9"/>
    <w:rsid w:val="00070821"/>
    <w:rsid w:val="000718DA"/>
    <w:rsid w:val="000722B3"/>
    <w:rsid w:val="000740F0"/>
    <w:rsid w:val="00074764"/>
    <w:rsid w:val="00077B35"/>
    <w:rsid w:val="000803A3"/>
    <w:rsid w:val="00081254"/>
    <w:rsid w:val="000816AD"/>
    <w:rsid w:val="0008194B"/>
    <w:rsid w:val="00081BCD"/>
    <w:rsid w:val="00082DA0"/>
    <w:rsid w:val="00084A05"/>
    <w:rsid w:val="0008630C"/>
    <w:rsid w:val="0009031B"/>
    <w:rsid w:val="00091CA6"/>
    <w:rsid w:val="00092CC7"/>
    <w:rsid w:val="000A072A"/>
    <w:rsid w:val="000A1081"/>
    <w:rsid w:val="000A1BEC"/>
    <w:rsid w:val="000A1C27"/>
    <w:rsid w:val="000B10EF"/>
    <w:rsid w:val="000B214B"/>
    <w:rsid w:val="000B2AB9"/>
    <w:rsid w:val="000B35C7"/>
    <w:rsid w:val="000B629F"/>
    <w:rsid w:val="000C0B63"/>
    <w:rsid w:val="000C3FD7"/>
    <w:rsid w:val="000C6145"/>
    <w:rsid w:val="000C6A40"/>
    <w:rsid w:val="000D2963"/>
    <w:rsid w:val="000E245D"/>
    <w:rsid w:val="000E3A89"/>
    <w:rsid w:val="000E6C67"/>
    <w:rsid w:val="000E7D57"/>
    <w:rsid w:val="000F052B"/>
    <w:rsid w:val="000F177E"/>
    <w:rsid w:val="000F46F2"/>
    <w:rsid w:val="000F7DB9"/>
    <w:rsid w:val="00101434"/>
    <w:rsid w:val="001017FA"/>
    <w:rsid w:val="00101FFA"/>
    <w:rsid w:val="00104FA2"/>
    <w:rsid w:val="00105E84"/>
    <w:rsid w:val="0010675C"/>
    <w:rsid w:val="00107D29"/>
    <w:rsid w:val="0011199E"/>
    <w:rsid w:val="00111B02"/>
    <w:rsid w:val="00111E73"/>
    <w:rsid w:val="00112AB1"/>
    <w:rsid w:val="00114045"/>
    <w:rsid w:val="00115769"/>
    <w:rsid w:val="001205CB"/>
    <w:rsid w:val="0012060E"/>
    <w:rsid w:val="00123CFF"/>
    <w:rsid w:val="001277DD"/>
    <w:rsid w:val="00135CC0"/>
    <w:rsid w:val="0013628F"/>
    <w:rsid w:val="00140EDA"/>
    <w:rsid w:val="001415F2"/>
    <w:rsid w:val="0014737D"/>
    <w:rsid w:val="001513DF"/>
    <w:rsid w:val="0015492C"/>
    <w:rsid w:val="00160479"/>
    <w:rsid w:val="00165B68"/>
    <w:rsid w:val="00167239"/>
    <w:rsid w:val="00174B56"/>
    <w:rsid w:val="00175137"/>
    <w:rsid w:val="00175694"/>
    <w:rsid w:val="00177D08"/>
    <w:rsid w:val="00182011"/>
    <w:rsid w:val="00182C6F"/>
    <w:rsid w:val="00182E94"/>
    <w:rsid w:val="00186E2F"/>
    <w:rsid w:val="001877D6"/>
    <w:rsid w:val="00187A93"/>
    <w:rsid w:val="001912E3"/>
    <w:rsid w:val="001962AB"/>
    <w:rsid w:val="00196E44"/>
    <w:rsid w:val="00197235"/>
    <w:rsid w:val="001A29A3"/>
    <w:rsid w:val="001B18C8"/>
    <w:rsid w:val="001B2F82"/>
    <w:rsid w:val="001C2E30"/>
    <w:rsid w:val="001C37ED"/>
    <w:rsid w:val="001C3833"/>
    <w:rsid w:val="001C4A8E"/>
    <w:rsid w:val="001C4E19"/>
    <w:rsid w:val="001C6FA3"/>
    <w:rsid w:val="001C7A17"/>
    <w:rsid w:val="001D06E6"/>
    <w:rsid w:val="001D3243"/>
    <w:rsid w:val="001D5D33"/>
    <w:rsid w:val="001D7F45"/>
    <w:rsid w:val="001E06D4"/>
    <w:rsid w:val="001E22E3"/>
    <w:rsid w:val="001E238B"/>
    <w:rsid w:val="001E30F2"/>
    <w:rsid w:val="001E3D69"/>
    <w:rsid w:val="001E431D"/>
    <w:rsid w:val="001E5305"/>
    <w:rsid w:val="001E5A20"/>
    <w:rsid w:val="001F1BCB"/>
    <w:rsid w:val="001F4941"/>
    <w:rsid w:val="00200204"/>
    <w:rsid w:val="00206000"/>
    <w:rsid w:val="00210ECB"/>
    <w:rsid w:val="00211777"/>
    <w:rsid w:val="00212A32"/>
    <w:rsid w:val="00213047"/>
    <w:rsid w:val="0021434B"/>
    <w:rsid w:val="002154BB"/>
    <w:rsid w:val="00216F05"/>
    <w:rsid w:val="00221A71"/>
    <w:rsid w:val="00222456"/>
    <w:rsid w:val="00223A1E"/>
    <w:rsid w:val="002244E6"/>
    <w:rsid w:val="00224D63"/>
    <w:rsid w:val="00230AEF"/>
    <w:rsid w:val="002319AA"/>
    <w:rsid w:val="002332E2"/>
    <w:rsid w:val="0023401E"/>
    <w:rsid w:val="002474F8"/>
    <w:rsid w:val="00250A1F"/>
    <w:rsid w:val="0025391A"/>
    <w:rsid w:val="00254AC4"/>
    <w:rsid w:val="00255A72"/>
    <w:rsid w:val="002569C3"/>
    <w:rsid w:val="00257454"/>
    <w:rsid w:val="00262D8C"/>
    <w:rsid w:val="00266151"/>
    <w:rsid w:val="0027451A"/>
    <w:rsid w:val="002768FB"/>
    <w:rsid w:val="0028088C"/>
    <w:rsid w:val="002848EA"/>
    <w:rsid w:val="00285916"/>
    <w:rsid w:val="00291091"/>
    <w:rsid w:val="002911A9"/>
    <w:rsid w:val="00291A21"/>
    <w:rsid w:val="0029200B"/>
    <w:rsid w:val="00292802"/>
    <w:rsid w:val="002967C7"/>
    <w:rsid w:val="002A1846"/>
    <w:rsid w:val="002A7867"/>
    <w:rsid w:val="002B0557"/>
    <w:rsid w:val="002B2482"/>
    <w:rsid w:val="002B4307"/>
    <w:rsid w:val="002B5122"/>
    <w:rsid w:val="002B6188"/>
    <w:rsid w:val="002C042A"/>
    <w:rsid w:val="002C27DB"/>
    <w:rsid w:val="002C66CC"/>
    <w:rsid w:val="002C7315"/>
    <w:rsid w:val="002D40E8"/>
    <w:rsid w:val="002D4A83"/>
    <w:rsid w:val="002D6AF2"/>
    <w:rsid w:val="002E080B"/>
    <w:rsid w:val="002E1470"/>
    <w:rsid w:val="002E240E"/>
    <w:rsid w:val="002E4182"/>
    <w:rsid w:val="002E4640"/>
    <w:rsid w:val="002E6D79"/>
    <w:rsid w:val="002F2E0A"/>
    <w:rsid w:val="002F31C5"/>
    <w:rsid w:val="002F3CFC"/>
    <w:rsid w:val="002F4CCD"/>
    <w:rsid w:val="003021AF"/>
    <w:rsid w:val="00303E2D"/>
    <w:rsid w:val="00312F11"/>
    <w:rsid w:val="00321B5B"/>
    <w:rsid w:val="0032642E"/>
    <w:rsid w:val="003264FC"/>
    <w:rsid w:val="00330F1C"/>
    <w:rsid w:val="00330F45"/>
    <w:rsid w:val="00331D94"/>
    <w:rsid w:val="003328FC"/>
    <w:rsid w:val="00334845"/>
    <w:rsid w:val="00342C9C"/>
    <w:rsid w:val="003430A8"/>
    <w:rsid w:val="00345817"/>
    <w:rsid w:val="00346220"/>
    <w:rsid w:val="0034751B"/>
    <w:rsid w:val="0035086F"/>
    <w:rsid w:val="003538BE"/>
    <w:rsid w:val="00356F20"/>
    <w:rsid w:val="00360B5D"/>
    <w:rsid w:val="00362965"/>
    <w:rsid w:val="00363CA3"/>
    <w:rsid w:val="003667EB"/>
    <w:rsid w:val="00371323"/>
    <w:rsid w:val="00371E80"/>
    <w:rsid w:val="003722D0"/>
    <w:rsid w:val="003759E3"/>
    <w:rsid w:val="0037784E"/>
    <w:rsid w:val="0038090E"/>
    <w:rsid w:val="00380D2C"/>
    <w:rsid w:val="003838AC"/>
    <w:rsid w:val="00383DC5"/>
    <w:rsid w:val="003857E1"/>
    <w:rsid w:val="00385FDC"/>
    <w:rsid w:val="003963C0"/>
    <w:rsid w:val="0039784E"/>
    <w:rsid w:val="003A028A"/>
    <w:rsid w:val="003A32FA"/>
    <w:rsid w:val="003A3E92"/>
    <w:rsid w:val="003A78DF"/>
    <w:rsid w:val="003A7C55"/>
    <w:rsid w:val="003B2C5B"/>
    <w:rsid w:val="003B67A8"/>
    <w:rsid w:val="003B7ED5"/>
    <w:rsid w:val="003C19F3"/>
    <w:rsid w:val="003C5179"/>
    <w:rsid w:val="003D09BB"/>
    <w:rsid w:val="003D19E2"/>
    <w:rsid w:val="003D1F35"/>
    <w:rsid w:val="003D6079"/>
    <w:rsid w:val="003E13A0"/>
    <w:rsid w:val="003E2A5B"/>
    <w:rsid w:val="003E3727"/>
    <w:rsid w:val="003E429D"/>
    <w:rsid w:val="003E5AA7"/>
    <w:rsid w:val="003E6C76"/>
    <w:rsid w:val="003E6F4E"/>
    <w:rsid w:val="003E762A"/>
    <w:rsid w:val="003E788A"/>
    <w:rsid w:val="003F0208"/>
    <w:rsid w:val="003F1EE2"/>
    <w:rsid w:val="003F260B"/>
    <w:rsid w:val="003F5E71"/>
    <w:rsid w:val="003F69A4"/>
    <w:rsid w:val="00400EF6"/>
    <w:rsid w:val="0040283E"/>
    <w:rsid w:val="00403170"/>
    <w:rsid w:val="00405536"/>
    <w:rsid w:val="00406A27"/>
    <w:rsid w:val="004071F9"/>
    <w:rsid w:val="00407DDB"/>
    <w:rsid w:val="00410776"/>
    <w:rsid w:val="00411E90"/>
    <w:rsid w:val="00416946"/>
    <w:rsid w:val="0042106A"/>
    <w:rsid w:val="004222AC"/>
    <w:rsid w:val="00422F5D"/>
    <w:rsid w:val="0042377A"/>
    <w:rsid w:val="00425504"/>
    <w:rsid w:val="00433D07"/>
    <w:rsid w:val="00433D3A"/>
    <w:rsid w:val="0043423A"/>
    <w:rsid w:val="00435A51"/>
    <w:rsid w:val="00436E80"/>
    <w:rsid w:val="00442B2A"/>
    <w:rsid w:val="00444287"/>
    <w:rsid w:val="00446962"/>
    <w:rsid w:val="00454AB3"/>
    <w:rsid w:val="00454E6D"/>
    <w:rsid w:val="00456F36"/>
    <w:rsid w:val="0045734C"/>
    <w:rsid w:val="00461F29"/>
    <w:rsid w:val="00467E34"/>
    <w:rsid w:val="0047495B"/>
    <w:rsid w:val="00474EAF"/>
    <w:rsid w:val="004750D8"/>
    <w:rsid w:val="004757CE"/>
    <w:rsid w:val="00480BB5"/>
    <w:rsid w:val="00483FE9"/>
    <w:rsid w:val="0048696E"/>
    <w:rsid w:val="0049018A"/>
    <w:rsid w:val="0049133C"/>
    <w:rsid w:val="004922A5"/>
    <w:rsid w:val="00492324"/>
    <w:rsid w:val="0049454B"/>
    <w:rsid w:val="004A1959"/>
    <w:rsid w:val="004A2B95"/>
    <w:rsid w:val="004A4D86"/>
    <w:rsid w:val="004A61A8"/>
    <w:rsid w:val="004A7502"/>
    <w:rsid w:val="004A796D"/>
    <w:rsid w:val="004A7AE5"/>
    <w:rsid w:val="004B2360"/>
    <w:rsid w:val="004B29F6"/>
    <w:rsid w:val="004B52D1"/>
    <w:rsid w:val="004B6075"/>
    <w:rsid w:val="004C1B82"/>
    <w:rsid w:val="004C3ACB"/>
    <w:rsid w:val="004C62D4"/>
    <w:rsid w:val="004C7D63"/>
    <w:rsid w:val="004D1381"/>
    <w:rsid w:val="004D26BE"/>
    <w:rsid w:val="004D36CE"/>
    <w:rsid w:val="004E17DF"/>
    <w:rsid w:val="004E51EB"/>
    <w:rsid w:val="004E5A7A"/>
    <w:rsid w:val="004E6E07"/>
    <w:rsid w:val="004E7104"/>
    <w:rsid w:val="004E737B"/>
    <w:rsid w:val="004F107C"/>
    <w:rsid w:val="004F2791"/>
    <w:rsid w:val="004F5D1B"/>
    <w:rsid w:val="005007F1"/>
    <w:rsid w:val="005048B3"/>
    <w:rsid w:val="00505051"/>
    <w:rsid w:val="00510BE6"/>
    <w:rsid w:val="0051459E"/>
    <w:rsid w:val="00514CB7"/>
    <w:rsid w:val="00515436"/>
    <w:rsid w:val="00517B39"/>
    <w:rsid w:val="00520AF3"/>
    <w:rsid w:val="0052351A"/>
    <w:rsid w:val="005265DF"/>
    <w:rsid w:val="00531F50"/>
    <w:rsid w:val="005322A0"/>
    <w:rsid w:val="0053291B"/>
    <w:rsid w:val="00535314"/>
    <w:rsid w:val="0053666B"/>
    <w:rsid w:val="00537E15"/>
    <w:rsid w:val="00543D84"/>
    <w:rsid w:val="005501A6"/>
    <w:rsid w:val="005508B3"/>
    <w:rsid w:val="00552514"/>
    <w:rsid w:val="00553368"/>
    <w:rsid w:val="00555E94"/>
    <w:rsid w:val="00556A67"/>
    <w:rsid w:val="00556C32"/>
    <w:rsid w:val="005609C9"/>
    <w:rsid w:val="00564A4F"/>
    <w:rsid w:val="0056514F"/>
    <w:rsid w:val="00565B39"/>
    <w:rsid w:val="005670E6"/>
    <w:rsid w:val="005714EA"/>
    <w:rsid w:val="00571A17"/>
    <w:rsid w:val="0057322B"/>
    <w:rsid w:val="00573BE2"/>
    <w:rsid w:val="005760E8"/>
    <w:rsid w:val="005800F6"/>
    <w:rsid w:val="00580DBA"/>
    <w:rsid w:val="005819CA"/>
    <w:rsid w:val="005827BA"/>
    <w:rsid w:val="00582E9B"/>
    <w:rsid w:val="005831F0"/>
    <w:rsid w:val="00583836"/>
    <w:rsid w:val="00586FCE"/>
    <w:rsid w:val="00587814"/>
    <w:rsid w:val="005903D7"/>
    <w:rsid w:val="00590B5C"/>
    <w:rsid w:val="00592C95"/>
    <w:rsid w:val="00592E40"/>
    <w:rsid w:val="005940B9"/>
    <w:rsid w:val="00595E01"/>
    <w:rsid w:val="00596206"/>
    <w:rsid w:val="00596BF8"/>
    <w:rsid w:val="005974CA"/>
    <w:rsid w:val="005A1335"/>
    <w:rsid w:val="005A1A0C"/>
    <w:rsid w:val="005A3D65"/>
    <w:rsid w:val="005A46AF"/>
    <w:rsid w:val="005A4906"/>
    <w:rsid w:val="005A55DF"/>
    <w:rsid w:val="005B1614"/>
    <w:rsid w:val="005B63B1"/>
    <w:rsid w:val="005C209C"/>
    <w:rsid w:val="005C6C87"/>
    <w:rsid w:val="005D06D9"/>
    <w:rsid w:val="005D3E16"/>
    <w:rsid w:val="005D5041"/>
    <w:rsid w:val="005D6984"/>
    <w:rsid w:val="005E37C4"/>
    <w:rsid w:val="005E3BA5"/>
    <w:rsid w:val="005E51E9"/>
    <w:rsid w:val="005E7931"/>
    <w:rsid w:val="005F058A"/>
    <w:rsid w:val="005F5EAF"/>
    <w:rsid w:val="005F5F52"/>
    <w:rsid w:val="00600C6F"/>
    <w:rsid w:val="0060320D"/>
    <w:rsid w:val="006205B3"/>
    <w:rsid w:val="00620B8B"/>
    <w:rsid w:val="006240C6"/>
    <w:rsid w:val="00624BC5"/>
    <w:rsid w:val="00625DA7"/>
    <w:rsid w:val="00631AE0"/>
    <w:rsid w:val="00632630"/>
    <w:rsid w:val="0063358B"/>
    <w:rsid w:val="00633FF2"/>
    <w:rsid w:val="00634536"/>
    <w:rsid w:val="00636D57"/>
    <w:rsid w:val="006418BF"/>
    <w:rsid w:val="00643253"/>
    <w:rsid w:val="00644DCD"/>
    <w:rsid w:val="00647AA7"/>
    <w:rsid w:val="00650C70"/>
    <w:rsid w:val="006516C7"/>
    <w:rsid w:val="00652F1D"/>
    <w:rsid w:val="00653278"/>
    <w:rsid w:val="00654D1C"/>
    <w:rsid w:val="00656761"/>
    <w:rsid w:val="00657841"/>
    <w:rsid w:val="00657D76"/>
    <w:rsid w:val="00663490"/>
    <w:rsid w:val="006648CF"/>
    <w:rsid w:val="00666372"/>
    <w:rsid w:val="006716EC"/>
    <w:rsid w:val="00672BCB"/>
    <w:rsid w:val="0067645A"/>
    <w:rsid w:val="00676B6D"/>
    <w:rsid w:val="00681383"/>
    <w:rsid w:val="0068396B"/>
    <w:rsid w:val="0068456B"/>
    <w:rsid w:val="006847C6"/>
    <w:rsid w:val="00692601"/>
    <w:rsid w:val="00693470"/>
    <w:rsid w:val="006A5F27"/>
    <w:rsid w:val="006B3BCB"/>
    <w:rsid w:val="006C260A"/>
    <w:rsid w:val="006D06CD"/>
    <w:rsid w:val="006D2BF3"/>
    <w:rsid w:val="006D52CD"/>
    <w:rsid w:val="006E4D4B"/>
    <w:rsid w:val="006E6C27"/>
    <w:rsid w:val="006F0960"/>
    <w:rsid w:val="006F11D8"/>
    <w:rsid w:val="006F32C2"/>
    <w:rsid w:val="006F494D"/>
    <w:rsid w:val="006F58DA"/>
    <w:rsid w:val="0070171A"/>
    <w:rsid w:val="00701917"/>
    <w:rsid w:val="007026A9"/>
    <w:rsid w:val="00702726"/>
    <w:rsid w:val="0070280D"/>
    <w:rsid w:val="0070322C"/>
    <w:rsid w:val="00704D35"/>
    <w:rsid w:val="007064DE"/>
    <w:rsid w:val="00707E40"/>
    <w:rsid w:val="00712AC3"/>
    <w:rsid w:val="00714084"/>
    <w:rsid w:val="00715A39"/>
    <w:rsid w:val="00720F0B"/>
    <w:rsid w:val="007224EE"/>
    <w:rsid w:val="0072403B"/>
    <w:rsid w:val="00726602"/>
    <w:rsid w:val="00731DFD"/>
    <w:rsid w:val="0073234F"/>
    <w:rsid w:val="00740FD4"/>
    <w:rsid w:val="007422D9"/>
    <w:rsid w:val="0074276B"/>
    <w:rsid w:val="00742FA7"/>
    <w:rsid w:val="00743621"/>
    <w:rsid w:val="00745A36"/>
    <w:rsid w:val="00750B81"/>
    <w:rsid w:val="00752C9E"/>
    <w:rsid w:val="00753D59"/>
    <w:rsid w:val="007548A2"/>
    <w:rsid w:val="00754939"/>
    <w:rsid w:val="00755532"/>
    <w:rsid w:val="00766ED2"/>
    <w:rsid w:val="0076785B"/>
    <w:rsid w:val="00767B47"/>
    <w:rsid w:val="00767B60"/>
    <w:rsid w:val="007717A7"/>
    <w:rsid w:val="007750F5"/>
    <w:rsid w:val="00777F8F"/>
    <w:rsid w:val="0078107A"/>
    <w:rsid w:val="0078195C"/>
    <w:rsid w:val="0078227B"/>
    <w:rsid w:val="0078383B"/>
    <w:rsid w:val="00783B19"/>
    <w:rsid w:val="00785AA9"/>
    <w:rsid w:val="007A0795"/>
    <w:rsid w:val="007A433A"/>
    <w:rsid w:val="007A5C9F"/>
    <w:rsid w:val="007A73C7"/>
    <w:rsid w:val="007B0DF1"/>
    <w:rsid w:val="007B1491"/>
    <w:rsid w:val="007B3824"/>
    <w:rsid w:val="007B7E85"/>
    <w:rsid w:val="007C3399"/>
    <w:rsid w:val="007C5356"/>
    <w:rsid w:val="007C65BB"/>
    <w:rsid w:val="007D3ECE"/>
    <w:rsid w:val="007D409F"/>
    <w:rsid w:val="007D6E0D"/>
    <w:rsid w:val="007D745A"/>
    <w:rsid w:val="007E0F79"/>
    <w:rsid w:val="007E25AD"/>
    <w:rsid w:val="007E321A"/>
    <w:rsid w:val="007E4C15"/>
    <w:rsid w:val="007E5A88"/>
    <w:rsid w:val="007F0329"/>
    <w:rsid w:val="007F036C"/>
    <w:rsid w:val="007F0BD0"/>
    <w:rsid w:val="007F1029"/>
    <w:rsid w:val="007F26BB"/>
    <w:rsid w:val="00800F14"/>
    <w:rsid w:val="00801CA5"/>
    <w:rsid w:val="0080277C"/>
    <w:rsid w:val="00805070"/>
    <w:rsid w:val="00805905"/>
    <w:rsid w:val="00805B0A"/>
    <w:rsid w:val="00806D3F"/>
    <w:rsid w:val="00811D29"/>
    <w:rsid w:val="00811F32"/>
    <w:rsid w:val="00812C4F"/>
    <w:rsid w:val="00816A94"/>
    <w:rsid w:val="008176F4"/>
    <w:rsid w:val="00823BFF"/>
    <w:rsid w:val="00824431"/>
    <w:rsid w:val="00825958"/>
    <w:rsid w:val="0082684A"/>
    <w:rsid w:val="00831997"/>
    <w:rsid w:val="0083424A"/>
    <w:rsid w:val="0083730A"/>
    <w:rsid w:val="008408A4"/>
    <w:rsid w:val="00841767"/>
    <w:rsid w:val="008461A9"/>
    <w:rsid w:val="00847021"/>
    <w:rsid w:val="008474DF"/>
    <w:rsid w:val="008500CA"/>
    <w:rsid w:val="008528F8"/>
    <w:rsid w:val="0085539A"/>
    <w:rsid w:val="0085566A"/>
    <w:rsid w:val="00856449"/>
    <w:rsid w:val="00856562"/>
    <w:rsid w:val="008624B6"/>
    <w:rsid w:val="00863227"/>
    <w:rsid w:val="008637C0"/>
    <w:rsid w:val="00865562"/>
    <w:rsid w:val="00865E37"/>
    <w:rsid w:val="0086688D"/>
    <w:rsid w:val="00866C2B"/>
    <w:rsid w:val="0087070F"/>
    <w:rsid w:val="00870CAB"/>
    <w:rsid w:val="0087552B"/>
    <w:rsid w:val="00877750"/>
    <w:rsid w:val="00881BE9"/>
    <w:rsid w:val="00881F07"/>
    <w:rsid w:val="00883E05"/>
    <w:rsid w:val="00884383"/>
    <w:rsid w:val="00884E52"/>
    <w:rsid w:val="0088563C"/>
    <w:rsid w:val="00887519"/>
    <w:rsid w:val="00887A67"/>
    <w:rsid w:val="008921E3"/>
    <w:rsid w:val="00893087"/>
    <w:rsid w:val="008939FA"/>
    <w:rsid w:val="00894AA7"/>
    <w:rsid w:val="00895FEC"/>
    <w:rsid w:val="00896124"/>
    <w:rsid w:val="008A3F1C"/>
    <w:rsid w:val="008A6509"/>
    <w:rsid w:val="008B475D"/>
    <w:rsid w:val="008B6063"/>
    <w:rsid w:val="008C0605"/>
    <w:rsid w:val="008C102C"/>
    <w:rsid w:val="008C1BFE"/>
    <w:rsid w:val="008C2057"/>
    <w:rsid w:val="008C29A4"/>
    <w:rsid w:val="008C2A52"/>
    <w:rsid w:val="008C4D03"/>
    <w:rsid w:val="008C4EDE"/>
    <w:rsid w:val="008C53C9"/>
    <w:rsid w:val="008D30CA"/>
    <w:rsid w:val="008D41DB"/>
    <w:rsid w:val="008D6264"/>
    <w:rsid w:val="008D6271"/>
    <w:rsid w:val="008E2057"/>
    <w:rsid w:val="008E207B"/>
    <w:rsid w:val="008E3EB0"/>
    <w:rsid w:val="008E40C3"/>
    <w:rsid w:val="008E4395"/>
    <w:rsid w:val="008E5D0D"/>
    <w:rsid w:val="008E6BD0"/>
    <w:rsid w:val="008F13A1"/>
    <w:rsid w:val="008F22D5"/>
    <w:rsid w:val="008F3909"/>
    <w:rsid w:val="008F3C88"/>
    <w:rsid w:val="008F4233"/>
    <w:rsid w:val="00900377"/>
    <w:rsid w:val="00901BAB"/>
    <w:rsid w:val="00901BE2"/>
    <w:rsid w:val="00902E11"/>
    <w:rsid w:val="009049B6"/>
    <w:rsid w:val="00906ADF"/>
    <w:rsid w:val="009076D8"/>
    <w:rsid w:val="00910657"/>
    <w:rsid w:val="0091137E"/>
    <w:rsid w:val="009130F1"/>
    <w:rsid w:val="0091399B"/>
    <w:rsid w:val="009148F0"/>
    <w:rsid w:val="00925439"/>
    <w:rsid w:val="00933EA0"/>
    <w:rsid w:val="00934042"/>
    <w:rsid w:val="0093637D"/>
    <w:rsid w:val="00940340"/>
    <w:rsid w:val="009410EE"/>
    <w:rsid w:val="00941D0E"/>
    <w:rsid w:val="009426F4"/>
    <w:rsid w:val="00945141"/>
    <w:rsid w:val="00945B4D"/>
    <w:rsid w:val="00950307"/>
    <w:rsid w:val="00954056"/>
    <w:rsid w:val="00955AE1"/>
    <w:rsid w:val="0095769F"/>
    <w:rsid w:val="009611B2"/>
    <w:rsid w:val="00963AD7"/>
    <w:rsid w:val="00970221"/>
    <w:rsid w:val="009726F0"/>
    <w:rsid w:val="00973009"/>
    <w:rsid w:val="0097334D"/>
    <w:rsid w:val="00974576"/>
    <w:rsid w:val="00981639"/>
    <w:rsid w:val="009833CA"/>
    <w:rsid w:val="009839AC"/>
    <w:rsid w:val="00984394"/>
    <w:rsid w:val="009954A7"/>
    <w:rsid w:val="009A3277"/>
    <w:rsid w:val="009A6AFE"/>
    <w:rsid w:val="009B23EE"/>
    <w:rsid w:val="009B744A"/>
    <w:rsid w:val="009C0E88"/>
    <w:rsid w:val="009C1D33"/>
    <w:rsid w:val="009C3496"/>
    <w:rsid w:val="009C5C5A"/>
    <w:rsid w:val="009C7A26"/>
    <w:rsid w:val="009D04D5"/>
    <w:rsid w:val="009D0854"/>
    <w:rsid w:val="009D1E4B"/>
    <w:rsid w:val="009D35AC"/>
    <w:rsid w:val="009D621F"/>
    <w:rsid w:val="009E09A4"/>
    <w:rsid w:val="009E301D"/>
    <w:rsid w:val="009E341B"/>
    <w:rsid w:val="009E3D84"/>
    <w:rsid w:val="009E47CD"/>
    <w:rsid w:val="009E4887"/>
    <w:rsid w:val="009E4C00"/>
    <w:rsid w:val="009E7CD8"/>
    <w:rsid w:val="009F01E8"/>
    <w:rsid w:val="009F14A4"/>
    <w:rsid w:val="009F3649"/>
    <w:rsid w:val="009F3E30"/>
    <w:rsid w:val="009F6181"/>
    <w:rsid w:val="009F7952"/>
    <w:rsid w:val="00A01FA1"/>
    <w:rsid w:val="00A16F70"/>
    <w:rsid w:val="00A17F6F"/>
    <w:rsid w:val="00A20203"/>
    <w:rsid w:val="00A23F2C"/>
    <w:rsid w:val="00A31EFE"/>
    <w:rsid w:val="00A31FE5"/>
    <w:rsid w:val="00A36F44"/>
    <w:rsid w:val="00A42A98"/>
    <w:rsid w:val="00A47EBF"/>
    <w:rsid w:val="00A52A9F"/>
    <w:rsid w:val="00A569B8"/>
    <w:rsid w:val="00A6195F"/>
    <w:rsid w:val="00A65581"/>
    <w:rsid w:val="00A66FB9"/>
    <w:rsid w:val="00A67C65"/>
    <w:rsid w:val="00A725B1"/>
    <w:rsid w:val="00A74071"/>
    <w:rsid w:val="00A75FE8"/>
    <w:rsid w:val="00A772CA"/>
    <w:rsid w:val="00A81617"/>
    <w:rsid w:val="00A81711"/>
    <w:rsid w:val="00A85156"/>
    <w:rsid w:val="00A85B25"/>
    <w:rsid w:val="00A86872"/>
    <w:rsid w:val="00AA1B74"/>
    <w:rsid w:val="00AA667A"/>
    <w:rsid w:val="00AB059C"/>
    <w:rsid w:val="00AB15AE"/>
    <w:rsid w:val="00AB1BBA"/>
    <w:rsid w:val="00AB45CB"/>
    <w:rsid w:val="00AB49A0"/>
    <w:rsid w:val="00AB6704"/>
    <w:rsid w:val="00AB7271"/>
    <w:rsid w:val="00AB7BB5"/>
    <w:rsid w:val="00AC0297"/>
    <w:rsid w:val="00AC286C"/>
    <w:rsid w:val="00AC2F5C"/>
    <w:rsid w:val="00AC34B8"/>
    <w:rsid w:val="00AC6C48"/>
    <w:rsid w:val="00AD22D5"/>
    <w:rsid w:val="00AD3BAF"/>
    <w:rsid w:val="00AD519C"/>
    <w:rsid w:val="00AD519F"/>
    <w:rsid w:val="00AD6A93"/>
    <w:rsid w:val="00AD6ACE"/>
    <w:rsid w:val="00AE0AF2"/>
    <w:rsid w:val="00AE13FD"/>
    <w:rsid w:val="00AE52CC"/>
    <w:rsid w:val="00AE75CC"/>
    <w:rsid w:val="00AF17C0"/>
    <w:rsid w:val="00AF4D5C"/>
    <w:rsid w:val="00B002AB"/>
    <w:rsid w:val="00B03478"/>
    <w:rsid w:val="00B03F2B"/>
    <w:rsid w:val="00B1759B"/>
    <w:rsid w:val="00B20CDE"/>
    <w:rsid w:val="00B30876"/>
    <w:rsid w:val="00B31209"/>
    <w:rsid w:val="00B324C9"/>
    <w:rsid w:val="00B326BE"/>
    <w:rsid w:val="00B32881"/>
    <w:rsid w:val="00B32E87"/>
    <w:rsid w:val="00B344E6"/>
    <w:rsid w:val="00B350F8"/>
    <w:rsid w:val="00B35325"/>
    <w:rsid w:val="00B362F3"/>
    <w:rsid w:val="00B36379"/>
    <w:rsid w:val="00B3652E"/>
    <w:rsid w:val="00B36CD1"/>
    <w:rsid w:val="00B43CD2"/>
    <w:rsid w:val="00B45B4F"/>
    <w:rsid w:val="00B45C7D"/>
    <w:rsid w:val="00B46A55"/>
    <w:rsid w:val="00B47C3F"/>
    <w:rsid w:val="00B51EA8"/>
    <w:rsid w:val="00B532B6"/>
    <w:rsid w:val="00B533AD"/>
    <w:rsid w:val="00B557C4"/>
    <w:rsid w:val="00B56696"/>
    <w:rsid w:val="00B56A66"/>
    <w:rsid w:val="00B617E7"/>
    <w:rsid w:val="00B630EE"/>
    <w:rsid w:val="00B66F44"/>
    <w:rsid w:val="00B677AA"/>
    <w:rsid w:val="00B72D77"/>
    <w:rsid w:val="00B82B15"/>
    <w:rsid w:val="00B87177"/>
    <w:rsid w:val="00B87537"/>
    <w:rsid w:val="00B918E0"/>
    <w:rsid w:val="00B9196D"/>
    <w:rsid w:val="00BA09F6"/>
    <w:rsid w:val="00BA0ABB"/>
    <w:rsid w:val="00BA0CA7"/>
    <w:rsid w:val="00BA15D3"/>
    <w:rsid w:val="00BA4231"/>
    <w:rsid w:val="00BA597C"/>
    <w:rsid w:val="00BA5DD4"/>
    <w:rsid w:val="00BA6A44"/>
    <w:rsid w:val="00BA6FD9"/>
    <w:rsid w:val="00BB11CC"/>
    <w:rsid w:val="00BB1404"/>
    <w:rsid w:val="00BB1A5C"/>
    <w:rsid w:val="00BB59D8"/>
    <w:rsid w:val="00BC0FF6"/>
    <w:rsid w:val="00BC2D1E"/>
    <w:rsid w:val="00BC7953"/>
    <w:rsid w:val="00BD00E7"/>
    <w:rsid w:val="00BD3560"/>
    <w:rsid w:val="00BD57A4"/>
    <w:rsid w:val="00BD6BA0"/>
    <w:rsid w:val="00BE07B3"/>
    <w:rsid w:val="00BE21FB"/>
    <w:rsid w:val="00BE2513"/>
    <w:rsid w:val="00BE3F0B"/>
    <w:rsid w:val="00BE4114"/>
    <w:rsid w:val="00BE43E6"/>
    <w:rsid w:val="00BE6031"/>
    <w:rsid w:val="00BE7397"/>
    <w:rsid w:val="00BF2FD0"/>
    <w:rsid w:val="00BF3EAD"/>
    <w:rsid w:val="00BF406E"/>
    <w:rsid w:val="00BF712A"/>
    <w:rsid w:val="00C007ED"/>
    <w:rsid w:val="00C0128D"/>
    <w:rsid w:val="00C06510"/>
    <w:rsid w:val="00C10C79"/>
    <w:rsid w:val="00C12DC5"/>
    <w:rsid w:val="00C1622C"/>
    <w:rsid w:val="00C16833"/>
    <w:rsid w:val="00C1759C"/>
    <w:rsid w:val="00C23ED8"/>
    <w:rsid w:val="00C23FE2"/>
    <w:rsid w:val="00C241D4"/>
    <w:rsid w:val="00C25311"/>
    <w:rsid w:val="00C260AB"/>
    <w:rsid w:val="00C313D6"/>
    <w:rsid w:val="00C32750"/>
    <w:rsid w:val="00C34BC6"/>
    <w:rsid w:val="00C34D04"/>
    <w:rsid w:val="00C41611"/>
    <w:rsid w:val="00C42BCE"/>
    <w:rsid w:val="00C438D1"/>
    <w:rsid w:val="00C47473"/>
    <w:rsid w:val="00C5115E"/>
    <w:rsid w:val="00C54026"/>
    <w:rsid w:val="00C57BC5"/>
    <w:rsid w:val="00C62072"/>
    <w:rsid w:val="00C63C4D"/>
    <w:rsid w:val="00C64EDE"/>
    <w:rsid w:val="00C65525"/>
    <w:rsid w:val="00C73B81"/>
    <w:rsid w:val="00C74AE1"/>
    <w:rsid w:val="00C75DDD"/>
    <w:rsid w:val="00C76A49"/>
    <w:rsid w:val="00C801F0"/>
    <w:rsid w:val="00C82389"/>
    <w:rsid w:val="00C82749"/>
    <w:rsid w:val="00C83BD3"/>
    <w:rsid w:val="00C84ED8"/>
    <w:rsid w:val="00C875C7"/>
    <w:rsid w:val="00C87A1D"/>
    <w:rsid w:val="00C921A8"/>
    <w:rsid w:val="00C92888"/>
    <w:rsid w:val="00C939AC"/>
    <w:rsid w:val="00C9623F"/>
    <w:rsid w:val="00C96861"/>
    <w:rsid w:val="00C96F47"/>
    <w:rsid w:val="00CA0C78"/>
    <w:rsid w:val="00CB5033"/>
    <w:rsid w:val="00CB770E"/>
    <w:rsid w:val="00CC27C2"/>
    <w:rsid w:val="00CD3144"/>
    <w:rsid w:val="00CD35A4"/>
    <w:rsid w:val="00CD5570"/>
    <w:rsid w:val="00CD58A0"/>
    <w:rsid w:val="00CE32EF"/>
    <w:rsid w:val="00CE3D1C"/>
    <w:rsid w:val="00CE75E7"/>
    <w:rsid w:val="00CF5AA3"/>
    <w:rsid w:val="00CF6A38"/>
    <w:rsid w:val="00CF728C"/>
    <w:rsid w:val="00D0151C"/>
    <w:rsid w:val="00D02A4C"/>
    <w:rsid w:val="00D02B13"/>
    <w:rsid w:val="00D059BA"/>
    <w:rsid w:val="00D07433"/>
    <w:rsid w:val="00D106F6"/>
    <w:rsid w:val="00D10ACC"/>
    <w:rsid w:val="00D138AF"/>
    <w:rsid w:val="00D14301"/>
    <w:rsid w:val="00D15804"/>
    <w:rsid w:val="00D163E8"/>
    <w:rsid w:val="00D21460"/>
    <w:rsid w:val="00D22E61"/>
    <w:rsid w:val="00D23C95"/>
    <w:rsid w:val="00D23D13"/>
    <w:rsid w:val="00D25D4B"/>
    <w:rsid w:val="00D3062C"/>
    <w:rsid w:val="00D31640"/>
    <w:rsid w:val="00D35382"/>
    <w:rsid w:val="00D3610A"/>
    <w:rsid w:val="00D37BBE"/>
    <w:rsid w:val="00D43BF2"/>
    <w:rsid w:val="00D4779C"/>
    <w:rsid w:val="00D558D0"/>
    <w:rsid w:val="00D57A19"/>
    <w:rsid w:val="00D60893"/>
    <w:rsid w:val="00D608B1"/>
    <w:rsid w:val="00D60C44"/>
    <w:rsid w:val="00D62AD1"/>
    <w:rsid w:val="00D743EE"/>
    <w:rsid w:val="00D748CE"/>
    <w:rsid w:val="00D74DBA"/>
    <w:rsid w:val="00D75620"/>
    <w:rsid w:val="00D8250A"/>
    <w:rsid w:val="00D836F4"/>
    <w:rsid w:val="00D84361"/>
    <w:rsid w:val="00D84466"/>
    <w:rsid w:val="00D84833"/>
    <w:rsid w:val="00D91518"/>
    <w:rsid w:val="00D94C25"/>
    <w:rsid w:val="00D9588D"/>
    <w:rsid w:val="00D96FD8"/>
    <w:rsid w:val="00DA1295"/>
    <w:rsid w:val="00DA1918"/>
    <w:rsid w:val="00DA2264"/>
    <w:rsid w:val="00DB278D"/>
    <w:rsid w:val="00DB32C3"/>
    <w:rsid w:val="00DB349B"/>
    <w:rsid w:val="00DB38F3"/>
    <w:rsid w:val="00DB6427"/>
    <w:rsid w:val="00DB6540"/>
    <w:rsid w:val="00DC1D5A"/>
    <w:rsid w:val="00DC2AAD"/>
    <w:rsid w:val="00DC5E55"/>
    <w:rsid w:val="00DD0F5A"/>
    <w:rsid w:val="00DD1C45"/>
    <w:rsid w:val="00DD4CA2"/>
    <w:rsid w:val="00DD5A2B"/>
    <w:rsid w:val="00DD610C"/>
    <w:rsid w:val="00DD7396"/>
    <w:rsid w:val="00DD7848"/>
    <w:rsid w:val="00DE1D3E"/>
    <w:rsid w:val="00DE2156"/>
    <w:rsid w:val="00DE303E"/>
    <w:rsid w:val="00DE3890"/>
    <w:rsid w:val="00DE5C18"/>
    <w:rsid w:val="00DE5CF2"/>
    <w:rsid w:val="00DE68E7"/>
    <w:rsid w:val="00DE6D87"/>
    <w:rsid w:val="00DE750E"/>
    <w:rsid w:val="00DF0768"/>
    <w:rsid w:val="00DF2650"/>
    <w:rsid w:val="00DF54BA"/>
    <w:rsid w:val="00DF6C81"/>
    <w:rsid w:val="00E00121"/>
    <w:rsid w:val="00E02CDC"/>
    <w:rsid w:val="00E04F5A"/>
    <w:rsid w:val="00E06105"/>
    <w:rsid w:val="00E062AE"/>
    <w:rsid w:val="00E11A42"/>
    <w:rsid w:val="00E16C51"/>
    <w:rsid w:val="00E16E4E"/>
    <w:rsid w:val="00E20153"/>
    <w:rsid w:val="00E2102B"/>
    <w:rsid w:val="00E30139"/>
    <w:rsid w:val="00E30768"/>
    <w:rsid w:val="00E370F7"/>
    <w:rsid w:val="00E40C0F"/>
    <w:rsid w:val="00E4476D"/>
    <w:rsid w:val="00E44C41"/>
    <w:rsid w:val="00E4564A"/>
    <w:rsid w:val="00E46246"/>
    <w:rsid w:val="00E46436"/>
    <w:rsid w:val="00E46493"/>
    <w:rsid w:val="00E46671"/>
    <w:rsid w:val="00E467B2"/>
    <w:rsid w:val="00E47493"/>
    <w:rsid w:val="00E61ADC"/>
    <w:rsid w:val="00E63840"/>
    <w:rsid w:val="00E649E8"/>
    <w:rsid w:val="00E66CE3"/>
    <w:rsid w:val="00E74ECC"/>
    <w:rsid w:val="00E77F90"/>
    <w:rsid w:val="00E855E8"/>
    <w:rsid w:val="00E87902"/>
    <w:rsid w:val="00E9069E"/>
    <w:rsid w:val="00E91615"/>
    <w:rsid w:val="00E91791"/>
    <w:rsid w:val="00E972E0"/>
    <w:rsid w:val="00EA0907"/>
    <w:rsid w:val="00EA4E2A"/>
    <w:rsid w:val="00EA5491"/>
    <w:rsid w:val="00EA65FB"/>
    <w:rsid w:val="00EB0F8C"/>
    <w:rsid w:val="00EB2E01"/>
    <w:rsid w:val="00EB4E53"/>
    <w:rsid w:val="00EB763C"/>
    <w:rsid w:val="00EB7BF5"/>
    <w:rsid w:val="00EC1B78"/>
    <w:rsid w:val="00EC4C7B"/>
    <w:rsid w:val="00EC5FE1"/>
    <w:rsid w:val="00EC6C50"/>
    <w:rsid w:val="00ED01FF"/>
    <w:rsid w:val="00ED196C"/>
    <w:rsid w:val="00ED1E9F"/>
    <w:rsid w:val="00ED598F"/>
    <w:rsid w:val="00ED684C"/>
    <w:rsid w:val="00ED6C9B"/>
    <w:rsid w:val="00EE191C"/>
    <w:rsid w:val="00EE2848"/>
    <w:rsid w:val="00EE32A7"/>
    <w:rsid w:val="00EE5041"/>
    <w:rsid w:val="00EE77DA"/>
    <w:rsid w:val="00EE79FF"/>
    <w:rsid w:val="00EF0756"/>
    <w:rsid w:val="00EF2D1C"/>
    <w:rsid w:val="00EF4BE5"/>
    <w:rsid w:val="00F026CB"/>
    <w:rsid w:val="00F06C2C"/>
    <w:rsid w:val="00F07914"/>
    <w:rsid w:val="00F1063E"/>
    <w:rsid w:val="00F11B92"/>
    <w:rsid w:val="00F12DE9"/>
    <w:rsid w:val="00F148F2"/>
    <w:rsid w:val="00F1780E"/>
    <w:rsid w:val="00F17B5D"/>
    <w:rsid w:val="00F21043"/>
    <w:rsid w:val="00F23B2F"/>
    <w:rsid w:val="00F24F0F"/>
    <w:rsid w:val="00F2604A"/>
    <w:rsid w:val="00F325B6"/>
    <w:rsid w:val="00F3533B"/>
    <w:rsid w:val="00F36CB4"/>
    <w:rsid w:val="00F41C5F"/>
    <w:rsid w:val="00F43109"/>
    <w:rsid w:val="00F4529F"/>
    <w:rsid w:val="00F457ED"/>
    <w:rsid w:val="00F474DC"/>
    <w:rsid w:val="00F47F60"/>
    <w:rsid w:val="00F52DA3"/>
    <w:rsid w:val="00F55ECC"/>
    <w:rsid w:val="00F5611D"/>
    <w:rsid w:val="00F658EE"/>
    <w:rsid w:val="00F73390"/>
    <w:rsid w:val="00F73590"/>
    <w:rsid w:val="00F73B9D"/>
    <w:rsid w:val="00F7617B"/>
    <w:rsid w:val="00F835B1"/>
    <w:rsid w:val="00F845BD"/>
    <w:rsid w:val="00F84A60"/>
    <w:rsid w:val="00F93771"/>
    <w:rsid w:val="00F94270"/>
    <w:rsid w:val="00F95F61"/>
    <w:rsid w:val="00FA120D"/>
    <w:rsid w:val="00FA1991"/>
    <w:rsid w:val="00FA3301"/>
    <w:rsid w:val="00FA6062"/>
    <w:rsid w:val="00FA67E2"/>
    <w:rsid w:val="00FA7CC1"/>
    <w:rsid w:val="00FB0AB3"/>
    <w:rsid w:val="00FB5473"/>
    <w:rsid w:val="00FC2602"/>
    <w:rsid w:val="00FC396F"/>
    <w:rsid w:val="00FD1AC1"/>
    <w:rsid w:val="00FD1F05"/>
    <w:rsid w:val="00FD2E5D"/>
    <w:rsid w:val="00FD3321"/>
    <w:rsid w:val="00FD457D"/>
    <w:rsid w:val="00FD5767"/>
    <w:rsid w:val="00FE1C34"/>
    <w:rsid w:val="00FE274C"/>
    <w:rsid w:val="00FE2D0A"/>
    <w:rsid w:val="00FE6B6A"/>
    <w:rsid w:val="00FF082D"/>
    <w:rsid w:val="00FF3152"/>
    <w:rsid w:val="00FF4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4875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334D"/>
    <w:pPr>
      <w:tabs>
        <w:tab w:val="center" w:pos="4320"/>
        <w:tab w:val="right" w:pos="8640"/>
      </w:tabs>
    </w:pPr>
  </w:style>
  <w:style w:type="character" w:customStyle="1" w:styleId="FooterChar">
    <w:name w:val="Footer Char"/>
    <w:basedOn w:val="DefaultParagraphFont"/>
    <w:link w:val="Footer"/>
    <w:uiPriority w:val="99"/>
    <w:rsid w:val="0097334D"/>
  </w:style>
  <w:style w:type="character" w:styleId="PageNumber">
    <w:name w:val="page number"/>
    <w:basedOn w:val="DefaultParagraphFont"/>
    <w:uiPriority w:val="99"/>
    <w:semiHidden/>
    <w:unhideWhenUsed/>
    <w:rsid w:val="0097334D"/>
  </w:style>
  <w:style w:type="paragraph" w:styleId="BalloonText">
    <w:name w:val="Balloon Text"/>
    <w:basedOn w:val="Normal"/>
    <w:link w:val="BalloonTextChar"/>
    <w:uiPriority w:val="99"/>
    <w:semiHidden/>
    <w:unhideWhenUsed/>
    <w:rsid w:val="001C2E30"/>
    <w:rPr>
      <w:rFonts w:ascii="Lucida Grande" w:hAnsi="Lucida Grande"/>
      <w:sz w:val="18"/>
      <w:szCs w:val="18"/>
    </w:rPr>
  </w:style>
  <w:style w:type="character" w:customStyle="1" w:styleId="BalloonTextChar">
    <w:name w:val="Balloon Text Char"/>
    <w:basedOn w:val="DefaultParagraphFont"/>
    <w:link w:val="BalloonText"/>
    <w:uiPriority w:val="99"/>
    <w:semiHidden/>
    <w:rsid w:val="001C2E30"/>
    <w:rPr>
      <w:rFonts w:ascii="Lucida Grande" w:hAnsi="Lucida Grande"/>
      <w:sz w:val="18"/>
      <w:szCs w:val="18"/>
    </w:rPr>
  </w:style>
  <w:style w:type="table" w:styleId="TableGrid">
    <w:name w:val="Table Grid"/>
    <w:basedOn w:val="TableNormal"/>
    <w:uiPriority w:val="59"/>
    <w:rsid w:val="001C2E30"/>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C7D63"/>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657D76"/>
    <w:pPr>
      <w:tabs>
        <w:tab w:val="center" w:pos="4320"/>
        <w:tab w:val="right" w:pos="8640"/>
      </w:tabs>
    </w:pPr>
  </w:style>
  <w:style w:type="character" w:customStyle="1" w:styleId="HeaderChar">
    <w:name w:val="Header Char"/>
    <w:basedOn w:val="DefaultParagraphFont"/>
    <w:link w:val="Header"/>
    <w:uiPriority w:val="99"/>
    <w:rsid w:val="00657D76"/>
  </w:style>
  <w:style w:type="paragraph" w:styleId="ListParagraph">
    <w:name w:val="List Paragraph"/>
    <w:basedOn w:val="Normal"/>
    <w:uiPriority w:val="34"/>
    <w:qFormat/>
    <w:rsid w:val="00BA6A44"/>
    <w:pPr>
      <w:ind w:left="720"/>
      <w:contextualSpacing/>
    </w:pPr>
  </w:style>
  <w:style w:type="character" w:styleId="Hyperlink">
    <w:name w:val="Hyperlink"/>
    <w:basedOn w:val="DefaultParagraphFont"/>
    <w:uiPriority w:val="99"/>
    <w:unhideWhenUsed/>
    <w:rsid w:val="00EE32A7"/>
    <w:rPr>
      <w:color w:val="0000FF" w:themeColor="hyperlink"/>
      <w:u w:val="single"/>
    </w:rPr>
  </w:style>
  <w:style w:type="character" w:styleId="CommentReference">
    <w:name w:val="annotation reference"/>
    <w:basedOn w:val="DefaultParagraphFont"/>
    <w:uiPriority w:val="99"/>
    <w:semiHidden/>
    <w:unhideWhenUsed/>
    <w:rsid w:val="007422D9"/>
    <w:rPr>
      <w:sz w:val="18"/>
      <w:szCs w:val="18"/>
    </w:rPr>
  </w:style>
  <w:style w:type="paragraph" w:styleId="CommentText">
    <w:name w:val="annotation text"/>
    <w:basedOn w:val="Normal"/>
    <w:link w:val="CommentTextChar"/>
    <w:uiPriority w:val="99"/>
    <w:unhideWhenUsed/>
    <w:rsid w:val="007422D9"/>
  </w:style>
  <w:style w:type="character" w:customStyle="1" w:styleId="CommentTextChar">
    <w:name w:val="Comment Text Char"/>
    <w:basedOn w:val="DefaultParagraphFont"/>
    <w:link w:val="CommentText"/>
    <w:uiPriority w:val="99"/>
    <w:rsid w:val="007422D9"/>
  </w:style>
  <w:style w:type="paragraph" w:styleId="CommentSubject">
    <w:name w:val="annotation subject"/>
    <w:basedOn w:val="CommentText"/>
    <w:next w:val="CommentText"/>
    <w:link w:val="CommentSubjectChar"/>
    <w:uiPriority w:val="99"/>
    <w:semiHidden/>
    <w:unhideWhenUsed/>
    <w:rsid w:val="007422D9"/>
    <w:rPr>
      <w:b/>
      <w:bCs/>
      <w:sz w:val="20"/>
      <w:szCs w:val="20"/>
    </w:rPr>
  </w:style>
  <w:style w:type="character" w:customStyle="1" w:styleId="CommentSubjectChar">
    <w:name w:val="Comment Subject Char"/>
    <w:basedOn w:val="CommentTextChar"/>
    <w:link w:val="CommentSubject"/>
    <w:uiPriority w:val="99"/>
    <w:semiHidden/>
    <w:rsid w:val="007422D9"/>
    <w:rPr>
      <w:b/>
      <w:bCs/>
      <w:sz w:val="20"/>
      <w:szCs w:val="20"/>
    </w:rPr>
  </w:style>
  <w:style w:type="character" w:customStyle="1" w:styleId="apple-converted-space">
    <w:name w:val="apple-converted-space"/>
    <w:basedOn w:val="DefaultParagraphFont"/>
    <w:rsid w:val="00F73B9D"/>
  </w:style>
  <w:style w:type="character" w:customStyle="1" w:styleId="ref-journal">
    <w:name w:val="ref-journal"/>
    <w:basedOn w:val="DefaultParagraphFont"/>
    <w:rsid w:val="00F73B9D"/>
  </w:style>
  <w:style w:type="character" w:customStyle="1" w:styleId="ref-vol">
    <w:name w:val="ref-vol"/>
    <w:basedOn w:val="DefaultParagraphFont"/>
    <w:rsid w:val="00F73B9D"/>
  </w:style>
  <w:style w:type="character" w:styleId="SubtleEmphasis">
    <w:name w:val="Subtle Emphasis"/>
    <w:basedOn w:val="DefaultParagraphFont"/>
    <w:uiPriority w:val="99"/>
    <w:qFormat/>
    <w:rsid w:val="00657841"/>
    <w:rPr>
      <w:i/>
      <w:iCs/>
      <w:color w:val="808080"/>
    </w:rPr>
  </w:style>
  <w:style w:type="paragraph" w:styleId="Revision">
    <w:name w:val="Revision"/>
    <w:hidden/>
    <w:uiPriority w:val="99"/>
    <w:semiHidden/>
    <w:rsid w:val="000E24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334D"/>
    <w:pPr>
      <w:tabs>
        <w:tab w:val="center" w:pos="4320"/>
        <w:tab w:val="right" w:pos="8640"/>
      </w:tabs>
    </w:pPr>
  </w:style>
  <w:style w:type="character" w:customStyle="1" w:styleId="FooterChar">
    <w:name w:val="Footer Char"/>
    <w:basedOn w:val="DefaultParagraphFont"/>
    <w:link w:val="Footer"/>
    <w:uiPriority w:val="99"/>
    <w:rsid w:val="0097334D"/>
  </w:style>
  <w:style w:type="character" w:styleId="PageNumber">
    <w:name w:val="page number"/>
    <w:basedOn w:val="DefaultParagraphFont"/>
    <w:uiPriority w:val="99"/>
    <w:semiHidden/>
    <w:unhideWhenUsed/>
    <w:rsid w:val="0097334D"/>
  </w:style>
  <w:style w:type="paragraph" w:styleId="BalloonText">
    <w:name w:val="Balloon Text"/>
    <w:basedOn w:val="Normal"/>
    <w:link w:val="BalloonTextChar"/>
    <w:uiPriority w:val="99"/>
    <w:semiHidden/>
    <w:unhideWhenUsed/>
    <w:rsid w:val="001C2E30"/>
    <w:rPr>
      <w:rFonts w:ascii="Lucida Grande" w:hAnsi="Lucida Grande"/>
      <w:sz w:val="18"/>
      <w:szCs w:val="18"/>
    </w:rPr>
  </w:style>
  <w:style w:type="character" w:customStyle="1" w:styleId="BalloonTextChar">
    <w:name w:val="Balloon Text Char"/>
    <w:basedOn w:val="DefaultParagraphFont"/>
    <w:link w:val="BalloonText"/>
    <w:uiPriority w:val="99"/>
    <w:semiHidden/>
    <w:rsid w:val="001C2E30"/>
    <w:rPr>
      <w:rFonts w:ascii="Lucida Grande" w:hAnsi="Lucida Grande"/>
      <w:sz w:val="18"/>
      <w:szCs w:val="18"/>
    </w:rPr>
  </w:style>
  <w:style w:type="table" w:styleId="TableGrid">
    <w:name w:val="Table Grid"/>
    <w:basedOn w:val="TableNormal"/>
    <w:uiPriority w:val="59"/>
    <w:rsid w:val="001C2E30"/>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C7D63"/>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657D76"/>
    <w:pPr>
      <w:tabs>
        <w:tab w:val="center" w:pos="4320"/>
        <w:tab w:val="right" w:pos="8640"/>
      </w:tabs>
    </w:pPr>
  </w:style>
  <w:style w:type="character" w:customStyle="1" w:styleId="HeaderChar">
    <w:name w:val="Header Char"/>
    <w:basedOn w:val="DefaultParagraphFont"/>
    <w:link w:val="Header"/>
    <w:uiPriority w:val="99"/>
    <w:rsid w:val="00657D76"/>
  </w:style>
  <w:style w:type="paragraph" w:styleId="ListParagraph">
    <w:name w:val="List Paragraph"/>
    <w:basedOn w:val="Normal"/>
    <w:uiPriority w:val="34"/>
    <w:qFormat/>
    <w:rsid w:val="00BA6A44"/>
    <w:pPr>
      <w:ind w:left="720"/>
      <w:contextualSpacing/>
    </w:pPr>
  </w:style>
  <w:style w:type="character" w:styleId="Hyperlink">
    <w:name w:val="Hyperlink"/>
    <w:basedOn w:val="DefaultParagraphFont"/>
    <w:uiPriority w:val="99"/>
    <w:unhideWhenUsed/>
    <w:rsid w:val="00EE32A7"/>
    <w:rPr>
      <w:color w:val="0000FF" w:themeColor="hyperlink"/>
      <w:u w:val="single"/>
    </w:rPr>
  </w:style>
  <w:style w:type="character" w:styleId="CommentReference">
    <w:name w:val="annotation reference"/>
    <w:basedOn w:val="DefaultParagraphFont"/>
    <w:uiPriority w:val="99"/>
    <w:semiHidden/>
    <w:unhideWhenUsed/>
    <w:rsid w:val="007422D9"/>
    <w:rPr>
      <w:sz w:val="18"/>
      <w:szCs w:val="18"/>
    </w:rPr>
  </w:style>
  <w:style w:type="paragraph" w:styleId="CommentText">
    <w:name w:val="annotation text"/>
    <w:basedOn w:val="Normal"/>
    <w:link w:val="CommentTextChar"/>
    <w:uiPriority w:val="99"/>
    <w:unhideWhenUsed/>
    <w:rsid w:val="007422D9"/>
  </w:style>
  <w:style w:type="character" w:customStyle="1" w:styleId="CommentTextChar">
    <w:name w:val="Comment Text Char"/>
    <w:basedOn w:val="DefaultParagraphFont"/>
    <w:link w:val="CommentText"/>
    <w:uiPriority w:val="99"/>
    <w:rsid w:val="007422D9"/>
  </w:style>
  <w:style w:type="paragraph" w:styleId="CommentSubject">
    <w:name w:val="annotation subject"/>
    <w:basedOn w:val="CommentText"/>
    <w:next w:val="CommentText"/>
    <w:link w:val="CommentSubjectChar"/>
    <w:uiPriority w:val="99"/>
    <w:semiHidden/>
    <w:unhideWhenUsed/>
    <w:rsid w:val="007422D9"/>
    <w:rPr>
      <w:b/>
      <w:bCs/>
      <w:sz w:val="20"/>
      <w:szCs w:val="20"/>
    </w:rPr>
  </w:style>
  <w:style w:type="character" w:customStyle="1" w:styleId="CommentSubjectChar">
    <w:name w:val="Comment Subject Char"/>
    <w:basedOn w:val="CommentTextChar"/>
    <w:link w:val="CommentSubject"/>
    <w:uiPriority w:val="99"/>
    <w:semiHidden/>
    <w:rsid w:val="007422D9"/>
    <w:rPr>
      <w:b/>
      <w:bCs/>
      <w:sz w:val="20"/>
      <w:szCs w:val="20"/>
    </w:rPr>
  </w:style>
  <w:style w:type="character" w:customStyle="1" w:styleId="apple-converted-space">
    <w:name w:val="apple-converted-space"/>
    <w:basedOn w:val="DefaultParagraphFont"/>
    <w:rsid w:val="00F73B9D"/>
  </w:style>
  <w:style w:type="character" w:customStyle="1" w:styleId="ref-journal">
    <w:name w:val="ref-journal"/>
    <w:basedOn w:val="DefaultParagraphFont"/>
    <w:rsid w:val="00F73B9D"/>
  </w:style>
  <w:style w:type="character" w:customStyle="1" w:styleId="ref-vol">
    <w:name w:val="ref-vol"/>
    <w:basedOn w:val="DefaultParagraphFont"/>
    <w:rsid w:val="00F73B9D"/>
  </w:style>
  <w:style w:type="character" w:styleId="SubtleEmphasis">
    <w:name w:val="Subtle Emphasis"/>
    <w:basedOn w:val="DefaultParagraphFont"/>
    <w:uiPriority w:val="99"/>
    <w:qFormat/>
    <w:rsid w:val="00657841"/>
    <w:rPr>
      <w:i/>
      <w:iCs/>
      <w:color w:val="808080"/>
    </w:rPr>
  </w:style>
  <w:style w:type="paragraph" w:styleId="Revision">
    <w:name w:val="Revision"/>
    <w:hidden/>
    <w:uiPriority w:val="99"/>
    <w:semiHidden/>
    <w:rsid w:val="000E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5780">
      <w:bodyDiv w:val="1"/>
      <w:marLeft w:val="0"/>
      <w:marRight w:val="0"/>
      <w:marTop w:val="0"/>
      <w:marBottom w:val="0"/>
      <w:divBdr>
        <w:top w:val="none" w:sz="0" w:space="0" w:color="auto"/>
        <w:left w:val="none" w:sz="0" w:space="0" w:color="auto"/>
        <w:bottom w:val="none" w:sz="0" w:space="0" w:color="auto"/>
        <w:right w:val="none" w:sz="0" w:space="0" w:color="auto"/>
      </w:divBdr>
    </w:div>
    <w:div w:id="197160204">
      <w:bodyDiv w:val="1"/>
      <w:marLeft w:val="0"/>
      <w:marRight w:val="0"/>
      <w:marTop w:val="0"/>
      <w:marBottom w:val="0"/>
      <w:divBdr>
        <w:top w:val="none" w:sz="0" w:space="0" w:color="auto"/>
        <w:left w:val="none" w:sz="0" w:space="0" w:color="auto"/>
        <w:bottom w:val="none" w:sz="0" w:space="0" w:color="auto"/>
        <w:right w:val="none" w:sz="0" w:space="0" w:color="auto"/>
      </w:divBdr>
    </w:div>
    <w:div w:id="1892500149">
      <w:bodyDiv w:val="1"/>
      <w:marLeft w:val="0"/>
      <w:marRight w:val="0"/>
      <w:marTop w:val="0"/>
      <w:marBottom w:val="0"/>
      <w:divBdr>
        <w:top w:val="none" w:sz="0" w:space="0" w:color="auto"/>
        <w:left w:val="none" w:sz="0" w:space="0" w:color="auto"/>
        <w:bottom w:val="none" w:sz="0" w:space="0" w:color="auto"/>
        <w:right w:val="none" w:sz="0" w:space="0" w:color="auto"/>
      </w:divBdr>
    </w:div>
    <w:div w:id="19814938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andom.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4997</Words>
  <Characters>26785</Characters>
  <Application>Microsoft Macintosh Word</Application>
  <DocSecurity>0</DocSecurity>
  <Lines>686</Lines>
  <Paragraphs>161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O'Sullivan</dc:creator>
  <cp:lastModifiedBy>Benedict Michael</cp:lastModifiedBy>
  <cp:revision>2</cp:revision>
  <cp:lastPrinted>2014-09-19T12:48:00Z</cp:lastPrinted>
  <dcterms:created xsi:type="dcterms:W3CDTF">2016-04-12T17:56:00Z</dcterms:created>
  <dcterms:modified xsi:type="dcterms:W3CDTF">2016-04-12T17:56:00Z</dcterms:modified>
</cp:coreProperties>
</file>