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5DD25" w14:textId="47544485" w:rsidR="00723747" w:rsidRPr="0059472E" w:rsidRDefault="007407A0" w:rsidP="006A3AAE">
      <w:pPr>
        <w:pStyle w:val="Heading11"/>
        <w:spacing w:before="0" w:after="0" w:line="480" w:lineRule="auto"/>
        <w:jc w:val="center"/>
        <w:rPr>
          <w:rFonts w:asciiTheme="minorHAnsi" w:hAnsiTheme="minorHAnsi" w:cstheme="minorHAnsi"/>
          <w:color w:val="auto"/>
          <w:sz w:val="22"/>
        </w:rPr>
      </w:pPr>
      <w:r w:rsidRPr="0059472E">
        <w:rPr>
          <w:rFonts w:asciiTheme="minorHAnsi" w:hAnsiTheme="minorHAnsi" w:cstheme="minorHAnsi"/>
          <w:color w:val="auto"/>
          <w:sz w:val="22"/>
        </w:rPr>
        <w:t>A modelling study to estimate the</w:t>
      </w:r>
      <w:r w:rsidR="00F31BE7" w:rsidRPr="0059472E">
        <w:rPr>
          <w:rFonts w:asciiTheme="minorHAnsi" w:hAnsiTheme="minorHAnsi" w:cstheme="minorHAnsi"/>
          <w:color w:val="auto"/>
          <w:sz w:val="22"/>
        </w:rPr>
        <w:t xml:space="preserve"> </w:t>
      </w:r>
      <w:r w:rsidR="000E4F68" w:rsidRPr="0059472E">
        <w:rPr>
          <w:rFonts w:asciiTheme="minorHAnsi" w:hAnsiTheme="minorHAnsi" w:cstheme="minorHAnsi"/>
          <w:color w:val="auto"/>
          <w:sz w:val="22"/>
        </w:rPr>
        <w:t xml:space="preserve">health </w:t>
      </w:r>
      <w:r w:rsidR="00F31BE7" w:rsidRPr="0059472E">
        <w:rPr>
          <w:rFonts w:asciiTheme="minorHAnsi" w:hAnsiTheme="minorHAnsi" w:cstheme="minorHAnsi"/>
          <w:color w:val="auto"/>
          <w:sz w:val="22"/>
        </w:rPr>
        <w:t>burden of f</w:t>
      </w:r>
      <w:r w:rsidR="006A3AAE" w:rsidRPr="0059472E">
        <w:rPr>
          <w:rFonts w:asciiTheme="minorHAnsi" w:hAnsiTheme="minorHAnsi" w:cstheme="minorHAnsi"/>
          <w:color w:val="auto"/>
          <w:sz w:val="22"/>
        </w:rPr>
        <w:t>oodborne disease</w:t>
      </w:r>
      <w:r w:rsidR="00723747" w:rsidRPr="0059472E">
        <w:rPr>
          <w:rFonts w:asciiTheme="minorHAnsi" w:hAnsiTheme="minorHAnsi" w:cstheme="minorHAnsi"/>
          <w:color w:val="auto"/>
          <w:sz w:val="22"/>
        </w:rPr>
        <w:t>:</w:t>
      </w:r>
    </w:p>
    <w:p w14:paraId="3941C356" w14:textId="77777777" w:rsidR="00E94A83" w:rsidRDefault="00F31BE7" w:rsidP="006A3AAE">
      <w:pPr>
        <w:pStyle w:val="Heading11"/>
        <w:spacing w:before="0" w:after="0" w:line="480" w:lineRule="auto"/>
        <w:jc w:val="center"/>
        <w:rPr>
          <w:rFonts w:asciiTheme="minorHAnsi" w:hAnsiTheme="minorHAnsi" w:cstheme="minorHAnsi"/>
          <w:color w:val="auto"/>
          <w:sz w:val="22"/>
        </w:rPr>
      </w:pPr>
      <w:proofErr w:type="gramStart"/>
      <w:r w:rsidRPr="0059472E">
        <w:rPr>
          <w:rFonts w:asciiTheme="minorHAnsi" w:hAnsiTheme="minorHAnsi" w:cstheme="minorHAnsi"/>
          <w:color w:val="auto"/>
          <w:sz w:val="22"/>
        </w:rPr>
        <w:t>c</w:t>
      </w:r>
      <w:r w:rsidR="00301AE5" w:rsidRPr="0059472E">
        <w:rPr>
          <w:rFonts w:asciiTheme="minorHAnsi" w:hAnsiTheme="minorHAnsi" w:cstheme="minorHAnsi"/>
          <w:color w:val="auto"/>
          <w:sz w:val="22"/>
        </w:rPr>
        <w:t>ases</w:t>
      </w:r>
      <w:proofErr w:type="gramEnd"/>
      <w:r w:rsidR="00301AE5" w:rsidRPr="0059472E">
        <w:rPr>
          <w:rFonts w:asciiTheme="minorHAnsi" w:hAnsiTheme="minorHAnsi" w:cstheme="minorHAnsi"/>
          <w:color w:val="auto"/>
          <w:sz w:val="22"/>
        </w:rPr>
        <w:t xml:space="preserve">, general practice consultations and </w:t>
      </w:r>
      <w:proofErr w:type="spellStart"/>
      <w:r w:rsidR="00301AE5" w:rsidRPr="0059472E">
        <w:rPr>
          <w:rFonts w:asciiTheme="minorHAnsi" w:hAnsiTheme="minorHAnsi" w:cstheme="minorHAnsi"/>
          <w:color w:val="auto"/>
          <w:sz w:val="22"/>
        </w:rPr>
        <w:t>hospitalisations</w:t>
      </w:r>
      <w:proofErr w:type="spellEnd"/>
      <w:r w:rsidR="00301AE5" w:rsidRPr="0059472E">
        <w:rPr>
          <w:rFonts w:asciiTheme="minorHAnsi" w:hAnsiTheme="minorHAnsi" w:cstheme="minorHAnsi"/>
          <w:color w:val="auto"/>
          <w:sz w:val="22"/>
        </w:rPr>
        <w:t xml:space="preserve"> </w:t>
      </w:r>
      <w:r w:rsidRPr="0059472E">
        <w:rPr>
          <w:rFonts w:asciiTheme="minorHAnsi" w:hAnsiTheme="minorHAnsi" w:cstheme="minorHAnsi"/>
          <w:color w:val="auto"/>
          <w:sz w:val="22"/>
        </w:rPr>
        <w:t>in the UK</w:t>
      </w:r>
      <w:r w:rsidR="00C31398" w:rsidRPr="0059472E">
        <w:rPr>
          <w:rFonts w:asciiTheme="minorHAnsi" w:hAnsiTheme="minorHAnsi" w:cstheme="minorHAnsi"/>
          <w:color w:val="auto"/>
          <w:sz w:val="22"/>
        </w:rPr>
        <w:t>, 2009</w:t>
      </w:r>
    </w:p>
    <w:p w14:paraId="2AEF8D7D" w14:textId="77777777" w:rsidR="000926A2" w:rsidRDefault="000926A2" w:rsidP="000926A2">
      <w:pPr>
        <w:pStyle w:val="Unknown0"/>
        <w:jc w:val="center"/>
        <w:rPr>
          <w:rFonts w:asciiTheme="minorHAnsi" w:hAnsiTheme="minorHAnsi" w:cstheme="minorHAnsi"/>
        </w:rPr>
      </w:pPr>
      <w:r w:rsidRPr="000926A2">
        <w:rPr>
          <w:rFonts w:asciiTheme="minorHAnsi" w:hAnsiTheme="minorHAnsi" w:cstheme="minorHAnsi"/>
        </w:rPr>
        <w:t>Sarah J O’Brien</w:t>
      </w:r>
      <w:r w:rsidR="00670D37" w:rsidRPr="00670D37">
        <w:rPr>
          <w:rFonts w:asciiTheme="minorHAnsi" w:hAnsiTheme="minorHAnsi" w:cstheme="minorHAnsi"/>
          <w:vertAlign w:val="superscript"/>
        </w:rPr>
        <w:t>1</w:t>
      </w:r>
      <w:proofErr w:type="gramStart"/>
      <w:r w:rsidR="0003352B">
        <w:rPr>
          <w:rFonts w:asciiTheme="minorHAnsi" w:hAnsiTheme="minorHAnsi" w:cstheme="minorHAnsi"/>
          <w:vertAlign w:val="superscript"/>
        </w:rPr>
        <w:t>,2</w:t>
      </w:r>
      <w:proofErr w:type="gramEnd"/>
    </w:p>
    <w:p w14:paraId="4313C6AE" w14:textId="77777777" w:rsidR="000926A2" w:rsidRDefault="000926A2" w:rsidP="000926A2">
      <w:pPr>
        <w:pStyle w:val="Unknown0"/>
        <w:jc w:val="center"/>
        <w:rPr>
          <w:rFonts w:asciiTheme="minorHAnsi" w:hAnsiTheme="minorHAnsi" w:cstheme="minorHAnsi"/>
        </w:rPr>
      </w:pPr>
      <w:r>
        <w:rPr>
          <w:rFonts w:asciiTheme="minorHAnsi" w:hAnsiTheme="minorHAnsi" w:cstheme="minorHAnsi"/>
        </w:rPr>
        <w:t xml:space="preserve">Tricia </w:t>
      </w:r>
      <w:r w:rsidR="001C3F06">
        <w:rPr>
          <w:rFonts w:asciiTheme="minorHAnsi" w:hAnsiTheme="minorHAnsi" w:cstheme="minorHAnsi"/>
        </w:rPr>
        <w:t xml:space="preserve">L </w:t>
      </w:r>
      <w:r>
        <w:rPr>
          <w:rFonts w:asciiTheme="minorHAnsi" w:hAnsiTheme="minorHAnsi" w:cstheme="minorHAnsi"/>
        </w:rPr>
        <w:t>Larose</w:t>
      </w:r>
      <w:r w:rsidR="0003352B" w:rsidRPr="0003352B">
        <w:rPr>
          <w:rFonts w:asciiTheme="minorHAnsi" w:hAnsiTheme="minorHAnsi" w:cstheme="minorHAnsi"/>
          <w:vertAlign w:val="superscript"/>
        </w:rPr>
        <w:t>3</w:t>
      </w:r>
      <w:proofErr w:type="gramStart"/>
      <w:r w:rsidR="0003352B" w:rsidRPr="0003352B">
        <w:rPr>
          <w:rFonts w:asciiTheme="minorHAnsi" w:hAnsiTheme="minorHAnsi" w:cstheme="minorHAnsi"/>
          <w:vertAlign w:val="superscript"/>
        </w:rPr>
        <w:t>,</w:t>
      </w:r>
      <w:r w:rsidR="0003352B">
        <w:rPr>
          <w:rFonts w:asciiTheme="minorHAnsi" w:hAnsiTheme="minorHAnsi" w:cstheme="minorHAnsi"/>
          <w:vertAlign w:val="superscript"/>
        </w:rPr>
        <w:t>4</w:t>
      </w:r>
      <w:proofErr w:type="gramEnd"/>
    </w:p>
    <w:p w14:paraId="68B9EBFB" w14:textId="77777777" w:rsidR="00741A8B" w:rsidRDefault="00323FA5" w:rsidP="00741A8B">
      <w:pPr>
        <w:pStyle w:val="Unknown0"/>
        <w:jc w:val="center"/>
        <w:rPr>
          <w:rFonts w:asciiTheme="minorHAnsi" w:hAnsiTheme="minorHAnsi" w:cstheme="minorHAnsi"/>
        </w:rPr>
      </w:pPr>
      <w:proofErr w:type="spellStart"/>
      <w:r>
        <w:rPr>
          <w:rFonts w:asciiTheme="minorHAnsi" w:hAnsiTheme="minorHAnsi" w:cstheme="minorHAnsi"/>
        </w:rPr>
        <w:t>Goutam</w:t>
      </w:r>
      <w:proofErr w:type="spellEnd"/>
      <w:r>
        <w:rPr>
          <w:rFonts w:asciiTheme="minorHAnsi" w:hAnsiTheme="minorHAnsi" w:cstheme="minorHAnsi"/>
        </w:rPr>
        <w:t xml:space="preserve"> K </w:t>
      </w:r>
      <w:r w:rsidR="00211EDC">
        <w:rPr>
          <w:rFonts w:asciiTheme="minorHAnsi" w:hAnsiTheme="minorHAnsi" w:cstheme="minorHAnsi"/>
        </w:rPr>
        <w:t>Adak</w:t>
      </w:r>
      <w:r w:rsidR="0003352B" w:rsidRPr="0003352B">
        <w:rPr>
          <w:rFonts w:asciiTheme="minorHAnsi" w:hAnsiTheme="minorHAnsi" w:cstheme="minorHAnsi"/>
          <w:vertAlign w:val="superscript"/>
        </w:rPr>
        <w:t>5</w:t>
      </w:r>
      <w:r w:rsidR="00211EDC" w:rsidRPr="00741A8B">
        <w:rPr>
          <w:rFonts w:asciiTheme="minorHAnsi" w:hAnsiTheme="minorHAnsi" w:cstheme="minorHAnsi"/>
        </w:rPr>
        <w:t xml:space="preserve"> </w:t>
      </w:r>
    </w:p>
    <w:p w14:paraId="3F9EF62B" w14:textId="77777777" w:rsidR="00741A8B" w:rsidRDefault="00741A8B" w:rsidP="00741A8B">
      <w:pPr>
        <w:pStyle w:val="Unknown0"/>
        <w:jc w:val="center"/>
        <w:rPr>
          <w:rFonts w:asciiTheme="minorHAnsi" w:hAnsiTheme="minorHAnsi" w:cstheme="minorHAnsi"/>
        </w:rPr>
      </w:pPr>
      <w:r>
        <w:rPr>
          <w:rFonts w:asciiTheme="minorHAnsi" w:hAnsiTheme="minorHAnsi" w:cstheme="minorHAnsi"/>
        </w:rPr>
        <w:t xml:space="preserve">Meirion R </w:t>
      </w:r>
      <w:r w:rsidR="00211EDC">
        <w:rPr>
          <w:rFonts w:asciiTheme="minorHAnsi" w:hAnsiTheme="minorHAnsi" w:cstheme="minorHAnsi"/>
        </w:rPr>
        <w:t>Evans</w:t>
      </w:r>
      <w:r w:rsidR="0003352B">
        <w:rPr>
          <w:rFonts w:asciiTheme="minorHAnsi" w:hAnsiTheme="minorHAnsi" w:cstheme="minorHAnsi"/>
          <w:vertAlign w:val="superscript"/>
        </w:rPr>
        <w:t>6</w:t>
      </w:r>
    </w:p>
    <w:p w14:paraId="50569E5F" w14:textId="77777777" w:rsidR="000926A2" w:rsidRDefault="000926A2" w:rsidP="000926A2">
      <w:pPr>
        <w:pStyle w:val="Unknown0"/>
        <w:jc w:val="center"/>
        <w:rPr>
          <w:rFonts w:asciiTheme="minorHAnsi" w:hAnsiTheme="minorHAnsi" w:cstheme="minorHAnsi"/>
        </w:rPr>
      </w:pPr>
      <w:r>
        <w:rPr>
          <w:rFonts w:asciiTheme="minorHAnsi" w:hAnsiTheme="minorHAnsi" w:cstheme="minorHAnsi"/>
        </w:rPr>
        <w:t>Clarence C Tam</w:t>
      </w:r>
      <w:r w:rsidR="0003352B" w:rsidRPr="0003352B">
        <w:rPr>
          <w:rFonts w:asciiTheme="minorHAnsi" w:hAnsiTheme="minorHAnsi" w:cstheme="minorHAnsi"/>
          <w:vertAlign w:val="superscript"/>
        </w:rPr>
        <w:t>3</w:t>
      </w:r>
      <w:proofErr w:type="gramStart"/>
      <w:r w:rsidR="00211EDC">
        <w:rPr>
          <w:rFonts w:asciiTheme="minorHAnsi" w:hAnsiTheme="minorHAnsi" w:cstheme="minorHAnsi"/>
          <w:vertAlign w:val="superscript"/>
        </w:rPr>
        <w:t>,</w:t>
      </w:r>
      <w:r w:rsidR="0003352B">
        <w:rPr>
          <w:rFonts w:asciiTheme="minorHAnsi" w:hAnsiTheme="minorHAnsi" w:cstheme="minorHAnsi"/>
          <w:vertAlign w:val="superscript"/>
        </w:rPr>
        <w:t>7</w:t>
      </w:r>
      <w:proofErr w:type="gramEnd"/>
    </w:p>
    <w:p w14:paraId="260678AE" w14:textId="77777777" w:rsidR="000926A2" w:rsidRDefault="009739A6" w:rsidP="00DF2652">
      <w:pPr>
        <w:pStyle w:val="Unknown0"/>
        <w:tabs>
          <w:tab w:val="center" w:pos="4513"/>
          <w:tab w:val="left" w:pos="7845"/>
        </w:tabs>
        <w:rPr>
          <w:rFonts w:asciiTheme="minorHAnsi" w:hAnsiTheme="minorHAnsi" w:cstheme="minorHAnsi"/>
        </w:rPr>
      </w:pPr>
      <w:r>
        <w:rPr>
          <w:rFonts w:asciiTheme="minorHAnsi" w:hAnsiTheme="minorHAnsi" w:cstheme="minorHAnsi"/>
        </w:rPr>
        <w:tab/>
      </w:r>
      <w:r w:rsidR="000926A2">
        <w:rPr>
          <w:rFonts w:asciiTheme="minorHAnsi" w:hAnsiTheme="minorHAnsi" w:cstheme="minorHAnsi"/>
        </w:rPr>
        <w:t>On behalf of the Foodborne Disease Attribution Study Group*</w:t>
      </w:r>
      <w:r>
        <w:rPr>
          <w:rFonts w:asciiTheme="minorHAnsi" w:hAnsiTheme="minorHAnsi" w:cstheme="minorHAnsi"/>
        </w:rPr>
        <w:tab/>
      </w:r>
    </w:p>
    <w:p w14:paraId="615080B4" w14:textId="77777777" w:rsidR="00F255C7" w:rsidRDefault="00C84C66" w:rsidP="007E2BA2">
      <w:pPr>
        <w:pStyle w:val="Unknown0"/>
        <w:spacing w:after="0" w:line="480" w:lineRule="auto"/>
        <w:jc w:val="center"/>
        <w:rPr>
          <w:rFonts w:asciiTheme="minorHAnsi" w:hAnsiTheme="minorHAnsi" w:cstheme="minorHAnsi"/>
        </w:rPr>
      </w:pPr>
      <w:r>
        <w:rPr>
          <w:rFonts w:asciiTheme="minorHAnsi" w:hAnsiTheme="minorHAnsi" w:cstheme="minorHAnsi"/>
        </w:rPr>
        <w:t>Authors’ affiliations</w:t>
      </w:r>
    </w:p>
    <w:p w14:paraId="68665CE5" w14:textId="77777777" w:rsidR="0003352B" w:rsidRDefault="00670D37" w:rsidP="0003352B">
      <w:pPr>
        <w:pStyle w:val="Unknown0"/>
        <w:spacing w:after="0" w:line="480" w:lineRule="auto"/>
        <w:rPr>
          <w:rFonts w:asciiTheme="minorHAnsi" w:hAnsiTheme="minorHAnsi" w:cstheme="minorHAnsi"/>
        </w:rPr>
      </w:pPr>
      <w:r>
        <w:rPr>
          <w:rFonts w:asciiTheme="minorHAnsi" w:hAnsiTheme="minorHAnsi" w:cstheme="minorHAnsi"/>
        </w:rPr>
        <w:t>1 = University of Liverpool Institute</w:t>
      </w:r>
      <w:r w:rsidR="00F255C7">
        <w:rPr>
          <w:rFonts w:asciiTheme="minorHAnsi" w:hAnsiTheme="minorHAnsi" w:cstheme="minorHAnsi"/>
        </w:rPr>
        <w:t xml:space="preserve"> </w:t>
      </w:r>
      <w:r>
        <w:rPr>
          <w:rFonts w:asciiTheme="minorHAnsi" w:hAnsiTheme="minorHAnsi" w:cstheme="minorHAnsi"/>
        </w:rPr>
        <w:t>of Infection and Global Health</w:t>
      </w:r>
      <w:r w:rsidR="002868B9">
        <w:rPr>
          <w:rFonts w:asciiTheme="minorHAnsi" w:hAnsiTheme="minorHAnsi" w:cstheme="minorHAnsi"/>
        </w:rPr>
        <w:t xml:space="preserve"> </w:t>
      </w:r>
    </w:p>
    <w:p w14:paraId="3A069F6C" w14:textId="23F9E2A9" w:rsidR="0003352B" w:rsidRDefault="0003352B" w:rsidP="0003352B">
      <w:pPr>
        <w:pStyle w:val="Unknown0"/>
        <w:spacing w:after="0" w:line="480" w:lineRule="auto"/>
        <w:rPr>
          <w:rFonts w:asciiTheme="minorHAnsi" w:hAnsiTheme="minorHAnsi" w:cstheme="minorHAnsi"/>
        </w:rPr>
      </w:pPr>
      <w:r>
        <w:rPr>
          <w:rFonts w:asciiTheme="minorHAnsi" w:hAnsiTheme="minorHAnsi" w:cstheme="minorHAnsi"/>
        </w:rPr>
        <w:t>2</w:t>
      </w:r>
      <w:r w:rsidR="003207BA">
        <w:rPr>
          <w:rFonts w:asciiTheme="minorHAnsi" w:hAnsiTheme="minorHAnsi" w:cstheme="minorHAnsi"/>
        </w:rPr>
        <w:t xml:space="preserve"> </w:t>
      </w:r>
      <w:r>
        <w:rPr>
          <w:rFonts w:asciiTheme="minorHAnsi" w:hAnsiTheme="minorHAnsi" w:cstheme="minorHAnsi"/>
        </w:rPr>
        <w:t>= NIHR Health Protection Research Unit in Gastrointestinal Infections</w:t>
      </w:r>
    </w:p>
    <w:p w14:paraId="2B1ED118" w14:textId="77777777" w:rsidR="00670D37" w:rsidRDefault="0003352B" w:rsidP="0003352B">
      <w:pPr>
        <w:pStyle w:val="Unknown0"/>
        <w:spacing w:after="0" w:line="480" w:lineRule="auto"/>
        <w:rPr>
          <w:rFonts w:asciiTheme="minorHAnsi" w:hAnsiTheme="minorHAnsi" w:cstheme="minorHAnsi"/>
        </w:rPr>
      </w:pPr>
      <w:r w:rsidRPr="0003352B">
        <w:rPr>
          <w:rFonts w:asciiTheme="minorHAnsi" w:hAnsiTheme="minorHAnsi" w:cstheme="minorHAnsi"/>
        </w:rPr>
        <w:t xml:space="preserve">The Farr </w:t>
      </w:r>
      <w:proofErr w:type="spellStart"/>
      <w:r w:rsidRPr="0003352B">
        <w:rPr>
          <w:rFonts w:asciiTheme="minorHAnsi" w:hAnsiTheme="minorHAnsi" w:cstheme="minorHAnsi"/>
        </w:rPr>
        <w:t>Institute@HeRC</w:t>
      </w:r>
      <w:proofErr w:type="spellEnd"/>
      <w:r w:rsidR="00C3635F">
        <w:rPr>
          <w:rFonts w:asciiTheme="minorHAnsi" w:hAnsiTheme="minorHAnsi" w:cstheme="minorHAnsi"/>
        </w:rPr>
        <w:t xml:space="preserve">, </w:t>
      </w:r>
      <w:r w:rsidRPr="0003352B">
        <w:rPr>
          <w:rFonts w:asciiTheme="minorHAnsi" w:hAnsiTheme="minorHAnsi" w:cstheme="minorHAnsi"/>
        </w:rPr>
        <w:t>University of Liverpool</w:t>
      </w:r>
      <w:r>
        <w:rPr>
          <w:rFonts w:asciiTheme="minorHAnsi" w:hAnsiTheme="minorHAnsi" w:cstheme="minorHAnsi"/>
        </w:rPr>
        <w:t xml:space="preserve">, </w:t>
      </w:r>
      <w:r w:rsidRPr="0003352B">
        <w:rPr>
          <w:rFonts w:asciiTheme="minorHAnsi" w:hAnsiTheme="minorHAnsi" w:cstheme="minorHAnsi"/>
        </w:rPr>
        <w:t>2nd Floor, Block F</w:t>
      </w:r>
      <w:r>
        <w:rPr>
          <w:rFonts w:asciiTheme="minorHAnsi" w:hAnsiTheme="minorHAnsi" w:cstheme="minorHAnsi"/>
        </w:rPr>
        <w:t xml:space="preserve">, </w:t>
      </w:r>
      <w:r w:rsidRPr="0003352B">
        <w:rPr>
          <w:rFonts w:asciiTheme="minorHAnsi" w:hAnsiTheme="minorHAnsi" w:cstheme="minorHAnsi"/>
        </w:rPr>
        <w:t>Waterhouse Buildings</w:t>
      </w:r>
      <w:r>
        <w:rPr>
          <w:rFonts w:asciiTheme="minorHAnsi" w:hAnsiTheme="minorHAnsi" w:cstheme="minorHAnsi"/>
        </w:rPr>
        <w:t xml:space="preserve">, </w:t>
      </w:r>
      <w:r w:rsidRPr="0003352B">
        <w:rPr>
          <w:rFonts w:asciiTheme="minorHAnsi" w:hAnsiTheme="minorHAnsi" w:cstheme="minorHAnsi"/>
        </w:rPr>
        <w:t>1-5 Brownlow Street</w:t>
      </w:r>
      <w:r>
        <w:rPr>
          <w:rFonts w:asciiTheme="minorHAnsi" w:hAnsiTheme="minorHAnsi" w:cstheme="minorHAnsi"/>
        </w:rPr>
        <w:t xml:space="preserve">, </w:t>
      </w:r>
      <w:r w:rsidRPr="0003352B">
        <w:rPr>
          <w:rFonts w:asciiTheme="minorHAnsi" w:hAnsiTheme="minorHAnsi" w:cstheme="minorHAnsi"/>
        </w:rPr>
        <w:t>Liverpool</w:t>
      </w:r>
      <w:r>
        <w:rPr>
          <w:rFonts w:asciiTheme="minorHAnsi" w:hAnsiTheme="minorHAnsi" w:cstheme="minorHAnsi"/>
        </w:rPr>
        <w:t>,</w:t>
      </w:r>
      <w:r w:rsidR="00C3635F">
        <w:rPr>
          <w:rFonts w:asciiTheme="minorHAnsi" w:hAnsiTheme="minorHAnsi" w:cstheme="minorHAnsi"/>
        </w:rPr>
        <w:t xml:space="preserve"> </w:t>
      </w:r>
      <w:r w:rsidRPr="0003352B">
        <w:rPr>
          <w:rFonts w:asciiTheme="minorHAnsi" w:hAnsiTheme="minorHAnsi" w:cstheme="minorHAnsi"/>
        </w:rPr>
        <w:t>L69 3GL</w:t>
      </w:r>
    </w:p>
    <w:p w14:paraId="58485DE8" w14:textId="77777777" w:rsidR="00670D37" w:rsidRDefault="0003352B" w:rsidP="00805E99">
      <w:pPr>
        <w:pStyle w:val="Unknown0"/>
        <w:spacing w:after="0" w:line="480" w:lineRule="auto"/>
        <w:rPr>
          <w:rFonts w:asciiTheme="minorHAnsi" w:hAnsiTheme="minorHAnsi" w:cstheme="minorHAnsi"/>
        </w:rPr>
      </w:pPr>
      <w:r>
        <w:rPr>
          <w:rFonts w:asciiTheme="minorHAnsi" w:hAnsiTheme="minorHAnsi" w:cstheme="minorHAnsi"/>
        </w:rPr>
        <w:t>3</w:t>
      </w:r>
      <w:r w:rsidR="00211EDC">
        <w:rPr>
          <w:rFonts w:asciiTheme="minorHAnsi" w:hAnsiTheme="minorHAnsi" w:cstheme="minorHAnsi"/>
        </w:rPr>
        <w:t xml:space="preserve"> </w:t>
      </w:r>
      <w:r w:rsidR="00670D37">
        <w:rPr>
          <w:rFonts w:asciiTheme="minorHAnsi" w:hAnsiTheme="minorHAnsi" w:cstheme="minorHAnsi"/>
        </w:rPr>
        <w:t xml:space="preserve">= </w:t>
      </w:r>
      <w:r w:rsidR="004B2EE9">
        <w:rPr>
          <w:rFonts w:asciiTheme="minorHAnsi" w:hAnsiTheme="minorHAnsi" w:cstheme="minorHAnsi"/>
        </w:rPr>
        <w:t xml:space="preserve">Department of Infectious Disease Epidemiology, </w:t>
      </w:r>
      <w:r w:rsidR="00670D37">
        <w:rPr>
          <w:rFonts w:asciiTheme="minorHAnsi" w:hAnsiTheme="minorHAnsi" w:cstheme="minorHAnsi"/>
        </w:rPr>
        <w:t>London School of Hygiene and Tropical Medicine</w:t>
      </w:r>
      <w:r w:rsidR="004B2EE9">
        <w:rPr>
          <w:rFonts w:asciiTheme="minorHAnsi" w:hAnsiTheme="minorHAnsi" w:cstheme="minorHAnsi"/>
        </w:rPr>
        <w:t xml:space="preserve">, </w:t>
      </w:r>
      <w:r w:rsidR="004B2EE9" w:rsidRPr="004B2EE9">
        <w:rPr>
          <w:rFonts w:asciiTheme="minorHAnsi" w:hAnsiTheme="minorHAnsi" w:cstheme="minorHAnsi"/>
        </w:rPr>
        <w:t>Keppel Street</w:t>
      </w:r>
      <w:r w:rsidR="004B2EE9">
        <w:rPr>
          <w:rFonts w:asciiTheme="minorHAnsi" w:hAnsiTheme="minorHAnsi" w:cstheme="minorHAnsi"/>
        </w:rPr>
        <w:t xml:space="preserve">, </w:t>
      </w:r>
      <w:r w:rsidR="004B2EE9" w:rsidRPr="004B2EE9">
        <w:rPr>
          <w:rFonts w:asciiTheme="minorHAnsi" w:hAnsiTheme="minorHAnsi" w:cstheme="minorHAnsi"/>
        </w:rPr>
        <w:t>London</w:t>
      </w:r>
      <w:r w:rsidR="004B2EE9">
        <w:rPr>
          <w:rFonts w:asciiTheme="minorHAnsi" w:hAnsiTheme="minorHAnsi" w:cstheme="minorHAnsi"/>
        </w:rPr>
        <w:t xml:space="preserve">, </w:t>
      </w:r>
      <w:r w:rsidR="004B2EE9" w:rsidRPr="004B2EE9">
        <w:rPr>
          <w:rFonts w:asciiTheme="minorHAnsi" w:hAnsiTheme="minorHAnsi" w:cstheme="minorHAnsi"/>
        </w:rPr>
        <w:t>WC1E 7HT</w:t>
      </w:r>
    </w:p>
    <w:p w14:paraId="6B478577" w14:textId="77777777" w:rsidR="009739A6" w:rsidRDefault="0003352B" w:rsidP="00805E99">
      <w:pPr>
        <w:pStyle w:val="Unknown0"/>
        <w:spacing w:after="0" w:line="480" w:lineRule="auto"/>
        <w:rPr>
          <w:rFonts w:asciiTheme="minorHAnsi" w:hAnsiTheme="minorHAnsi" w:cstheme="minorHAnsi"/>
        </w:rPr>
      </w:pPr>
      <w:r>
        <w:rPr>
          <w:rFonts w:asciiTheme="minorHAnsi" w:hAnsiTheme="minorHAnsi" w:cstheme="minorHAnsi"/>
        </w:rPr>
        <w:t>4</w:t>
      </w:r>
      <w:r w:rsidR="00211EDC">
        <w:rPr>
          <w:rFonts w:asciiTheme="minorHAnsi" w:hAnsiTheme="minorHAnsi" w:cstheme="minorHAnsi"/>
        </w:rPr>
        <w:t xml:space="preserve"> </w:t>
      </w:r>
      <w:r w:rsidR="009739A6">
        <w:rPr>
          <w:rFonts w:asciiTheme="minorHAnsi" w:hAnsiTheme="minorHAnsi" w:cstheme="minorHAnsi"/>
        </w:rPr>
        <w:t xml:space="preserve">= Department of Public Health and General Practice, Norwegian University of Science and Technology, </w:t>
      </w:r>
      <w:proofErr w:type="spellStart"/>
      <w:r w:rsidR="009739A6">
        <w:rPr>
          <w:rFonts w:asciiTheme="minorHAnsi" w:hAnsiTheme="minorHAnsi" w:cstheme="minorHAnsi"/>
        </w:rPr>
        <w:t>Håkon</w:t>
      </w:r>
      <w:proofErr w:type="spellEnd"/>
      <w:r w:rsidR="009739A6">
        <w:rPr>
          <w:rFonts w:asciiTheme="minorHAnsi" w:hAnsiTheme="minorHAnsi" w:cstheme="minorHAnsi"/>
        </w:rPr>
        <w:t xml:space="preserve"> Jarls gate 11, 7491 Trondheim, Norway</w:t>
      </w:r>
    </w:p>
    <w:p w14:paraId="31D80D8F" w14:textId="77777777" w:rsidR="00741A8B" w:rsidRDefault="0003352B" w:rsidP="00805E99">
      <w:pPr>
        <w:pStyle w:val="Unknown0"/>
        <w:spacing w:after="0" w:line="480" w:lineRule="auto"/>
        <w:rPr>
          <w:rFonts w:asciiTheme="minorHAnsi" w:hAnsiTheme="minorHAnsi" w:cstheme="minorHAnsi"/>
        </w:rPr>
      </w:pPr>
      <w:r>
        <w:rPr>
          <w:rFonts w:asciiTheme="minorHAnsi" w:hAnsiTheme="minorHAnsi" w:cstheme="minorHAnsi"/>
        </w:rPr>
        <w:t>5</w:t>
      </w:r>
      <w:r w:rsidR="00211EDC">
        <w:rPr>
          <w:rFonts w:asciiTheme="minorHAnsi" w:hAnsiTheme="minorHAnsi" w:cstheme="minorHAnsi"/>
        </w:rPr>
        <w:t xml:space="preserve"> </w:t>
      </w:r>
      <w:r w:rsidR="00741A8B">
        <w:rPr>
          <w:rFonts w:asciiTheme="minorHAnsi" w:hAnsiTheme="minorHAnsi" w:cstheme="minorHAnsi"/>
        </w:rPr>
        <w:t xml:space="preserve">= </w:t>
      </w:r>
      <w:r w:rsidR="00741A8B" w:rsidRPr="00A7574B">
        <w:rPr>
          <w:rFonts w:asciiTheme="minorHAnsi" w:hAnsiTheme="minorHAnsi" w:cstheme="minorHAnsi"/>
        </w:rPr>
        <w:t>Department of Gastrointestinal, Emerging &amp; Zoonotic Infections</w:t>
      </w:r>
      <w:r w:rsidR="00741A8B">
        <w:rPr>
          <w:rFonts w:asciiTheme="minorHAnsi" w:hAnsiTheme="minorHAnsi" w:cstheme="minorHAnsi"/>
        </w:rPr>
        <w:t xml:space="preserve">, </w:t>
      </w:r>
      <w:r w:rsidR="00741A8B" w:rsidRPr="00A7574B">
        <w:rPr>
          <w:rFonts w:asciiTheme="minorHAnsi" w:hAnsiTheme="minorHAnsi" w:cstheme="minorHAnsi"/>
        </w:rPr>
        <w:t>Public Health England Centre for Infectious Disease Surveillance and Control</w:t>
      </w:r>
      <w:r w:rsidR="00741A8B">
        <w:rPr>
          <w:rFonts w:asciiTheme="minorHAnsi" w:hAnsiTheme="minorHAnsi" w:cstheme="minorHAnsi"/>
        </w:rPr>
        <w:t xml:space="preserve">, </w:t>
      </w:r>
      <w:r w:rsidR="00741A8B" w:rsidRPr="00A7574B">
        <w:rPr>
          <w:rFonts w:asciiTheme="minorHAnsi" w:hAnsiTheme="minorHAnsi" w:cstheme="minorHAnsi"/>
        </w:rPr>
        <w:t>61 Colindale Avenue</w:t>
      </w:r>
      <w:r w:rsidR="00741A8B">
        <w:rPr>
          <w:rFonts w:asciiTheme="minorHAnsi" w:hAnsiTheme="minorHAnsi" w:cstheme="minorHAnsi"/>
        </w:rPr>
        <w:t xml:space="preserve">, </w:t>
      </w:r>
      <w:r w:rsidR="00741A8B" w:rsidRPr="00A7574B">
        <w:rPr>
          <w:rFonts w:asciiTheme="minorHAnsi" w:hAnsiTheme="minorHAnsi" w:cstheme="minorHAnsi"/>
        </w:rPr>
        <w:t>London</w:t>
      </w:r>
      <w:r w:rsidR="00741A8B">
        <w:rPr>
          <w:rFonts w:asciiTheme="minorHAnsi" w:hAnsiTheme="minorHAnsi" w:cstheme="minorHAnsi"/>
        </w:rPr>
        <w:t xml:space="preserve">, </w:t>
      </w:r>
      <w:r w:rsidR="00741A8B" w:rsidRPr="00A7574B">
        <w:rPr>
          <w:rFonts w:asciiTheme="minorHAnsi" w:hAnsiTheme="minorHAnsi" w:cstheme="minorHAnsi"/>
        </w:rPr>
        <w:t>NW9 5EQ</w:t>
      </w:r>
      <w:r w:rsidR="00741A8B">
        <w:rPr>
          <w:rFonts w:asciiTheme="minorHAnsi" w:hAnsiTheme="minorHAnsi" w:cstheme="minorHAnsi"/>
        </w:rPr>
        <w:t xml:space="preserve"> </w:t>
      </w:r>
    </w:p>
    <w:p w14:paraId="488CED02" w14:textId="77777777" w:rsidR="004A7A91" w:rsidRDefault="0003352B" w:rsidP="00805E99">
      <w:pPr>
        <w:pStyle w:val="Unknown0"/>
        <w:spacing w:after="0" w:line="480" w:lineRule="auto"/>
        <w:rPr>
          <w:rFonts w:asciiTheme="minorHAnsi" w:hAnsiTheme="minorHAnsi" w:cstheme="minorHAnsi"/>
        </w:rPr>
      </w:pPr>
      <w:r>
        <w:rPr>
          <w:rFonts w:asciiTheme="minorHAnsi" w:hAnsiTheme="minorHAnsi" w:cstheme="minorHAnsi"/>
        </w:rPr>
        <w:t>6</w:t>
      </w:r>
      <w:r w:rsidR="00211EDC">
        <w:rPr>
          <w:rFonts w:asciiTheme="minorHAnsi" w:hAnsiTheme="minorHAnsi" w:cstheme="minorHAnsi"/>
        </w:rPr>
        <w:t xml:space="preserve"> </w:t>
      </w:r>
      <w:r w:rsidR="00A7574B">
        <w:rPr>
          <w:rFonts w:asciiTheme="minorHAnsi" w:hAnsiTheme="minorHAnsi" w:cstheme="minorHAnsi"/>
        </w:rPr>
        <w:t xml:space="preserve">= </w:t>
      </w:r>
      <w:r w:rsidR="00A7574B" w:rsidRPr="00A7574B">
        <w:rPr>
          <w:rFonts w:asciiTheme="minorHAnsi" w:hAnsiTheme="minorHAnsi" w:cstheme="minorHAnsi"/>
        </w:rPr>
        <w:t>Institute of Primary Care and Public Health</w:t>
      </w:r>
      <w:r w:rsidR="00A7574B">
        <w:rPr>
          <w:rFonts w:asciiTheme="minorHAnsi" w:hAnsiTheme="minorHAnsi" w:cstheme="minorHAnsi"/>
        </w:rPr>
        <w:t xml:space="preserve">, </w:t>
      </w:r>
      <w:r w:rsidR="00A7574B" w:rsidRPr="00A7574B">
        <w:rPr>
          <w:rFonts w:asciiTheme="minorHAnsi" w:hAnsiTheme="minorHAnsi" w:cstheme="minorHAnsi"/>
        </w:rPr>
        <w:t>Cardiff University</w:t>
      </w:r>
      <w:r w:rsidR="00A7574B">
        <w:rPr>
          <w:rFonts w:asciiTheme="minorHAnsi" w:hAnsiTheme="minorHAnsi" w:cstheme="minorHAnsi"/>
        </w:rPr>
        <w:t xml:space="preserve">, </w:t>
      </w:r>
      <w:r w:rsidR="00A7574B" w:rsidRPr="00A7574B">
        <w:rPr>
          <w:rFonts w:asciiTheme="minorHAnsi" w:hAnsiTheme="minorHAnsi" w:cstheme="minorHAnsi"/>
        </w:rPr>
        <w:t>Temple of Peace and Health</w:t>
      </w:r>
      <w:r w:rsidR="00A7574B">
        <w:rPr>
          <w:rFonts w:asciiTheme="minorHAnsi" w:hAnsiTheme="minorHAnsi" w:cstheme="minorHAnsi"/>
        </w:rPr>
        <w:t xml:space="preserve">, </w:t>
      </w:r>
      <w:r w:rsidR="00A7574B" w:rsidRPr="00A7574B">
        <w:rPr>
          <w:rFonts w:asciiTheme="minorHAnsi" w:hAnsiTheme="minorHAnsi" w:cstheme="minorHAnsi"/>
        </w:rPr>
        <w:t>Cathays Park</w:t>
      </w:r>
      <w:r w:rsidR="00A7574B">
        <w:rPr>
          <w:rFonts w:asciiTheme="minorHAnsi" w:hAnsiTheme="minorHAnsi" w:cstheme="minorHAnsi"/>
        </w:rPr>
        <w:t xml:space="preserve">, </w:t>
      </w:r>
      <w:r w:rsidR="00A7574B" w:rsidRPr="00A7574B">
        <w:rPr>
          <w:rFonts w:asciiTheme="minorHAnsi" w:hAnsiTheme="minorHAnsi" w:cstheme="minorHAnsi"/>
        </w:rPr>
        <w:t>Cardiff</w:t>
      </w:r>
      <w:r w:rsidR="00A7574B">
        <w:rPr>
          <w:rFonts w:asciiTheme="minorHAnsi" w:hAnsiTheme="minorHAnsi" w:cstheme="minorHAnsi"/>
        </w:rPr>
        <w:t>,</w:t>
      </w:r>
      <w:r w:rsidR="00A7574B" w:rsidRPr="00A7574B">
        <w:rPr>
          <w:rFonts w:asciiTheme="minorHAnsi" w:hAnsiTheme="minorHAnsi" w:cstheme="minorHAnsi"/>
        </w:rPr>
        <w:t xml:space="preserve"> CF10 3NW</w:t>
      </w:r>
    </w:p>
    <w:p w14:paraId="616D3932" w14:textId="77777777" w:rsidR="00CD7DAB" w:rsidRDefault="006E203A" w:rsidP="00805E99">
      <w:pPr>
        <w:pStyle w:val="Unknown0"/>
        <w:spacing w:after="0" w:line="480" w:lineRule="auto"/>
        <w:rPr>
          <w:rFonts w:asciiTheme="minorHAnsi" w:hAnsiTheme="minorHAnsi" w:cstheme="minorHAnsi"/>
        </w:rPr>
      </w:pPr>
      <w:r>
        <w:rPr>
          <w:rFonts w:asciiTheme="minorHAnsi" w:hAnsiTheme="minorHAnsi" w:cstheme="minorHAnsi"/>
        </w:rPr>
        <w:t>7</w:t>
      </w:r>
      <w:r w:rsidR="00211EDC">
        <w:rPr>
          <w:rFonts w:asciiTheme="minorHAnsi" w:hAnsiTheme="minorHAnsi" w:cstheme="minorHAnsi"/>
        </w:rPr>
        <w:t xml:space="preserve"> </w:t>
      </w:r>
      <w:r w:rsidR="00CD7DAB">
        <w:rPr>
          <w:rFonts w:asciiTheme="minorHAnsi" w:hAnsiTheme="minorHAnsi" w:cstheme="minorHAnsi"/>
        </w:rPr>
        <w:t xml:space="preserve">= Saw </w:t>
      </w:r>
      <w:proofErr w:type="spellStart"/>
      <w:r w:rsidR="00CD7DAB">
        <w:rPr>
          <w:rFonts w:asciiTheme="minorHAnsi" w:hAnsiTheme="minorHAnsi" w:cstheme="minorHAnsi"/>
        </w:rPr>
        <w:t>Swee</w:t>
      </w:r>
      <w:proofErr w:type="spellEnd"/>
      <w:r w:rsidR="00CD7DAB">
        <w:rPr>
          <w:rFonts w:asciiTheme="minorHAnsi" w:hAnsiTheme="minorHAnsi" w:cstheme="minorHAnsi"/>
        </w:rPr>
        <w:t xml:space="preserve"> Hock School of Public Health, National University of Singapore, 16 Medical Drive, Singapore 117597, Singapore</w:t>
      </w:r>
    </w:p>
    <w:p w14:paraId="36381A57" w14:textId="77777777" w:rsidR="00F95CCA" w:rsidRDefault="00F95CCA" w:rsidP="000926A2">
      <w:pPr>
        <w:pStyle w:val="Unknown0"/>
        <w:jc w:val="center"/>
        <w:rPr>
          <w:rFonts w:asciiTheme="minorHAnsi" w:hAnsiTheme="minorHAnsi" w:cstheme="minorHAnsi"/>
        </w:rPr>
      </w:pPr>
      <w:r>
        <w:rPr>
          <w:rFonts w:asciiTheme="minorHAnsi" w:hAnsiTheme="minorHAnsi" w:cstheme="minorHAnsi"/>
        </w:rPr>
        <w:t xml:space="preserve">* </w:t>
      </w:r>
      <w:r w:rsidR="007E2BA2">
        <w:rPr>
          <w:rFonts w:asciiTheme="minorHAnsi" w:hAnsiTheme="minorHAnsi" w:cstheme="minorHAnsi"/>
        </w:rPr>
        <w:t>Additional m</w:t>
      </w:r>
      <w:r>
        <w:rPr>
          <w:rFonts w:asciiTheme="minorHAnsi" w:hAnsiTheme="minorHAnsi" w:cstheme="minorHAnsi"/>
        </w:rPr>
        <w:t xml:space="preserve">embers are </w:t>
      </w:r>
      <w:r w:rsidR="003C27F5">
        <w:rPr>
          <w:rFonts w:asciiTheme="minorHAnsi" w:hAnsiTheme="minorHAnsi" w:cstheme="minorHAnsi"/>
        </w:rPr>
        <w:t>Paul Cook,</w:t>
      </w:r>
      <w:r>
        <w:rPr>
          <w:rFonts w:asciiTheme="minorHAnsi" w:hAnsiTheme="minorHAnsi" w:cstheme="minorHAnsi"/>
        </w:rPr>
        <w:t xml:space="preserve"> John M Cowden,</w:t>
      </w:r>
      <w:r w:rsidR="00A7574B">
        <w:rPr>
          <w:rFonts w:asciiTheme="minorHAnsi" w:hAnsiTheme="minorHAnsi" w:cstheme="minorHAnsi"/>
        </w:rPr>
        <w:t xml:space="preserve"> </w:t>
      </w:r>
      <w:r w:rsidR="00333AD1">
        <w:rPr>
          <w:rFonts w:asciiTheme="minorHAnsi" w:hAnsiTheme="minorHAnsi" w:cstheme="minorHAnsi"/>
        </w:rPr>
        <w:t xml:space="preserve">Kathryn </w:t>
      </w:r>
      <w:r w:rsidR="00B731B9">
        <w:rPr>
          <w:rFonts w:asciiTheme="minorHAnsi" w:hAnsiTheme="minorHAnsi" w:cstheme="minorHAnsi"/>
        </w:rPr>
        <w:t xml:space="preserve">A </w:t>
      </w:r>
      <w:r w:rsidR="00333AD1">
        <w:rPr>
          <w:rFonts w:asciiTheme="minorHAnsi" w:hAnsiTheme="minorHAnsi" w:cstheme="minorHAnsi"/>
        </w:rPr>
        <w:t>Jackson,</w:t>
      </w:r>
      <w:r w:rsidR="009F51D1">
        <w:rPr>
          <w:rFonts w:asciiTheme="minorHAnsi" w:hAnsiTheme="minorHAnsi" w:cstheme="minorHAnsi"/>
        </w:rPr>
        <w:t xml:space="preserve"> </w:t>
      </w:r>
      <w:proofErr w:type="gramStart"/>
      <w:r>
        <w:rPr>
          <w:rFonts w:asciiTheme="minorHAnsi" w:hAnsiTheme="minorHAnsi" w:cstheme="minorHAnsi"/>
        </w:rPr>
        <w:t>Brian</w:t>
      </w:r>
      <w:proofErr w:type="gramEnd"/>
      <w:r>
        <w:rPr>
          <w:rFonts w:asciiTheme="minorHAnsi" w:hAnsiTheme="minorHAnsi" w:cstheme="minorHAnsi"/>
        </w:rPr>
        <w:t xml:space="preserve"> Smyth</w:t>
      </w:r>
    </w:p>
    <w:p w14:paraId="21575A04" w14:textId="77777777" w:rsidR="00AE7514" w:rsidRDefault="00AE7514" w:rsidP="007E2BA2">
      <w:pPr>
        <w:pStyle w:val="Unknown0"/>
        <w:spacing w:after="0" w:line="480" w:lineRule="auto"/>
        <w:rPr>
          <w:rFonts w:asciiTheme="minorHAnsi" w:hAnsiTheme="minorHAnsi" w:cstheme="minorHAnsi"/>
        </w:rPr>
      </w:pPr>
    </w:p>
    <w:p w14:paraId="2F252033" w14:textId="77777777" w:rsidR="00F34C9A" w:rsidRDefault="00F34C9A" w:rsidP="007E2BA2">
      <w:pPr>
        <w:pStyle w:val="Unknown0"/>
        <w:spacing w:after="0" w:line="480" w:lineRule="auto"/>
        <w:rPr>
          <w:rFonts w:asciiTheme="minorHAnsi" w:hAnsiTheme="minorHAnsi" w:cstheme="minorHAnsi"/>
        </w:rPr>
      </w:pPr>
    </w:p>
    <w:p w14:paraId="3E5108B6" w14:textId="77777777" w:rsidR="00832CA6" w:rsidRDefault="00832CA6" w:rsidP="007E2BA2">
      <w:pPr>
        <w:pStyle w:val="Unknown0"/>
        <w:spacing w:after="0" w:line="480" w:lineRule="auto"/>
        <w:rPr>
          <w:rFonts w:asciiTheme="minorHAnsi" w:hAnsiTheme="minorHAnsi" w:cstheme="minorHAnsi"/>
        </w:rPr>
      </w:pPr>
      <w:r>
        <w:rPr>
          <w:rFonts w:asciiTheme="minorHAnsi" w:hAnsiTheme="minorHAnsi" w:cstheme="minorHAnsi"/>
        </w:rPr>
        <w:lastRenderedPageBreak/>
        <w:t>Correspondence to:</w:t>
      </w:r>
    </w:p>
    <w:p w14:paraId="45C81332" w14:textId="77777777" w:rsidR="000C52D1" w:rsidRDefault="00351CF4" w:rsidP="00F8332D">
      <w:pPr>
        <w:pStyle w:val="Unknown0"/>
        <w:spacing w:after="0" w:line="480" w:lineRule="auto"/>
        <w:rPr>
          <w:rFonts w:asciiTheme="minorHAnsi" w:hAnsiTheme="minorHAnsi" w:cstheme="minorHAnsi"/>
        </w:rPr>
      </w:pPr>
      <w:r>
        <w:rPr>
          <w:rFonts w:asciiTheme="minorHAnsi" w:hAnsiTheme="minorHAnsi" w:cstheme="minorHAnsi"/>
        </w:rPr>
        <w:t xml:space="preserve">Prof </w:t>
      </w:r>
      <w:r w:rsidR="00832CA6" w:rsidRPr="00F8332D">
        <w:rPr>
          <w:rFonts w:asciiTheme="minorHAnsi" w:hAnsiTheme="minorHAnsi" w:cstheme="minorHAnsi"/>
        </w:rPr>
        <w:t>Sarah J O’Brien</w:t>
      </w:r>
      <w:r w:rsidR="00F8332D" w:rsidRPr="00F8332D">
        <w:rPr>
          <w:rFonts w:asciiTheme="minorHAnsi" w:hAnsiTheme="minorHAnsi" w:cstheme="minorHAnsi"/>
        </w:rPr>
        <w:t xml:space="preserve"> </w:t>
      </w:r>
    </w:p>
    <w:p w14:paraId="27954047" w14:textId="3422061C" w:rsidR="00F34C9A" w:rsidRDefault="00832CA6" w:rsidP="00F8332D">
      <w:pPr>
        <w:pStyle w:val="Unknown0"/>
        <w:spacing w:after="0" w:line="480" w:lineRule="auto"/>
        <w:rPr>
          <w:rFonts w:asciiTheme="minorHAnsi" w:hAnsiTheme="minorHAnsi"/>
        </w:rPr>
      </w:pPr>
      <w:r w:rsidRPr="00F8332D">
        <w:rPr>
          <w:rFonts w:asciiTheme="minorHAnsi" w:hAnsiTheme="minorHAnsi"/>
        </w:rPr>
        <w:t xml:space="preserve">University of Liverpool </w:t>
      </w:r>
    </w:p>
    <w:p w14:paraId="23CFB8D7"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 xml:space="preserve">The Farr </w:t>
      </w:r>
      <w:proofErr w:type="spellStart"/>
      <w:r w:rsidRPr="00F34C9A">
        <w:rPr>
          <w:rFonts w:eastAsia="Arial Unicode MS"/>
          <w:color w:val="000000"/>
          <w:u w:color="000000"/>
        </w:rPr>
        <w:t>Institute@HeRC</w:t>
      </w:r>
      <w:proofErr w:type="spellEnd"/>
    </w:p>
    <w:p w14:paraId="72F2C9CC"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University of Liverpool</w:t>
      </w:r>
    </w:p>
    <w:p w14:paraId="67349211"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2nd Floor, Block F</w:t>
      </w:r>
      <w:r w:rsidR="00A8151E">
        <w:rPr>
          <w:rFonts w:eastAsia="Arial Unicode MS"/>
          <w:color w:val="000000"/>
          <w:u w:color="000000"/>
        </w:rPr>
        <w:t xml:space="preserve"> </w:t>
      </w:r>
      <w:r w:rsidRPr="00F34C9A">
        <w:rPr>
          <w:rFonts w:eastAsia="Arial Unicode MS"/>
          <w:color w:val="000000"/>
          <w:u w:color="000000"/>
        </w:rPr>
        <w:t>Waterhouse Buildings</w:t>
      </w:r>
    </w:p>
    <w:p w14:paraId="66D472DC"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1-5 Brownlow Street</w:t>
      </w:r>
    </w:p>
    <w:p w14:paraId="7F475635"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 xml:space="preserve">Liverpool </w:t>
      </w:r>
    </w:p>
    <w:p w14:paraId="6EC32BDB" w14:textId="77777777" w:rsidR="00F34C9A" w:rsidRPr="00F34C9A" w:rsidRDefault="00F34C9A" w:rsidP="00F34C9A">
      <w:pPr>
        <w:spacing w:after="0" w:line="480" w:lineRule="auto"/>
        <w:jc w:val="both"/>
        <w:rPr>
          <w:rFonts w:eastAsia="Arial Unicode MS"/>
          <w:color w:val="000000"/>
          <w:u w:color="000000"/>
        </w:rPr>
      </w:pPr>
      <w:r w:rsidRPr="00F34C9A">
        <w:rPr>
          <w:rFonts w:eastAsia="Arial Unicode MS"/>
          <w:color w:val="000000"/>
          <w:u w:color="000000"/>
        </w:rPr>
        <w:t>L69 3GL</w:t>
      </w:r>
    </w:p>
    <w:p w14:paraId="50767375" w14:textId="77777777" w:rsidR="00832CA6" w:rsidRPr="00D16F95" w:rsidRDefault="00F34C9A" w:rsidP="007E2BA2">
      <w:pPr>
        <w:spacing w:after="0" w:line="480" w:lineRule="auto"/>
        <w:jc w:val="both"/>
      </w:pPr>
      <w:r w:rsidRPr="00F34C9A">
        <w:rPr>
          <w:rFonts w:eastAsia="Arial Unicode MS"/>
          <w:color w:val="000000"/>
          <w:u w:color="000000"/>
        </w:rPr>
        <w:t>Tel: +44 151 795 8301</w:t>
      </w:r>
    </w:p>
    <w:p w14:paraId="6B3835EE" w14:textId="77777777" w:rsidR="00832CA6" w:rsidRDefault="00832CA6" w:rsidP="007E2BA2">
      <w:pPr>
        <w:spacing w:after="0" w:line="480" w:lineRule="auto"/>
        <w:jc w:val="both"/>
      </w:pPr>
      <w:r w:rsidRPr="00D16F95">
        <w:t>E-</w:t>
      </w:r>
      <w:r>
        <w:t xml:space="preserve">mail: </w:t>
      </w:r>
      <w:hyperlink r:id="rId9" w:history="1">
        <w:r w:rsidRPr="000C5A1A">
          <w:rPr>
            <w:rStyle w:val="Hyperlink"/>
          </w:rPr>
          <w:t>s.j.obrien@liverpool.ac.uk</w:t>
        </w:r>
      </w:hyperlink>
    </w:p>
    <w:p w14:paraId="6679D0E9" w14:textId="77777777" w:rsidR="000C52D1" w:rsidRDefault="000C52D1">
      <w:pPr>
        <w:rPr>
          <w:rFonts w:cstheme="minorHAnsi"/>
        </w:rPr>
      </w:pPr>
    </w:p>
    <w:p w14:paraId="6A5078BF" w14:textId="77777777" w:rsidR="00B0212E" w:rsidRPr="000C52D1" w:rsidRDefault="00B0212E">
      <w:pPr>
        <w:rPr>
          <w:rFonts w:cstheme="minorHAnsi"/>
        </w:rPr>
      </w:pPr>
      <w:r w:rsidRPr="00B0212E">
        <w:rPr>
          <w:rFonts w:cstheme="minorHAnsi"/>
        </w:rPr>
        <w:t xml:space="preserve">Key words = </w:t>
      </w:r>
      <w:r w:rsidR="00281CE4">
        <w:rPr>
          <w:rFonts w:cstheme="minorHAnsi"/>
        </w:rPr>
        <w:t xml:space="preserve">Foodborne disease, </w:t>
      </w:r>
      <w:r w:rsidR="00281CE4" w:rsidRPr="00281CE4">
        <w:rPr>
          <w:rFonts w:cstheme="minorHAnsi"/>
          <w:i/>
        </w:rPr>
        <w:t>Salmonella</w:t>
      </w:r>
      <w:r w:rsidR="00281CE4">
        <w:rPr>
          <w:rFonts w:cstheme="minorHAnsi"/>
        </w:rPr>
        <w:t xml:space="preserve">, </w:t>
      </w:r>
      <w:r w:rsidR="00281CE4" w:rsidRPr="00281CE4">
        <w:rPr>
          <w:rFonts w:cstheme="minorHAnsi"/>
          <w:i/>
        </w:rPr>
        <w:t>Campylobacter</w:t>
      </w:r>
      <w:r w:rsidR="00281CE4">
        <w:rPr>
          <w:rFonts w:cstheme="minorHAnsi"/>
        </w:rPr>
        <w:t xml:space="preserve">, norovirus, </w:t>
      </w:r>
      <w:r w:rsidR="00281CE4" w:rsidRPr="00281CE4">
        <w:rPr>
          <w:rFonts w:cstheme="minorHAnsi"/>
          <w:i/>
        </w:rPr>
        <w:t xml:space="preserve">Clostridium </w:t>
      </w:r>
      <w:proofErr w:type="spellStart"/>
      <w:r w:rsidR="00281CE4" w:rsidRPr="00281CE4">
        <w:rPr>
          <w:rFonts w:cstheme="minorHAnsi"/>
          <w:i/>
        </w:rPr>
        <w:t>perfringens</w:t>
      </w:r>
      <w:proofErr w:type="spellEnd"/>
    </w:p>
    <w:p w14:paraId="2C352C20" w14:textId="0B85FA41" w:rsidR="00F8332D" w:rsidRDefault="00F8332D">
      <w:pPr>
        <w:rPr>
          <w:rFonts w:eastAsia="Arial Unicode MS" w:cstheme="minorHAnsi"/>
          <w:b/>
          <w:color w:val="000000"/>
          <w:u w:color="000000"/>
        </w:rPr>
      </w:pPr>
      <w:r w:rsidRPr="00B0212E">
        <w:rPr>
          <w:rFonts w:cstheme="minorHAnsi"/>
        </w:rPr>
        <w:t>Word Count</w:t>
      </w:r>
      <w:r w:rsidR="00716CDD">
        <w:rPr>
          <w:rFonts w:cstheme="minorHAnsi"/>
        </w:rPr>
        <w:t xml:space="preserve"> (Main Text)</w:t>
      </w:r>
      <w:r w:rsidRPr="00B0212E">
        <w:rPr>
          <w:rFonts w:cstheme="minorHAnsi"/>
        </w:rPr>
        <w:t xml:space="preserve"> =</w:t>
      </w:r>
      <w:r>
        <w:rPr>
          <w:rFonts w:cstheme="minorHAnsi"/>
          <w:b/>
        </w:rPr>
        <w:t xml:space="preserve"> </w:t>
      </w:r>
      <w:r w:rsidR="00AF131C">
        <w:rPr>
          <w:rFonts w:cstheme="minorHAnsi"/>
        </w:rPr>
        <w:t>4,</w:t>
      </w:r>
      <w:r w:rsidR="000A4AE5">
        <w:rPr>
          <w:rFonts w:cstheme="minorHAnsi"/>
        </w:rPr>
        <w:t>158</w:t>
      </w:r>
      <w:r>
        <w:rPr>
          <w:rFonts w:cstheme="minorHAnsi"/>
          <w:b/>
        </w:rPr>
        <w:br w:type="page"/>
      </w:r>
    </w:p>
    <w:p w14:paraId="0EEAA151" w14:textId="77777777" w:rsidR="00832CA6" w:rsidRPr="0018452C" w:rsidRDefault="0018452C" w:rsidP="00CC6C1E">
      <w:pPr>
        <w:pStyle w:val="Unknown0"/>
        <w:spacing w:after="0" w:line="480" w:lineRule="auto"/>
        <w:rPr>
          <w:rFonts w:asciiTheme="minorHAnsi" w:hAnsiTheme="minorHAnsi" w:cstheme="minorHAnsi"/>
          <w:b/>
        </w:rPr>
      </w:pPr>
      <w:r w:rsidRPr="0018452C">
        <w:rPr>
          <w:rFonts w:asciiTheme="minorHAnsi" w:hAnsiTheme="minorHAnsi" w:cstheme="minorHAnsi"/>
          <w:b/>
        </w:rPr>
        <w:lastRenderedPageBreak/>
        <w:t>Abstract</w:t>
      </w:r>
    </w:p>
    <w:p w14:paraId="5A3B6429" w14:textId="14718E2D" w:rsidR="001E30ED" w:rsidRPr="001E30ED" w:rsidRDefault="001E30ED" w:rsidP="001E30ED">
      <w:pPr>
        <w:pStyle w:val="Body1"/>
        <w:spacing w:after="0" w:line="480" w:lineRule="auto"/>
        <w:rPr>
          <w:rFonts w:asciiTheme="minorHAnsi" w:hAnsiTheme="minorHAnsi" w:cstheme="minorHAnsi"/>
        </w:rPr>
      </w:pPr>
      <w:r w:rsidRPr="00F232F7">
        <w:rPr>
          <w:rFonts w:asciiTheme="minorHAnsi" w:hAnsiTheme="minorHAnsi" w:cstheme="minorHAnsi"/>
          <w:b/>
        </w:rPr>
        <w:t>Objective</w:t>
      </w:r>
      <w:r w:rsidRPr="001E30ED">
        <w:rPr>
          <w:rFonts w:asciiTheme="minorHAnsi" w:hAnsiTheme="minorHAnsi" w:cstheme="minorHAnsi"/>
        </w:rPr>
        <w:t xml:space="preserve">: </w:t>
      </w:r>
      <w:r w:rsidR="00822C35">
        <w:rPr>
          <w:rFonts w:asciiTheme="minorHAnsi" w:hAnsiTheme="minorHAnsi" w:cstheme="minorHAnsi"/>
        </w:rPr>
        <w:t>T</w:t>
      </w:r>
      <w:r w:rsidR="00F232F7" w:rsidRPr="00F232F7">
        <w:rPr>
          <w:rFonts w:asciiTheme="minorHAnsi" w:hAnsiTheme="minorHAnsi" w:cstheme="minorHAnsi"/>
        </w:rPr>
        <w:t xml:space="preserve">o generate estimates of the burden of UK-acquired foodborne disease </w:t>
      </w:r>
      <w:r w:rsidR="00C31398" w:rsidRPr="004A55C9">
        <w:rPr>
          <w:rFonts w:asciiTheme="minorHAnsi" w:hAnsiTheme="minorHAnsi" w:cstheme="minorHAnsi"/>
        </w:rPr>
        <w:t>accounting for uncertainty</w:t>
      </w:r>
      <w:r w:rsidR="00F232F7" w:rsidRPr="004A55C9">
        <w:rPr>
          <w:rFonts w:asciiTheme="minorHAnsi" w:hAnsiTheme="minorHAnsi" w:cstheme="minorHAnsi"/>
        </w:rPr>
        <w:t>.</w:t>
      </w:r>
      <w:r w:rsidRPr="001E30ED">
        <w:rPr>
          <w:rFonts w:asciiTheme="minorHAnsi" w:hAnsiTheme="minorHAnsi" w:cstheme="minorHAnsi"/>
        </w:rPr>
        <w:t xml:space="preserve"> </w:t>
      </w:r>
    </w:p>
    <w:p w14:paraId="337E5A87" w14:textId="63680A98" w:rsidR="001E30ED" w:rsidRPr="001E30ED" w:rsidRDefault="00F10DE3" w:rsidP="001E30ED">
      <w:pPr>
        <w:pStyle w:val="Body1"/>
        <w:spacing w:after="0" w:line="480" w:lineRule="auto"/>
        <w:rPr>
          <w:rFonts w:asciiTheme="minorHAnsi" w:hAnsiTheme="minorHAnsi" w:cstheme="minorHAnsi"/>
        </w:rPr>
      </w:pPr>
      <w:r w:rsidRPr="00A56A13">
        <w:rPr>
          <w:rFonts w:asciiTheme="minorHAnsi" w:hAnsiTheme="minorHAnsi" w:cstheme="minorHAnsi"/>
          <w:b/>
        </w:rPr>
        <w:t>D</w:t>
      </w:r>
      <w:r w:rsidR="001E30ED" w:rsidRPr="00A56A13">
        <w:rPr>
          <w:rFonts w:asciiTheme="minorHAnsi" w:hAnsiTheme="minorHAnsi" w:cstheme="minorHAnsi"/>
          <w:b/>
        </w:rPr>
        <w:t>esign:</w:t>
      </w:r>
      <w:r w:rsidR="0013522D">
        <w:rPr>
          <w:rFonts w:asciiTheme="minorHAnsi" w:hAnsiTheme="minorHAnsi" w:cstheme="minorHAnsi"/>
          <w:b/>
        </w:rPr>
        <w:t xml:space="preserve"> </w:t>
      </w:r>
      <w:r w:rsidR="00822C35">
        <w:rPr>
          <w:rFonts w:asciiTheme="minorHAnsi" w:hAnsiTheme="minorHAnsi" w:cstheme="minorHAnsi"/>
        </w:rPr>
        <w:t>A</w:t>
      </w:r>
      <w:r w:rsidR="00822C35" w:rsidRPr="0013522D">
        <w:rPr>
          <w:rFonts w:asciiTheme="minorHAnsi" w:hAnsiTheme="minorHAnsi" w:cstheme="minorHAnsi"/>
        </w:rPr>
        <w:t xml:space="preserve"> </w:t>
      </w:r>
      <w:r w:rsidR="0013522D" w:rsidRPr="0013522D">
        <w:rPr>
          <w:rFonts w:asciiTheme="minorHAnsi" w:hAnsiTheme="minorHAnsi" w:cstheme="minorHAnsi"/>
        </w:rPr>
        <w:t>modelling study</w:t>
      </w:r>
      <w:r w:rsidR="001E30ED" w:rsidRPr="001E30ED">
        <w:rPr>
          <w:rFonts w:asciiTheme="minorHAnsi" w:hAnsiTheme="minorHAnsi" w:cstheme="minorHAnsi"/>
        </w:rPr>
        <w:t xml:space="preserve"> </w:t>
      </w:r>
      <w:r w:rsidR="00F54713">
        <w:rPr>
          <w:rFonts w:asciiTheme="minorHAnsi" w:hAnsiTheme="minorHAnsi" w:cstheme="minorHAnsi"/>
        </w:rPr>
        <w:t>combining</w:t>
      </w:r>
      <w:r w:rsidR="0013522D">
        <w:rPr>
          <w:rFonts w:asciiTheme="minorHAnsi" w:hAnsiTheme="minorHAnsi" w:cstheme="minorHAnsi"/>
        </w:rPr>
        <w:t xml:space="preserve"> data from national public health surveillance systems for laboratory-confirmed infectious intestinal disease (IID) and outbreaks of foodborne disease</w:t>
      </w:r>
      <w:r w:rsidR="002C5387">
        <w:rPr>
          <w:rFonts w:asciiTheme="minorHAnsi" w:hAnsiTheme="minorHAnsi" w:cstheme="minorHAnsi"/>
        </w:rPr>
        <w:t>,</w:t>
      </w:r>
      <w:r w:rsidR="000C37CB">
        <w:rPr>
          <w:rFonts w:asciiTheme="minorHAnsi" w:hAnsiTheme="minorHAnsi" w:cstheme="minorHAnsi"/>
        </w:rPr>
        <w:t xml:space="preserve"> and</w:t>
      </w:r>
      <w:r w:rsidR="0013522D">
        <w:rPr>
          <w:rFonts w:asciiTheme="minorHAnsi" w:hAnsiTheme="minorHAnsi" w:cstheme="minorHAnsi"/>
        </w:rPr>
        <w:t xml:space="preserve"> two prospective, population-based studies of IID in the community.</w:t>
      </w:r>
      <w:r w:rsidR="001E30ED" w:rsidRPr="001E30ED">
        <w:rPr>
          <w:rFonts w:asciiTheme="minorHAnsi" w:hAnsiTheme="minorHAnsi" w:cstheme="minorHAnsi"/>
        </w:rPr>
        <w:t xml:space="preserve"> </w:t>
      </w:r>
      <w:r w:rsidR="00C31398" w:rsidRPr="004A55C9">
        <w:rPr>
          <w:rFonts w:asciiTheme="minorHAnsi" w:hAnsiTheme="minorHAnsi" w:cstheme="minorHAnsi"/>
        </w:rPr>
        <w:t xml:space="preserve">The </w:t>
      </w:r>
      <w:r w:rsidR="002669CE" w:rsidRPr="004A55C9">
        <w:rPr>
          <w:rFonts w:asciiTheme="minorHAnsi" w:hAnsiTheme="minorHAnsi" w:cstheme="minorHAnsi"/>
        </w:rPr>
        <w:t xml:space="preserve">underlying </w:t>
      </w:r>
      <w:r w:rsidR="00C31398" w:rsidRPr="004A55C9">
        <w:rPr>
          <w:rFonts w:asciiTheme="minorHAnsi" w:hAnsiTheme="minorHAnsi" w:cstheme="minorHAnsi"/>
        </w:rPr>
        <w:t>datasets covered the time period 1993 to 2008.</w:t>
      </w:r>
      <w:r w:rsidR="00C31398">
        <w:rPr>
          <w:rFonts w:asciiTheme="minorHAnsi" w:hAnsiTheme="minorHAnsi" w:cstheme="minorHAnsi"/>
        </w:rPr>
        <w:t xml:space="preserve"> </w:t>
      </w:r>
      <w:r w:rsidR="006C572D">
        <w:rPr>
          <w:rFonts w:asciiTheme="minorHAnsi" w:hAnsiTheme="minorHAnsi" w:cstheme="minorHAnsi"/>
        </w:rPr>
        <w:t xml:space="preserve">We used </w:t>
      </w:r>
      <w:r w:rsidR="006C572D" w:rsidRPr="006C572D">
        <w:rPr>
          <w:rFonts w:asciiTheme="minorHAnsi" w:hAnsiTheme="minorHAnsi" w:cstheme="minorHAnsi"/>
        </w:rPr>
        <w:t>Monte Carlo simulation and a Bayesian approach</w:t>
      </w:r>
      <w:r w:rsidR="00321137">
        <w:rPr>
          <w:rFonts w:asciiTheme="minorHAnsi" w:hAnsiTheme="minorHAnsi" w:cstheme="minorHAnsi"/>
        </w:rPr>
        <w:t>, using</w:t>
      </w:r>
      <w:r w:rsidR="00321137" w:rsidRPr="00321137">
        <w:rPr>
          <w:rFonts w:asciiTheme="minorHAnsi" w:hAnsiTheme="minorHAnsi" w:cstheme="minorHAnsi"/>
        </w:rPr>
        <w:t xml:space="preserve"> </w:t>
      </w:r>
      <w:r w:rsidR="00321137">
        <w:rPr>
          <w:rFonts w:asciiTheme="minorHAnsi" w:hAnsiTheme="minorHAnsi" w:cstheme="minorHAnsi"/>
        </w:rPr>
        <w:t>a systematic review to generate Bayesian priors. We calculated</w:t>
      </w:r>
      <w:r w:rsidR="006E3F4E">
        <w:rPr>
          <w:rFonts w:asciiTheme="minorHAnsi" w:hAnsiTheme="minorHAnsi" w:cstheme="minorHAnsi"/>
        </w:rPr>
        <w:t xml:space="preserve"> point estimates with 95% credibl</w:t>
      </w:r>
      <w:r w:rsidR="004E6E84">
        <w:rPr>
          <w:rFonts w:asciiTheme="minorHAnsi" w:hAnsiTheme="minorHAnsi" w:cstheme="minorHAnsi"/>
        </w:rPr>
        <w:t>e</w:t>
      </w:r>
      <w:r w:rsidR="006E3F4E">
        <w:rPr>
          <w:rFonts w:asciiTheme="minorHAnsi" w:hAnsiTheme="minorHAnsi" w:cstheme="minorHAnsi"/>
        </w:rPr>
        <w:t xml:space="preserve"> intervals</w:t>
      </w:r>
      <w:r w:rsidR="008E535C">
        <w:rPr>
          <w:rFonts w:asciiTheme="minorHAnsi" w:hAnsiTheme="minorHAnsi" w:cstheme="minorHAnsi"/>
        </w:rPr>
        <w:t xml:space="preserve"> (</w:t>
      </w:r>
      <w:proofErr w:type="spellStart"/>
      <w:r w:rsidR="008E535C">
        <w:rPr>
          <w:rFonts w:asciiTheme="minorHAnsi" w:hAnsiTheme="minorHAnsi" w:cstheme="minorHAnsi"/>
        </w:rPr>
        <w:t>Crl</w:t>
      </w:r>
      <w:proofErr w:type="spellEnd"/>
      <w:r w:rsidR="008E535C">
        <w:rPr>
          <w:rFonts w:asciiTheme="minorHAnsi" w:hAnsiTheme="minorHAnsi" w:cstheme="minorHAnsi"/>
        </w:rPr>
        <w:t>)</w:t>
      </w:r>
      <w:r w:rsidR="006E3F4E">
        <w:rPr>
          <w:rFonts w:asciiTheme="minorHAnsi" w:hAnsiTheme="minorHAnsi" w:cstheme="minorHAnsi"/>
        </w:rPr>
        <w:t>.</w:t>
      </w:r>
    </w:p>
    <w:p w14:paraId="1163BA86" w14:textId="77777777" w:rsidR="001E30ED" w:rsidRPr="001E30ED" w:rsidRDefault="001E30ED" w:rsidP="001E30ED">
      <w:pPr>
        <w:pStyle w:val="Body1"/>
        <w:spacing w:after="0" w:line="480" w:lineRule="auto"/>
        <w:rPr>
          <w:rFonts w:asciiTheme="minorHAnsi" w:hAnsiTheme="minorHAnsi" w:cstheme="minorHAnsi"/>
        </w:rPr>
      </w:pPr>
      <w:r w:rsidRPr="00A56A13">
        <w:rPr>
          <w:rFonts w:asciiTheme="minorHAnsi" w:hAnsiTheme="minorHAnsi" w:cstheme="minorHAnsi"/>
          <w:b/>
        </w:rPr>
        <w:t>Setting:</w:t>
      </w:r>
      <w:r w:rsidRPr="001E30ED">
        <w:rPr>
          <w:rFonts w:asciiTheme="minorHAnsi" w:hAnsiTheme="minorHAnsi" w:cstheme="minorHAnsi"/>
        </w:rPr>
        <w:t xml:space="preserve"> </w:t>
      </w:r>
      <w:r w:rsidR="006F19CA">
        <w:rPr>
          <w:rFonts w:asciiTheme="minorHAnsi" w:hAnsiTheme="minorHAnsi" w:cstheme="minorHAnsi"/>
        </w:rPr>
        <w:t>United Kingdom (UK)</w:t>
      </w:r>
      <w:r w:rsidR="00C31398">
        <w:rPr>
          <w:rFonts w:asciiTheme="minorHAnsi" w:hAnsiTheme="minorHAnsi" w:cstheme="minorHAnsi"/>
        </w:rPr>
        <w:t xml:space="preserve">, </w:t>
      </w:r>
      <w:r w:rsidR="00C31398" w:rsidRPr="004A55C9">
        <w:rPr>
          <w:rFonts w:asciiTheme="minorHAnsi" w:hAnsiTheme="minorHAnsi" w:cstheme="minorHAnsi"/>
        </w:rPr>
        <w:t>2009</w:t>
      </w:r>
      <w:r w:rsidR="006F19CA" w:rsidRPr="001E30ED">
        <w:rPr>
          <w:rFonts w:asciiTheme="minorHAnsi" w:hAnsiTheme="minorHAnsi" w:cstheme="minorHAnsi"/>
        </w:rPr>
        <w:t xml:space="preserve"> </w:t>
      </w:r>
    </w:p>
    <w:p w14:paraId="39F7531D" w14:textId="77777777" w:rsidR="001E30ED" w:rsidRPr="001E30ED" w:rsidRDefault="00F9733A" w:rsidP="001E30ED">
      <w:pPr>
        <w:pStyle w:val="Body1"/>
        <w:spacing w:after="0" w:line="480" w:lineRule="auto"/>
        <w:rPr>
          <w:rFonts w:asciiTheme="minorHAnsi" w:hAnsiTheme="minorHAnsi" w:cstheme="minorHAnsi"/>
        </w:rPr>
      </w:pPr>
      <w:r>
        <w:rPr>
          <w:rFonts w:asciiTheme="minorHAnsi" w:hAnsiTheme="minorHAnsi" w:cstheme="minorHAnsi"/>
          <w:b/>
        </w:rPr>
        <w:t>O</w:t>
      </w:r>
      <w:r w:rsidR="001E30ED" w:rsidRPr="0013522D">
        <w:rPr>
          <w:rFonts w:asciiTheme="minorHAnsi" w:hAnsiTheme="minorHAnsi" w:cstheme="minorHAnsi"/>
          <w:b/>
        </w:rPr>
        <w:t>utcome measures:</w:t>
      </w:r>
      <w:r w:rsidR="001E30ED" w:rsidRPr="001E30ED">
        <w:rPr>
          <w:rFonts w:asciiTheme="minorHAnsi" w:hAnsiTheme="minorHAnsi" w:cstheme="minorHAnsi"/>
        </w:rPr>
        <w:t xml:space="preserve"> </w:t>
      </w:r>
      <w:r w:rsidR="00822C35">
        <w:rPr>
          <w:rFonts w:asciiTheme="minorHAnsi" w:hAnsiTheme="minorHAnsi" w:cstheme="minorHAnsi"/>
        </w:rPr>
        <w:t>P</w:t>
      </w:r>
      <w:r w:rsidR="006F19CA">
        <w:rPr>
          <w:rFonts w:asciiTheme="minorHAnsi" w:hAnsiTheme="minorHAnsi" w:cstheme="minorHAnsi"/>
        </w:rPr>
        <w:t xml:space="preserve">athogen-specific </w:t>
      </w:r>
      <w:r w:rsidR="00394D4B">
        <w:rPr>
          <w:rFonts w:asciiTheme="minorHAnsi" w:hAnsiTheme="minorHAnsi" w:cstheme="minorHAnsi"/>
        </w:rPr>
        <w:t>e</w:t>
      </w:r>
      <w:r>
        <w:rPr>
          <w:rFonts w:asciiTheme="minorHAnsi" w:hAnsiTheme="minorHAnsi" w:cstheme="minorHAnsi"/>
        </w:rPr>
        <w:t>stimates of the number of cases,</w:t>
      </w:r>
      <w:r w:rsidRPr="00F9733A">
        <w:t xml:space="preserve"> </w:t>
      </w:r>
      <w:r w:rsidRPr="00F9733A">
        <w:rPr>
          <w:rFonts w:asciiTheme="minorHAnsi" w:hAnsiTheme="minorHAnsi" w:cstheme="minorHAnsi"/>
        </w:rPr>
        <w:t xml:space="preserve">general practice consultations and </w:t>
      </w:r>
      <w:proofErr w:type="spellStart"/>
      <w:r w:rsidRPr="00F9733A">
        <w:rPr>
          <w:rFonts w:asciiTheme="minorHAnsi" w:hAnsiTheme="minorHAnsi" w:cstheme="minorHAnsi"/>
        </w:rPr>
        <w:t>hospitalisations</w:t>
      </w:r>
      <w:proofErr w:type="spellEnd"/>
      <w:r>
        <w:rPr>
          <w:rFonts w:asciiTheme="minorHAnsi" w:hAnsiTheme="minorHAnsi" w:cstheme="minorHAnsi"/>
        </w:rPr>
        <w:t xml:space="preserve"> for foodborne disease in the UK</w:t>
      </w:r>
      <w:r w:rsidR="00A057FC">
        <w:rPr>
          <w:rFonts w:asciiTheme="minorHAnsi" w:hAnsiTheme="minorHAnsi" w:cstheme="minorHAnsi"/>
        </w:rPr>
        <w:t xml:space="preserve"> </w:t>
      </w:r>
      <w:r w:rsidR="00A057FC" w:rsidRPr="004A55C9">
        <w:rPr>
          <w:rFonts w:asciiTheme="minorHAnsi" w:hAnsiTheme="minorHAnsi" w:cstheme="minorHAnsi"/>
        </w:rPr>
        <w:t>in 2009</w:t>
      </w:r>
      <w:r w:rsidRPr="004A55C9">
        <w:rPr>
          <w:rFonts w:asciiTheme="minorHAnsi" w:hAnsiTheme="minorHAnsi" w:cstheme="minorHAnsi"/>
        </w:rPr>
        <w:t>.</w:t>
      </w:r>
    </w:p>
    <w:p w14:paraId="603C4E5C" w14:textId="15E3C680" w:rsidR="001E30ED" w:rsidRPr="001E30ED" w:rsidRDefault="00F10DE3" w:rsidP="001E30ED">
      <w:pPr>
        <w:pStyle w:val="Body1"/>
        <w:spacing w:after="0" w:line="480" w:lineRule="auto"/>
        <w:rPr>
          <w:rFonts w:asciiTheme="minorHAnsi" w:hAnsiTheme="minorHAnsi" w:cstheme="minorHAnsi"/>
        </w:rPr>
      </w:pPr>
      <w:r w:rsidRPr="0013522D">
        <w:rPr>
          <w:rFonts w:asciiTheme="minorHAnsi" w:hAnsiTheme="minorHAnsi" w:cstheme="minorHAnsi"/>
          <w:b/>
        </w:rPr>
        <w:t>R</w:t>
      </w:r>
      <w:r w:rsidR="001E30ED" w:rsidRPr="0013522D">
        <w:rPr>
          <w:rFonts w:asciiTheme="minorHAnsi" w:hAnsiTheme="minorHAnsi" w:cstheme="minorHAnsi"/>
          <w:b/>
        </w:rPr>
        <w:t>esults:</w:t>
      </w:r>
      <w:r w:rsidR="001E30ED" w:rsidRPr="001E30ED">
        <w:rPr>
          <w:rFonts w:asciiTheme="minorHAnsi" w:hAnsiTheme="minorHAnsi" w:cstheme="minorHAnsi"/>
        </w:rPr>
        <w:t xml:space="preserve"> </w:t>
      </w:r>
      <w:r w:rsidR="006F19CA">
        <w:rPr>
          <w:rFonts w:asciiTheme="minorHAnsi" w:hAnsiTheme="minorHAnsi" w:cstheme="minorHAnsi"/>
        </w:rPr>
        <w:t xml:space="preserve">Bayesian approaches gave </w:t>
      </w:r>
      <w:r w:rsidR="00A057FC" w:rsidRPr="004A55C9">
        <w:rPr>
          <w:rFonts w:asciiTheme="minorHAnsi" w:hAnsiTheme="minorHAnsi" w:cstheme="minorHAnsi"/>
        </w:rPr>
        <w:t xml:space="preserve">slightly more </w:t>
      </w:r>
      <w:r w:rsidR="006F19CA" w:rsidRPr="004A55C9">
        <w:rPr>
          <w:rFonts w:asciiTheme="minorHAnsi" w:hAnsiTheme="minorHAnsi" w:cstheme="minorHAnsi"/>
        </w:rPr>
        <w:t xml:space="preserve">conservative estimates of </w:t>
      </w:r>
      <w:r w:rsidR="00A057FC" w:rsidRPr="004A55C9">
        <w:rPr>
          <w:rFonts w:asciiTheme="minorHAnsi" w:hAnsiTheme="minorHAnsi" w:cstheme="minorHAnsi"/>
        </w:rPr>
        <w:t xml:space="preserve">overall </w:t>
      </w:r>
      <w:r w:rsidR="006F19CA" w:rsidRPr="004A55C9">
        <w:rPr>
          <w:rFonts w:asciiTheme="minorHAnsi" w:hAnsiTheme="minorHAnsi" w:cstheme="minorHAnsi"/>
        </w:rPr>
        <w:t>health burden</w:t>
      </w:r>
      <w:r w:rsidR="00A057FC" w:rsidRPr="004A55C9">
        <w:rPr>
          <w:rFonts w:asciiTheme="minorHAnsi" w:hAnsiTheme="minorHAnsi" w:cstheme="minorHAnsi"/>
        </w:rPr>
        <w:t xml:space="preserve"> (approximately 511,000 cases versus 566,000 cases)</w:t>
      </w:r>
      <w:r w:rsidR="006F19CA" w:rsidRPr="004A55C9">
        <w:rPr>
          <w:rFonts w:asciiTheme="minorHAnsi" w:hAnsiTheme="minorHAnsi" w:cstheme="minorHAnsi"/>
        </w:rPr>
        <w:t>.</w:t>
      </w:r>
      <w:r w:rsidR="006F19CA">
        <w:rPr>
          <w:rFonts w:asciiTheme="minorHAnsi" w:hAnsiTheme="minorHAnsi" w:cstheme="minorHAnsi"/>
        </w:rPr>
        <w:t xml:space="preserve"> </w:t>
      </w:r>
      <w:r w:rsidR="008E535C" w:rsidRPr="008E535C">
        <w:rPr>
          <w:rFonts w:asciiTheme="minorHAnsi" w:hAnsiTheme="minorHAnsi" w:cstheme="minorHAnsi"/>
          <w:i/>
        </w:rPr>
        <w:t>Campylobacter</w:t>
      </w:r>
      <w:r w:rsidR="008E535C" w:rsidRPr="008E535C">
        <w:rPr>
          <w:rFonts w:asciiTheme="minorHAnsi" w:hAnsiTheme="minorHAnsi" w:cstheme="minorHAnsi"/>
        </w:rPr>
        <w:t xml:space="preserve"> is the most common foodborne pathogen, causing </w:t>
      </w:r>
      <w:r w:rsidR="006F19CA">
        <w:rPr>
          <w:rFonts w:asciiTheme="minorHAnsi" w:hAnsiTheme="minorHAnsi" w:cstheme="minorHAnsi"/>
        </w:rPr>
        <w:t xml:space="preserve">280,400 (95% </w:t>
      </w:r>
      <w:proofErr w:type="spellStart"/>
      <w:r w:rsidR="006F19CA">
        <w:rPr>
          <w:rFonts w:asciiTheme="minorHAnsi" w:hAnsiTheme="minorHAnsi" w:cstheme="minorHAnsi"/>
        </w:rPr>
        <w:t>CrI</w:t>
      </w:r>
      <w:proofErr w:type="spellEnd"/>
      <w:r w:rsidR="006F19CA">
        <w:rPr>
          <w:rFonts w:asciiTheme="minorHAnsi" w:hAnsiTheme="minorHAnsi" w:cstheme="minorHAnsi"/>
        </w:rPr>
        <w:t xml:space="preserve">: 182,503 – 435,693) </w:t>
      </w:r>
      <w:r w:rsidR="008E535C" w:rsidRPr="008E535C">
        <w:rPr>
          <w:rFonts w:asciiTheme="minorHAnsi" w:hAnsiTheme="minorHAnsi" w:cstheme="minorHAnsi"/>
        </w:rPr>
        <w:t xml:space="preserve">food-related cases and </w:t>
      </w:r>
      <w:r w:rsidR="006F19CA">
        <w:rPr>
          <w:rFonts w:asciiTheme="minorHAnsi" w:hAnsiTheme="minorHAnsi" w:cstheme="minorHAnsi"/>
        </w:rPr>
        <w:t xml:space="preserve">38,860 (95% </w:t>
      </w:r>
      <w:proofErr w:type="spellStart"/>
      <w:r w:rsidR="006F19CA">
        <w:rPr>
          <w:rFonts w:asciiTheme="minorHAnsi" w:hAnsiTheme="minorHAnsi" w:cstheme="minorHAnsi"/>
        </w:rPr>
        <w:t>CrI</w:t>
      </w:r>
      <w:proofErr w:type="spellEnd"/>
      <w:r w:rsidR="006F19CA">
        <w:rPr>
          <w:rFonts w:asciiTheme="minorHAnsi" w:hAnsiTheme="minorHAnsi" w:cstheme="minorHAnsi"/>
        </w:rPr>
        <w:t xml:space="preserve">: 27,160 – 55,610) </w:t>
      </w:r>
      <w:r w:rsidR="00A20103">
        <w:rPr>
          <w:rFonts w:asciiTheme="minorHAnsi" w:hAnsiTheme="minorHAnsi" w:cstheme="minorHAnsi"/>
        </w:rPr>
        <w:t>general practice (</w:t>
      </w:r>
      <w:r w:rsidR="008E535C" w:rsidRPr="008E535C">
        <w:rPr>
          <w:rFonts w:asciiTheme="minorHAnsi" w:hAnsiTheme="minorHAnsi" w:cstheme="minorHAnsi"/>
        </w:rPr>
        <w:t>GP</w:t>
      </w:r>
      <w:r w:rsidR="00A20103">
        <w:rPr>
          <w:rFonts w:asciiTheme="minorHAnsi" w:hAnsiTheme="minorHAnsi" w:cstheme="minorHAnsi"/>
        </w:rPr>
        <w:t>)</w:t>
      </w:r>
      <w:r w:rsidR="008E535C" w:rsidRPr="008E535C">
        <w:rPr>
          <w:rFonts w:asciiTheme="minorHAnsi" w:hAnsiTheme="minorHAnsi" w:cstheme="minorHAnsi"/>
        </w:rPr>
        <w:t xml:space="preserve"> consultations annually. Despite this, there </w:t>
      </w:r>
      <w:r w:rsidR="006F19CA">
        <w:rPr>
          <w:rFonts w:asciiTheme="minorHAnsi" w:hAnsiTheme="minorHAnsi" w:cstheme="minorHAnsi"/>
        </w:rPr>
        <w:t xml:space="preserve">are only around 562 (95% </w:t>
      </w:r>
      <w:proofErr w:type="spellStart"/>
      <w:r w:rsidR="006F19CA">
        <w:rPr>
          <w:rFonts w:asciiTheme="minorHAnsi" w:hAnsiTheme="minorHAnsi" w:cstheme="minorHAnsi"/>
        </w:rPr>
        <w:t>CrI</w:t>
      </w:r>
      <w:proofErr w:type="spellEnd"/>
      <w:r w:rsidR="006F19CA">
        <w:rPr>
          <w:rFonts w:asciiTheme="minorHAnsi" w:hAnsiTheme="minorHAnsi" w:cstheme="minorHAnsi"/>
        </w:rPr>
        <w:t xml:space="preserve">: 189 – 1,330) </w:t>
      </w:r>
      <w:r w:rsidR="00CD7DAB">
        <w:rPr>
          <w:rFonts w:asciiTheme="minorHAnsi" w:hAnsiTheme="minorHAnsi" w:cstheme="minorHAnsi"/>
        </w:rPr>
        <w:t>food</w:t>
      </w:r>
      <w:r w:rsidR="008E535C" w:rsidRPr="008E535C">
        <w:rPr>
          <w:rFonts w:asciiTheme="minorHAnsi" w:hAnsiTheme="minorHAnsi" w:cstheme="minorHAnsi"/>
        </w:rPr>
        <w:t>-related hospital admissions</w:t>
      </w:r>
      <w:r w:rsidR="00CD7DAB">
        <w:rPr>
          <w:rFonts w:asciiTheme="minorHAnsi" w:hAnsiTheme="minorHAnsi" w:cstheme="minorHAnsi"/>
        </w:rPr>
        <w:t xml:space="preserve"> due </w:t>
      </w:r>
      <w:r w:rsidR="009B5D35" w:rsidRPr="009B5D35">
        <w:rPr>
          <w:rFonts w:asciiTheme="minorHAnsi" w:hAnsiTheme="minorHAnsi" w:cstheme="minorHAnsi"/>
          <w:i/>
        </w:rPr>
        <w:t>Campylobacte</w:t>
      </w:r>
      <w:r w:rsidR="009B5D35">
        <w:rPr>
          <w:rFonts w:asciiTheme="minorHAnsi" w:hAnsiTheme="minorHAnsi" w:cstheme="minorHAnsi"/>
        </w:rPr>
        <w:t>r</w:t>
      </w:r>
      <w:r w:rsidR="008E535C" w:rsidRPr="008E535C">
        <w:rPr>
          <w:rFonts w:asciiTheme="minorHAnsi" w:hAnsiTheme="minorHAnsi" w:cstheme="minorHAnsi"/>
        </w:rPr>
        <w:t xml:space="preserve">, reflecting </w:t>
      </w:r>
      <w:r w:rsidR="00E73999">
        <w:rPr>
          <w:rFonts w:asciiTheme="minorHAnsi" w:hAnsiTheme="minorHAnsi" w:cstheme="minorHAnsi"/>
        </w:rPr>
        <w:t xml:space="preserve">relatively </w:t>
      </w:r>
      <w:r w:rsidR="008E535C" w:rsidRPr="008E535C">
        <w:rPr>
          <w:rFonts w:asciiTheme="minorHAnsi" w:hAnsiTheme="minorHAnsi" w:cstheme="minorHAnsi"/>
        </w:rPr>
        <w:t xml:space="preserve">low disease severity. </w:t>
      </w:r>
      <w:r w:rsidR="008E535C" w:rsidRPr="008E535C">
        <w:rPr>
          <w:rFonts w:asciiTheme="minorHAnsi" w:hAnsiTheme="minorHAnsi" w:cstheme="minorHAnsi"/>
          <w:i/>
        </w:rPr>
        <w:t>Salmonella</w:t>
      </w:r>
      <w:r w:rsidR="008E535C" w:rsidRPr="008E535C">
        <w:rPr>
          <w:rFonts w:asciiTheme="minorHAnsi" w:hAnsiTheme="minorHAnsi" w:cstheme="minorHAnsi"/>
        </w:rPr>
        <w:t xml:space="preserve"> cause</w:t>
      </w:r>
      <w:r w:rsidR="000D78AB">
        <w:rPr>
          <w:rFonts w:asciiTheme="minorHAnsi" w:hAnsiTheme="minorHAnsi" w:cstheme="minorHAnsi"/>
        </w:rPr>
        <w:t>s</w:t>
      </w:r>
      <w:r w:rsidR="008E535C" w:rsidRPr="008E535C">
        <w:rPr>
          <w:rFonts w:asciiTheme="minorHAnsi" w:hAnsiTheme="minorHAnsi" w:cstheme="minorHAnsi"/>
        </w:rPr>
        <w:t xml:space="preserve"> the largest number of </w:t>
      </w:r>
      <w:proofErr w:type="spellStart"/>
      <w:r w:rsidR="008E535C" w:rsidRPr="008E535C">
        <w:rPr>
          <w:rFonts w:asciiTheme="minorHAnsi" w:hAnsiTheme="minorHAnsi" w:cstheme="minorHAnsi"/>
        </w:rPr>
        <w:t>hospitalisations</w:t>
      </w:r>
      <w:proofErr w:type="spellEnd"/>
      <w:r w:rsidR="008E535C" w:rsidRPr="008E535C">
        <w:rPr>
          <w:rFonts w:asciiTheme="minorHAnsi" w:hAnsiTheme="minorHAnsi" w:cstheme="minorHAnsi"/>
        </w:rPr>
        <w:t>, an estimated 2</w:t>
      </w:r>
      <w:r w:rsidR="00D40FE8">
        <w:rPr>
          <w:rFonts w:asciiTheme="minorHAnsi" w:hAnsiTheme="minorHAnsi" w:cstheme="minorHAnsi"/>
        </w:rPr>
        <w:t>,</w:t>
      </w:r>
      <w:r w:rsidR="008E535C" w:rsidRPr="008E535C">
        <w:rPr>
          <w:rFonts w:asciiTheme="minorHAnsi" w:hAnsiTheme="minorHAnsi" w:cstheme="minorHAnsi"/>
        </w:rPr>
        <w:t xml:space="preserve">490 admissions (95% </w:t>
      </w:r>
      <w:proofErr w:type="spellStart"/>
      <w:r w:rsidR="008E535C" w:rsidRPr="008E535C">
        <w:rPr>
          <w:rFonts w:asciiTheme="minorHAnsi" w:hAnsiTheme="minorHAnsi" w:cstheme="minorHAnsi"/>
        </w:rPr>
        <w:t>CrI</w:t>
      </w:r>
      <w:proofErr w:type="spellEnd"/>
      <w:r w:rsidR="008E535C" w:rsidRPr="008E535C">
        <w:rPr>
          <w:rFonts w:asciiTheme="minorHAnsi" w:hAnsiTheme="minorHAnsi" w:cstheme="minorHAnsi"/>
        </w:rPr>
        <w:t>: 607 – 9</w:t>
      </w:r>
      <w:r w:rsidR="00D40FE8">
        <w:rPr>
          <w:rFonts w:asciiTheme="minorHAnsi" w:hAnsiTheme="minorHAnsi" w:cstheme="minorHAnsi"/>
        </w:rPr>
        <w:t>,</w:t>
      </w:r>
      <w:r w:rsidR="008E535C" w:rsidRPr="008E535C">
        <w:rPr>
          <w:rFonts w:asciiTheme="minorHAnsi" w:hAnsiTheme="minorHAnsi" w:cstheme="minorHAnsi"/>
        </w:rPr>
        <w:t>631)</w:t>
      </w:r>
      <w:r w:rsidR="006F19CA">
        <w:rPr>
          <w:rFonts w:asciiTheme="minorHAnsi" w:hAnsiTheme="minorHAnsi" w:cstheme="minorHAnsi"/>
        </w:rPr>
        <w:t xml:space="preserve">, closely followed by </w:t>
      </w:r>
      <w:r w:rsidR="006F19CA" w:rsidRPr="002061B2">
        <w:rPr>
          <w:rFonts w:asciiTheme="minorHAnsi" w:hAnsiTheme="minorHAnsi" w:cstheme="minorHAnsi"/>
          <w:i/>
        </w:rPr>
        <w:t>E. coli</w:t>
      </w:r>
      <w:r w:rsidR="006F19CA">
        <w:rPr>
          <w:rFonts w:asciiTheme="minorHAnsi" w:hAnsiTheme="minorHAnsi" w:cstheme="minorHAnsi"/>
        </w:rPr>
        <w:t xml:space="preserve"> O157 with 2,233 admissions </w:t>
      </w:r>
      <w:r w:rsidR="006F19CA" w:rsidRPr="008E535C">
        <w:rPr>
          <w:rFonts w:asciiTheme="minorHAnsi" w:hAnsiTheme="minorHAnsi" w:cstheme="minorHAnsi"/>
        </w:rPr>
        <w:t xml:space="preserve">(95% </w:t>
      </w:r>
      <w:proofErr w:type="spellStart"/>
      <w:r w:rsidR="006F19CA" w:rsidRPr="008E535C">
        <w:rPr>
          <w:rFonts w:asciiTheme="minorHAnsi" w:hAnsiTheme="minorHAnsi" w:cstheme="minorHAnsi"/>
        </w:rPr>
        <w:t>CrI</w:t>
      </w:r>
      <w:proofErr w:type="spellEnd"/>
      <w:r w:rsidR="006F19CA" w:rsidRPr="008E535C">
        <w:rPr>
          <w:rFonts w:asciiTheme="minorHAnsi" w:hAnsiTheme="minorHAnsi" w:cstheme="minorHAnsi"/>
        </w:rPr>
        <w:t xml:space="preserve">: </w:t>
      </w:r>
      <w:r w:rsidR="006F19CA">
        <w:rPr>
          <w:rFonts w:asciiTheme="minorHAnsi" w:hAnsiTheme="minorHAnsi" w:cstheme="minorHAnsi"/>
        </w:rPr>
        <w:t>170</w:t>
      </w:r>
      <w:r w:rsidR="006F19CA" w:rsidRPr="008E535C">
        <w:rPr>
          <w:rFonts w:asciiTheme="minorHAnsi" w:hAnsiTheme="minorHAnsi" w:cstheme="minorHAnsi"/>
        </w:rPr>
        <w:t xml:space="preserve"> – </w:t>
      </w:r>
      <w:r w:rsidR="006F19CA">
        <w:rPr>
          <w:rFonts w:asciiTheme="minorHAnsi" w:hAnsiTheme="minorHAnsi" w:cstheme="minorHAnsi"/>
        </w:rPr>
        <w:t>32,159</w:t>
      </w:r>
      <w:r w:rsidR="006F19CA" w:rsidRPr="008E535C">
        <w:rPr>
          <w:rFonts w:asciiTheme="minorHAnsi" w:hAnsiTheme="minorHAnsi" w:cstheme="minorHAnsi"/>
        </w:rPr>
        <w:t>)</w:t>
      </w:r>
      <w:r w:rsidR="008E535C" w:rsidRPr="008E535C">
        <w:rPr>
          <w:rFonts w:asciiTheme="minorHAnsi" w:hAnsiTheme="minorHAnsi" w:cstheme="minorHAnsi"/>
        </w:rPr>
        <w:t xml:space="preserve">. Other common causes of foodborne </w:t>
      </w:r>
      <w:r w:rsidR="000D78AB">
        <w:rPr>
          <w:rFonts w:asciiTheme="minorHAnsi" w:hAnsiTheme="minorHAnsi" w:cstheme="minorHAnsi"/>
        </w:rPr>
        <w:t>disease</w:t>
      </w:r>
      <w:r w:rsidR="008E535C" w:rsidRPr="008E535C">
        <w:rPr>
          <w:rFonts w:asciiTheme="minorHAnsi" w:hAnsiTheme="minorHAnsi" w:cstheme="minorHAnsi"/>
        </w:rPr>
        <w:t xml:space="preserve"> include </w:t>
      </w:r>
      <w:r w:rsidR="007F7349" w:rsidRPr="004A55C9">
        <w:rPr>
          <w:rFonts w:asciiTheme="minorHAnsi" w:hAnsiTheme="minorHAnsi" w:cstheme="minorHAnsi"/>
          <w:i/>
        </w:rPr>
        <w:t>Clostridium</w:t>
      </w:r>
      <w:r w:rsidR="008E535C" w:rsidRPr="004A55C9">
        <w:rPr>
          <w:rFonts w:asciiTheme="minorHAnsi" w:hAnsiTheme="minorHAnsi" w:cstheme="minorHAnsi"/>
          <w:i/>
        </w:rPr>
        <w:t xml:space="preserve"> </w:t>
      </w:r>
      <w:proofErr w:type="spellStart"/>
      <w:r w:rsidR="008E535C" w:rsidRPr="008E535C">
        <w:rPr>
          <w:rFonts w:asciiTheme="minorHAnsi" w:hAnsiTheme="minorHAnsi" w:cstheme="minorHAnsi"/>
          <w:i/>
        </w:rPr>
        <w:t>perfringens</w:t>
      </w:r>
      <w:proofErr w:type="spellEnd"/>
      <w:r w:rsidR="008E535C" w:rsidRPr="008E535C">
        <w:rPr>
          <w:rFonts w:asciiTheme="minorHAnsi" w:hAnsiTheme="minorHAnsi" w:cstheme="minorHAnsi"/>
        </w:rPr>
        <w:t xml:space="preserve">, </w:t>
      </w:r>
      <w:r w:rsidR="00026C0B">
        <w:rPr>
          <w:rFonts w:asciiTheme="minorHAnsi" w:hAnsiTheme="minorHAnsi" w:cstheme="minorHAnsi"/>
        </w:rPr>
        <w:t>with an estimated 79,570</w:t>
      </w:r>
      <w:r w:rsidR="008E535C" w:rsidRPr="008E535C">
        <w:rPr>
          <w:rFonts w:asciiTheme="minorHAnsi" w:hAnsiTheme="minorHAnsi" w:cstheme="minorHAnsi"/>
        </w:rPr>
        <w:t xml:space="preserve"> cases annually (95% </w:t>
      </w:r>
      <w:proofErr w:type="spellStart"/>
      <w:r w:rsidR="008E535C" w:rsidRPr="008E535C">
        <w:rPr>
          <w:rFonts w:asciiTheme="minorHAnsi" w:hAnsiTheme="minorHAnsi" w:cstheme="minorHAnsi"/>
        </w:rPr>
        <w:t>CrI</w:t>
      </w:r>
      <w:proofErr w:type="spellEnd"/>
      <w:r w:rsidR="008E535C" w:rsidRPr="008E535C">
        <w:rPr>
          <w:rFonts w:asciiTheme="minorHAnsi" w:hAnsiTheme="minorHAnsi" w:cstheme="minorHAnsi"/>
        </w:rPr>
        <w:t>: 30,700 – 211,298)</w:t>
      </w:r>
      <w:r w:rsidR="00026C0B">
        <w:rPr>
          <w:rFonts w:asciiTheme="minorHAnsi" w:hAnsiTheme="minorHAnsi" w:cstheme="minorHAnsi"/>
        </w:rPr>
        <w:t>, and n</w:t>
      </w:r>
      <w:r w:rsidR="008E535C" w:rsidRPr="008E535C">
        <w:rPr>
          <w:rFonts w:asciiTheme="minorHAnsi" w:hAnsiTheme="minorHAnsi" w:cstheme="minorHAnsi"/>
        </w:rPr>
        <w:t>orovirus</w:t>
      </w:r>
      <w:r w:rsidR="009E1492">
        <w:rPr>
          <w:rFonts w:asciiTheme="minorHAnsi" w:hAnsiTheme="minorHAnsi" w:cstheme="minorHAnsi"/>
        </w:rPr>
        <w:t xml:space="preserve"> </w:t>
      </w:r>
      <w:r w:rsidR="00026C0B">
        <w:rPr>
          <w:rFonts w:asciiTheme="minorHAnsi" w:hAnsiTheme="minorHAnsi" w:cstheme="minorHAnsi"/>
        </w:rPr>
        <w:t xml:space="preserve">with 74,100 cases </w:t>
      </w:r>
      <w:r w:rsidR="00026C0B" w:rsidRPr="008E535C">
        <w:rPr>
          <w:rFonts w:asciiTheme="minorHAnsi" w:hAnsiTheme="minorHAnsi" w:cstheme="minorHAnsi"/>
        </w:rPr>
        <w:t xml:space="preserve">(95% </w:t>
      </w:r>
      <w:proofErr w:type="spellStart"/>
      <w:r w:rsidR="00026C0B" w:rsidRPr="008E535C">
        <w:rPr>
          <w:rFonts w:asciiTheme="minorHAnsi" w:hAnsiTheme="minorHAnsi" w:cstheme="minorHAnsi"/>
        </w:rPr>
        <w:t>CrI</w:t>
      </w:r>
      <w:proofErr w:type="spellEnd"/>
      <w:r w:rsidR="00026C0B" w:rsidRPr="008E535C">
        <w:rPr>
          <w:rFonts w:asciiTheme="minorHAnsi" w:hAnsiTheme="minorHAnsi" w:cstheme="minorHAnsi"/>
        </w:rPr>
        <w:t xml:space="preserve">: </w:t>
      </w:r>
      <w:r w:rsidR="00026C0B">
        <w:rPr>
          <w:rFonts w:asciiTheme="minorHAnsi" w:hAnsiTheme="minorHAnsi" w:cstheme="minorHAnsi"/>
        </w:rPr>
        <w:t>61,150</w:t>
      </w:r>
      <w:r w:rsidR="00026C0B" w:rsidRPr="008E535C">
        <w:rPr>
          <w:rFonts w:asciiTheme="minorHAnsi" w:hAnsiTheme="minorHAnsi" w:cstheme="minorHAnsi"/>
        </w:rPr>
        <w:t xml:space="preserve"> </w:t>
      </w:r>
      <w:r w:rsidR="00026C0B" w:rsidRPr="004A55C9">
        <w:rPr>
          <w:rFonts w:asciiTheme="minorHAnsi" w:hAnsiTheme="minorHAnsi" w:cstheme="minorHAnsi"/>
        </w:rPr>
        <w:t>–</w:t>
      </w:r>
      <w:r w:rsidR="007E353D">
        <w:rPr>
          <w:rFonts w:asciiTheme="minorHAnsi" w:hAnsiTheme="minorHAnsi" w:cstheme="minorHAnsi"/>
        </w:rPr>
        <w:t xml:space="preserve"> </w:t>
      </w:r>
      <w:r w:rsidR="00026C0B">
        <w:rPr>
          <w:rFonts w:asciiTheme="minorHAnsi" w:hAnsiTheme="minorHAnsi" w:cstheme="minorHAnsi"/>
        </w:rPr>
        <w:t>8</w:t>
      </w:r>
      <w:r w:rsidR="00026C0B" w:rsidRPr="008E535C">
        <w:rPr>
          <w:rFonts w:asciiTheme="minorHAnsi" w:hAnsiTheme="minorHAnsi" w:cstheme="minorHAnsi"/>
        </w:rPr>
        <w:t>9</w:t>
      </w:r>
      <w:r w:rsidR="00026C0B">
        <w:rPr>
          <w:rFonts w:asciiTheme="minorHAnsi" w:hAnsiTheme="minorHAnsi" w:cstheme="minorHAnsi"/>
        </w:rPr>
        <w:t>,</w:t>
      </w:r>
      <w:r w:rsidR="00026C0B" w:rsidRPr="008E535C">
        <w:rPr>
          <w:rFonts w:asciiTheme="minorHAnsi" w:hAnsiTheme="minorHAnsi" w:cstheme="minorHAnsi"/>
        </w:rPr>
        <w:t>6</w:t>
      </w:r>
      <w:r w:rsidR="00026C0B">
        <w:rPr>
          <w:rFonts w:asciiTheme="minorHAnsi" w:hAnsiTheme="minorHAnsi" w:cstheme="minorHAnsi"/>
        </w:rPr>
        <w:t>60)</w:t>
      </w:r>
      <w:r w:rsidR="008E535C" w:rsidRPr="008E535C">
        <w:rPr>
          <w:rFonts w:asciiTheme="minorHAnsi" w:hAnsiTheme="minorHAnsi" w:cstheme="minorHAnsi"/>
        </w:rPr>
        <w:t xml:space="preserve">. Other </w:t>
      </w:r>
      <w:r w:rsidR="00BA4DAE">
        <w:rPr>
          <w:rFonts w:asciiTheme="minorHAnsi" w:hAnsiTheme="minorHAnsi" w:cstheme="minorHAnsi"/>
        </w:rPr>
        <w:t>viruses</w:t>
      </w:r>
      <w:r w:rsidR="008E535C" w:rsidRPr="008E535C">
        <w:rPr>
          <w:rFonts w:asciiTheme="minorHAnsi" w:hAnsiTheme="minorHAnsi" w:cstheme="minorHAnsi"/>
        </w:rPr>
        <w:t xml:space="preserve"> </w:t>
      </w:r>
      <w:r w:rsidR="00026C0B">
        <w:rPr>
          <w:rFonts w:asciiTheme="minorHAnsi" w:hAnsiTheme="minorHAnsi" w:cstheme="minorHAnsi"/>
        </w:rPr>
        <w:t xml:space="preserve">and protozoa </w:t>
      </w:r>
      <w:r w:rsidR="008E535C" w:rsidRPr="008E535C">
        <w:rPr>
          <w:rFonts w:asciiTheme="minorHAnsi" w:hAnsiTheme="minorHAnsi" w:cstheme="minorHAnsi"/>
        </w:rPr>
        <w:t xml:space="preserve">ranked </w:t>
      </w:r>
      <w:r w:rsidR="00026C0B">
        <w:rPr>
          <w:rFonts w:asciiTheme="minorHAnsi" w:hAnsiTheme="minorHAnsi" w:cstheme="minorHAnsi"/>
        </w:rPr>
        <w:t xml:space="preserve">much </w:t>
      </w:r>
      <w:r w:rsidR="008E535C" w:rsidRPr="008E535C">
        <w:rPr>
          <w:rFonts w:asciiTheme="minorHAnsi" w:hAnsiTheme="minorHAnsi" w:cstheme="minorHAnsi"/>
        </w:rPr>
        <w:t xml:space="preserve">lower as causes of foodborne </w:t>
      </w:r>
      <w:r w:rsidR="000D78AB">
        <w:rPr>
          <w:rFonts w:asciiTheme="minorHAnsi" w:hAnsiTheme="minorHAnsi" w:cstheme="minorHAnsi"/>
        </w:rPr>
        <w:t>disease</w:t>
      </w:r>
      <w:r w:rsidR="008E535C" w:rsidRPr="008E535C">
        <w:rPr>
          <w:rFonts w:asciiTheme="minorHAnsi" w:hAnsiTheme="minorHAnsi" w:cstheme="minorHAnsi"/>
        </w:rPr>
        <w:t>.</w:t>
      </w:r>
      <w:r w:rsidR="001E30ED" w:rsidRPr="001E30ED">
        <w:rPr>
          <w:rFonts w:asciiTheme="minorHAnsi" w:hAnsiTheme="minorHAnsi" w:cstheme="minorHAnsi"/>
        </w:rPr>
        <w:t xml:space="preserve"> </w:t>
      </w:r>
    </w:p>
    <w:p w14:paraId="0496FC90" w14:textId="1C8871D4" w:rsidR="001E30ED" w:rsidRPr="001E30ED" w:rsidRDefault="00F10DE3" w:rsidP="003700C3">
      <w:pPr>
        <w:pStyle w:val="Body1"/>
        <w:spacing w:after="0" w:line="480" w:lineRule="auto"/>
        <w:rPr>
          <w:rFonts w:asciiTheme="minorHAnsi" w:hAnsiTheme="minorHAnsi" w:cstheme="minorHAnsi"/>
        </w:rPr>
      </w:pPr>
      <w:r w:rsidRPr="0013522D">
        <w:rPr>
          <w:rFonts w:asciiTheme="minorHAnsi" w:hAnsiTheme="minorHAnsi" w:cstheme="minorHAnsi"/>
          <w:b/>
        </w:rPr>
        <w:t>C</w:t>
      </w:r>
      <w:r w:rsidR="001E30ED" w:rsidRPr="0013522D">
        <w:rPr>
          <w:rFonts w:asciiTheme="minorHAnsi" w:hAnsiTheme="minorHAnsi" w:cstheme="minorHAnsi"/>
          <w:b/>
        </w:rPr>
        <w:t>onclusions:</w:t>
      </w:r>
      <w:r w:rsidR="001E30ED" w:rsidRPr="001E30ED">
        <w:rPr>
          <w:rFonts w:asciiTheme="minorHAnsi" w:hAnsiTheme="minorHAnsi" w:cstheme="minorHAnsi"/>
        </w:rPr>
        <w:t xml:space="preserve"> </w:t>
      </w:r>
      <w:r w:rsidR="00E275BE" w:rsidRPr="004A55C9">
        <w:rPr>
          <w:rFonts w:asciiTheme="minorHAnsi" w:hAnsiTheme="minorHAnsi" w:cstheme="minorHAnsi"/>
        </w:rPr>
        <w:t>The three models yielded similar estimates of the burden of foodborne illness in the UK and show that</w:t>
      </w:r>
      <w:r w:rsidR="00E275BE">
        <w:rPr>
          <w:rFonts w:asciiTheme="minorHAnsi" w:hAnsiTheme="minorHAnsi" w:cstheme="minorHAnsi"/>
        </w:rPr>
        <w:t xml:space="preserve"> c</w:t>
      </w:r>
      <w:r w:rsidR="003700C3" w:rsidRPr="003700C3">
        <w:rPr>
          <w:rFonts w:asciiTheme="minorHAnsi" w:hAnsiTheme="minorHAnsi" w:cstheme="minorHAnsi"/>
        </w:rPr>
        <w:t xml:space="preserve">ontinued </w:t>
      </w:r>
      <w:r w:rsidR="00321137">
        <w:rPr>
          <w:rFonts w:asciiTheme="minorHAnsi" w:hAnsiTheme="minorHAnsi" w:cstheme="minorHAnsi"/>
        </w:rPr>
        <w:t>reductions</w:t>
      </w:r>
      <w:r w:rsidR="00096AB4">
        <w:rPr>
          <w:rFonts w:asciiTheme="minorHAnsi" w:hAnsiTheme="minorHAnsi" w:cstheme="minorHAnsi"/>
        </w:rPr>
        <w:t xml:space="preserve"> in</w:t>
      </w:r>
      <w:r w:rsidR="00321137">
        <w:rPr>
          <w:rFonts w:asciiTheme="minorHAnsi" w:hAnsiTheme="minorHAnsi" w:cstheme="minorHAnsi"/>
        </w:rPr>
        <w:t xml:space="preserve"> </w:t>
      </w:r>
      <w:r w:rsidR="003700C3" w:rsidRPr="003700C3">
        <w:rPr>
          <w:rFonts w:asciiTheme="minorHAnsi" w:hAnsiTheme="minorHAnsi" w:cstheme="minorHAnsi"/>
          <w:i/>
        </w:rPr>
        <w:t>Campylobacter</w:t>
      </w:r>
      <w:r w:rsidR="003700C3">
        <w:rPr>
          <w:rFonts w:asciiTheme="minorHAnsi" w:hAnsiTheme="minorHAnsi" w:cstheme="minorHAnsi"/>
        </w:rPr>
        <w:t>,</w:t>
      </w:r>
      <w:r w:rsidR="003700C3" w:rsidRPr="003700C3">
        <w:rPr>
          <w:rFonts w:asciiTheme="minorHAnsi" w:hAnsiTheme="minorHAnsi" w:cstheme="minorHAnsi"/>
        </w:rPr>
        <w:t xml:space="preserve"> </w:t>
      </w:r>
      <w:r w:rsidR="003700C3" w:rsidRPr="003700C3">
        <w:rPr>
          <w:rFonts w:asciiTheme="minorHAnsi" w:hAnsiTheme="minorHAnsi" w:cstheme="minorHAnsi"/>
          <w:i/>
        </w:rPr>
        <w:t>Salmonella</w:t>
      </w:r>
      <w:r w:rsidR="003700C3">
        <w:rPr>
          <w:rFonts w:asciiTheme="minorHAnsi" w:hAnsiTheme="minorHAnsi" w:cstheme="minorHAnsi"/>
        </w:rPr>
        <w:t xml:space="preserve">, </w:t>
      </w:r>
      <w:r w:rsidR="00026C0B" w:rsidRPr="00240F0B">
        <w:rPr>
          <w:rFonts w:asciiTheme="minorHAnsi" w:hAnsiTheme="minorHAnsi" w:cstheme="minorHAnsi"/>
          <w:i/>
        </w:rPr>
        <w:t>E</w:t>
      </w:r>
      <w:r w:rsidR="00B50F12">
        <w:rPr>
          <w:rFonts w:asciiTheme="minorHAnsi" w:hAnsiTheme="minorHAnsi" w:cstheme="minorHAnsi"/>
          <w:i/>
        </w:rPr>
        <w:t>scherichia</w:t>
      </w:r>
      <w:r w:rsidR="00026C0B" w:rsidRPr="00240F0B">
        <w:rPr>
          <w:rFonts w:asciiTheme="minorHAnsi" w:hAnsiTheme="minorHAnsi" w:cstheme="minorHAnsi"/>
          <w:i/>
        </w:rPr>
        <w:t xml:space="preserve"> coli</w:t>
      </w:r>
      <w:r w:rsidR="00026C0B">
        <w:rPr>
          <w:rFonts w:asciiTheme="minorHAnsi" w:hAnsiTheme="minorHAnsi" w:cstheme="minorHAnsi"/>
        </w:rPr>
        <w:t xml:space="preserve"> O157, </w:t>
      </w:r>
      <w:r w:rsidR="003700C3" w:rsidRPr="003700C3">
        <w:rPr>
          <w:rFonts w:asciiTheme="minorHAnsi" w:hAnsiTheme="minorHAnsi" w:cstheme="minorHAnsi"/>
          <w:i/>
        </w:rPr>
        <w:t xml:space="preserve">C. </w:t>
      </w:r>
      <w:proofErr w:type="spellStart"/>
      <w:r w:rsidR="003700C3" w:rsidRPr="003700C3">
        <w:rPr>
          <w:rFonts w:asciiTheme="minorHAnsi" w:hAnsiTheme="minorHAnsi" w:cstheme="minorHAnsi"/>
          <w:i/>
        </w:rPr>
        <w:t>perfringens</w:t>
      </w:r>
      <w:proofErr w:type="spellEnd"/>
      <w:r w:rsidR="003700C3" w:rsidRPr="003700C3">
        <w:rPr>
          <w:rFonts w:asciiTheme="minorHAnsi" w:hAnsiTheme="minorHAnsi" w:cstheme="minorHAnsi"/>
        </w:rPr>
        <w:t xml:space="preserve"> </w:t>
      </w:r>
      <w:r w:rsidR="003700C3">
        <w:rPr>
          <w:rFonts w:asciiTheme="minorHAnsi" w:hAnsiTheme="minorHAnsi" w:cstheme="minorHAnsi"/>
        </w:rPr>
        <w:t>and norovirus</w:t>
      </w:r>
      <w:r w:rsidR="00321137">
        <w:rPr>
          <w:rFonts w:asciiTheme="minorHAnsi" w:hAnsiTheme="minorHAnsi" w:cstheme="minorHAnsi"/>
        </w:rPr>
        <w:t xml:space="preserve"> are needed</w:t>
      </w:r>
      <w:r w:rsidR="00096AB4" w:rsidRPr="00096AB4">
        <w:rPr>
          <w:rFonts w:asciiTheme="minorHAnsi" w:hAnsiTheme="minorHAnsi" w:cstheme="minorHAnsi"/>
        </w:rPr>
        <w:t xml:space="preserve"> </w:t>
      </w:r>
      <w:r w:rsidR="00096AB4">
        <w:rPr>
          <w:rFonts w:asciiTheme="minorHAnsi" w:hAnsiTheme="minorHAnsi" w:cstheme="minorHAnsi"/>
        </w:rPr>
        <w:t>to mitigate the impact of</w:t>
      </w:r>
      <w:r w:rsidR="00096AB4" w:rsidRPr="003700C3">
        <w:rPr>
          <w:rFonts w:asciiTheme="minorHAnsi" w:hAnsiTheme="minorHAnsi" w:cstheme="minorHAnsi"/>
        </w:rPr>
        <w:t xml:space="preserve"> food-borne </w:t>
      </w:r>
      <w:r w:rsidR="00096AB4">
        <w:rPr>
          <w:rFonts w:asciiTheme="minorHAnsi" w:hAnsiTheme="minorHAnsi" w:cstheme="minorHAnsi"/>
        </w:rPr>
        <w:t>disease</w:t>
      </w:r>
      <w:r w:rsidR="003700C3">
        <w:rPr>
          <w:rFonts w:asciiTheme="minorHAnsi" w:hAnsiTheme="minorHAnsi" w:cstheme="minorHAnsi"/>
        </w:rPr>
        <w:t>.</w:t>
      </w:r>
    </w:p>
    <w:p w14:paraId="2F63CB53" w14:textId="77777777" w:rsidR="001E30ED" w:rsidRPr="001E30ED" w:rsidRDefault="001E30ED" w:rsidP="001E30ED">
      <w:pPr>
        <w:pStyle w:val="Body1"/>
        <w:spacing w:after="0" w:line="480" w:lineRule="auto"/>
        <w:rPr>
          <w:rFonts w:asciiTheme="minorHAnsi" w:hAnsiTheme="minorHAnsi" w:cstheme="minorHAnsi"/>
        </w:rPr>
      </w:pPr>
    </w:p>
    <w:p w14:paraId="227BECAC" w14:textId="03D9EEA6" w:rsidR="00F10DE3" w:rsidRPr="00B161BF" w:rsidRDefault="00B161BF">
      <w:pPr>
        <w:rPr>
          <w:rFonts w:eastAsia="Arial Unicode MS" w:cstheme="minorHAnsi"/>
          <w:color w:val="000000"/>
          <w:u w:color="000000"/>
        </w:rPr>
      </w:pPr>
      <w:r w:rsidRPr="00B161BF">
        <w:rPr>
          <w:rFonts w:cstheme="minorHAnsi"/>
        </w:rPr>
        <w:t xml:space="preserve">Word count = </w:t>
      </w:r>
      <w:r w:rsidR="007C479D">
        <w:rPr>
          <w:rFonts w:cstheme="minorHAnsi"/>
        </w:rPr>
        <w:t>2</w:t>
      </w:r>
      <w:r w:rsidR="009B65F5">
        <w:rPr>
          <w:rFonts w:cstheme="minorHAnsi"/>
        </w:rPr>
        <w:t>83</w:t>
      </w:r>
      <w:r w:rsidR="00F10DE3" w:rsidRPr="00B161BF">
        <w:rPr>
          <w:rFonts w:cstheme="minorHAnsi"/>
        </w:rPr>
        <w:br w:type="page"/>
      </w:r>
    </w:p>
    <w:p w14:paraId="07333AD6" w14:textId="77777777" w:rsidR="00F10DE3" w:rsidRPr="00F10DE3" w:rsidRDefault="001E30ED" w:rsidP="001E30ED">
      <w:pPr>
        <w:pStyle w:val="Body1"/>
        <w:spacing w:after="0" w:line="480" w:lineRule="auto"/>
        <w:rPr>
          <w:rFonts w:asciiTheme="minorHAnsi" w:hAnsiTheme="minorHAnsi" w:cstheme="minorHAnsi"/>
          <w:b/>
        </w:rPr>
      </w:pPr>
      <w:r w:rsidRPr="00F10DE3">
        <w:rPr>
          <w:rFonts w:asciiTheme="minorHAnsi" w:hAnsiTheme="minorHAnsi" w:cstheme="minorHAnsi"/>
          <w:b/>
        </w:rPr>
        <w:lastRenderedPageBreak/>
        <w:t xml:space="preserve">Article summary: </w:t>
      </w:r>
    </w:p>
    <w:p w14:paraId="5364C7A2" w14:textId="77777777" w:rsidR="00F10DE3" w:rsidRDefault="001E30ED" w:rsidP="001E30ED">
      <w:pPr>
        <w:pStyle w:val="Body1"/>
        <w:spacing w:after="0" w:line="480" w:lineRule="auto"/>
        <w:rPr>
          <w:rFonts w:asciiTheme="minorHAnsi" w:hAnsiTheme="minorHAnsi" w:cstheme="minorHAnsi"/>
        </w:rPr>
      </w:pPr>
      <w:r w:rsidRPr="000C112D">
        <w:rPr>
          <w:rFonts w:asciiTheme="minorHAnsi" w:hAnsiTheme="minorHAnsi" w:cstheme="minorHAnsi"/>
          <w:b/>
        </w:rPr>
        <w:t>Article focus</w:t>
      </w:r>
      <w:r w:rsidRPr="001E30ED">
        <w:rPr>
          <w:rFonts w:asciiTheme="minorHAnsi" w:hAnsiTheme="minorHAnsi" w:cstheme="minorHAnsi"/>
        </w:rPr>
        <w:t xml:space="preserve"> </w:t>
      </w:r>
    </w:p>
    <w:p w14:paraId="5C4B6BEA" w14:textId="2763245E" w:rsidR="0064217D" w:rsidRDefault="0064217D" w:rsidP="0064217D">
      <w:pPr>
        <w:pStyle w:val="Body1"/>
        <w:numPr>
          <w:ilvl w:val="0"/>
          <w:numId w:val="21"/>
        </w:numPr>
        <w:spacing w:after="0" w:line="480" w:lineRule="auto"/>
        <w:rPr>
          <w:rFonts w:asciiTheme="minorHAnsi" w:hAnsiTheme="minorHAnsi" w:cstheme="minorHAnsi"/>
        </w:rPr>
      </w:pPr>
      <w:r>
        <w:rPr>
          <w:rFonts w:asciiTheme="minorHAnsi" w:hAnsiTheme="minorHAnsi" w:cstheme="minorHAnsi"/>
        </w:rPr>
        <w:t>Food safety is a global public health priority</w:t>
      </w:r>
      <w:r w:rsidR="007E353D" w:rsidRPr="00931988">
        <w:rPr>
          <w:rFonts w:asciiTheme="minorHAnsi" w:hAnsiTheme="minorHAnsi" w:cstheme="minorHAnsi"/>
        </w:rPr>
        <w:t>.</w:t>
      </w:r>
    </w:p>
    <w:p w14:paraId="5477D695" w14:textId="2176EDA9" w:rsidR="0064217D" w:rsidRDefault="00FF6769" w:rsidP="0064217D">
      <w:pPr>
        <w:pStyle w:val="Body1"/>
        <w:numPr>
          <w:ilvl w:val="0"/>
          <w:numId w:val="21"/>
        </w:numPr>
        <w:spacing w:after="0" w:line="480" w:lineRule="auto"/>
        <w:rPr>
          <w:rFonts w:asciiTheme="minorHAnsi" w:hAnsiTheme="minorHAnsi" w:cstheme="minorHAnsi"/>
        </w:rPr>
      </w:pPr>
      <w:r>
        <w:rPr>
          <w:rFonts w:asciiTheme="minorHAnsi" w:hAnsiTheme="minorHAnsi" w:cstheme="minorHAnsi"/>
        </w:rPr>
        <w:t>D</w:t>
      </w:r>
      <w:r w:rsidR="0064217D">
        <w:rPr>
          <w:rFonts w:asciiTheme="minorHAnsi" w:hAnsiTheme="minorHAnsi" w:cstheme="minorHAnsi"/>
        </w:rPr>
        <w:t xml:space="preserve">eveloping better methods for </w:t>
      </w:r>
      <w:r>
        <w:rPr>
          <w:rFonts w:asciiTheme="minorHAnsi" w:hAnsiTheme="minorHAnsi" w:cstheme="minorHAnsi"/>
        </w:rPr>
        <w:t xml:space="preserve">robust </w:t>
      </w:r>
      <w:r w:rsidR="0064217D">
        <w:rPr>
          <w:rFonts w:asciiTheme="minorHAnsi" w:hAnsiTheme="minorHAnsi" w:cstheme="minorHAnsi"/>
        </w:rPr>
        <w:t xml:space="preserve">assessment </w:t>
      </w:r>
      <w:r>
        <w:rPr>
          <w:rFonts w:asciiTheme="minorHAnsi" w:hAnsiTheme="minorHAnsi" w:cstheme="minorHAnsi"/>
        </w:rPr>
        <w:t xml:space="preserve">of the burden of foodborne disease </w:t>
      </w:r>
      <w:r w:rsidR="0064217D">
        <w:rPr>
          <w:rFonts w:asciiTheme="minorHAnsi" w:hAnsiTheme="minorHAnsi" w:cstheme="minorHAnsi"/>
        </w:rPr>
        <w:t xml:space="preserve">has been </w:t>
      </w:r>
      <w:r>
        <w:rPr>
          <w:rFonts w:asciiTheme="minorHAnsi" w:hAnsiTheme="minorHAnsi" w:cstheme="minorHAnsi"/>
        </w:rPr>
        <w:t xml:space="preserve">the focus </w:t>
      </w:r>
      <w:r w:rsidR="005C411C">
        <w:rPr>
          <w:rFonts w:asciiTheme="minorHAnsi" w:hAnsiTheme="minorHAnsi" w:cstheme="minorHAnsi"/>
        </w:rPr>
        <w:t xml:space="preserve">of </w:t>
      </w:r>
      <w:r w:rsidR="0064217D">
        <w:rPr>
          <w:rFonts w:asciiTheme="minorHAnsi" w:hAnsiTheme="minorHAnsi" w:cstheme="minorHAnsi"/>
        </w:rPr>
        <w:t>international effort</w:t>
      </w:r>
      <w:r>
        <w:rPr>
          <w:rFonts w:asciiTheme="minorHAnsi" w:hAnsiTheme="minorHAnsi" w:cstheme="minorHAnsi"/>
        </w:rPr>
        <w:t>s</w:t>
      </w:r>
      <w:r w:rsidR="0064217D">
        <w:rPr>
          <w:rFonts w:asciiTheme="minorHAnsi" w:hAnsiTheme="minorHAnsi" w:cstheme="minorHAnsi"/>
        </w:rPr>
        <w:t xml:space="preserve"> </w:t>
      </w:r>
      <w:r>
        <w:rPr>
          <w:rFonts w:asciiTheme="minorHAnsi" w:hAnsiTheme="minorHAnsi" w:cstheme="minorHAnsi"/>
        </w:rPr>
        <w:t>for</w:t>
      </w:r>
      <w:r w:rsidR="0064217D">
        <w:rPr>
          <w:rFonts w:asciiTheme="minorHAnsi" w:hAnsiTheme="minorHAnsi" w:cstheme="minorHAnsi"/>
        </w:rPr>
        <w:t xml:space="preserve"> more than a decade</w:t>
      </w:r>
      <w:r w:rsidR="007E353D" w:rsidRPr="00931988">
        <w:rPr>
          <w:rFonts w:asciiTheme="minorHAnsi" w:hAnsiTheme="minorHAnsi" w:cstheme="minorHAnsi"/>
        </w:rPr>
        <w:t>.</w:t>
      </w:r>
    </w:p>
    <w:p w14:paraId="14700585" w14:textId="13A3639D" w:rsidR="0064217D" w:rsidRPr="00931988" w:rsidRDefault="0064217D" w:rsidP="0064217D">
      <w:pPr>
        <w:pStyle w:val="Body1"/>
        <w:numPr>
          <w:ilvl w:val="0"/>
          <w:numId w:val="21"/>
        </w:numPr>
        <w:spacing w:after="0" w:line="480" w:lineRule="auto"/>
        <w:rPr>
          <w:rFonts w:asciiTheme="minorHAnsi" w:hAnsiTheme="minorHAnsi" w:cstheme="minorHAnsi"/>
        </w:rPr>
      </w:pPr>
      <w:r>
        <w:rPr>
          <w:rFonts w:asciiTheme="minorHAnsi" w:hAnsiTheme="minorHAnsi" w:cstheme="minorHAnsi"/>
        </w:rPr>
        <w:t xml:space="preserve">We </w:t>
      </w:r>
      <w:r w:rsidR="00EF6DFD">
        <w:rPr>
          <w:rFonts w:asciiTheme="minorHAnsi" w:hAnsiTheme="minorHAnsi" w:cstheme="minorHAnsi"/>
        </w:rPr>
        <w:t xml:space="preserve">estimated </w:t>
      </w:r>
      <w:r>
        <w:rPr>
          <w:rFonts w:asciiTheme="minorHAnsi" w:hAnsiTheme="minorHAnsi" w:cstheme="minorHAnsi"/>
        </w:rPr>
        <w:t xml:space="preserve">the burden </w:t>
      </w:r>
      <w:r w:rsidR="005C411C">
        <w:rPr>
          <w:rFonts w:asciiTheme="minorHAnsi" w:hAnsiTheme="minorHAnsi" w:cstheme="minorHAnsi"/>
        </w:rPr>
        <w:t xml:space="preserve">of </w:t>
      </w:r>
      <w:r>
        <w:rPr>
          <w:rFonts w:asciiTheme="minorHAnsi" w:hAnsiTheme="minorHAnsi" w:cstheme="minorHAnsi"/>
        </w:rPr>
        <w:t>foodborne disease</w:t>
      </w:r>
      <w:r w:rsidR="008B55B9" w:rsidRPr="008B55B9">
        <w:rPr>
          <w:rFonts w:asciiTheme="minorHAnsi" w:hAnsiTheme="minorHAnsi" w:cstheme="minorHAnsi"/>
        </w:rPr>
        <w:t xml:space="preserve"> </w:t>
      </w:r>
      <w:r w:rsidR="00EF6DFD" w:rsidRPr="00931988">
        <w:rPr>
          <w:rFonts w:asciiTheme="minorHAnsi" w:hAnsiTheme="minorHAnsi" w:cstheme="minorHAnsi"/>
        </w:rPr>
        <w:t xml:space="preserve">using </w:t>
      </w:r>
      <w:r w:rsidR="008B55B9" w:rsidRPr="00931988">
        <w:rPr>
          <w:rFonts w:asciiTheme="minorHAnsi" w:hAnsiTheme="minorHAnsi" w:cstheme="minorHAnsi"/>
        </w:rPr>
        <w:t>UK datasets</w:t>
      </w:r>
      <w:r w:rsidR="00EF6DFD" w:rsidRPr="00931988">
        <w:rPr>
          <w:rFonts w:asciiTheme="minorHAnsi" w:hAnsiTheme="minorHAnsi" w:cstheme="minorHAnsi"/>
        </w:rPr>
        <w:t xml:space="preserve"> and taking account of uncertainty</w:t>
      </w:r>
      <w:r w:rsidR="007E353D" w:rsidRPr="00931988">
        <w:rPr>
          <w:rFonts w:asciiTheme="minorHAnsi" w:hAnsiTheme="minorHAnsi" w:cstheme="minorHAnsi"/>
        </w:rPr>
        <w:t>.</w:t>
      </w:r>
    </w:p>
    <w:p w14:paraId="28908EAB" w14:textId="77777777" w:rsidR="000C112D" w:rsidRDefault="001E30ED" w:rsidP="0064217D">
      <w:pPr>
        <w:pStyle w:val="Body1"/>
        <w:spacing w:after="0" w:line="480" w:lineRule="auto"/>
        <w:rPr>
          <w:rFonts w:asciiTheme="minorHAnsi" w:hAnsiTheme="minorHAnsi" w:cstheme="minorHAnsi"/>
        </w:rPr>
      </w:pPr>
      <w:r w:rsidRPr="000C112D">
        <w:rPr>
          <w:rFonts w:asciiTheme="minorHAnsi" w:hAnsiTheme="minorHAnsi" w:cstheme="minorHAnsi"/>
          <w:b/>
        </w:rPr>
        <w:t>Key messages</w:t>
      </w:r>
      <w:r w:rsidRPr="001E30ED">
        <w:rPr>
          <w:rFonts w:asciiTheme="minorHAnsi" w:hAnsiTheme="minorHAnsi" w:cstheme="minorHAnsi"/>
        </w:rPr>
        <w:t xml:space="preserve"> </w:t>
      </w:r>
    </w:p>
    <w:p w14:paraId="4CBDF74F" w14:textId="011BFA48" w:rsidR="00FF6769" w:rsidRPr="00FF6769" w:rsidRDefault="00795220" w:rsidP="00FF6769">
      <w:pPr>
        <w:pStyle w:val="Body1"/>
        <w:numPr>
          <w:ilvl w:val="0"/>
          <w:numId w:val="22"/>
        </w:numPr>
        <w:spacing w:after="0" w:line="480" w:lineRule="auto"/>
        <w:rPr>
          <w:rFonts w:asciiTheme="minorHAnsi" w:hAnsiTheme="minorHAnsi" w:cstheme="minorHAnsi"/>
        </w:rPr>
      </w:pPr>
      <w:r w:rsidRPr="00795220">
        <w:rPr>
          <w:rFonts w:asciiTheme="minorHAnsi" w:hAnsiTheme="minorHAnsi" w:cstheme="minorHAnsi"/>
          <w:i/>
        </w:rPr>
        <w:t>Campylobacter</w:t>
      </w:r>
      <w:r w:rsidR="00FF6769">
        <w:rPr>
          <w:rFonts w:asciiTheme="minorHAnsi" w:hAnsiTheme="minorHAnsi" w:cstheme="minorHAnsi"/>
          <w:i/>
        </w:rPr>
        <w:t xml:space="preserve">, Salmonella, </w:t>
      </w:r>
      <w:r w:rsidR="005C411C">
        <w:rPr>
          <w:rFonts w:asciiTheme="minorHAnsi" w:hAnsiTheme="minorHAnsi" w:cstheme="minorHAnsi"/>
          <w:i/>
        </w:rPr>
        <w:t xml:space="preserve">E. coli </w:t>
      </w:r>
      <w:r w:rsidR="005C411C" w:rsidRPr="00AC77F8">
        <w:rPr>
          <w:rFonts w:asciiTheme="minorHAnsi" w:hAnsiTheme="minorHAnsi" w:cstheme="minorHAnsi"/>
        </w:rPr>
        <w:t>O157</w:t>
      </w:r>
      <w:r w:rsidR="005C411C">
        <w:rPr>
          <w:rFonts w:asciiTheme="minorHAnsi" w:hAnsiTheme="minorHAnsi" w:cstheme="minorHAnsi"/>
          <w:i/>
        </w:rPr>
        <w:t xml:space="preserve">, </w:t>
      </w:r>
      <w:r w:rsidR="00FF6769">
        <w:rPr>
          <w:rFonts w:asciiTheme="minorHAnsi" w:hAnsiTheme="minorHAnsi" w:cstheme="minorHAnsi"/>
          <w:i/>
        </w:rPr>
        <w:t>C</w:t>
      </w:r>
      <w:r w:rsidR="00B50F12">
        <w:rPr>
          <w:rFonts w:asciiTheme="minorHAnsi" w:hAnsiTheme="minorHAnsi" w:cstheme="minorHAnsi"/>
          <w:i/>
        </w:rPr>
        <w:t>lostridium</w:t>
      </w:r>
      <w:r w:rsidR="00FF6769">
        <w:rPr>
          <w:rFonts w:asciiTheme="minorHAnsi" w:hAnsiTheme="minorHAnsi" w:cstheme="minorHAnsi"/>
          <w:i/>
        </w:rPr>
        <w:t xml:space="preserve"> </w:t>
      </w:r>
      <w:proofErr w:type="spellStart"/>
      <w:r w:rsidR="00FF6769">
        <w:rPr>
          <w:rFonts w:asciiTheme="minorHAnsi" w:hAnsiTheme="minorHAnsi" w:cstheme="minorHAnsi"/>
          <w:i/>
        </w:rPr>
        <w:t>perfringens</w:t>
      </w:r>
      <w:proofErr w:type="spellEnd"/>
      <w:r w:rsidR="00FF6769">
        <w:rPr>
          <w:rFonts w:asciiTheme="minorHAnsi" w:hAnsiTheme="minorHAnsi" w:cstheme="minorHAnsi"/>
          <w:i/>
        </w:rPr>
        <w:t xml:space="preserve"> </w:t>
      </w:r>
      <w:r w:rsidR="00FF6769" w:rsidRPr="00FF6769">
        <w:rPr>
          <w:rFonts w:asciiTheme="minorHAnsi" w:hAnsiTheme="minorHAnsi" w:cstheme="minorHAnsi"/>
        </w:rPr>
        <w:t>and norovirus are all important causes of foodborne il</w:t>
      </w:r>
      <w:r w:rsidR="00FF6769">
        <w:rPr>
          <w:rFonts w:asciiTheme="minorHAnsi" w:hAnsiTheme="minorHAnsi" w:cstheme="minorHAnsi"/>
        </w:rPr>
        <w:t>l</w:t>
      </w:r>
      <w:r w:rsidR="00FF6769" w:rsidRPr="00FF6769">
        <w:rPr>
          <w:rFonts w:asciiTheme="minorHAnsi" w:hAnsiTheme="minorHAnsi" w:cstheme="minorHAnsi"/>
        </w:rPr>
        <w:t>ness</w:t>
      </w:r>
      <w:r w:rsidR="00FF6769">
        <w:rPr>
          <w:rFonts w:asciiTheme="minorHAnsi" w:hAnsiTheme="minorHAnsi" w:cstheme="minorHAnsi"/>
        </w:rPr>
        <w:t xml:space="preserve"> in the UK</w:t>
      </w:r>
      <w:r w:rsidR="005C411C">
        <w:rPr>
          <w:rFonts w:asciiTheme="minorHAnsi" w:hAnsiTheme="minorHAnsi" w:cstheme="minorHAnsi"/>
        </w:rPr>
        <w:t xml:space="preserve">, with </w:t>
      </w:r>
      <w:r w:rsidR="005C411C" w:rsidRPr="00AC77F8">
        <w:rPr>
          <w:rFonts w:asciiTheme="minorHAnsi" w:hAnsiTheme="minorHAnsi" w:cstheme="minorHAnsi"/>
          <w:i/>
        </w:rPr>
        <w:t>Salmonella</w:t>
      </w:r>
      <w:r w:rsidR="005C411C">
        <w:rPr>
          <w:rFonts w:asciiTheme="minorHAnsi" w:hAnsiTheme="minorHAnsi" w:cstheme="minorHAnsi"/>
        </w:rPr>
        <w:t xml:space="preserve"> and </w:t>
      </w:r>
      <w:r w:rsidR="005C411C" w:rsidRPr="00AC77F8">
        <w:rPr>
          <w:rFonts w:asciiTheme="minorHAnsi" w:hAnsiTheme="minorHAnsi" w:cstheme="minorHAnsi"/>
          <w:i/>
        </w:rPr>
        <w:t>E. coli</w:t>
      </w:r>
      <w:r w:rsidR="005C411C">
        <w:rPr>
          <w:rFonts w:asciiTheme="minorHAnsi" w:hAnsiTheme="minorHAnsi" w:cstheme="minorHAnsi"/>
        </w:rPr>
        <w:t xml:space="preserve"> O157 accounting for over two-thirds of all </w:t>
      </w:r>
      <w:proofErr w:type="spellStart"/>
      <w:r w:rsidR="005C411C">
        <w:rPr>
          <w:rFonts w:asciiTheme="minorHAnsi" w:hAnsiTheme="minorHAnsi" w:cstheme="minorHAnsi"/>
        </w:rPr>
        <w:t>hospitalisations</w:t>
      </w:r>
      <w:proofErr w:type="spellEnd"/>
      <w:r w:rsidR="00FF6769">
        <w:rPr>
          <w:rFonts w:asciiTheme="minorHAnsi" w:hAnsiTheme="minorHAnsi" w:cstheme="minorHAnsi"/>
        </w:rPr>
        <w:t>.</w:t>
      </w:r>
      <w:r w:rsidRPr="00FF6769">
        <w:rPr>
          <w:rFonts w:asciiTheme="minorHAnsi" w:hAnsiTheme="minorHAnsi" w:cstheme="minorHAnsi"/>
        </w:rPr>
        <w:t xml:space="preserve"> </w:t>
      </w:r>
    </w:p>
    <w:p w14:paraId="2EC56C97" w14:textId="77777777" w:rsidR="00FF6769" w:rsidRDefault="00FF6769" w:rsidP="00FF6769">
      <w:pPr>
        <w:pStyle w:val="Body1"/>
        <w:numPr>
          <w:ilvl w:val="0"/>
          <w:numId w:val="22"/>
        </w:numPr>
        <w:spacing w:after="0" w:line="480" w:lineRule="auto"/>
        <w:rPr>
          <w:rFonts w:asciiTheme="minorHAnsi" w:hAnsiTheme="minorHAnsi" w:cstheme="minorHAnsi"/>
        </w:rPr>
      </w:pPr>
      <w:r w:rsidRPr="00FF6769">
        <w:rPr>
          <w:rFonts w:asciiTheme="minorHAnsi" w:hAnsiTheme="minorHAnsi" w:cstheme="minorHAnsi"/>
        </w:rPr>
        <w:t xml:space="preserve">The findings </w:t>
      </w:r>
      <w:r>
        <w:rPr>
          <w:rFonts w:asciiTheme="minorHAnsi" w:hAnsiTheme="minorHAnsi" w:cstheme="minorHAnsi"/>
        </w:rPr>
        <w:t xml:space="preserve">should be useful to policymakers in </w:t>
      </w:r>
      <w:proofErr w:type="spellStart"/>
      <w:r>
        <w:rPr>
          <w:rFonts w:asciiTheme="minorHAnsi" w:hAnsiTheme="minorHAnsi" w:cstheme="minorHAnsi"/>
        </w:rPr>
        <w:t>prioriti</w:t>
      </w:r>
      <w:r w:rsidR="005C60B0">
        <w:rPr>
          <w:rFonts w:asciiTheme="minorHAnsi" w:hAnsiTheme="minorHAnsi" w:cstheme="minorHAnsi"/>
        </w:rPr>
        <w:t>s</w:t>
      </w:r>
      <w:r>
        <w:rPr>
          <w:rFonts w:asciiTheme="minorHAnsi" w:hAnsiTheme="minorHAnsi" w:cstheme="minorHAnsi"/>
        </w:rPr>
        <w:t>ing</w:t>
      </w:r>
      <w:proofErr w:type="spellEnd"/>
      <w:r>
        <w:rPr>
          <w:rFonts w:asciiTheme="minorHAnsi" w:hAnsiTheme="minorHAnsi" w:cstheme="minorHAnsi"/>
        </w:rPr>
        <w:t xml:space="preserve"> interventions</w:t>
      </w:r>
      <w:r w:rsidRPr="00FF6769">
        <w:rPr>
          <w:rFonts w:asciiTheme="minorHAnsi" w:hAnsiTheme="minorHAnsi" w:cstheme="minorHAnsi"/>
        </w:rPr>
        <w:t>.</w:t>
      </w:r>
    </w:p>
    <w:p w14:paraId="66E39CFE" w14:textId="77777777" w:rsidR="0064217D" w:rsidRPr="00840DEA" w:rsidRDefault="00840DEA" w:rsidP="0064217D">
      <w:pPr>
        <w:pStyle w:val="Body1"/>
        <w:spacing w:after="0" w:line="480" w:lineRule="auto"/>
        <w:rPr>
          <w:rFonts w:asciiTheme="minorHAnsi" w:hAnsiTheme="minorHAnsi" w:cstheme="minorHAnsi"/>
          <w:b/>
        </w:rPr>
      </w:pPr>
      <w:r w:rsidRPr="00840DEA">
        <w:rPr>
          <w:rFonts w:asciiTheme="minorHAnsi" w:hAnsiTheme="minorHAnsi" w:cstheme="minorHAnsi"/>
          <w:b/>
        </w:rPr>
        <w:t>S</w:t>
      </w:r>
      <w:r w:rsidR="001E30ED" w:rsidRPr="00840DEA">
        <w:rPr>
          <w:rFonts w:asciiTheme="minorHAnsi" w:hAnsiTheme="minorHAnsi" w:cstheme="minorHAnsi"/>
          <w:b/>
        </w:rPr>
        <w:t>trengths and limitations of this study</w:t>
      </w:r>
    </w:p>
    <w:p w14:paraId="450AA8B2" w14:textId="77777777" w:rsidR="005C411C" w:rsidRDefault="00830337" w:rsidP="005C411C">
      <w:pPr>
        <w:pStyle w:val="Body1"/>
        <w:numPr>
          <w:ilvl w:val="0"/>
          <w:numId w:val="23"/>
        </w:numPr>
        <w:spacing w:after="0" w:line="480" w:lineRule="auto"/>
        <w:rPr>
          <w:rFonts w:asciiTheme="minorHAnsi" w:hAnsiTheme="minorHAnsi" w:cstheme="minorHAnsi"/>
        </w:rPr>
      </w:pPr>
      <w:r>
        <w:rPr>
          <w:rFonts w:asciiTheme="minorHAnsi" w:hAnsiTheme="minorHAnsi" w:cstheme="minorHAnsi"/>
        </w:rPr>
        <w:t>T</w:t>
      </w:r>
      <w:r w:rsidR="005C411C" w:rsidRPr="00AF64F9">
        <w:rPr>
          <w:rFonts w:asciiTheme="minorHAnsi" w:hAnsiTheme="minorHAnsi" w:cstheme="minorHAnsi"/>
        </w:rPr>
        <w:t xml:space="preserve">his is the first </w:t>
      </w:r>
      <w:r w:rsidR="000D4ED4" w:rsidRPr="00931988">
        <w:rPr>
          <w:rFonts w:asciiTheme="minorHAnsi" w:hAnsiTheme="minorHAnsi" w:cstheme="minorHAnsi"/>
        </w:rPr>
        <w:t xml:space="preserve">burden of foodborne illness modelling </w:t>
      </w:r>
      <w:r w:rsidR="005C411C" w:rsidRPr="00931988">
        <w:rPr>
          <w:rFonts w:asciiTheme="minorHAnsi" w:hAnsiTheme="minorHAnsi" w:cstheme="minorHAnsi"/>
        </w:rPr>
        <w:t>study</w:t>
      </w:r>
      <w:r w:rsidR="005C411C" w:rsidRPr="00AF64F9">
        <w:rPr>
          <w:rFonts w:asciiTheme="minorHAnsi" w:hAnsiTheme="minorHAnsi" w:cstheme="minorHAnsi"/>
        </w:rPr>
        <w:t xml:space="preserve"> to incorporate both empirical data and prior information from a systematic review </w:t>
      </w:r>
      <w:r w:rsidR="005C411C">
        <w:rPr>
          <w:rFonts w:asciiTheme="minorHAnsi" w:hAnsiTheme="minorHAnsi" w:cstheme="minorHAnsi"/>
        </w:rPr>
        <w:t>together with</w:t>
      </w:r>
      <w:r w:rsidR="005C411C" w:rsidRPr="00AF64F9">
        <w:rPr>
          <w:rFonts w:asciiTheme="minorHAnsi" w:hAnsiTheme="minorHAnsi" w:cstheme="minorHAnsi"/>
        </w:rPr>
        <w:t xml:space="preserve"> Bayesian methodology for estimating the proportion of IID that is transmitted through contaminated food.</w:t>
      </w:r>
    </w:p>
    <w:p w14:paraId="44F68822" w14:textId="77777777" w:rsidR="005C411C" w:rsidRDefault="00830337" w:rsidP="005C411C">
      <w:pPr>
        <w:pStyle w:val="Body1"/>
        <w:numPr>
          <w:ilvl w:val="0"/>
          <w:numId w:val="23"/>
        </w:numPr>
        <w:spacing w:after="0" w:line="480" w:lineRule="auto"/>
        <w:rPr>
          <w:rFonts w:asciiTheme="minorHAnsi" w:hAnsiTheme="minorHAnsi" w:cstheme="minorHAnsi"/>
        </w:rPr>
      </w:pPr>
      <w:r>
        <w:rPr>
          <w:rFonts w:asciiTheme="minorHAnsi" w:hAnsiTheme="minorHAnsi" w:cstheme="minorHAnsi"/>
        </w:rPr>
        <w:t>O</w:t>
      </w:r>
      <w:r w:rsidR="005C411C">
        <w:rPr>
          <w:rFonts w:asciiTheme="minorHAnsi" w:hAnsiTheme="minorHAnsi" w:cstheme="minorHAnsi"/>
        </w:rPr>
        <w:t xml:space="preserve">ur estimates are based </w:t>
      </w:r>
      <w:r w:rsidR="008B5C9D">
        <w:rPr>
          <w:rFonts w:asciiTheme="minorHAnsi" w:hAnsiTheme="minorHAnsi" w:cstheme="minorHAnsi"/>
        </w:rPr>
        <w:t xml:space="preserve">on </w:t>
      </w:r>
      <w:r w:rsidR="005C411C">
        <w:rPr>
          <w:rFonts w:asciiTheme="minorHAnsi" w:hAnsiTheme="minorHAnsi" w:cstheme="minorHAnsi"/>
        </w:rPr>
        <w:t>high quality datasets, including</w:t>
      </w:r>
      <w:r w:rsidR="005C411C" w:rsidRPr="00B92E3B">
        <w:rPr>
          <w:rFonts w:asciiTheme="minorHAnsi" w:hAnsiTheme="minorHAnsi" w:cstheme="minorHAnsi"/>
        </w:rPr>
        <w:t xml:space="preserve"> directly observed, pathogen-specific incidence data</w:t>
      </w:r>
      <w:r w:rsidR="005C411C">
        <w:rPr>
          <w:rFonts w:asciiTheme="minorHAnsi" w:hAnsiTheme="minorHAnsi" w:cstheme="minorHAnsi"/>
        </w:rPr>
        <w:t>.</w:t>
      </w:r>
      <w:r w:rsidR="005C411C" w:rsidRPr="00B92E3B">
        <w:rPr>
          <w:rFonts w:asciiTheme="minorHAnsi" w:hAnsiTheme="minorHAnsi" w:cstheme="minorHAnsi"/>
        </w:rPr>
        <w:t xml:space="preserve"> </w:t>
      </w:r>
    </w:p>
    <w:p w14:paraId="40D16787" w14:textId="7E313A33" w:rsidR="005C411C" w:rsidRDefault="00C20066" w:rsidP="005C411C">
      <w:pPr>
        <w:pStyle w:val="Body1"/>
        <w:numPr>
          <w:ilvl w:val="0"/>
          <w:numId w:val="23"/>
        </w:numPr>
        <w:spacing w:after="0" w:line="480" w:lineRule="auto"/>
        <w:rPr>
          <w:rFonts w:asciiTheme="minorHAnsi" w:hAnsiTheme="minorHAnsi" w:cstheme="minorHAnsi"/>
        </w:rPr>
      </w:pPr>
      <w:r>
        <w:rPr>
          <w:rFonts w:asciiTheme="minorHAnsi" w:hAnsiTheme="minorHAnsi" w:cstheme="minorHAnsi"/>
        </w:rPr>
        <w:t>Our</w:t>
      </w:r>
      <w:r w:rsidR="005C411C">
        <w:rPr>
          <w:rFonts w:asciiTheme="minorHAnsi" w:hAnsiTheme="minorHAnsi" w:cstheme="minorHAnsi"/>
        </w:rPr>
        <w:t xml:space="preserve"> </w:t>
      </w:r>
      <w:r w:rsidR="005C411C" w:rsidRPr="00B92E3B">
        <w:rPr>
          <w:rFonts w:asciiTheme="minorHAnsi" w:hAnsiTheme="minorHAnsi" w:cstheme="minorHAnsi"/>
        </w:rPr>
        <w:t xml:space="preserve">methods </w:t>
      </w:r>
      <w:r w:rsidR="005C411C">
        <w:rPr>
          <w:rFonts w:asciiTheme="minorHAnsi" w:hAnsiTheme="minorHAnsi" w:cstheme="minorHAnsi"/>
        </w:rPr>
        <w:t>take full</w:t>
      </w:r>
      <w:r w:rsidR="005C411C" w:rsidRPr="00B92E3B">
        <w:rPr>
          <w:rFonts w:asciiTheme="minorHAnsi" w:hAnsiTheme="minorHAnsi" w:cstheme="minorHAnsi"/>
        </w:rPr>
        <w:t xml:space="preserve"> account </w:t>
      </w:r>
      <w:r w:rsidR="005C411C">
        <w:rPr>
          <w:rFonts w:asciiTheme="minorHAnsi" w:hAnsiTheme="minorHAnsi" w:cstheme="minorHAnsi"/>
        </w:rPr>
        <w:t>of</w:t>
      </w:r>
      <w:r w:rsidR="005C411C" w:rsidRPr="00B92E3B">
        <w:rPr>
          <w:rFonts w:asciiTheme="minorHAnsi" w:hAnsiTheme="minorHAnsi" w:cstheme="minorHAnsi"/>
        </w:rPr>
        <w:t xml:space="preserve"> parameter uncertainties</w:t>
      </w:r>
      <w:r w:rsidR="005C411C">
        <w:rPr>
          <w:rFonts w:asciiTheme="minorHAnsi" w:hAnsiTheme="minorHAnsi" w:cstheme="minorHAnsi"/>
        </w:rPr>
        <w:t>.</w:t>
      </w:r>
      <w:r w:rsidR="005C411C" w:rsidRPr="00B92E3B">
        <w:rPr>
          <w:rFonts w:asciiTheme="minorHAnsi" w:hAnsiTheme="minorHAnsi" w:cstheme="minorHAnsi"/>
        </w:rPr>
        <w:t xml:space="preserve"> </w:t>
      </w:r>
    </w:p>
    <w:p w14:paraId="3C7D8474" w14:textId="77777777" w:rsidR="00BC0D5D" w:rsidRPr="00B92E3B" w:rsidRDefault="00C20066" w:rsidP="00B92E3B">
      <w:pPr>
        <w:pStyle w:val="Body1"/>
        <w:numPr>
          <w:ilvl w:val="0"/>
          <w:numId w:val="23"/>
        </w:numPr>
        <w:spacing w:after="0" w:line="480" w:lineRule="auto"/>
        <w:rPr>
          <w:rFonts w:asciiTheme="minorHAnsi" w:hAnsiTheme="minorHAnsi" w:cstheme="minorHAnsi"/>
        </w:rPr>
      </w:pPr>
      <w:r>
        <w:rPr>
          <w:rFonts w:asciiTheme="minorHAnsi" w:hAnsiTheme="minorHAnsi" w:cstheme="minorHAnsi"/>
        </w:rPr>
        <w:t>T</w:t>
      </w:r>
      <w:r w:rsidR="00682C48">
        <w:rPr>
          <w:rFonts w:asciiTheme="minorHAnsi" w:hAnsiTheme="minorHAnsi" w:cstheme="minorHAnsi"/>
        </w:rPr>
        <w:t>here are several</w:t>
      </w:r>
      <w:r w:rsidR="00BC0D5D">
        <w:rPr>
          <w:rFonts w:asciiTheme="minorHAnsi" w:hAnsiTheme="minorHAnsi" w:cstheme="minorHAnsi"/>
        </w:rPr>
        <w:t xml:space="preserve"> data gaps </w:t>
      </w:r>
      <w:r w:rsidR="00682C48">
        <w:rPr>
          <w:rFonts w:asciiTheme="minorHAnsi" w:hAnsiTheme="minorHAnsi" w:cstheme="minorHAnsi"/>
        </w:rPr>
        <w:t xml:space="preserve">which </w:t>
      </w:r>
      <w:r w:rsidR="00BC0D5D">
        <w:rPr>
          <w:rFonts w:asciiTheme="minorHAnsi" w:hAnsiTheme="minorHAnsi" w:cstheme="minorHAnsi"/>
        </w:rPr>
        <w:t xml:space="preserve">need to be filled </w:t>
      </w:r>
      <w:r w:rsidR="00682C48">
        <w:rPr>
          <w:rFonts w:asciiTheme="minorHAnsi" w:hAnsiTheme="minorHAnsi" w:cstheme="minorHAnsi"/>
        </w:rPr>
        <w:t>including</w:t>
      </w:r>
      <w:r w:rsidR="00BC0D5D">
        <w:rPr>
          <w:rFonts w:asciiTheme="minorHAnsi" w:hAnsiTheme="minorHAnsi" w:cstheme="minorHAnsi"/>
        </w:rPr>
        <w:t xml:space="preserve"> pathogen-specific mortality estimates, </w:t>
      </w:r>
      <w:r w:rsidR="00682C48">
        <w:rPr>
          <w:rFonts w:asciiTheme="minorHAnsi" w:hAnsiTheme="minorHAnsi" w:cstheme="minorHAnsi"/>
        </w:rPr>
        <w:t xml:space="preserve">and </w:t>
      </w:r>
      <w:r w:rsidR="00BC0D5D">
        <w:rPr>
          <w:rFonts w:asciiTheme="minorHAnsi" w:hAnsiTheme="minorHAnsi" w:cstheme="minorHAnsi"/>
        </w:rPr>
        <w:t xml:space="preserve">information on morbidity in vulnerable populations </w:t>
      </w:r>
      <w:r w:rsidR="00682C48">
        <w:rPr>
          <w:rFonts w:asciiTheme="minorHAnsi" w:hAnsiTheme="minorHAnsi" w:cstheme="minorHAnsi"/>
        </w:rPr>
        <w:t xml:space="preserve">such as </w:t>
      </w:r>
      <w:r w:rsidR="00BC0D5D">
        <w:rPr>
          <w:rFonts w:asciiTheme="minorHAnsi" w:hAnsiTheme="minorHAnsi" w:cstheme="minorHAnsi"/>
        </w:rPr>
        <w:t>immunocompromised people</w:t>
      </w:r>
      <w:r w:rsidR="00682C48">
        <w:rPr>
          <w:rFonts w:asciiTheme="minorHAnsi" w:hAnsiTheme="minorHAnsi" w:cstheme="minorHAnsi"/>
        </w:rPr>
        <w:t>, older people,</w:t>
      </w:r>
      <w:r w:rsidR="00BC0D5D">
        <w:rPr>
          <w:rFonts w:asciiTheme="minorHAnsi" w:hAnsiTheme="minorHAnsi" w:cstheme="minorHAnsi"/>
        </w:rPr>
        <w:t xml:space="preserve"> and pregnant women.</w:t>
      </w:r>
    </w:p>
    <w:p w14:paraId="364F2AE3" w14:textId="77777777" w:rsidR="00FF6769" w:rsidRPr="00FF6769" w:rsidRDefault="00FF6769" w:rsidP="00FF6769">
      <w:pPr>
        <w:pStyle w:val="Body1"/>
        <w:spacing w:after="0" w:line="480" w:lineRule="auto"/>
        <w:rPr>
          <w:rFonts w:cstheme="minorHAnsi"/>
        </w:rPr>
      </w:pPr>
    </w:p>
    <w:p w14:paraId="162D0AA7" w14:textId="77777777" w:rsidR="0018452C" w:rsidRDefault="0018452C" w:rsidP="00FF6769">
      <w:pPr>
        <w:pStyle w:val="Body1"/>
        <w:spacing w:after="0" w:line="480" w:lineRule="auto"/>
        <w:rPr>
          <w:rFonts w:cstheme="minorHAnsi"/>
        </w:rPr>
      </w:pPr>
      <w:r>
        <w:rPr>
          <w:rFonts w:cstheme="minorHAnsi"/>
        </w:rPr>
        <w:br w:type="page"/>
      </w:r>
    </w:p>
    <w:p w14:paraId="58FE6762" w14:textId="77777777" w:rsidR="002864D8" w:rsidRPr="00127237" w:rsidRDefault="00127237" w:rsidP="00546FCD">
      <w:pPr>
        <w:pStyle w:val="Heading2"/>
        <w:numPr>
          <w:ilvl w:val="0"/>
          <w:numId w:val="0"/>
        </w:numPr>
        <w:spacing w:line="360" w:lineRule="auto"/>
        <w:rPr>
          <w:rFonts w:asciiTheme="minorHAnsi" w:hAnsiTheme="minorHAnsi"/>
          <w:color w:val="auto"/>
          <w:sz w:val="22"/>
          <w:szCs w:val="22"/>
        </w:rPr>
      </w:pPr>
      <w:r w:rsidRPr="00127237">
        <w:rPr>
          <w:rFonts w:asciiTheme="minorHAnsi" w:hAnsiTheme="minorHAnsi"/>
          <w:color w:val="auto"/>
          <w:sz w:val="22"/>
          <w:szCs w:val="22"/>
        </w:rPr>
        <w:lastRenderedPageBreak/>
        <w:t>INTRODUCTION</w:t>
      </w:r>
    </w:p>
    <w:p w14:paraId="32D0F5B7" w14:textId="77777777" w:rsidR="00BA73E8" w:rsidRDefault="00EA07E8" w:rsidP="00BA73E8">
      <w:pPr>
        <w:pStyle w:val="Unknown0"/>
        <w:spacing w:after="0" w:line="360" w:lineRule="auto"/>
      </w:pPr>
      <w:r>
        <w:rPr>
          <w:rFonts w:asciiTheme="minorHAnsi" w:hAnsiTheme="minorHAnsi" w:cstheme="minorHAnsi"/>
        </w:rPr>
        <w:t>F</w:t>
      </w:r>
      <w:r w:rsidR="00B0539F">
        <w:rPr>
          <w:rFonts w:asciiTheme="minorHAnsi" w:hAnsiTheme="minorHAnsi" w:cstheme="minorHAnsi"/>
        </w:rPr>
        <w:t xml:space="preserve">ood safety is a </w:t>
      </w:r>
      <w:r>
        <w:rPr>
          <w:rFonts w:asciiTheme="minorHAnsi" w:hAnsiTheme="minorHAnsi" w:cstheme="minorHAnsi"/>
        </w:rPr>
        <w:t xml:space="preserve">global </w:t>
      </w:r>
      <w:r w:rsidR="00B0539F">
        <w:rPr>
          <w:rFonts w:asciiTheme="minorHAnsi" w:hAnsiTheme="minorHAnsi" w:cstheme="minorHAnsi"/>
        </w:rPr>
        <w:t>priority</w:t>
      </w:r>
      <w:proofErr w:type="gramStart"/>
      <w:r w:rsidR="00B0539F">
        <w:rPr>
          <w:rFonts w:asciiTheme="minorHAnsi" w:hAnsiTheme="minorHAnsi" w:cstheme="minorHAnsi"/>
        </w:rPr>
        <w:t>.</w:t>
      </w:r>
      <w:r w:rsidR="001E458D">
        <w:rPr>
          <w:rFonts w:asciiTheme="minorHAnsi" w:hAnsiTheme="minorHAnsi" w:cstheme="minorHAnsi"/>
        </w:rPr>
        <w:t>[</w:t>
      </w:r>
      <w:proofErr w:type="gramEnd"/>
      <w:r w:rsidR="001E458D">
        <w:rPr>
          <w:rFonts w:asciiTheme="minorHAnsi" w:hAnsiTheme="minorHAnsi" w:cstheme="minorHAnsi"/>
        </w:rPr>
        <w:t>1]</w:t>
      </w:r>
      <w:r w:rsidR="00B0539F">
        <w:rPr>
          <w:rFonts w:asciiTheme="minorHAnsi" w:hAnsiTheme="minorHAnsi" w:cstheme="minorHAnsi"/>
        </w:rPr>
        <w:t xml:space="preserve"> </w:t>
      </w:r>
      <w:r w:rsidR="00682C48">
        <w:rPr>
          <w:rFonts w:asciiTheme="minorHAnsi" w:hAnsiTheme="minorHAnsi" w:cstheme="minorHAnsi"/>
        </w:rPr>
        <w:t xml:space="preserve">To have maximum impact, the design and funding of </w:t>
      </w:r>
      <w:r>
        <w:rPr>
          <w:rFonts w:asciiTheme="minorHAnsi" w:hAnsiTheme="minorHAnsi" w:cstheme="minorHAnsi"/>
        </w:rPr>
        <w:t xml:space="preserve">food safety </w:t>
      </w:r>
      <w:r w:rsidR="00B0539F">
        <w:rPr>
          <w:rFonts w:asciiTheme="minorHAnsi" w:hAnsiTheme="minorHAnsi" w:cstheme="minorHAnsi"/>
        </w:rPr>
        <w:t>interventions</w:t>
      </w:r>
      <w:r w:rsidR="00682C48">
        <w:rPr>
          <w:rFonts w:asciiTheme="minorHAnsi" w:hAnsiTheme="minorHAnsi" w:cstheme="minorHAnsi"/>
        </w:rPr>
        <w:t xml:space="preserve"> need to take account of</w:t>
      </w:r>
      <w:r w:rsidR="00FA4EE6" w:rsidRPr="00FA4EE6">
        <w:rPr>
          <w:rFonts w:asciiTheme="minorHAnsi" w:hAnsiTheme="minorHAnsi" w:cstheme="minorHAnsi"/>
        </w:rPr>
        <w:t xml:space="preserve"> the overall </w:t>
      </w:r>
      <w:r w:rsidR="00FA4EE6">
        <w:rPr>
          <w:rFonts w:asciiTheme="minorHAnsi" w:hAnsiTheme="minorHAnsi" w:cstheme="minorHAnsi"/>
        </w:rPr>
        <w:t>burden</w:t>
      </w:r>
      <w:r w:rsidR="00FA4EE6" w:rsidRPr="00FA4EE6">
        <w:rPr>
          <w:rFonts w:asciiTheme="minorHAnsi" w:hAnsiTheme="minorHAnsi" w:cstheme="minorHAnsi"/>
        </w:rPr>
        <w:t xml:space="preserve"> of foodborne </w:t>
      </w:r>
      <w:r w:rsidR="00154119">
        <w:rPr>
          <w:rFonts w:asciiTheme="minorHAnsi" w:hAnsiTheme="minorHAnsi" w:cstheme="minorHAnsi"/>
        </w:rPr>
        <w:t>disease</w:t>
      </w:r>
      <w:r w:rsidR="000C2D23">
        <w:rPr>
          <w:rFonts w:asciiTheme="minorHAnsi" w:hAnsiTheme="minorHAnsi" w:cstheme="minorHAnsi"/>
        </w:rPr>
        <w:t xml:space="preserve"> and the </w:t>
      </w:r>
      <w:r w:rsidR="00682C48">
        <w:rPr>
          <w:rFonts w:asciiTheme="minorHAnsi" w:hAnsiTheme="minorHAnsi" w:cstheme="minorHAnsi"/>
        </w:rPr>
        <w:t>contribution made by each pathogen</w:t>
      </w:r>
      <w:r w:rsidR="00FA4EE6" w:rsidRPr="00FA4EE6">
        <w:rPr>
          <w:rFonts w:asciiTheme="minorHAnsi" w:hAnsiTheme="minorHAnsi" w:cstheme="minorHAnsi"/>
        </w:rPr>
        <w:t xml:space="preserve">. </w:t>
      </w:r>
      <w:r w:rsidR="000C2D23">
        <w:rPr>
          <w:rFonts w:asciiTheme="minorHAnsi" w:hAnsiTheme="minorHAnsi" w:cstheme="minorHAnsi"/>
        </w:rPr>
        <w:t>Developing better methods for estimating the true burden of foodborne disease has been the focus of international efforts for over a decade.[</w:t>
      </w:r>
      <w:r w:rsidR="00636D0A">
        <w:rPr>
          <w:rFonts w:asciiTheme="minorHAnsi" w:hAnsiTheme="minorHAnsi" w:cstheme="minorHAnsi"/>
        </w:rPr>
        <w:t>1</w:t>
      </w:r>
      <w:r w:rsidR="000C2D23">
        <w:rPr>
          <w:rFonts w:asciiTheme="minorHAnsi" w:hAnsiTheme="minorHAnsi" w:cstheme="minorHAnsi"/>
        </w:rPr>
        <w:t>-</w:t>
      </w:r>
      <w:r w:rsidR="006A2077">
        <w:rPr>
          <w:rFonts w:asciiTheme="minorHAnsi" w:hAnsiTheme="minorHAnsi" w:cstheme="minorHAnsi"/>
        </w:rPr>
        <w:t>8</w:t>
      </w:r>
      <w:r w:rsidR="000C2D23">
        <w:rPr>
          <w:rFonts w:asciiTheme="minorHAnsi" w:hAnsiTheme="minorHAnsi" w:cstheme="minorHAnsi"/>
        </w:rPr>
        <w:t xml:space="preserve">] </w:t>
      </w:r>
      <w:r w:rsidR="00682C48">
        <w:rPr>
          <w:rFonts w:asciiTheme="minorHAnsi" w:hAnsiTheme="minorHAnsi" w:cstheme="minorHAnsi"/>
        </w:rPr>
        <w:t>This</w:t>
      </w:r>
      <w:r w:rsidR="00AA06C9">
        <w:rPr>
          <w:rFonts w:asciiTheme="minorHAnsi" w:hAnsiTheme="minorHAnsi" w:cstheme="minorHAnsi"/>
        </w:rPr>
        <w:t xml:space="preserve"> is</w:t>
      </w:r>
      <w:r w:rsidR="00A32FAA">
        <w:rPr>
          <w:rFonts w:asciiTheme="minorHAnsi" w:hAnsiTheme="minorHAnsi" w:cstheme="minorHAnsi"/>
        </w:rPr>
        <w:t xml:space="preserve"> </w:t>
      </w:r>
      <w:r w:rsidR="001D468A">
        <w:rPr>
          <w:rFonts w:asciiTheme="minorHAnsi" w:hAnsiTheme="minorHAnsi" w:cstheme="minorHAnsi"/>
        </w:rPr>
        <w:t xml:space="preserve">problematic </w:t>
      </w:r>
      <w:r w:rsidR="00A32FAA">
        <w:rPr>
          <w:rFonts w:asciiTheme="minorHAnsi" w:hAnsiTheme="minorHAnsi" w:cstheme="minorHAnsi"/>
        </w:rPr>
        <w:t>for various reasons</w:t>
      </w:r>
      <w:r w:rsidR="000A43F1">
        <w:rPr>
          <w:rFonts w:asciiTheme="minorHAnsi" w:hAnsiTheme="minorHAnsi" w:cstheme="minorHAnsi"/>
        </w:rPr>
        <w:t xml:space="preserve">: </w:t>
      </w:r>
      <w:r w:rsidR="00154119">
        <w:rPr>
          <w:rFonts w:asciiTheme="minorHAnsi" w:hAnsiTheme="minorHAnsi" w:cstheme="minorHAnsi"/>
        </w:rPr>
        <w:t>people</w:t>
      </w:r>
      <w:r>
        <w:rPr>
          <w:rFonts w:asciiTheme="minorHAnsi" w:hAnsiTheme="minorHAnsi" w:cstheme="minorHAnsi"/>
        </w:rPr>
        <w:t xml:space="preserve"> usually present with non-specific symptoms of infectious intestinal disease (IID)</w:t>
      </w:r>
      <w:r w:rsidR="00682C48">
        <w:rPr>
          <w:rFonts w:asciiTheme="minorHAnsi" w:hAnsiTheme="minorHAnsi" w:cstheme="minorHAnsi"/>
        </w:rPr>
        <w:t>,</w:t>
      </w:r>
      <w:r>
        <w:rPr>
          <w:rFonts w:asciiTheme="minorHAnsi" w:hAnsiTheme="minorHAnsi" w:cstheme="minorHAnsi"/>
        </w:rPr>
        <w:t xml:space="preserve"> only </w:t>
      </w:r>
      <w:r w:rsidR="00FA4EE6" w:rsidRPr="00FA4EE6">
        <w:rPr>
          <w:rFonts w:asciiTheme="minorHAnsi" w:hAnsiTheme="minorHAnsi" w:cstheme="minorHAnsi"/>
        </w:rPr>
        <w:t xml:space="preserve">a </w:t>
      </w:r>
      <w:r w:rsidR="000F5EEB">
        <w:rPr>
          <w:rFonts w:asciiTheme="minorHAnsi" w:hAnsiTheme="minorHAnsi" w:cstheme="minorHAnsi"/>
        </w:rPr>
        <w:t>fraction</w:t>
      </w:r>
      <w:r w:rsidR="00FA4EE6" w:rsidRPr="00FA4EE6">
        <w:rPr>
          <w:rFonts w:asciiTheme="minorHAnsi" w:hAnsiTheme="minorHAnsi" w:cstheme="minorHAnsi"/>
        </w:rPr>
        <w:t xml:space="preserve"> of </w:t>
      </w:r>
      <w:r w:rsidR="00682C48">
        <w:rPr>
          <w:rFonts w:asciiTheme="minorHAnsi" w:hAnsiTheme="minorHAnsi" w:cstheme="minorHAnsi"/>
        </w:rPr>
        <w:t>cases are</w:t>
      </w:r>
      <w:r w:rsidR="00FA4EE6" w:rsidRPr="00FA4EE6">
        <w:rPr>
          <w:rFonts w:asciiTheme="minorHAnsi" w:hAnsiTheme="minorHAnsi" w:cstheme="minorHAnsi"/>
        </w:rPr>
        <w:t xml:space="preserve"> confirmed by laboratory testing</w:t>
      </w:r>
      <w:r w:rsidR="00682C48">
        <w:rPr>
          <w:rFonts w:asciiTheme="minorHAnsi" w:hAnsiTheme="minorHAnsi" w:cstheme="minorHAnsi"/>
        </w:rPr>
        <w:t>,</w:t>
      </w:r>
      <w:r w:rsidR="00FA4EE6" w:rsidRPr="00FA4EE6">
        <w:rPr>
          <w:rFonts w:asciiTheme="minorHAnsi" w:hAnsiTheme="minorHAnsi" w:cstheme="minorHAnsi"/>
        </w:rPr>
        <w:t xml:space="preserve"> and </w:t>
      </w:r>
      <w:r w:rsidR="00682C48">
        <w:rPr>
          <w:rFonts w:asciiTheme="minorHAnsi" w:hAnsiTheme="minorHAnsi" w:cstheme="minorHAnsi"/>
        </w:rPr>
        <w:t xml:space="preserve">not all are </w:t>
      </w:r>
      <w:r w:rsidR="00FA4EE6" w:rsidRPr="00FA4EE6">
        <w:rPr>
          <w:rFonts w:asciiTheme="minorHAnsi" w:hAnsiTheme="minorHAnsi" w:cstheme="minorHAnsi"/>
        </w:rPr>
        <w:t xml:space="preserve">reported to </w:t>
      </w:r>
      <w:r w:rsidR="00374AE9">
        <w:rPr>
          <w:rFonts w:asciiTheme="minorHAnsi" w:hAnsiTheme="minorHAnsi" w:cstheme="minorHAnsi"/>
        </w:rPr>
        <w:t xml:space="preserve">national </w:t>
      </w:r>
      <w:r w:rsidR="00FA4EE6" w:rsidRPr="00FA4EE6">
        <w:rPr>
          <w:rFonts w:asciiTheme="minorHAnsi" w:hAnsiTheme="minorHAnsi" w:cstheme="minorHAnsi"/>
        </w:rPr>
        <w:t xml:space="preserve">public health </w:t>
      </w:r>
      <w:r w:rsidR="00682C48">
        <w:rPr>
          <w:rFonts w:asciiTheme="minorHAnsi" w:hAnsiTheme="minorHAnsi" w:cstheme="minorHAnsi"/>
        </w:rPr>
        <w:t>surveillance</w:t>
      </w:r>
      <w:r w:rsidR="00FA4EE6" w:rsidRPr="00FA4EE6">
        <w:rPr>
          <w:rFonts w:asciiTheme="minorHAnsi" w:hAnsiTheme="minorHAnsi" w:cstheme="minorHAnsi"/>
        </w:rPr>
        <w:t>.</w:t>
      </w:r>
      <w:r w:rsidR="000002A9">
        <w:rPr>
          <w:rFonts w:asciiTheme="minorHAnsi" w:hAnsiTheme="minorHAnsi" w:cstheme="minorHAnsi"/>
        </w:rPr>
        <w:t xml:space="preserve"> </w:t>
      </w:r>
      <w:r w:rsidR="00AA06C9">
        <w:rPr>
          <w:rFonts w:asciiTheme="minorHAnsi" w:hAnsiTheme="minorHAnsi" w:cstheme="minorHAnsi"/>
        </w:rPr>
        <w:t xml:space="preserve">IID then needs to be attributed to transmission route (foodborne, waterborne, animal-to-person, person-to-person or environment-to-person), which can be difficult if robust epidemiological information is lacking. </w:t>
      </w:r>
      <w:r w:rsidR="00A32FAA">
        <w:rPr>
          <w:rFonts w:asciiTheme="minorHAnsi" w:hAnsiTheme="minorHAnsi" w:cstheme="minorHAnsi"/>
        </w:rPr>
        <w:t>In a recent population-based</w:t>
      </w:r>
      <w:r w:rsidR="00682C48">
        <w:rPr>
          <w:rFonts w:asciiTheme="minorHAnsi" w:hAnsiTheme="minorHAnsi" w:cstheme="minorHAnsi"/>
        </w:rPr>
        <w:t>,</w:t>
      </w:r>
      <w:r w:rsidR="00A32FAA">
        <w:rPr>
          <w:rFonts w:asciiTheme="minorHAnsi" w:hAnsiTheme="minorHAnsi" w:cstheme="minorHAnsi"/>
        </w:rPr>
        <w:t xml:space="preserve"> prospective study in the UK </w:t>
      </w:r>
      <w:r w:rsidR="00443165">
        <w:rPr>
          <w:rFonts w:asciiTheme="minorHAnsi" w:hAnsiTheme="minorHAnsi" w:cstheme="minorHAnsi"/>
        </w:rPr>
        <w:t xml:space="preserve">(known as the IID2 Study) </w:t>
      </w:r>
      <w:r w:rsidR="00A32FAA">
        <w:rPr>
          <w:rFonts w:asciiTheme="minorHAnsi" w:hAnsiTheme="minorHAnsi" w:cstheme="minorHAnsi"/>
        </w:rPr>
        <w:t xml:space="preserve">we found that </w:t>
      </w:r>
      <w:r w:rsidR="00682C48">
        <w:rPr>
          <w:rFonts w:asciiTheme="minorHAnsi" w:hAnsiTheme="minorHAnsi" w:cstheme="minorHAnsi"/>
        </w:rPr>
        <w:t xml:space="preserve">IID affected </w:t>
      </w:r>
      <w:r w:rsidR="00A32FAA">
        <w:rPr>
          <w:rFonts w:asciiTheme="minorHAnsi" w:hAnsiTheme="minorHAnsi" w:cstheme="minorHAnsi"/>
        </w:rPr>
        <w:t xml:space="preserve">around one in four people each </w:t>
      </w:r>
      <w:r w:rsidR="00AA06C9">
        <w:rPr>
          <w:rFonts w:asciiTheme="minorHAnsi" w:hAnsiTheme="minorHAnsi" w:cstheme="minorHAnsi"/>
        </w:rPr>
        <w:t xml:space="preserve">year </w:t>
      </w:r>
      <w:r w:rsidR="001E458D">
        <w:rPr>
          <w:rFonts w:asciiTheme="minorHAnsi" w:hAnsiTheme="minorHAnsi" w:cstheme="minorHAnsi"/>
        </w:rPr>
        <w:t>(</w:t>
      </w:r>
      <w:r w:rsidR="00682C48">
        <w:rPr>
          <w:rFonts w:asciiTheme="minorHAnsi" w:hAnsiTheme="minorHAnsi" w:cstheme="minorHAnsi"/>
        </w:rPr>
        <w:t xml:space="preserve">approximately </w:t>
      </w:r>
      <w:r w:rsidR="00A32FAA">
        <w:rPr>
          <w:rFonts w:asciiTheme="minorHAnsi" w:hAnsiTheme="minorHAnsi" w:cstheme="minorHAnsi"/>
        </w:rPr>
        <w:t>17 million cases in 2009</w:t>
      </w:r>
      <w:r w:rsidR="001E458D">
        <w:rPr>
          <w:rFonts w:asciiTheme="minorHAnsi" w:hAnsiTheme="minorHAnsi" w:cstheme="minorHAnsi"/>
        </w:rPr>
        <w:t>).</w:t>
      </w:r>
      <w:r w:rsidR="00A32FAA">
        <w:rPr>
          <w:rFonts w:asciiTheme="minorHAnsi" w:hAnsiTheme="minorHAnsi" w:cstheme="minorHAnsi"/>
        </w:rPr>
        <w:t>[</w:t>
      </w:r>
      <w:r w:rsidR="00235CEE">
        <w:rPr>
          <w:rFonts w:asciiTheme="minorHAnsi" w:hAnsiTheme="minorHAnsi" w:cstheme="minorHAnsi"/>
        </w:rPr>
        <w:t>9</w:t>
      </w:r>
      <w:r w:rsidR="00A32FAA">
        <w:rPr>
          <w:rFonts w:asciiTheme="minorHAnsi" w:hAnsiTheme="minorHAnsi" w:cstheme="minorHAnsi"/>
        </w:rPr>
        <w:t xml:space="preserve">] </w:t>
      </w:r>
      <w:r w:rsidR="00682C48">
        <w:rPr>
          <w:rFonts w:asciiTheme="minorHAnsi" w:hAnsiTheme="minorHAnsi" w:cstheme="minorHAnsi"/>
        </w:rPr>
        <w:t>We used novel methods to estimate, for each pathogen,</w:t>
      </w:r>
      <w:r w:rsidR="000E4F68">
        <w:rPr>
          <w:rFonts w:asciiTheme="minorHAnsi" w:hAnsiTheme="minorHAnsi" w:cstheme="minorHAnsi"/>
        </w:rPr>
        <w:t xml:space="preserve"> </w:t>
      </w:r>
      <w:r w:rsidR="00682C48">
        <w:rPr>
          <w:rFonts w:asciiTheme="minorHAnsi" w:hAnsiTheme="minorHAnsi" w:cstheme="minorHAnsi"/>
        </w:rPr>
        <w:t>the proportion of IID attributable to food and</w:t>
      </w:r>
      <w:r w:rsidR="006638EE" w:rsidRPr="00154119">
        <w:rPr>
          <w:rFonts w:asciiTheme="minorHAnsi" w:hAnsiTheme="minorHAnsi"/>
        </w:rPr>
        <w:t xml:space="preserve"> the </w:t>
      </w:r>
      <w:r w:rsidR="000E4F68">
        <w:rPr>
          <w:rFonts w:asciiTheme="minorHAnsi" w:hAnsiTheme="minorHAnsi"/>
        </w:rPr>
        <w:t xml:space="preserve">health </w:t>
      </w:r>
      <w:r w:rsidR="006638EE" w:rsidRPr="00154119">
        <w:rPr>
          <w:rFonts w:asciiTheme="minorHAnsi" w:hAnsiTheme="minorHAnsi"/>
        </w:rPr>
        <w:t>burden of UK-acquired foodborne disease</w:t>
      </w:r>
      <w:r w:rsidR="008A293F">
        <w:rPr>
          <w:rFonts w:asciiTheme="minorHAnsi" w:hAnsiTheme="minorHAnsi"/>
        </w:rPr>
        <w:t>.</w:t>
      </w:r>
      <w:r w:rsidR="006638EE" w:rsidRPr="006638EE">
        <w:t xml:space="preserve"> </w:t>
      </w:r>
    </w:p>
    <w:p w14:paraId="156F4287" w14:textId="77777777" w:rsidR="00BA73E8" w:rsidRDefault="00BA73E8" w:rsidP="00BA73E8">
      <w:pPr>
        <w:pStyle w:val="Unknown0"/>
        <w:spacing w:after="0" w:line="360" w:lineRule="auto"/>
      </w:pPr>
    </w:p>
    <w:p w14:paraId="6857EEBC" w14:textId="77777777" w:rsidR="00BA73E8" w:rsidRPr="00BA73E8" w:rsidRDefault="00BA73E8" w:rsidP="00BA73E8">
      <w:pPr>
        <w:pStyle w:val="Unknown0"/>
        <w:spacing w:after="0" w:line="360" w:lineRule="auto"/>
        <w:rPr>
          <w:rFonts w:asciiTheme="minorHAnsi" w:hAnsiTheme="minorHAnsi"/>
          <w:b/>
          <w:color w:val="auto"/>
        </w:rPr>
      </w:pPr>
      <w:r w:rsidRPr="00BA73E8">
        <w:rPr>
          <w:rFonts w:asciiTheme="minorHAnsi" w:hAnsiTheme="minorHAnsi"/>
          <w:b/>
          <w:color w:val="auto"/>
        </w:rPr>
        <w:t>M</w:t>
      </w:r>
      <w:r w:rsidR="00A721AD" w:rsidRPr="00BA73E8">
        <w:rPr>
          <w:rFonts w:asciiTheme="minorHAnsi" w:hAnsiTheme="minorHAnsi"/>
          <w:b/>
          <w:color w:val="auto"/>
        </w:rPr>
        <w:t>ETHODS</w:t>
      </w:r>
    </w:p>
    <w:p w14:paraId="106E9D42" w14:textId="77777777" w:rsidR="00BA73E8" w:rsidRPr="00BA73E8" w:rsidRDefault="008E4A26" w:rsidP="00BA73E8">
      <w:pPr>
        <w:pStyle w:val="Unknown0"/>
        <w:spacing w:after="0" w:line="360" w:lineRule="auto"/>
        <w:rPr>
          <w:rFonts w:asciiTheme="minorHAnsi" w:hAnsiTheme="minorHAnsi"/>
          <w:b/>
          <w:color w:val="auto"/>
        </w:rPr>
      </w:pPr>
      <w:r w:rsidRPr="00BA73E8">
        <w:rPr>
          <w:rFonts w:asciiTheme="minorHAnsi" w:hAnsiTheme="minorHAnsi"/>
          <w:b/>
          <w:color w:val="auto"/>
        </w:rPr>
        <w:t>Data sources</w:t>
      </w:r>
    </w:p>
    <w:p w14:paraId="7E93A339" w14:textId="77777777" w:rsidR="0035341C" w:rsidRPr="001474B5" w:rsidRDefault="007C3212" w:rsidP="0035341C">
      <w:pPr>
        <w:pStyle w:val="Unknown0"/>
        <w:spacing w:after="0" w:line="360" w:lineRule="auto"/>
        <w:rPr>
          <w:rFonts w:asciiTheme="minorHAnsi" w:hAnsiTheme="minorHAnsi"/>
          <w:color w:val="auto"/>
        </w:rPr>
      </w:pPr>
      <w:r w:rsidRPr="001474B5">
        <w:rPr>
          <w:rFonts w:asciiTheme="minorHAnsi" w:hAnsiTheme="minorHAnsi"/>
          <w:color w:val="auto"/>
        </w:rPr>
        <w:t>The I</w:t>
      </w:r>
      <w:r w:rsidR="000C672B" w:rsidRPr="001474B5">
        <w:rPr>
          <w:rFonts w:asciiTheme="minorHAnsi" w:hAnsiTheme="minorHAnsi"/>
          <w:color w:val="auto"/>
        </w:rPr>
        <w:t xml:space="preserve">nfectious </w:t>
      </w:r>
      <w:r w:rsidRPr="001474B5">
        <w:rPr>
          <w:rFonts w:asciiTheme="minorHAnsi" w:hAnsiTheme="minorHAnsi"/>
          <w:color w:val="auto"/>
        </w:rPr>
        <w:t>I</w:t>
      </w:r>
      <w:r w:rsidR="000C672B" w:rsidRPr="001474B5">
        <w:rPr>
          <w:rFonts w:asciiTheme="minorHAnsi" w:hAnsiTheme="minorHAnsi"/>
          <w:color w:val="auto"/>
        </w:rPr>
        <w:t xml:space="preserve">ntestinal </w:t>
      </w:r>
      <w:r w:rsidRPr="001474B5">
        <w:rPr>
          <w:rFonts w:asciiTheme="minorHAnsi" w:hAnsiTheme="minorHAnsi"/>
          <w:color w:val="auto"/>
        </w:rPr>
        <w:t>D</w:t>
      </w:r>
      <w:r w:rsidR="000C672B" w:rsidRPr="001474B5">
        <w:rPr>
          <w:rFonts w:asciiTheme="minorHAnsi" w:hAnsiTheme="minorHAnsi"/>
          <w:color w:val="auto"/>
        </w:rPr>
        <w:t xml:space="preserve">isease </w:t>
      </w:r>
      <w:r w:rsidRPr="001474B5">
        <w:rPr>
          <w:rFonts w:asciiTheme="minorHAnsi" w:hAnsiTheme="minorHAnsi"/>
          <w:color w:val="auto"/>
        </w:rPr>
        <w:t>Studies</w:t>
      </w:r>
    </w:p>
    <w:p w14:paraId="00E9AF08" w14:textId="33A71F32" w:rsidR="000E4F68" w:rsidRDefault="000C672B" w:rsidP="001E35C3">
      <w:pPr>
        <w:pStyle w:val="Unknown0"/>
        <w:spacing w:after="0" w:line="360" w:lineRule="auto"/>
        <w:rPr>
          <w:rFonts w:asciiTheme="minorHAnsi" w:hAnsiTheme="minorHAnsi"/>
          <w:color w:val="auto"/>
        </w:rPr>
      </w:pPr>
      <w:r w:rsidRPr="0035341C">
        <w:rPr>
          <w:rFonts w:asciiTheme="minorHAnsi" w:hAnsiTheme="minorHAnsi"/>
          <w:color w:val="auto"/>
        </w:rPr>
        <w:t>Two population-based studies of IID have taken place in the UK</w:t>
      </w:r>
      <w:r w:rsidR="000F529F">
        <w:rPr>
          <w:rFonts w:asciiTheme="minorHAnsi" w:hAnsiTheme="minorHAnsi"/>
          <w:color w:val="auto"/>
        </w:rPr>
        <w:t xml:space="preserve"> (</w:t>
      </w:r>
      <w:r w:rsidR="00931988">
        <w:rPr>
          <w:rFonts w:asciiTheme="minorHAnsi" w:hAnsiTheme="minorHAnsi"/>
          <w:color w:val="auto"/>
        </w:rPr>
        <w:t>Box</w:t>
      </w:r>
      <w:r w:rsidR="000F529F">
        <w:rPr>
          <w:rFonts w:asciiTheme="minorHAnsi" w:hAnsiTheme="minorHAnsi"/>
          <w:color w:val="auto"/>
        </w:rPr>
        <w:t>)</w:t>
      </w:r>
      <w:r w:rsidRPr="0035341C">
        <w:rPr>
          <w:rFonts w:asciiTheme="minorHAnsi" w:hAnsiTheme="minorHAnsi"/>
          <w:color w:val="auto"/>
        </w:rPr>
        <w:t>. The first (IID1 Study) was conducted in England in 1993-6</w:t>
      </w:r>
      <w:r w:rsidR="000E4F68">
        <w:rPr>
          <w:rFonts w:asciiTheme="minorHAnsi" w:hAnsiTheme="minorHAnsi"/>
          <w:color w:val="auto"/>
        </w:rPr>
        <w:t>,[9]</w:t>
      </w:r>
      <w:r w:rsidR="00C93019" w:rsidRPr="0035341C">
        <w:rPr>
          <w:rFonts w:asciiTheme="minorHAnsi" w:hAnsiTheme="minorHAnsi"/>
          <w:color w:val="auto"/>
        </w:rPr>
        <w:t xml:space="preserve"> </w:t>
      </w:r>
      <w:r w:rsidRPr="0035341C">
        <w:rPr>
          <w:rFonts w:asciiTheme="minorHAnsi" w:hAnsiTheme="minorHAnsi"/>
          <w:color w:val="auto"/>
        </w:rPr>
        <w:t>and the second (IID2 Study) took place across the whole of the UK in 2008-9</w:t>
      </w:r>
      <w:r w:rsidR="0072544A" w:rsidRPr="0035341C">
        <w:rPr>
          <w:rFonts w:asciiTheme="minorHAnsi" w:hAnsiTheme="minorHAnsi"/>
          <w:color w:val="auto"/>
        </w:rPr>
        <w:t>.</w:t>
      </w:r>
      <w:r w:rsidR="0035341C" w:rsidRPr="0035341C">
        <w:rPr>
          <w:rFonts w:asciiTheme="minorHAnsi" w:hAnsiTheme="minorHAnsi"/>
          <w:color w:val="auto"/>
        </w:rPr>
        <w:t>[</w:t>
      </w:r>
      <w:r w:rsidR="000E4F68">
        <w:rPr>
          <w:rFonts w:asciiTheme="minorHAnsi" w:hAnsiTheme="minorHAnsi"/>
          <w:color w:val="auto"/>
        </w:rPr>
        <w:t>10</w:t>
      </w:r>
      <w:r w:rsidR="0054375F">
        <w:rPr>
          <w:rFonts w:asciiTheme="minorHAnsi" w:hAnsiTheme="minorHAnsi"/>
          <w:color w:val="auto"/>
        </w:rPr>
        <w:t>-11</w:t>
      </w:r>
      <w:r w:rsidR="0035341C" w:rsidRPr="0035341C">
        <w:rPr>
          <w:rFonts w:asciiTheme="minorHAnsi" w:hAnsiTheme="minorHAnsi"/>
          <w:color w:val="auto"/>
        </w:rPr>
        <w:t>]</w:t>
      </w:r>
      <w:r w:rsidR="0072544A" w:rsidRPr="0035341C">
        <w:rPr>
          <w:rFonts w:asciiTheme="minorHAnsi" w:hAnsiTheme="minorHAnsi"/>
          <w:color w:val="auto"/>
        </w:rPr>
        <w:t xml:space="preserve"> Both comprised </w:t>
      </w:r>
      <w:proofErr w:type="spellStart"/>
      <w:r w:rsidR="000E4F68">
        <w:rPr>
          <w:rFonts w:asciiTheme="minorHAnsi" w:hAnsiTheme="minorHAnsi"/>
          <w:color w:val="auto"/>
        </w:rPr>
        <w:t>i</w:t>
      </w:r>
      <w:proofErr w:type="spellEnd"/>
      <w:r w:rsidR="000E4F68">
        <w:rPr>
          <w:rFonts w:asciiTheme="minorHAnsi" w:hAnsiTheme="minorHAnsi"/>
          <w:color w:val="auto"/>
        </w:rPr>
        <w:t xml:space="preserve">) a </w:t>
      </w:r>
      <w:r w:rsidR="0072544A" w:rsidRPr="0035341C">
        <w:rPr>
          <w:rFonts w:asciiTheme="minorHAnsi" w:hAnsiTheme="minorHAnsi"/>
          <w:color w:val="auto"/>
        </w:rPr>
        <w:t xml:space="preserve">prospective cohort </w:t>
      </w:r>
      <w:r w:rsidR="000E4F68" w:rsidRPr="0035341C">
        <w:rPr>
          <w:rFonts w:asciiTheme="minorHAnsi" w:hAnsiTheme="minorHAnsi"/>
          <w:color w:val="auto"/>
        </w:rPr>
        <w:t>stud</w:t>
      </w:r>
      <w:r w:rsidR="000E4F68">
        <w:rPr>
          <w:rFonts w:asciiTheme="minorHAnsi" w:hAnsiTheme="minorHAnsi"/>
          <w:color w:val="auto"/>
        </w:rPr>
        <w:t>y</w:t>
      </w:r>
      <w:r w:rsidR="000E4F68" w:rsidRPr="0035341C">
        <w:rPr>
          <w:rFonts w:asciiTheme="minorHAnsi" w:hAnsiTheme="minorHAnsi"/>
          <w:color w:val="auto"/>
        </w:rPr>
        <w:t xml:space="preserve"> </w:t>
      </w:r>
      <w:r w:rsidR="000E4F68">
        <w:rPr>
          <w:rFonts w:asciiTheme="minorHAnsi" w:hAnsiTheme="minorHAnsi"/>
          <w:color w:val="auto"/>
        </w:rPr>
        <w:t xml:space="preserve">of people living in the community </w:t>
      </w:r>
      <w:r w:rsidR="0035341C" w:rsidRPr="0035341C">
        <w:rPr>
          <w:rFonts w:asciiTheme="minorHAnsi" w:hAnsiTheme="minorHAnsi"/>
          <w:color w:val="auto"/>
        </w:rPr>
        <w:t xml:space="preserve">and </w:t>
      </w:r>
      <w:r w:rsidR="000E4F68">
        <w:rPr>
          <w:rFonts w:asciiTheme="minorHAnsi" w:hAnsiTheme="minorHAnsi"/>
          <w:color w:val="auto"/>
        </w:rPr>
        <w:t xml:space="preserve">ii) a </w:t>
      </w:r>
      <w:r w:rsidR="0035341C" w:rsidRPr="0035341C">
        <w:rPr>
          <w:rFonts w:asciiTheme="minorHAnsi" w:hAnsiTheme="minorHAnsi"/>
          <w:color w:val="auto"/>
        </w:rPr>
        <w:t>prospective stud</w:t>
      </w:r>
      <w:r w:rsidR="000E4F68">
        <w:rPr>
          <w:rFonts w:asciiTheme="minorHAnsi" w:hAnsiTheme="minorHAnsi"/>
          <w:color w:val="auto"/>
        </w:rPr>
        <w:t>y</w:t>
      </w:r>
      <w:r w:rsidR="0035341C">
        <w:rPr>
          <w:rFonts w:asciiTheme="minorHAnsi" w:hAnsiTheme="minorHAnsi"/>
          <w:color w:val="auto"/>
        </w:rPr>
        <w:t xml:space="preserve"> of </w:t>
      </w:r>
      <w:r w:rsidR="000E4F68">
        <w:rPr>
          <w:rFonts w:asciiTheme="minorHAnsi" w:hAnsiTheme="minorHAnsi"/>
          <w:color w:val="auto"/>
        </w:rPr>
        <w:t xml:space="preserve">patients </w:t>
      </w:r>
      <w:r w:rsidR="0035341C">
        <w:rPr>
          <w:rFonts w:asciiTheme="minorHAnsi" w:hAnsiTheme="minorHAnsi"/>
          <w:color w:val="auto"/>
        </w:rPr>
        <w:t xml:space="preserve">presenting to </w:t>
      </w:r>
      <w:r w:rsidR="000E4F68">
        <w:rPr>
          <w:rFonts w:asciiTheme="minorHAnsi" w:hAnsiTheme="minorHAnsi"/>
          <w:color w:val="auto"/>
        </w:rPr>
        <w:t>general practice</w:t>
      </w:r>
      <w:r w:rsidR="0035341C">
        <w:rPr>
          <w:rFonts w:asciiTheme="minorHAnsi" w:hAnsiTheme="minorHAnsi"/>
          <w:color w:val="auto"/>
        </w:rPr>
        <w:t xml:space="preserve"> with symptoms of IID</w:t>
      </w:r>
      <w:r w:rsidR="0072544A" w:rsidRPr="0035341C">
        <w:rPr>
          <w:rFonts w:asciiTheme="minorHAnsi" w:hAnsiTheme="minorHAnsi"/>
          <w:color w:val="auto"/>
        </w:rPr>
        <w:t xml:space="preserve">. </w:t>
      </w:r>
      <w:r w:rsidR="0035341C">
        <w:rPr>
          <w:rFonts w:asciiTheme="minorHAnsi" w:hAnsiTheme="minorHAnsi"/>
          <w:color w:val="auto"/>
        </w:rPr>
        <w:t xml:space="preserve">Samples were obtained for laboratory testing from symptomatic cases in the cohort and </w:t>
      </w:r>
      <w:r w:rsidR="000E4F68">
        <w:rPr>
          <w:rFonts w:asciiTheme="minorHAnsi" w:hAnsiTheme="minorHAnsi"/>
          <w:color w:val="auto"/>
        </w:rPr>
        <w:t>from patients presenting to general practice</w:t>
      </w:r>
      <w:r w:rsidR="0035341C">
        <w:rPr>
          <w:rFonts w:asciiTheme="minorHAnsi" w:hAnsiTheme="minorHAnsi"/>
          <w:color w:val="auto"/>
        </w:rPr>
        <w:t xml:space="preserve"> and tested using comprehensive microbiology algorithm</w:t>
      </w:r>
      <w:r w:rsidR="00207D5C">
        <w:rPr>
          <w:rFonts w:asciiTheme="minorHAnsi" w:hAnsiTheme="minorHAnsi"/>
          <w:color w:val="auto"/>
        </w:rPr>
        <w:t>s</w:t>
      </w:r>
      <w:r w:rsidR="0035341C">
        <w:rPr>
          <w:rFonts w:asciiTheme="minorHAnsi" w:hAnsiTheme="minorHAnsi"/>
          <w:color w:val="auto"/>
        </w:rPr>
        <w:t>.[</w:t>
      </w:r>
      <w:r w:rsidR="007A5EAE">
        <w:rPr>
          <w:rFonts w:asciiTheme="minorHAnsi" w:hAnsiTheme="minorHAnsi"/>
          <w:color w:val="auto"/>
        </w:rPr>
        <w:t>11,12</w:t>
      </w:r>
      <w:r w:rsidR="0035341C">
        <w:rPr>
          <w:rFonts w:asciiTheme="minorHAnsi" w:hAnsiTheme="minorHAnsi"/>
          <w:color w:val="auto"/>
        </w:rPr>
        <w:t xml:space="preserve">] </w:t>
      </w:r>
      <w:r w:rsidR="0072544A" w:rsidRPr="0035341C">
        <w:rPr>
          <w:rFonts w:asciiTheme="minorHAnsi" w:hAnsiTheme="minorHAnsi"/>
          <w:color w:val="auto"/>
        </w:rPr>
        <w:t>The case definitions were identical</w:t>
      </w:r>
      <w:r w:rsidR="000E4F68">
        <w:rPr>
          <w:rFonts w:asciiTheme="minorHAnsi" w:hAnsiTheme="minorHAnsi"/>
          <w:color w:val="auto"/>
        </w:rPr>
        <w:t xml:space="preserve"> i</w:t>
      </w:r>
      <w:r w:rsidR="001E35C3">
        <w:rPr>
          <w:rFonts w:asciiTheme="minorHAnsi" w:hAnsiTheme="minorHAnsi"/>
          <w:color w:val="auto"/>
        </w:rPr>
        <w:t>n both studies</w:t>
      </w:r>
      <w:r w:rsidR="001734CE">
        <w:rPr>
          <w:rFonts w:asciiTheme="minorHAnsi" w:hAnsiTheme="minorHAnsi"/>
          <w:color w:val="auto"/>
        </w:rPr>
        <w:t>,</w:t>
      </w:r>
      <w:r w:rsidR="001E35C3">
        <w:rPr>
          <w:rFonts w:asciiTheme="minorHAnsi" w:hAnsiTheme="minorHAnsi"/>
          <w:color w:val="auto"/>
        </w:rPr>
        <w:t xml:space="preserve"> </w:t>
      </w:r>
      <w:r w:rsidR="000E4F68">
        <w:rPr>
          <w:rFonts w:asciiTheme="minorHAnsi" w:hAnsiTheme="minorHAnsi"/>
          <w:color w:val="auto"/>
        </w:rPr>
        <w:t xml:space="preserve">and incidence </w:t>
      </w:r>
      <w:r w:rsidR="001E35C3">
        <w:rPr>
          <w:rFonts w:asciiTheme="minorHAnsi" w:hAnsiTheme="minorHAnsi"/>
          <w:color w:val="auto"/>
        </w:rPr>
        <w:t>rate</w:t>
      </w:r>
      <w:r w:rsidR="00660C6E">
        <w:rPr>
          <w:rFonts w:asciiTheme="minorHAnsi" w:hAnsiTheme="minorHAnsi"/>
          <w:color w:val="auto"/>
        </w:rPr>
        <w:t>s</w:t>
      </w:r>
      <w:r w:rsidR="001E35C3">
        <w:rPr>
          <w:rFonts w:asciiTheme="minorHAnsi" w:hAnsiTheme="minorHAnsi"/>
          <w:color w:val="auto"/>
        </w:rPr>
        <w:t xml:space="preserve"> of IID in the community and </w:t>
      </w:r>
      <w:r w:rsidR="000E4F68">
        <w:rPr>
          <w:rFonts w:asciiTheme="minorHAnsi" w:hAnsiTheme="minorHAnsi"/>
          <w:color w:val="auto"/>
        </w:rPr>
        <w:t>general practice (GP) consultation rates</w:t>
      </w:r>
      <w:r w:rsidR="001E35C3">
        <w:rPr>
          <w:rFonts w:asciiTheme="minorHAnsi" w:hAnsiTheme="minorHAnsi"/>
          <w:color w:val="auto"/>
        </w:rPr>
        <w:t xml:space="preserve"> </w:t>
      </w:r>
      <w:r w:rsidR="000E4F68">
        <w:rPr>
          <w:rFonts w:asciiTheme="minorHAnsi" w:hAnsiTheme="minorHAnsi"/>
          <w:color w:val="auto"/>
        </w:rPr>
        <w:t xml:space="preserve">for IID </w:t>
      </w:r>
      <w:r w:rsidR="001E35C3">
        <w:rPr>
          <w:rFonts w:asciiTheme="minorHAnsi" w:hAnsiTheme="minorHAnsi"/>
          <w:color w:val="auto"/>
        </w:rPr>
        <w:t xml:space="preserve">were </w:t>
      </w:r>
      <w:r w:rsidR="000E4F68">
        <w:rPr>
          <w:rFonts w:asciiTheme="minorHAnsi" w:hAnsiTheme="minorHAnsi"/>
          <w:color w:val="auto"/>
        </w:rPr>
        <w:t>calculated</w:t>
      </w:r>
      <w:r w:rsidR="001E35C3">
        <w:rPr>
          <w:rFonts w:asciiTheme="minorHAnsi" w:hAnsiTheme="minorHAnsi"/>
          <w:color w:val="auto"/>
        </w:rPr>
        <w:t>.</w:t>
      </w:r>
      <w:r w:rsidRPr="0035341C">
        <w:rPr>
          <w:rFonts w:asciiTheme="minorHAnsi" w:hAnsiTheme="minorHAnsi"/>
          <w:color w:val="auto"/>
        </w:rPr>
        <w:t xml:space="preserve"> </w:t>
      </w:r>
      <w:r w:rsidR="000E4F68">
        <w:rPr>
          <w:rFonts w:asciiTheme="minorHAnsi" w:hAnsiTheme="minorHAnsi"/>
          <w:color w:val="auto"/>
        </w:rPr>
        <w:t>Data on health care use</w:t>
      </w:r>
      <w:r w:rsidR="00E23667">
        <w:rPr>
          <w:rFonts w:asciiTheme="minorHAnsi" w:hAnsiTheme="minorHAnsi"/>
          <w:color w:val="auto"/>
        </w:rPr>
        <w:t>, captured by questionnaires, gave</w:t>
      </w:r>
      <w:r w:rsidR="00041AE6">
        <w:rPr>
          <w:rFonts w:asciiTheme="minorHAnsi" w:hAnsiTheme="minorHAnsi"/>
          <w:color w:val="auto"/>
        </w:rPr>
        <w:t xml:space="preserve"> estimates of</w:t>
      </w:r>
      <w:r w:rsidR="00207D5C">
        <w:rPr>
          <w:rFonts w:asciiTheme="minorHAnsi" w:hAnsiTheme="minorHAnsi"/>
          <w:color w:val="auto"/>
        </w:rPr>
        <w:t xml:space="preserve"> </w:t>
      </w:r>
      <w:proofErr w:type="spellStart"/>
      <w:r w:rsidR="00207D5C">
        <w:rPr>
          <w:rFonts w:asciiTheme="minorHAnsi" w:hAnsiTheme="minorHAnsi"/>
          <w:color w:val="auto"/>
        </w:rPr>
        <w:t>hospitalisation</w:t>
      </w:r>
      <w:proofErr w:type="spellEnd"/>
      <w:r w:rsidR="00207D5C">
        <w:rPr>
          <w:rFonts w:asciiTheme="minorHAnsi" w:hAnsiTheme="minorHAnsi"/>
          <w:color w:val="auto"/>
        </w:rPr>
        <w:t xml:space="preserve"> rates.</w:t>
      </w:r>
    </w:p>
    <w:p w14:paraId="1E396001" w14:textId="77777777" w:rsidR="00ED0368" w:rsidRDefault="00ED0368" w:rsidP="00ED0368">
      <w:pPr>
        <w:pBdr>
          <w:top w:val="single" w:sz="4" w:space="1" w:color="auto"/>
          <w:left w:val="single" w:sz="4" w:space="4" w:color="auto"/>
          <w:bottom w:val="single" w:sz="4" w:space="1" w:color="auto"/>
          <w:right w:val="single" w:sz="4" w:space="4" w:color="auto"/>
        </w:pBdr>
        <w:rPr>
          <w:rFonts w:cs="Times New Roman"/>
          <w:b/>
          <w:bCs/>
        </w:rPr>
      </w:pPr>
      <w:r>
        <w:rPr>
          <w:rFonts w:cs="Times New Roman"/>
          <w:b/>
          <w:bCs/>
        </w:rPr>
        <w:t>Box</w:t>
      </w:r>
      <w:r w:rsidRPr="00A64FF1">
        <w:rPr>
          <w:rFonts w:cs="Times New Roman"/>
          <w:b/>
          <w:bCs/>
        </w:rPr>
        <w:t>: S</w:t>
      </w:r>
      <w:r>
        <w:rPr>
          <w:rFonts w:cs="Times New Roman"/>
          <w:b/>
          <w:bCs/>
        </w:rPr>
        <w:t xml:space="preserve">ample sizes in the </w:t>
      </w:r>
      <w:r w:rsidRPr="00A64FF1">
        <w:rPr>
          <w:rFonts w:cs="Times New Roman"/>
          <w:b/>
          <w:bCs/>
        </w:rPr>
        <w:t>IID1 and IID2 Studies</w:t>
      </w:r>
      <w:r>
        <w:rPr>
          <w:rFonts w:cs="Times New Roman"/>
          <w:b/>
          <w:bCs/>
        </w:rPr>
        <w:t xml:space="preserve"> [9</w:t>
      </w:r>
      <w:proofErr w:type="gramStart"/>
      <w:r>
        <w:rPr>
          <w:rFonts w:cs="Times New Roman"/>
          <w:b/>
          <w:bCs/>
        </w:rPr>
        <w:t>,10</w:t>
      </w:r>
      <w:proofErr w:type="gramEnd"/>
      <w:r>
        <w:rPr>
          <w:rFonts w:cs="Times New Roman"/>
          <w:b/>
          <w:bCs/>
        </w:rPr>
        <w:t>]</w:t>
      </w:r>
    </w:p>
    <w:p w14:paraId="1A24B87E" w14:textId="77777777" w:rsidR="00ED0368" w:rsidRDefault="00ED0368" w:rsidP="00ED0368">
      <w:pPr>
        <w:pBdr>
          <w:top w:val="single" w:sz="4" w:space="1" w:color="auto"/>
          <w:left w:val="single" w:sz="4" w:space="4" w:color="auto"/>
          <w:bottom w:val="single" w:sz="4" w:space="1" w:color="auto"/>
          <w:right w:val="single" w:sz="4" w:space="4" w:color="auto"/>
        </w:pBdr>
        <w:rPr>
          <w:rFonts w:cs="Times New Roman"/>
          <w:b/>
          <w:bCs/>
        </w:rPr>
      </w:pPr>
      <w:r>
        <w:rPr>
          <w:rFonts w:cs="Times New Roman"/>
          <w:b/>
          <w:bCs/>
        </w:rPr>
        <w:t xml:space="preserve">IID1, England, August, 1993 – January 1996 </w:t>
      </w:r>
    </w:p>
    <w:p w14:paraId="0DC6811C" w14:textId="18D60A03" w:rsidR="00ED0368" w:rsidRPr="00A0326B" w:rsidRDefault="00ED0368" w:rsidP="00ED0368">
      <w:pPr>
        <w:pBdr>
          <w:top w:val="single" w:sz="4" w:space="1" w:color="auto"/>
          <w:left w:val="single" w:sz="4" w:space="4" w:color="auto"/>
          <w:bottom w:val="single" w:sz="4" w:space="1" w:color="auto"/>
          <w:right w:val="single" w:sz="4" w:space="4" w:color="auto"/>
        </w:pBdr>
        <w:rPr>
          <w:rFonts w:cs="Times New Roman"/>
          <w:bCs/>
        </w:rPr>
      </w:pPr>
      <w:r w:rsidRPr="00A0326B">
        <w:rPr>
          <w:rFonts w:cs="Times New Roman"/>
          <w:bCs/>
        </w:rPr>
        <w:t xml:space="preserve">Prospective </w:t>
      </w:r>
      <w:r>
        <w:rPr>
          <w:rFonts w:cs="Times New Roman"/>
          <w:bCs/>
        </w:rPr>
        <w:t>C</w:t>
      </w:r>
      <w:r w:rsidRPr="00A0326B">
        <w:rPr>
          <w:rFonts w:cs="Times New Roman"/>
          <w:bCs/>
        </w:rPr>
        <w:t xml:space="preserve">ohort </w:t>
      </w:r>
      <w:r>
        <w:rPr>
          <w:rFonts w:cs="Times New Roman"/>
          <w:bCs/>
        </w:rPr>
        <w:t>S</w:t>
      </w:r>
      <w:r w:rsidRPr="00A0326B">
        <w:rPr>
          <w:rFonts w:cs="Times New Roman"/>
          <w:bCs/>
        </w:rPr>
        <w:t>tudy</w:t>
      </w:r>
      <w:r w:rsidR="00312DEE">
        <w:rPr>
          <w:rFonts w:cs="Times New Roman"/>
          <w:bCs/>
        </w:rPr>
        <w:t>:</w:t>
      </w:r>
      <w:r>
        <w:rPr>
          <w:rFonts w:cs="Times New Roman"/>
          <w:bCs/>
        </w:rPr>
        <w:t xml:space="preserve"> N = </w:t>
      </w:r>
      <w:r w:rsidRPr="000D357C">
        <w:rPr>
          <w:rFonts w:cs="Times New Roman"/>
          <w:bCs/>
        </w:rPr>
        <w:t>9</w:t>
      </w:r>
      <w:r>
        <w:rPr>
          <w:rFonts w:cs="Times New Roman"/>
          <w:bCs/>
        </w:rPr>
        <w:t>,</w:t>
      </w:r>
      <w:r w:rsidRPr="000D357C">
        <w:rPr>
          <w:rFonts w:cs="Times New Roman"/>
          <w:bCs/>
        </w:rPr>
        <w:t>776</w:t>
      </w:r>
    </w:p>
    <w:p w14:paraId="1353BFA7" w14:textId="664AE5A3" w:rsidR="00ED0368" w:rsidRDefault="00ED0368" w:rsidP="00ED0368">
      <w:pPr>
        <w:pBdr>
          <w:top w:val="single" w:sz="4" w:space="1" w:color="auto"/>
          <w:left w:val="single" w:sz="4" w:space="4" w:color="auto"/>
          <w:bottom w:val="single" w:sz="4" w:space="1" w:color="auto"/>
          <w:right w:val="single" w:sz="4" w:space="4" w:color="auto"/>
        </w:pBdr>
        <w:rPr>
          <w:rFonts w:cs="Times New Roman"/>
          <w:b/>
          <w:bCs/>
        </w:rPr>
      </w:pPr>
      <w:r w:rsidRPr="00A0326B">
        <w:rPr>
          <w:rFonts w:cs="Times New Roman"/>
          <w:bCs/>
        </w:rPr>
        <w:t>General Practice Presentation Study</w:t>
      </w:r>
      <w:r w:rsidR="00312DEE">
        <w:rPr>
          <w:rFonts w:cs="Times New Roman"/>
          <w:bCs/>
        </w:rPr>
        <w:t>:</w:t>
      </w:r>
      <w:r>
        <w:rPr>
          <w:rFonts w:cs="Times New Roman"/>
          <w:bCs/>
        </w:rPr>
        <w:t xml:space="preserve"> N = 4,026</w:t>
      </w:r>
    </w:p>
    <w:p w14:paraId="0EEC3127" w14:textId="77777777" w:rsidR="00ED0368" w:rsidRDefault="00ED0368" w:rsidP="00ED0368">
      <w:pPr>
        <w:pBdr>
          <w:top w:val="single" w:sz="4" w:space="1" w:color="auto"/>
          <w:left w:val="single" w:sz="4" w:space="4" w:color="auto"/>
          <w:bottom w:val="single" w:sz="4" w:space="1" w:color="auto"/>
          <w:right w:val="single" w:sz="4" w:space="4" w:color="auto"/>
        </w:pBdr>
        <w:rPr>
          <w:rFonts w:cs="Times New Roman"/>
          <w:bCs/>
        </w:rPr>
      </w:pPr>
      <w:r>
        <w:rPr>
          <w:rFonts w:cs="Times New Roman"/>
          <w:b/>
          <w:bCs/>
        </w:rPr>
        <w:t xml:space="preserve">IID2, United Kingdom, April 2008 – August 2009 </w:t>
      </w:r>
    </w:p>
    <w:p w14:paraId="16266396" w14:textId="6258822B" w:rsidR="00ED0368" w:rsidRPr="00B03939" w:rsidRDefault="00ED0368" w:rsidP="00ED0368">
      <w:pPr>
        <w:pBdr>
          <w:top w:val="single" w:sz="4" w:space="1" w:color="auto"/>
          <w:left w:val="single" w:sz="4" w:space="4" w:color="auto"/>
          <w:bottom w:val="single" w:sz="4" w:space="1" w:color="auto"/>
          <w:right w:val="single" w:sz="4" w:space="4" w:color="auto"/>
        </w:pBdr>
        <w:rPr>
          <w:rFonts w:cs="Times New Roman"/>
          <w:bCs/>
        </w:rPr>
      </w:pPr>
      <w:r w:rsidRPr="00B03939">
        <w:rPr>
          <w:rFonts w:cs="Times New Roman"/>
          <w:bCs/>
        </w:rPr>
        <w:t>Prospective Cohort Study</w:t>
      </w:r>
      <w:r w:rsidR="00312DEE">
        <w:rPr>
          <w:rFonts w:cs="Times New Roman"/>
          <w:bCs/>
        </w:rPr>
        <w:t>:</w:t>
      </w:r>
      <w:r>
        <w:rPr>
          <w:rFonts w:cs="Times New Roman"/>
          <w:bCs/>
        </w:rPr>
        <w:t xml:space="preserve"> N = </w:t>
      </w:r>
      <w:r w:rsidRPr="000D357C">
        <w:rPr>
          <w:rFonts w:cs="Times New Roman"/>
          <w:bCs/>
        </w:rPr>
        <w:t>7</w:t>
      </w:r>
      <w:r>
        <w:rPr>
          <w:rFonts w:cs="Times New Roman"/>
          <w:bCs/>
        </w:rPr>
        <w:t>,</w:t>
      </w:r>
      <w:r w:rsidRPr="000D357C">
        <w:rPr>
          <w:rFonts w:cs="Times New Roman"/>
          <w:bCs/>
        </w:rPr>
        <w:t>033</w:t>
      </w:r>
      <w:r>
        <w:rPr>
          <w:rFonts w:cs="Times New Roman"/>
          <w:bCs/>
        </w:rPr>
        <w:t xml:space="preserve"> </w:t>
      </w:r>
    </w:p>
    <w:p w14:paraId="49A55B76" w14:textId="7886914C" w:rsidR="00ED0368" w:rsidRPr="00B03939" w:rsidRDefault="00ED0368" w:rsidP="00ED0368">
      <w:pPr>
        <w:pBdr>
          <w:top w:val="single" w:sz="4" w:space="1" w:color="auto"/>
          <w:left w:val="single" w:sz="4" w:space="4" w:color="auto"/>
          <w:bottom w:val="single" w:sz="4" w:space="1" w:color="auto"/>
          <w:right w:val="single" w:sz="4" w:space="4" w:color="auto"/>
        </w:pBdr>
        <w:rPr>
          <w:rFonts w:cs="Times New Roman"/>
          <w:bCs/>
        </w:rPr>
      </w:pPr>
      <w:r w:rsidRPr="00B03939">
        <w:rPr>
          <w:rFonts w:cs="Times New Roman"/>
          <w:bCs/>
        </w:rPr>
        <w:t>General Practice Presentation Study</w:t>
      </w:r>
      <w:r w:rsidR="00312DEE">
        <w:rPr>
          <w:rFonts w:cs="Times New Roman"/>
          <w:bCs/>
        </w:rPr>
        <w:t>:</w:t>
      </w:r>
      <w:r>
        <w:rPr>
          <w:rFonts w:cs="Times New Roman"/>
          <w:bCs/>
        </w:rPr>
        <w:t xml:space="preserve"> N = </w:t>
      </w:r>
      <w:r w:rsidRPr="000D357C">
        <w:rPr>
          <w:rFonts w:cs="Times New Roman"/>
          <w:bCs/>
        </w:rPr>
        <w:t>991</w:t>
      </w:r>
    </w:p>
    <w:p w14:paraId="1FEC79FC" w14:textId="77777777" w:rsidR="001E35C3" w:rsidRPr="001474B5" w:rsidRDefault="007C3212" w:rsidP="001E35C3">
      <w:pPr>
        <w:pStyle w:val="Unknown0"/>
        <w:spacing w:after="0" w:line="360" w:lineRule="auto"/>
        <w:rPr>
          <w:rFonts w:asciiTheme="minorHAnsi" w:hAnsiTheme="minorHAnsi"/>
          <w:color w:val="auto"/>
        </w:rPr>
      </w:pPr>
      <w:r w:rsidRPr="001474B5">
        <w:rPr>
          <w:rFonts w:asciiTheme="minorHAnsi" w:hAnsiTheme="minorHAnsi"/>
          <w:color w:val="auto"/>
        </w:rPr>
        <w:lastRenderedPageBreak/>
        <w:t>Outbreak Surveillance Data</w:t>
      </w:r>
    </w:p>
    <w:p w14:paraId="4E10753D" w14:textId="45224AA2" w:rsidR="00F34A89" w:rsidRDefault="006014ED" w:rsidP="001E35C3">
      <w:pPr>
        <w:pStyle w:val="Unknown0"/>
        <w:spacing w:after="0" w:line="360" w:lineRule="auto"/>
        <w:rPr>
          <w:rFonts w:asciiTheme="minorHAnsi" w:hAnsiTheme="minorHAnsi"/>
          <w:color w:val="auto"/>
        </w:rPr>
      </w:pPr>
      <w:r w:rsidRPr="001E35C3">
        <w:rPr>
          <w:rFonts w:asciiTheme="minorHAnsi" w:hAnsiTheme="minorHAnsi"/>
          <w:color w:val="auto"/>
        </w:rPr>
        <w:t xml:space="preserve">The </w:t>
      </w:r>
      <w:r w:rsidR="00440902" w:rsidRPr="001E35C3">
        <w:rPr>
          <w:rFonts w:asciiTheme="minorHAnsi" w:hAnsiTheme="minorHAnsi"/>
          <w:color w:val="auto"/>
        </w:rPr>
        <w:t xml:space="preserve">four UK </w:t>
      </w:r>
      <w:r w:rsidRPr="001E35C3">
        <w:rPr>
          <w:rFonts w:asciiTheme="minorHAnsi" w:hAnsiTheme="minorHAnsi"/>
          <w:color w:val="auto"/>
        </w:rPr>
        <w:t xml:space="preserve">national surveillance </w:t>
      </w:r>
      <w:proofErr w:type="spellStart"/>
      <w:r w:rsidRPr="001E35C3">
        <w:rPr>
          <w:rFonts w:asciiTheme="minorHAnsi" w:hAnsiTheme="minorHAnsi"/>
          <w:color w:val="auto"/>
        </w:rPr>
        <w:t>centres</w:t>
      </w:r>
      <w:proofErr w:type="spellEnd"/>
      <w:r w:rsidRPr="001E35C3">
        <w:rPr>
          <w:rFonts w:asciiTheme="minorHAnsi" w:hAnsiTheme="minorHAnsi"/>
          <w:color w:val="auto"/>
        </w:rPr>
        <w:t xml:space="preserve"> provided data on general outbreaks of IID occurring between 1 January 2001 and 31 December 2008</w:t>
      </w:r>
      <w:r w:rsidR="00F23DE6" w:rsidRPr="001E35C3">
        <w:rPr>
          <w:rFonts w:asciiTheme="minorHAnsi" w:hAnsiTheme="minorHAnsi"/>
          <w:color w:val="auto"/>
        </w:rPr>
        <w:t xml:space="preserve"> (N=2,965)</w:t>
      </w:r>
      <w:r w:rsidR="00ED0E9B">
        <w:rPr>
          <w:rFonts w:asciiTheme="minorHAnsi" w:hAnsiTheme="minorHAnsi"/>
          <w:color w:val="auto"/>
        </w:rPr>
        <w:t xml:space="preserve"> </w:t>
      </w:r>
      <w:r w:rsidR="00ED0E9B" w:rsidRPr="003B6692">
        <w:rPr>
          <w:rFonts w:asciiTheme="minorHAnsi" w:hAnsiTheme="minorHAnsi"/>
          <w:color w:val="auto"/>
        </w:rPr>
        <w:t xml:space="preserve">(Table </w:t>
      </w:r>
      <w:r w:rsidR="003B6692" w:rsidRPr="003B6692">
        <w:rPr>
          <w:rFonts w:asciiTheme="minorHAnsi" w:hAnsiTheme="minorHAnsi"/>
          <w:color w:val="auto"/>
        </w:rPr>
        <w:t>1</w:t>
      </w:r>
      <w:r w:rsidR="00ED0E9B" w:rsidRPr="003B6692">
        <w:rPr>
          <w:rFonts w:asciiTheme="minorHAnsi" w:hAnsiTheme="minorHAnsi"/>
          <w:color w:val="auto"/>
        </w:rPr>
        <w:t>)</w:t>
      </w:r>
      <w:r w:rsidRPr="003B6692">
        <w:rPr>
          <w:rFonts w:asciiTheme="minorHAnsi" w:hAnsiTheme="minorHAnsi"/>
          <w:color w:val="auto"/>
        </w:rPr>
        <w:t>.</w:t>
      </w:r>
      <w:r w:rsidRPr="001E35C3">
        <w:rPr>
          <w:rFonts w:asciiTheme="minorHAnsi" w:hAnsiTheme="minorHAnsi"/>
          <w:color w:val="auto"/>
        </w:rPr>
        <w:t xml:space="preserve"> </w:t>
      </w:r>
      <w:r w:rsidR="00F34A89" w:rsidRPr="003B6692">
        <w:rPr>
          <w:rFonts w:asciiTheme="minorHAnsi" w:hAnsiTheme="minorHAnsi"/>
          <w:color w:val="auto"/>
        </w:rPr>
        <w:t xml:space="preserve">There were substantial changes to outbreak reporting in 2009. Prior to </w:t>
      </w:r>
      <w:r w:rsidR="000A2977" w:rsidRPr="003B6692">
        <w:rPr>
          <w:rFonts w:asciiTheme="minorHAnsi" w:hAnsiTheme="minorHAnsi"/>
          <w:color w:val="auto"/>
        </w:rPr>
        <w:t>2009</w:t>
      </w:r>
      <w:r w:rsidR="00F34A89" w:rsidRPr="003B6692">
        <w:rPr>
          <w:rFonts w:asciiTheme="minorHAnsi" w:hAnsiTheme="minorHAnsi"/>
          <w:color w:val="auto"/>
        </w:rPr>
        <w:t xml:space="preserve"> Public Health England (PHE) collected data on all gastrointestinal infection outbreaks no matter what the </w:t>
      </w:r>
      <w:r w:rsidR="000A2977" w:rsidRPr="003B6692">
        <w:rPr>
          <w:rFonts w:asciiTheme="minorHAnsi" w:hAnsiTheme="minorHAnsi"/>
          <w:color w:val="auto"/>
        </w:rPr>
        <w:t xml:space="preserve">transmission </w:t>
      </w:r>
      <w:r w:rsidR="00F34A89" w:rsidRPr="003B6692">
        <w:rPr>
          <w:rFonts w:asciiTheme="minorHAnsi" w:hAnsiTheme="minorHAnsi"/>
          <w:color w:val="auto"/>
        </w:rPr>
        <w:t xml:space="preserve">route i.e. foodborne, waterborne, person-to-person, environment-to-person and animal-to-person. In 2009 PHE limited the collection of outbreak data on “non-foodborne outbreaks” to “gastrointestinal outbreaks including illnesses associated with recreational water exposure, environmental exposure at outdoor events e.g. contact with mud, contact with animals or their </w:t>
      </w:r>
      <w:proofErr w:type="spellStart"/>
      <w:r w:rsidR="00F34A89" w:rsidRPr="003B6692">
        <w:rPr>
          <w:rFonts w:asciiTheme="minorHAnsi" w:hAnsiTheme="minorHAnsi"/>
          <w:color w:val="auto"/>
        </w:rPr>
        <w:t>faeces</w:t>
      </w:r>
      <w:proofErr w:type="spellEnd"/>
      <w:r w:rsidR="00F34A89" w:rsidRPr="003B6692">
        <w:rPr>
          <w:rFonts w:asciiTheme="minorHAnsi" w:hAnsiTheme="minorHAnsi"/>
          <w:color w:val="auto"/>
        </w:rPr>
        <w:t xml:space="preserve"> and outbreaks of Vero </w:t>
      </w:r>
      <w:proofErr w:type="spellStart"/>
      <w:r w:rsidR="00F34A89" w:rsidRPr="003B6692">
        <w:rPr>
          <w:rFonts w:asciiTheme="minorHAnsi" w:hAnsiTheme="minorHAnsi"/>
          <w:color w:val="auto"/>
        </w:rPr>
        <w:t>cytotoxin</w:t>
      </w:r>
      <w:proofErr w:type="spellEnd"/>
      <w:r w:rsidR="00F34A89" w:rsidRPr="003B6692">
        <w:rPr>
          <w:rFonts w:asciiTheme="minorHAnsi" w:hAnsiTheme="minorHAnsi"/>
          <w:color w:val="auto"/>
        </w:rPr>
        <w:t xml:space="preserve">-producing </w:t>
      </w:r>
      <w:r w:rsidR="00F34A89" w:rsidRPr="003B6692">
        <w:rPr>
          <w:rFonts w:asciiTheme="minorHAnsi" w:hAnsiTheme="minorHAnsi"/>
          <w:i/>
          <w:color w:val="auto"/>
        </w:rPr>
        <w:t>Escherichia coli</w:t>
      </w:r>
      <w:r w:rsidR="00F34A89" w:rsidRPr="003B6692">
        <w:rPr>
          <w:rFonts w:asciiTheme="minorHAnsi" w:hAnsiTheme="minorHAnsi"/>
          <w:color w:val="auto"/>
        </w:rPr>
        <w:t xml:space="preserve"> (VTEC) mediated through person-to-person transmission. Thus the data collected up to December 2008 </w:t>
      </w:r>
      <w:r w:rsidR="00C53692" w:rsidRPr="003B6692">
        <w:rPr>
          <w:rFonts w:asciiTheme="minorHAnsi" w:hAnsiTheme="minorHAnsi"/>
          <w:color w:val="auto"/>
        </w:rPr>
        <w:t>represented</w:t>
      </w:r>
      <w:r w:rsidR="00F34A89" w:rsidRPr="003B6692">
        <w:rPr>
          <w:rFonts w:asciiTheme="minorHAnsi" w:hAnsiTheme="minorHAnsi"/>
          <w:color w:val="auto"/>
        </w:rPr>
        <w:t xml:space="preserve"> </w:t>
      </w:r>
      <w:r w:rsidR="00C53692" w:rsidRPr="003B6692">
        <w:rPr>
          <w:rFonts w:asciiTheme="minorHAnsi" w:hAnsiTheme="minorHAnsi"/>
          <w:color w:val="auto"/>
        </w:rPr>
        <w:t>a sub-set of</w:t>
      </w:r>
      <w:r w:rsidR="00F34A89" w:rsidRPr="003B6692">
        <w:rPr>
          <w:rFonts w:asciiTheme="minorHAnsi" w:hAnsiTheme="minorHAnsi"/>
          <w:color w:val="auto"/>
        </w:rPr>
        <w:t xml:space="preserve"> </w:t>
      </w:r>
      <w:r w:rsidR="00C53692" w:rsidRPr="003B6692">
        <w:rPr>
          <w:rFonts w:asciiTheme="minorHAnsi" w:hAnsiTheme="minorHAnsi"/>
          <w:color w:val="auto"/>
        </w:rPr>
        <w:t>outbreaks rather than all outbreaks</w:t>
      </w:r>
      <w:r w:rsidR="00F34A89" w:rsidRPr="003B6692">
        <w:rPr>
          <w:rFonts w:asciiTheme="minorHAnsi" w:hAnsiTheme="minorHAnsi"/>
          <w:color w:val="auto"/>
        </w:rPr>
        <w:t xml:space="preserve">. </w:t>
      </w:r>
      <w:r w:rsidR="00C53692" w:rsidRPr="003B6692">
        <w:rPr>
          <w:rFonts w:asciiTheme="minorHAnsi" w:hAnsiTheme="minorHAnsi"/>
          <w:color w:val="auto"/>
        </w:rPr>
        <w:t>This a</w:t>
      </w:r>
      <w:r w:rsidR="00F34A89" w:rsidRPr="003B6692">
        <w:rPr>
          <w:rFonts w:asciiTheme="minorHAnsi" w:hAnsiTheme="minorHAnsi"/>
          <w:color w:val="auto"/>
        </w:rPr>
        <w:t xml:space="preserve">ffected the proportion of illnesses assessed as foodborne because the denominators of outbreaks and cases in outbreaks changed substantially as a result of changes in reporting definitions. This </w:t>
      </w:r>
      <w:r w:rsidR="00C53692" w:rsidRPr="003B6692">
        <w:rPr>
          <w:rFonts w:asciiTheme="minorHAnsi" w:hAnsiTheme="minorHAnsi"/>
          <w:color w:val="auto"/>
        </w:rPr>
        <w:t>wa</w:t>
      </w:r>
      <w:r w:rsidR="00F34A89" w:rsidRPr="003B6692">
        <w:rPr>
          <w:rFonts w:asciiTheme="minorHAnsi" w:hAnsiTheme="minorHAnsi"/>
          <w:color w:val="auto"/>
        </w:rPr>
        <w:t xml:space="preserve">s particularly problematic for pathogens like norovirus and </w:t>
      </w:r>
      <w:r w:rsidR="00F34A89" w:rsidRPr="003B6692">
        <w:rPr>
          <w:rFonts w:asciiTheme="minorHAnsi" w:hAnsiTheme="minorHAnsi"/>
          <w:i/>
          <w:color w:val="auto"/>
        </w:rPr>
        <w:t>Cryptosporidium</w:t>
      </w:r>
      <w:r w:rsidR="00F34A89" w:rsidRPr="003B6692">
        <w:rPr>
          <w:rFonts w:asciiTheme="minorHAnsi" w:hAnsiTheme="minorHAnsi"/>
          <w:color w:val="auto"/>
        </w:rPr>
        <w:t>.</w:t>
      </w:r>
      <w:r w:rsidR="00F34A89" w:rsidRPr="00F34A89">
        <w:rPr>
          <w:rFonts w:asciiTheme="minorHAnsi" w:hAnsiTheme="minorHAnsi"/>
          <w:color w:val="auto"/>
        </w:rPr>
        <w:t xml:space="preserve"> </w:t>
      </w:r>
    </w:p>
    <w:p w14:paraId="686E8F72" w14:textId="29648FC4" w:rsidR="006014ED" w:rsidRDefault="006014ED" w:rsidP="001E35C3">
      <w:pPr>
        <w:pStyle w:val="Unknown0"/>
        <w:spacing w:after="0" w:line="360" w:lineRule="auto"/>
        <w:rPr>
          <w:rFonts w:asciiTheme="minorHAnsi" w:hAnsiTheme="minorHAnsi"/>
          <w:color w:val="auto"/>
        </w:rPr>
      </w:pPr>
    </w:p>
    <w:p w14:paraId="03C749E4" w14:textId="77777777" w:rsidR="00E0684D" w:rsidRDefault="00E0684D" w:rsidP="002F0F8C">
      <w:pPr>
        <w:spacing w:after="0" w:line="360" w:lineRule="auto"/>
        <w:sectPr w:rsidR="00E0684D" w:rsidSect="005E7E19">
          <w:footerReference w:type="default" r:id="rId10"/>
          <w:pgSz w:w="11906" w:h="16838"/>
          <w:pgMar w:top="1440" w:right="1440" w:bottom="1440" w:left="1440" w:header="708" w:footer="708" w:gutter="0"/>
          <w:cols w:space="708"/>
          <w:docGrid w:linePitch="360"/>
        </w:sectPr>
      </w:pPr>
    </w:p>
    <w:p w14:paraId="3AF68B05" w14:textId="631B11D7" w:rsidR="006C36DE" w:rsidRPr="006C36DE" w:rsidRDefault="006C36DE" w:rsidP="006C36DE">
      <w:pPr>
        <w:spacing w:after="0" w:line="240" w:lineRule="auto"/>
        <w:rPr>
          <w:rFonts w:ascii="Calibri" w:eastAsia="MS Mincho" w:hAnsi="Calibri" w:cs="Arial"/>
          <w:b/>
        </w:rPr>
      </w:pPr>
      <w:r w:rsidRPr="006C36DE">
        <w:rPr>
          <w:rFonts w:ascii="Calibri" w:eastAsia="MS Mincho" w:hAnsi="Calibri" w:cs="Arial"/>
          <w:b/>
        </w:rPr>
        <w:lastRenderedPageBreak/>
        <w:t>Table 1: Summary of outbreak data for food attribution by pathogen</w:t>
      </w:r>
      <w:r w:rsidR="00601C5A">
        <w:rPr>
          <w:rFonts w:ascii="Calibri" w:eastAsia="MS Mincho" w:hAnsi="Calibri" w:cs="Arial"/>
          <w:b/>
        </w:rPr>
        <w:t>, UK 2001-2008</w:t>
      </w:r>
    </w:p>
    <w:p w14:paraId="1F400D92" w14:textId="77777777" w:rsidR="006C36DE" w:rsidRPr="006C36DE" w:rsidRDefault="006C36DE" w:rsidP="006C36DE">
      <w:pPr>
        <w:spacing w:after="0" w:line="240" w:lineRule="auto"/>
        <w:rPr>
          <w:rFonts w:ascii="Calibri" w:eastAsia="MS Mincho" w:hAnsi="Calibri" w:cs="Arial"/>
        </w:rPr>
      </w:pPr>
    </w:p>
    <w:tbl>
      <w:tblPr>
        <w:tblW w:w="11736" w:type="dxa"/>
        <w:tblInd w:w="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3"/>
        <w:gridCol w:w="1286"/>
        <w:gridCol w:w="1534"/>
        <w:gridCol w:w="875"/>
        <w:gridCol w:w="383"/>
        <w:gridCol w:w="923"/>
        <w:gridCol w:w="1365"/>
        <w:gridCol w:w="1192"/>
        <w:gridCol w:w="2375"/>
      </w:tblGrid>
      <w:tr w:rsidR="006C36DE" w:rsidRPr="006C36DE" w14:paraId="57B329FE" w14:textId="77777777" w:rsidTr="005453FE">
        <w:trPr>
          <w:trHeight w:val="300"/>
        </w:trPr>
        <w:tc>
          <w:tcPr>
            <w:tcW w:w="1803" w:type="dxa"/>
            <w:tcBorders>
              <w:top w:val="single" w:sz="4" w:space="0" w:color="auto"/>
              <w:bottom w:val="nil"/>
            </w:tcBorders>
            <w:shd w:val="clear" w:color="auto" w:fill="BFBFBF" w:themeFill="background1" w:themeFillShade="BF"/>
            <w:noWrap/>
            <w:vAlign w:val="bottom"/>
            <w:hideMark/>
          </w:tcPr>
          <w:p w14:paraId="775549D7"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3695" w:type="dxa"/>
            <w:gridSpan w:val="3"/>
            <w:tcBorders>
              <w:top w:val="single" w:sz="4" w:space="0" w:color="auto"/>
              <w:bottom w:val="single" w:sz="4" w:space="0" w:color="auto"/>
            </w:tcBorders>
            <w:shd w:val="clear" w:color="auto" w:fill="BFBFBF" w:themeFill="background1" w:themeFillShade="BF"/>
            <w:noWrap/>
            <w:vAlign w:val="bottom"/>
            <w:hideMark/>
          </w:tcPr>
          <w:p w14:paraId="1DFEB8F7"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FOODBORNE OUTBREAKS</w:t>
            </w:r>
          </w:p>
        </w:tc>
        <w:tc>
          <w:tcPr>
            <w:tcW w:w="383" w:type="dxa"/>
            <w:tcBorders>
              <w:top w:val="single" w:sz="4" w:space="0" w:color="auto"/>
              <w:bottom w:val="nil"/>
            </w:tcBorders>
            <w:shd w:val="clear" w:color="auto" w:fill="BFBFBF" w:themeFill="background1" w:themeFillShade="BF"/>
          </w:tcPr>
          <w:p w14:paraId="500A98F2"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p>
        </w:tc>
        <w:tc>
          <w:tcPr>
            <w:tcW w:w="3480" w:type="dxa"/>
            <w:gridSpan w:val="3"/>
            <w:tcBorders>
              <w:top w:val="single" w:sz="4" w:space="0" w:color="auto"/>
              <w:bottom w:val="single" w:sz="4" w:space="0" w:color="auto"/>
            </w:tcBorders>
            <w:shd w:val="clear" w:color="auto" w:fill="BFBFBF" w:themeFill="background1" w:themeFillShade="BF"/>
            <w:noWrap/>
            <w:vAlign w:val="bottom"/>
            <w:hideMark/>
          </w:tcPr>
          <w:p w14:paraId="419A651D"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CASES IN FOODBORNE OUTBREAKS</w:t>
            </w:r>
          </w:p>
        </w:tc>
        <w:tc>
          <w:tcPr>
            <w:tcW w:w="2375" w:type="dxa"/>
            <w:tcBorders>
              <w:top w:val="single" w:sz="4" w:space="0" w:color="auto"/>
              <w:bottom w:val="nil"/>
            </w:tcBorders>
            <w:shd w:val="clear" w:color="auto" w:fill="BFBFBF" w:themeFill="background1" w:themeFillShade="BF"/>
            <w:noWrap/>
            <w:vAlign w:val="bottom"/>
            <w:hideMark/>
          </w:tcPr>
          <w:p w14:paraId="5B25E446"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r>
      <w:tr w:rsidR="006C36DE" w:rsidRPr="006C36DE" w14:paraId="50C1A008" w14:textId="77777777" w:rsidTr="005453FE">
        <w:trPr>
          <w:trHeight w:val="300"/>
        </w:trPr>
        <w:tc>
          <w:tcPr>
            <w:tcW w:w="1803" w:type="dxa"/>
            <w:tcBorders>
              <w:top w:val="nil"/>
              <w:bottom w:val="single" w:sz="4" w:space="0" w:color="auto"/>
            </w:tcBorders>
            <w:shd w:val="clear" w:color="auto" w:fill="BFBFBF" w:themeFill="background1" w:themeFillShade="BF"/>
            <w:noWrap/>
            <w:vAlign w:val="bottom"/>
            <w:hideMark/>
          </w:tcPr>
          <w:p w14:paraId="0F5EE9F1" w14:textId="77777777" w:rsidR="006C36DE" w:rsidRPr="006C36DE" w:rsidRDefault="006C36DE" w:rsidP="006C36DE">
            <w:pPr>
              <w:spacing w:after="0" w:line="240" w:lineRule="auto"/>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Organism</w:t>
            </w:r>
          </w:p>
        </w:tc>
        <w:tc>
          <w:tcPr>
            <w:tcW w:w="1286" w:type="dxa"/>
            <w:tcBorders>
              <w:top w:val="single" w:sz="4" w:space="0" w:color="auto"/>
              <w:bottom w:val="single" w:sz="4" w:space="0" w:color="auto"/>
            </w:tcBorders>
            <w:shd w:val="clear" w:color="auto" w:fill="BFBFBF" w:themeFill="background1" w:themeFillShade="BF"/>
            <w:noWrap/>
            <w:vAlign w:val="bottom"/>
            <w:hideMark/>
          </w:tcPr>
          <w:p w14:paraId="47416EE9"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Foodborne</w:t>
            </w:r>
          </w:p>
        </w:tc>
        <w:tc>
          <w:tcPr>
            <w:tcW w:w="1534" w:type="dxa"/>
            <w:tcBorders>
              <w:top w:val="single" w:sz="4" w:space="0" w:color="auto"/>
              <w:bottom w:val="single" w:sz="4" w:space="0" w:color="auto"/>
            </w:tcBorders>
            <w:shd w:val="clear" w:color="auto" w:fill="BFBFBF" w:themeFill="background1" w:themeFillShade="BF"/>
            <w:noWrap/>
            <w:vAlign w:val="bottom"/>
            <w:hideMark/>
          </w:tcPr>
          <w:p w14:paraId="3448A880"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All outbreaks</w:t>
            </w:r>
          </w:p>
        </w:tc>
        <w:tc>
          <w:tcPr>
            <w:tcW w:w="875" w:type="dxa"/>
            <w:tcBorders>
              <w:top w:val="single" w:sz="4" w:space="0" w:color="auto"/>
              <w:bottom w:val="single" w:sz="4" w:space="0" w:color="auto"/>
            </w:tcBorders>
            <w:shd w:val="clear" w:color="auto" w:fill="BFBFBF" w:themeFill="background1" w:themeFillShade="BF"/>
            <w:noWrap/>
            <w:vAlign w:val="bottom"/>
            <w:hideMark/>
          </w:tcPr>
          <w:p w14:paraId="627517C1"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383" w:type="dxa"/>
            <w:tcBorders>
              <w:top w:val="nil"/>
              <w:bottom w:val="single" w:sz="4" w:space="0" w:color="auto"/>
            </w:tcBorders>
            <w:shd w:val="clear" w:color="auto" w:fill="BFBFBF" w:themeFill="background1" w:themeFillShade="BF"/>
          </w:tcPr>
          <w:p w14:paraId="411D3E79"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p>
        </w:tc>
        <w:tc>
          <w:tcPr>
            <w:tcW w:w="923" w:type="dxa"/>
            <w:tcBorders>
              <w:top w:val="single" w:sz="4" w:space="0" w:color="auto"/>
              <w:bottom w:val="single" w:sz="4" w:space="0" w:color="auto"/>
            </w:tcBorders>
            <w:shd w:val="clear" w:color="auto" w:fill="BFBFBF" w:themeFill="background1" w:themeFillShade="BF"/>
            <w:noWrap/>
            <w:vAlign w:val="bottom"/>
            <w:hideMark/>
          </w:tcPr>
          <w:p w14:paraId="19F28F5C"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Cases</w:t>
            </w:r>
          </w:p>
        </w:tc>
        <w:tc>
          <w:tcPr>
            <w:tcW w:w="1365" w:type="dxa"/>
            <w:tcBorders>
              <w:top w:val="single" w:sz="4" w:space="0" w:color="auto"/>
              <w:bottom w:val="single" w:sz="4" w:space="0" w:color="auto"/>
            </w:tcBorders>
            <w:shd w:val="clear" w:color="auto" w:fill="BFBFBF" w:themeFill="background1" w:themeFillShade="BF"/>
            <w:noWrap/>
            <w:vAlign w:val="bottom"/>
            <w:hideMark/>
          </w:tcPr>
          <w:p w14:paraId="09728960"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All cases</w:t>
            </w:r>
          </w:p>
        </w:tc>
        <w:tc>
          <w:tcPr>
            <w:tcW w:w="1192" w:type="dxa"/>
            <w:tcBorders>
              <w:top w:val="single" w:sz="4" w:space="0" w:color="auto"/>
              <w:bottom w:val="single" w:sz="4" w:space="0" w:color="auto"/>
            </w:tcBorders>
            <w:shd w:val="clear" w:color="auto" w:fill="BFBFBF" w:themeFill="background1" w:themeFillShade="BF"/>
            <w:noWrap/>
            <w:vAlign w:val="bottom"/>
            <w:hideMark/>
          </w:tcPr>
          <w:p w14:paraId="0A0CF042"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2375" w:type="dxa"/>
            <w:tcBorders>
              <w:top w:val="nil"/>
              <w:bottom w:val="single" w:sz="4" w:space="0" w:color="auto"/>
            </w:tcBorders>
            <w:shd w:val="clear" w:color="auto" w:fill="BFBFBF" w:themeFill="background1" w:themeFillShade="BF"/>
            <w:noWrap/>
            <w:vAlign w:val="bottom"/>
            <w:hideMark/>
          </w:tcPr>
          <w:p w14:paraId="2D69D949"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Source</w:t>
            </w:r>
          </w:p>
        </w:tc>
      </w:tr>
      <w:tr w:rsidR="006C36DE" w:rsidRPr="006C36DE" w14:paraId="09C01CB4" w14:textId="77777777" w:rsidTr="005453FE">
        <w:trPr>
          <w:trHeight w:val="300"/>
        </w:trPr>
        <w:tc>
          <w:tcPr>
            <w:tcW w:w="1803" w:type="dxa"/>
            <w:tcBorders>
              <w:top w:val="single" w:sz="4" w:space="0" w:color="auto"/>
            </w:tcBorders>
            <w:shd w:val="clear" w:color="auto" w:fill="auto"/>
            <w:noWrap/>
            <w:vAlign w:val="bottom"/>
            <w:hideMark/>
          </w:tcPr>
          <w:p w14:paraId="2F253CEE" w14:textId="77777777" w:rsidR="006C36DE" w:rsidRPr="006C36DE" w:rsidRDefault="006C36DE" w:rsidP="006C36DE">
            <w:pPr>
              <w:spacing w:after="0" w:line="240" w:lineRule="auto"/>
              <w:rPr>
                <w:rFonts w:ascii="Calibri" w:eastAsia="Times New Roman" w:hAnsi="Calibri" w:cs="Calibri"/>
                <w:b/>
                <w:bCs/>
                <w:color w:val="000000"/>
                <w:lang w:val="en-GB" w:eastAsia="en-GB" w:bidi="ar-SA"/>
              </w:rPr>
            </w:pPr>
            <w:r w:rsidRPr="006C36DE">
              <w:rPr>
                <w:rFonts w:ascii="Calibri" w:eastAsia="Times New Roman" w:hAnsi="Calibri" w:cs="Calibri"/>
                <w:b/>
                <w:bCs/>
                <w:color w:val="000000"/>
                <w:lang w:val="en-GB" w:eastAsia="en-GB" w:bidi="ar-SA"/>
              </w:rPr>
              <w:t>Bacteria</w:t>
            </w:r>
          </w:p>
        </w:tc>
        <w:tc>
          <w:tcPr>
            <w:tcW w:w="1286" w:type="dxa"/>
            <w:tcBorders>
              <w:top w:val="single" w:sz="4" w:space="0" w:color="auto"/>
            </w:tcBorders>
            <w:shd w:val="clear" w:color="auto" w:fill="auto"/>
            <w:noWrap/>
            <w:vAlign w:val="bottom"/>
            <w:hideMark/>
          </w:tcPr>
          <w:p w14:paraId="429F5120"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534" w:type="dxa"/>
            <w:tcBorders>
              <w:top w:val="single" w:sz="4" w:space="0" w:color="auto"/>
            </w:tcBorders>
            <w:shd w:val="clear" w:color="auto" w:fill="auto"/>
            <w:noWrap/>
            <w:vAlign w:val="bottom"/>
            <w:hideMark/>
          </w:tcPr>
          <w:p w14:paraId="74F80A38"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875" w:type="dxa"/>
            <w:tcBorders>
              <w:top w:val="single" w:sz="4" w:space="0" w:color="auto"/>
            </w:tcBorders>
            <w:shd w:val="clear" w:color="auto" w:fill="auto"/>
            <w:noWrap/>
            <w:vAlign w:val="bottom"/>
            <w:hideMark/>
          </w:tcPr>
          <w:p w14:paraId="6AACFF20"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383" w:type="dxa"/>
            <w:tcBorders>
              <w:top w:val="single" w:sz="4" w:space="0" w:color="auto"/>
            </w:tcBorders>
          </w:tcPr>
          <w:p w14:paraId="09C46757"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923" w:type="dxa"/>
            <w:tcBorders>
              <w:top w:val="single" w:sz="4" w:space="0" w:color="auto"/>
            </w:tcBorders>
            <w:shd w:val="clear" w:color="auto" w:fill="auto"/>
            <w:noWrap/>
            <w:vAlign w:val="bottom"/>
            <w:hideMark/>
          </w:tcPr>
          <w:p w14:paraId="4EBD199F"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365" w:type="dxa"/>
            <w:tcBorders>
              <w:top w:val="single" w:sz="4" w:space="0" w:color="auto"/>
            </w:tcBorders>
            <w:shd w:val="clear" w:color="auto" w:fill="auto"/>
            <w:noWrap/>
            <w:vAlign w:val="bottom"/>
            <w:hideMark/>
          </w:tcPr>
          <w:p w14:paraId="478CB843"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192" w:type="dxa"/>
            <w:tcBorders>
              <w:top w:val="single" w:sz="4" w:space="0" w:color="auto"/>
            </w:tcBorders>
            <w:shd w:val="clear" w:color="auto" w:fill="auto"/>
            <w:noWrap/>
            <w:vAlign w:val="bottom"/>
            <w:hideMark/>
          </w:tcPr>
          <w:p w14:paraId="7C85B176"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2375" w:type="dxa"/>
            <w:tcBorders>
              <w:top w:val="single" w:sz="4" w:space="0" w:color="auto"/>
            </w:tcBorders>
            <w:shd w:val="clear" w:color="auto" w:fill="auto"/>
            <w:noWrap/>
            <w:vAlign w:val="bottom"/>
            <w:hideMark/>
          </w:tcPr>
          <w:p w14:paraId="2FF5F4E1"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r>
      <w:tr w:rsidR="006C36DE" w:rsidRPr="006C36DE" w14:paraId="75C602D2" w14:textId="77777777" w:rsidTr="005453FE">
        <w:trPr>
          <w:trHeight w:val="300"/>
        </w:trPr>
        <w:tc>
          <w:tcPr>
            <w:tcW w:w="1803" w:type="dxa"/>
            <w:shd w:val="clear" w:color="auto" w:fill="auto"/>
            <w:noWrap/>
            <w:vAlign w:val="bottom"/>
            <w:hideMark/>
          </w:tcPr>
          <w:p w14:paraId="2A19EB60"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 xml:space="preserve">C. </w:t>
            </w:r>
            <w:proofErr w:type="spellStart"/>
            <w:r w:rsidRPr="006C36DE">
              <w:rPr>
                <w:rFonts w:ascii="Calibri" w:eastAsia="Times New Roman" w:hAnsi="Calibri" w:cs="Calibri"/>
                <w:i/>
                <w:color w:val="000000"/>
                <w:lang w:val="en-GB" w:eastAsia="en-GB" w:bidi="ar-SA"/>
              </w:rPr>
              <w:t>perfringens</w:t>
            </w:r>
            <w:proofErr w:type="spellEnd"/>
          </w:p>
        </w:tc>
        <w:tc>
          <w:tcPr>
            <w:tcW w:w="1286" w:type="dxa"/>
            <w:shd w:val="clear" w:color="auto" w:fill="auto"/>
            <w:noWrap/>
            <w:vAlign w:val="bottom"/>
            <w:hideMark/>
          </w:tcPr>
          <w:p w14:paraId="3F678E6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45</w:t>
            </w:r>
          </w:p>
        </w:tc>
        <w:tc>
          <w:tcPr>
            <w:tcW w:w="1534" w:type="dxa"/>
            <w:shd w:val="clear" w:color="auto" w:fill="auto"/>
            <w:noWrap/>
            <w:vAlign w:val="bottom"/>
            <w:hideMark/>
          </w:tcPr>
          <w:p w14:paraId="02CDE42D"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60</w:t>
            </w:r>
          </w:p>
        </w:tc>
        <w:tc>
          <w:tcPr>
            <w:tcW w:w="875" w:type="dxa"/>
            <w:shd w:val="clear" w:color="auto" w:fill="auto"/>
            <w:noWrap/>
            <w:vAlign w:val="bottom"/>
            <w:hideMark/>
          </w:tcPr>
          <w:p w14:paraId="2FB74A05"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75.0%</w:t>
            </w:r>
          </w:p>
        </w:tc>
        <w:tc>
          <w:tcPr>
            <w:tcW w:w="383" w:type="dxa"/>
          </w:tcPr>
          <w:p w14:paraId="259F7A1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721B676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1691</w:t>
            </w:r>
          </w:p>
        </w:tc>
        <w:tc>
          <w:tcPr>
            <w:tcW w:w="1365" w:type="dxa"/>
            <w:shd w:val="clear" w:color="auto" w:fill="auto"/>
            <w:noWrap/>
            <w:vAlign w:val="bottom"/>
            <w:hideMark/>
          </w:tcPr>
          <w:p w14:paraId="205B7460"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1964</w:t>
            </w:r>
          </w:p>
        </w:tc>
        <w:tc>
          <w:tcPr>
            <w:tcW w:w="1192" w:type="dxa"/>
            <w:shd w:val="clear" w:color="auto" w:fill="auto"/>
            <w:noWrap/>
            <w:vAlign w:val="bottom"/>
            <w:hideMark/>
          </w:tcPr>
          <w:p w14:paraId="6F8C4E2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86.1%</w:t>
            </w:r>
          </w:p>
        </w:tc>
        <w:tc>
          <w:tcPr>
            <w:tcW w:w="2375" w:type="dxa"/>
            <w:shd w:val="clear" w:color="auto" w:fill="auto"/>
            <w:noWrap/>
            <w:vAlign w:val="bottom"/>
            <w:hideMark/>
          </w:tcPr>
          <w:p w14:paraId="749E3E39"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15558E4E" w14:textId="77777777" w:rsidTr="005453FE">
        <w:trPr>
          <w:trHeight w:val="300"/>
        </w:trPr>
        <w:tc>
          <w:tcPr>
            <w:tcW w:w="1803" w:type="dxa"/>
            <w:shd w:val="clear" w:color="auto" w:fill="auto"/>
            <w:noWrap/>
            <w:vAlign w:val="bottom"/>
            <w:hideMark/>
          </w:tcPr>
          <w:p w14:paraId="486724B4"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Campylobacter</w:t>
            </w:r>
          </w:p>
        </w:tc>
        <w:tc>
          <w:tcPr>
            <w:tcW w:w="1286" w:type="dxa"/>
            <w:shd w:val="clear" w:color="auto" w:fill="auto"/>
            <w:noWrap/>
            <w:vAlign w:val="bottom"/>
            <w:hideMark/>
          </w:tcPr>
          <w:p w14:paraId="37F7F55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31</w:t>
            </w:r>
          </w:p>
        </w:tc>
        <w:tc>
          <w:tcPr>
            <w:tcW w:w="1534" w:type="dxa"/>
            <w:shd w:val="clear" w:color="auto" w:fill="auto"/>
            <w:noWrap/>
            <w:vAlign w:val="bottom"/>
            <w:hideMark/>
          </w:tcPr>
          <w:p w14:paraId="3E8AFBC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44</w:t>
            </w:r>
          </w:p>
        </w:tc>
        <w:tc>
          <w:tcPr>
            <w:tcW w:w="875" w:type="dxa"/>
            <w:shd w:val="clear" w:color="auto" w:fill="auto"/>
            <w:noWrap/>
            <w:vAlign w:val="bottom"/>
            <w:hideMark/>
          </w:tcPr>
          <w:p w14:paraId="74EA6CA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70.5%</w:t>
            </w:r>
          </w:p>
        </w:tc>
        <w:tc>
          <w:tcPr>
            <w:tcW w:w="383" w:type="dxa"/>
          </w:tcPr>
          <w:p w14:paraId="6056BDDF"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7ABEFC3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373</w:t>
            </w:r>
          </w:p>
        </w:tc>
        <w:tc>
          <w:tcPr>
            <w:tcW w:w="1365" w:type="dxa"/>
            <w:shd w:val="clear" w:color="auto" w:fill="auto"/>
            <w:noWrap/>
            <w:vAlign w:val="bottom"/>
            <w:hideMark/>
          </w:tcPr>
          <w:p w14:paraId="0BDF7D0A"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761</w:t>
            </w:r>
          </w:p>
        </w:tc>
        <w:tc>
          <w:tcPr>
            <w:tcW w:w="1192" w:type="dxa"/>
            <w:shd w:val="clear" w:color="auto" w:fill="auto"/>
            <w:noWrap/>
            <w:vAlign w:val="bottom"/>
            <w:hideMark/>
          </w:tcPr>
          <w:p w14:paraId="17CCAA33"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49.0%</w:t>
            </w:r>
          </w:p>
        </w:tc>
        <w:tc>
          <w:tcPr>
            <w:tcW w:w="2375" w:type="dxa"/>
            <w:shd w:val="clear" w:color="auto" w:fill="auto"/>
            <w:noWrap/>
            <w:vAlign w:val="bottom"/>
            <w:hideMark/>
          </w:tcPr>
          <w:p w14:paraId="21AA1788"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53AA5D55" w14:textId="77777777" w:rsidTr="005453FE">
        <w:trPr>
          <w:trHeight w:val="300"/>
        </w:trPr>
        <w:tc>
          <w:tcPr>
            <w:tcW w:w="1803" w:type="dxa"/>
            <w:shd w:val="clear" w:color="auto" w:fill="auto"/>
            <w:noWrap/>
            <w:vAlign w:val="bottom"/>
            <w:hideMark/>
          </w:tcPr>
          <w:p w14:paraId="0E410E45"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E. coli o157</w:t>
            </w:r>
          </w:p>
        </w:tc>
        <w:tc>
          <w:tcPr>
            <w:tcW w:w="1286" w:type="dxa"/>
            <w:shd w:val="clear" w:color="auto" w:fill="auto"/>
            <w:noWrap/>
            <w:vAlign w:val="bottom"/>
            <w:hideMark/>
          </w:tcPr>
          <w:p w14:paraId="70CD2EED"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25</w:t>
            </w:r>
          </w:p>
        </w:tc>
        <w:tc>
          <w:tcPr>
            <w:tcW w:w="1534" w:type="dxa"/>
            <w:shd w:val="clear" w:color="auto" w:fill="auto"/>
            <w:noWrap/>
            <w:vAlign w:val="bottom"/>
            <w:hideMark/>
          </w:tcPr>
          <w:p w14:paraId="0A8E2D57"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86</w:t>
            </w:r>
          </w:p>
        </w:tc>
        <w:tc>
          <w:tcPr>
            <w:tcW w:w="875" w:type="dxa"/>
            <w:shd w:val="clear" w:color="auto" w:fill="auto"/>
            <w:noWrap/>
            <w:vAlign w:val="bottom"/>
            <w:hideMark/>
          </w:tcPr>
          <w:p w14:paraId="0B6E242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29.1%</w:t>
            </w:r>
          </w:p>
        </w:tc>
        <w:tc>
          <w:tcPr>
            <w:tcW w:w="383" w:type="dxa"/>
          </w:tcPr>
          <w:p w14:paraId="1B6E5CFD"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73F227C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564</w:t>
            </w:r>
          </w:p>
        </w:tc>
        <w:tc>
          <w:tcPr>
            <w:tcW w:w="1365" w:type="dxa"/>
            <w:shd w:val="clear" w:color="auto" w:fill="auto"/>
            <w:noWrap/>
            <w:vAlign w:val="bottom"/>
            <w:hideMark/>
          </w:tcPr>
          <w:p w14:paraId="2BEDF82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1041</w:t>
            </w:r>
          </w:p>
        </w:tc>
        <w:tc>
          <w:tcPr>
            <w:tcW w:w="1192" w:type="dxa"/>
            <w:shd w:val="clear" w:color="auto" w:fill="auto"/>
            <w:noWrap/>
            <w:vAlign w:val="bottom"/>
            <w:hideMark/>
          </w:tcPr>
          <w:p w14:paraId="6354F23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54.2%</w:t>
            </w:r>
          </w:p>
        </w:tc>
        <w:tc>
          <w:tcPr>
            <w:tcW w:w="2375" w:type="dxa"/>
            <w:shd w:val="clear" w:color="auto" w:fill="auto"/>
            <w:noWrap/>
            <w:vAlign w:val="bottom"/>
            <w:hideMark/>
          </w:tcPr>
          <w:p w14:paraId="4CDCF4DB"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60BA58D0" w14:textId="77777777" w:rsidTr="005453FE">
        <w:trPr>
          <w:trHeight w:val="300"/>
        </w:trPr>
        <w:tc>
          <w:tcPr>
            <w:tcW w:w="1803" w:type="dxa"/>
            <w:shd w:val="clear" w:color="auto" w:fill="auto"/>
            <w:noWrap/>
            <w:vAlign w:val="bottom"/>
            <w:hideMark/>
          </w:tcPr>
          <w:p w14:paraId="49CB75AC"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Listeria</w:t>
            </w:r>
          </w:p>
        </w:tc>
        <w:tc>
          <w:tcPr>
            <w:tcW w:w="1286" w:type="dxa"/>
            <w:shd w:val="clear" w:color="auto" w:fill="auto"/>
            <w:noWrap/>
            <w:vAlign w:val="bottom"/>
            <w:hideMark/>
          </w:tcPr>
          <w:p w14:paraId="1D6E21A0"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w:t>
            </w:r>
          </w:p>
        </w:tc>
        <w:tc>
          <w:tcPr>
            <w:tcW w:w="1534" w:type="dxa"/>
            <w:shd w:val="clear" w:color="auto" w:fill="auto"/>
            <w:noWrap/>
            <w:vAlign w:val="bottom"/>
            <w:hideMark/>
          </w:tcPr>
          <w:p w14:paraId="250CBE4F"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w:t>
            </w:r>
          </w:p>
        </w:tc>
        <w:tc>
          <w:tcPr>
            <w:tcW w:w="875" w:type="dxa"/>
            <w:shd w:val="clear" w:color="auto" w:fill="auto"/>
            <w:noWrap/>
            <w:vAlign w:val="bottom"/>
            <w:hideMark/>
          </w:tcPr>
          <w:p w14:paraId="74EDA59A"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100.0%</w:t>
            </w:r>
          </w:p>
        </w:tc>
        <w:tc>
          <w:tcPr>
            <w:tcW w:w="383" w:type="dxa"/>
          </w:tcPr>
          <w:p w14:paraId="5BF6FB0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2D0945F0"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w:t>
            </w:r>
          </w:p>
        </w:tc>
        <w:tc>
          <w:tcPr>
            <w:tcW w:w="1365" w:type="dxa"/>
            <w:shd w:val="clear" w:color="auto" w:fill="auto"/>
            <w:noWrap/>
            <w:vAlign w:val="bottom"/>
            <w:hideMark/>
          </w:tcPr>
          <w:p w14:paraId="57CCCE7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w:t>
            </w:r>
          </w:p>
        </w:tc>
        <w:tc>
          <w:tcPr>
            <w:tcW w:w="1192" w:type="dxa"/>
            <w:shd w:val="clear" w:color="auto" w:fill="auto"/>
            <w:noWrap/>
            <w:vAlign w:val="bottom"/>
            <w:hideMark/>
          </w:tcPr>
          <w:p w14:paraId="6719B9F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100.0%</w:t>
            </w:r>
          </w:p>
        </w:tc>
        <w:tc>
          <w:tcPr>
            <w:tcW w:w="2375" w:type="dxa"/>
            <w:shd w:val="clear" w:color="auto" w:fill="auto"/>
            <w:noWrap/>
            <w:vAlign w:val="bottom"/>
            <w:hideMark/>
          </w:tcPr>
          <w:p w14:paraId="610039E8"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0C9C3C06" w14:textId="77777777" w:rsidTr="005453FE">
        <w:trPr>
          <w:trHeight w:val="300"/>
        </w:trPr>
        <w:tc>
          <w:tcPr>
            <w:tcW w:w="1803" w:type="dxa"/>
            <w:shd w:val="clear" w:color="auto" w:fill="auto"/>
            <w:noWrap/>
            <w:vAlign w:val="bottom"/>
            <w:hideMark/>
          </w:tcPr>
          <w:p w14:paraId="67EE141A"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Salmonella</w:t>
            </w:r>
          </w:p>
        </w:tc>
        <w:tc>
          <w:tcPr>
            <w:tcW w:w="1286" w:type="dxa"/>
            <w:shd w:val="clear" w:color="auto" w:fill="auto"/>
            <w:noWrap/>
            <w:vAlign w:val="bottom"/>
            <w:hideMark/>
          </w:tcPr>
          <w:p w14:paraId="338622E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266</w:t>
            </w:r>
          </w:p>
        </w:tc>
        <w:tc>
          <w:tcPr>
            <w:tcW w:w="1534" w:type="dxa"/>
            <w:shd w:val="clear" w:color="auto" w:fill="auto"/>
            <w:noWrap/>
            <w:vAlign w:val="bottom"/>
            <w:hideMark/>
          </w:tcPr>
          <w:p w14:paraId="3BF5E29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308</w:t>
            </w:r>
          </w:p>
        </w:tc>
        <w:tc>
          <w:tcPr>
            <w:tcW w:w="875" w:type="dxa"/>
            <w:shd w:val="clear" w:color="auto" w:fill="auto"/>
            <w:noWrap/>
            <w:vAlign w:val="bottom"/>
            <w:hideMark/>
          </w:tcPr>
          <w:p w14:paraId="6303940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86.4%</w:t>
            </w:r>
          </w:p>
        </w:tc>
        <w:tc>
          <w:tcPr>
            <w:tcW w:w="383" w:type="dxa"/>
          </w:tcPr>
          <w:p w14:paraId="1B53899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6ED2620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7128</w:t>
            </w:r>
          </w:p>
        </w:tc>
        <w:tc>
          <w:tcPr>
            <w:tcW w:w="1365" w:type="dxa"/>
            <w:shd w:val="clear" w:color="auto" w:fill="auto"/>
            <w:noWrap/>
            <w:vAlign w:val="bottom"/>
            <w:hideMark/>
          </w:tcPr>
          <w:p w14:paraId="1806E61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7892</w:t>
            </w:r>
          </w:p>
        </w:tc>
        <w:tc>
          <w:tcPr>
            <w:tcW w:w="1192" w:type="dxa"/>
            <w:shd w:val="clear" w:color="auto" w:fill="auto"/>
            <w:noWrap/>
            <w:vAlign w:val="bottom"/>
            <w:hideMark/>
          </w:tcPr>
          <w:p w14:paraId="5BB66B8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90.3%</w:t>
            </w:r>
          </w:p>
        </w:tc>
        <w:tc>
          <w:tcPr>
            <w:tcW w:w="2375" w:type="dxa"/>
            <w:shd w:val="clear" w:color="auto" w:fill="auto"/>
            <w:noWrap/>
            <w:vAlign w:val="bottom"/>
            <w:hideMark/>
          </w:tcPr>
          <w:p w14:paraId="004906F3"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2D17532F" w14:textId="77777777" w:rsidTr="005453FE">
        <w:trPr>
          <w:trHeight w:val="300"/>
        </w:trPr>
        <w:tc>
          <w:tcPr>
            <w:tcW w:w="1803" w:type="dxa"/>
            <w:shd w:val="clear" w:color="auto" w:fill="auto"/>
            <w:noWrap/>
            <w:vAlign w:val="bottom"/>
            <w:hideMark/>
          </w:tcPr>
          <w:p w14:paraId="60B757F1"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proofErr w:type="spellStart"/>
            <w:r w:rsidRPr="006C36DE">
              <w:rPr>
                <w:rFonts w:ascii="Calibri" w:eastAsia="Times New Roman" w:hAnsi="Calibri" w:cs="Calibri"/>
                <w:i/>
                <w:color w:val="000000"/>
                <w:lang w:val="en-GB" w:eastAsia="en-GB" w:bidi="ar-SA"/>
              </w:rPr>
              <w:t>Shigella</w:t>
            </w:r>
            <w:proofErr w:type="spellEnd"/>
          </w:p>
        </w:tc>
        <w:tc>
          <w:tcPr>
            <w:tcW w:w="1286" w:type="dxa"/>
            <w:shd w:val="clear" w:color="auto" w:fill="auto"/>
            <w:noWrap/>
            <w:vAlign w:val="bottom"/>
            <w:hideMark/>
          </w:tcPr>
          <w:p w14:paraId="74B5B5B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w:t>
            </w:r>
          </w:p>
        </w:tc>
        <w:tc>
          <w:tcPr>
            <w:tcW w:w="1534" w:type="dxa"/>
            <w:shd w:val="clear" w:color="auto" w:fill="auto"/>
            <w:noWrap/>
            <w:vAlign w:val="bottom"/>
            <w:hideMark/>
          </w:tcPr>
          <w:p w14:paraId="7A0A3EF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11</w:t>
            </w:r>
          </w:p>
        </w:tc>
        <w:tc>
          <w:tcPr>
            <w:tcW w:w="875" w:type="dxa"/>
            <w:shd w:val="clear" w:color="auto" w:fill="auto"/>
            <w:noWrap/>
            <w:vAlign w:val="bottom"/>
            <w:hideMark/>
          </w:tcPr>
          <w:p w14:paraId="761DACB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36.4%</w:t>
            </w:r>
          </w:p>
        </w:tc>
        <w:tc>
          <w:tcPr>
            <w:tcW w:w="383" w:type="dxa"/>
          </w:tcPr>
          <w:p w14:paraId="6B78E557"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18031F3D"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65</w:t>
            </w:r>
          </w:p>
        </w:tc>
        <w:tc>
          <w:tcPr>
            <w:tcW w:w="1365" w:type="dxa"/>
            <w:shd w:val="clear" w:color="auto" w:fill="auto"/>
            <w:noWrap/>
            <w:vAlign w:val="bottom"/>
            <w:hideMark/>
          </w:tcPr>
          <w:p w14:paraId="4AD2188A"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310</w:t>
            </w:r>
          </w:p>
        </w:tc>
        <w:tc>
          <w:tcPr>
            <w:tcW w:w="1192" w:type="dxa"/>
            <w:shd w:val="clear" w:color="auto" w:fill="auto"/>
            <w:noWrap/>
            <w:vAlign w:val="bottom"/>
            <w:hideMark/>
          </w:tcPr>
          <w:p w14:paraId="7904348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21.0%</w:t>
            </w:r>
          </w:p>
        </w:tc>
        <w:tc>
          <w:tcPr>
            <w:tcW w:w="2375" w:type="dxa"/>
            <w:shd w:val="clear" w:color="auto" w:fill="auto"/>
            <w:noWrap/>
            <w:vAlign w:val="bottom"/>
            <w:hideMark/>
          </w:tcPr>
          <w:p w14:paraId="315F38EB"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2FBE2C3D" w14:textId="77777777" w:rsidTr="005453FE">
        <w:trPr>
          <w:trHeight w:val="300"/>
        </w:trPr>
        <w:tc>
          <w:tcPr>
            <w:tcW w:w="1803" w:type="dxa"/>
            <w:shd w:val="clear" w:color="auto" w:fill="auto"/>
            <w:noWrap/>
            <w:vAlign w:val="bottom"/>
            <w:hideMark/>
          </w:tcPr>
          <w:p w14:paraId="72DEF44F" w14:textId="77777777" w:rsidR="006C36DE" w:rsidRPr="006C36DE" w:rsidRDefault="006C36DE" w:rsidP="006C36DE">
            <w:pPr>
              <w:spacing w:after="0" w:line="240" w:lineRule="auto"/>
              <w:rPr>
                <w:rFonts w:ascii="Calibri" w:eastAsia="Times New Roman" w:hAnsi="Calibri" w:cs="Calibri"/>
                <w:b/>
                <w:bCs/>
                <w:color w:val="000000"/>
                <w:lang w:val="en-GB" w:eastAsia="en-GB" w:bidi="ar-SA"/>
              </w:rPr>
            </w:pPr>
            <w:r w:rsidRPr="006C36DE">
              <w:rPr>
                <w:rFonts w:ascii="Calibri" w:eastAsia="Times New Roman" w:hAnsi="Calibri" w:cs="Calibri"/>
                <w:b/>
                <w:bCs/>
                <w:color w:val="000000"/>
                <w:lang w:val="en-GB" w:eastAsia="en-GB" w:bidi="ar-SA"/>
              </w:rPr>
              <w:t>Protozoa</w:t>
            </w:r>
          </w:p>
        </w:tc>
        <w:tc>
          <w:tcPr>
            <w:tcW w:w="1286" w:type="dxa"/>
            <w:shd w:val="clear" w:color="auto" w:fill="auto"/>
            <w:noWrap/>
            <w:vAlign w:val="bottom"/>
            <w:hideMark/>
          </w:tcPr>
          <w:p w14:paraId="6E4F6A6A"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534" w:type="dxa"/>
            <w:shd w:val="clear" w:color="auto" w:fill="auto"/>
            <w:noWrap/>
            <w:vAlign w:val="bottom"/>
            <w:hideMark/>
          </w:tcPr>
          <w:p w14:paraId="77B25E1D"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875" w:type="dxa"/>
            <w:shd w:val="clear" w:color="auto" w:fill="auto"/>
            <w:noWrap/>
            <w:vAlign w:val="bottom"/>
            <w:hideMark/>
          </w:tcPr>
          <w:p w14:paraId="10D1773F"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383" w:type="dxa"/>
          </w:tcPr>
          <w:p w14:paraId="4ED87757"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923" w:type="dxa"/>
            <w:shd w:val="clear" w:color="auto" w:fill="auto"/>
            <w:noWrap/>
            <w:vAlign w:val="bottom"/>
            <w:hideMark/>
          </w:tcPr>
          <w:p w14:paraId="61671B12"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365" w:type="dxa"/>
            <w:shd w:val="clear" w:color="auto" w:fill="auto"/>
            <w:noWrap/>
            <w:vAlign w:val="bottom"/>
            <w:hideMark/>
          </w:tcPr>
          <w:p w14:paraId="4B8672E8"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192" w:type="dxa"/>
            <w:shd w:val="clear" w:color="auto" w:fill="auto"/>
            <w:noWrap/>
            <w:vAlign w:val="bottom"/>
            <w:hideMark/>
          </w:tcPr>
          <w:p w14:paraId="7FF3014C"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2375" w:type="dxa"/>
            <w:shd w:val="clear" w:color="auto" w:fill="auto"/>
            <w:noWrap/>
            <w:vAlign w:val="bottom"/>
            <w:hideMark/>
          </w:tcPr>
          <w:p w14:paraId="2885CAB4"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p>
        </w:tc>
      </w:tr>
      <w:tr w:rsidR="006C36DE" w:rsidRPr="006C36DE" w14:paraId="35234B9D" w14:textId="77777777" w:rsidTr="005453FE">
        <w:trPr>
          <w:trHeight w:val="300"/>
        </w:trPr>
        <w:tc>
          <w:tcPr>
            <w:tcW w:w="1803" w:type="dxa"/>
            <w:shd w:val="clear" w:color="auto" w:fill="auto"/>
            <w:noWrap/>
            <w:vAlign w:val="bottom"/>
            <w:hideMark/>
          </w:tcPr>
          <w:p w14:paraId="2DB3F9A0"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Cryptosporidium</w:t>
            </w:r>
          </w:p>
        </w:tc>
        <w:tc>
          <w:tcPr>
            <w:tcW w:w="1286" w:type="dxa"/>
            <w:shd w:val="clear" w:color="auto" w:fill="auto"/>
            <w:noWrap/>
            <w:vAlign w:val="bottom"/>
            <w:hideMark/>
          </w:tcPr>
          <w:p w14:paraId="6C7C445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w:t>
            </w:r>
          </w:p>
        </w:tc>
        <w:tc>
          <w:tcPr>
            <w:tcW w:w="1534" w:type="dxa"/>
            <w:shd w:val="clear" w:color="auto" w:fill="auto"/>
            <w:noWrap/>
            <w:vAlign w:val="bottom"/>
            <w:hideMark/>
          </w:tcPr>
          <w:p w14:paraId="7655C56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65</w:t>
            </w:r>
          </w:p>
        </w:tc>
        <w:tc>
          <w:tcPr>
            <w:tcW w:w="875" w:type="dxa"/>
            <w:shd w:val="clear" w:color="auto" w:fill="auto"/>
            <w:noWrap/>
            <w:vAlign w:val="bottom"/>
            <w:hideMark/>
          </w:tcPr>
          <w:p w14:paraId="53838C9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6.2%</w:t>
            </w:r>
          </w:p>
        </w:tc>
        <w:tc>
          <w:tcPr>
            <w:tcW w:w="383" w:type="dxa"/>
          </w:tcPr>
          <w:p w14:paraId="78B533ED"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5A95F85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415</w:t>
            </w:r>
          </w:p>
        </w:tc>
        <w:tc>
          <w:tcPr>
            <w:tcW w:w="1365" w:type="dxa"/>
            <w:shd w:val="clear" w:color="auto" w:fill="auto"/>
            <w:noWrap/>
            <w:vAlign w:val="bottom"/>
            <w:hideMark/>
          </w:tcPr>
          <w:p w14:paraId="46651B8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1375</w:t>
            </w:r>
          </w:p>
        </w:tc>
        <w:tc>
          <w:tcPr>
            <w:tcW w:w="1192" w:type="dxa"/>
            <w:shd w:val="clear" w:color="auto" w:fill="auto"/>
            <w:noWrap/>
            <w:vAlign w:val="bottom"/>
            <w:hideMark/>
          </w:tcPr>
          <w:p w14:paraId="2FDD5EB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30.2%</w:t>
            </w:r>
          </w:p>
        </w:tc>
        <w:tc>
          <w:tcPr>
            <w:tcW w:w="2375" w:type="dxa"/>
            <w:shd w:val="clear" w:color="auto" w:fill="auto"/>
            <w:noWrap/>
            <w:vAlign w:val="bottom"/>
            <w:hideMark/>
          </w:tcPr>
          <w:p w14:paraId="5A882C96"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7D35054F" w14:textId="77777777" w:rsidTr="005453FE">
        <w:trPr>
          <w:trHeight w:val="300"/>
        </w:trPr>
        <w:tc>
          <w:tcPr>
            <w:tcW w:w="1803" w:type="dxa"/>
            <w:shd w:val="clear" w:color="auto" w:fill="auto"/>
            <w:noWrap/>
            <w:vAlign w:val="bottom"/>
            <w:hideMark/>
          </w:tcPr>
          <w:p w14:paraId="261886B3" w14:textId="77777777" w:rsidR="006C36DE" w:rsidRPr="006C36DE" w:rsidRDefault="006C36DE" w:rsidP="006C36DE">
            <w:pPr>
              <w:spacing w:after="0" w:line="240" w:lineRule="auto"/>
              <w:rPr>
                <w:rFonts w:ascii="Calibri" w:eastAsia="Times New Roman" w:hAnsi="Calibri" w:cs="Calibri"/>
                <w:i/>
                <w:color w:val="000000"/>
                <w:lang w:val="en-GB" w:eastAsia="en-GB" w:bidi="ar-SA"/>
              </w:rPr>
            </w:pPr>
            <w:r w:rsidRPr="006C36DE">
              <w:rPr>
                <w:rFonts w:ascii="Calibri" w:eastAsia="Times New Roman" w:hAnsi="Calibri" w:cs="Calibri"/>
                <w:i/>
                <w:color w:val="000000"/>
                <w:lang w:val="en-GB" w:eastAsia="en-GB" w:bidi="ar-SA"/>
              </w:rPr>
              <w:t>Giardia</w:t>
            </w:r>
          </w:p>
        </w:tc>
        <w:tc>
          <w:tcPr>
            <w:tcW w:w="1286" w:type="dxa"/>
            <w:shd w:val="clear" w:color="auto" w:fill="auto"/>
            <w:noWrap/>
            <w:vAlign w:val="bottom"/>
            <w:hideMark/>
          </w:tcPr>
          <w:p w14:paraId="15F4518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w:t>
            </w:r>
          </w:p>
        </w:tc>
        <w:tc>
          <w:tcPr>
            <w:tcW w:w="1534" w:type="dxa"/>
            <w:shd w:val="clear" w:color="auto" w:fill="auto"/>
            <w:noWrap/>
            <w:vAlign w:val="bottom"/>
            <w:hideMark/>
          </w:tcPr>
          <w:p w14:paraId="58E7787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7</w:t>
            </w:r>
          </w:p>
        </w:tc>
        <w:tc>
          <w:tcPr>
            <w:tcW w:w="875" w:type="dxa"/>
            <w:shd w:val="clear" w:color="auto" w:fill="auto"/>
            <w:noWrap/>
            <w:vAlign w:val="bottom"/>
            <w:hideMark/>
          </w:tcPr>
          <w:p w14:paraId="430616D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14.3%</w:t>
            </w:r>
          </w:p>
        </w:tc>
        <w:tc>
          <w:tcPr>
            <w:tcW w:w="383" w:type="dxa"/>
          </w:tcPr>
          <w:p w14:paraId="5BA74897"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3B98A6D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106</w:t>
            </w:r>
          </w:p>
        </w:tc>
        <w:tc>
          <w:tcPr>
            <w:tcW w:w="1365" w:type="dxa"/>
            <w:shd w:val="clear" w:color="auto" w:fill="auto"/>
            <w:noWrap/>
            <w:vAlign w:val="bottom"/>
            <w:hideMark/>
          </w:tcPr>
          <w:p w14:paraId="6A44713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159</w:t>
            </w:r>
          </w:p>
        </w:tc>
        <w:tc>
          <w:tcPr>
            <w:tcW w:w="1192" w:type="dxa"/>
            <w:shd w:val="clear" w:color="auto" w:fill="auto"/>
            <w:noWrap/>
            <w:vAlign w:val="bottom"/>
            <w:hideMark/>
          </w:tcPr>
          <w:p w14:paraId="5EB8749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66.7%</w:t>
            </w:r>
          </w:p>
        </w:tc>
        <w:tc>
          <w:tcPr>
            <w:tcW w:w="2375" w:type="dxa"/>
            <w:shd w:val="clear" w:color="auto" w:fill="auto"/>
            <w:noWrap/>
            <w:vAlign w:val="bottom"/>
            <w:hideMark/>
          </w:tcPr>
          <w:p w14:paraId="655EB43A"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6F0BA61C" w14:textId="77777777" w:rsidTr="005453FE">
        <w:trPr>
          <w:trHeight w:val="300"/>
        </w:trPr>
        <w:tc>
          <w:tcPr>
            <w:tcW w:w="1803" w:type="dxa"/>
            <w:shd w:val="clear" w:color="auto" w:fill="auto"/>
            <w:noWrap/>
            <w:vAlign w:val="bottom"/>
            <w:hideMark/>
          </w:tcPr>
          <w:p w14:paraId="7619ABA5" w14:textId="77777777" w:rsidR="006C36DE" w:rsidRPr="006C36DE" w:rsidRDefault="006C36DE" w:rsidP="006C36DE">
            <w:pPr>
              <w:spacing w:after="0" w:line="240" w:lineRule="auto"/>
              <w:rPr>
                <w:rFonts w:ascii="Calibri" w:eastAsia="Times New Roman" w:hAnsi="Calibri" w:cs="Calibri"/>
                <w:b/>
                <w:bCs/>
                <w:color w:val="000000"/>
                <w:lang w:val="en-GB" w:eastAsia="en-GB" w:bidi="ar-SA"/>
              </w:rPr>
            </w:pPr>
            <w:r w:rsidRPr="006C36DE">
              <w:rPr>
                <w:rFonts w:ascii="Calibri" w:eastAsia="Times New Roman" w:hAnsi="Calibri" w:cs="Calibri"/>
                <w:b/>
                <w:bCs/>
                <w:color w:val="000000"/>
                <w:lang w:val="en-GB" w:eastAsia="en-GB" w:bidi="ar-SA"/>
              </w:rPr>
              <w:t>Viruses</w:t>
            </w:r>
          </w:p>
        </w:tc>
        <w:tc>
          <w:tcPr>
            <w:tcW w:w="1286" w:type="dxa"/>
            <w:shd w:val="clear" w:color="auto" w:fill="auto"/>
            <w:noWrap/>
            <w:vAlign w:val="bottom"/>
            <w:hideMark/>
          </w:tcPr>
          <w:p w14:paraId="51DAD433"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534" w:type="dxa"/>
            <w:shd w:val="clear" w:color="auto" w:fill="auto"/>
            <w:noWrap/>
            <w:vAlign w:val="bottom"/>
            <w:hideMark/>
          </w:tcPr>
          <w:p w14:paraId="530B7AB9"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875" w:type="dxa"/>
            <w:shd w:val="clear" w:color="auto" w:fill="auto"/>
            <w:noWrap/>
            <w:vAlign w:val="bottom"/>
            <w:hideMark/>
          </w:tcPr>
          <w:p w14:paraId="7A6FEF02"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383" w:type="dxa"/>
          </w:tcPr>
          <w:p w14:paraId="33311DD5"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923" w:type="dxa"/>
            <w:shd w:val="clear" w:color="auto" w:fill="auto"/>
            <w:noWrap/>
            <w:vAlign w:val="bottom"/>
            <w:hideMark/>
          </w:tcPr>
          <w:p w14:paraId="7E5242D3"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365" w:type="dxa"/>
            <w:shd w:val="clear" w:color="auto" w:fill="auto"/>
            <w:noWrap/>
            <w:vAlign w:val="bottom"/>
            <w:hideMark/>
          </w:tcPr>
          <w:p w14:paraId="34DA9FAD"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1192" w:type="dxa"/>
            <w:shd w:val="clear" w:color="auto" w:fill="auto"/>
            <w:noWrap/>
            <w:vAlign w:val="bottom"/>
            <w:hideMark/>
          </w:tcPr>
          <w:p w14:paraId="422C6F9D" w14:textId="77777777" w:rsidR="006C36DE" w:rsidRPr="006C36DE" w:rsidRDefault="006C36DE" w:rsidP="006C36DE">
            <w:pPr>
              <w:spacing w:after="0" w:line="240" w:lineRule="auto"/>
              <w:rPr>
                <w:rFonts w:ascii="Calibri" w:eastAsia="Times New Roman" w:hAnsi="Calibri" w:cs="Calibri"/>
                <w:color w:val="000000"/>
                <w:lang w:val="en-GB" w:eastAsia="en-GB" w:bidi="ar-SA"/>
              </w:rPr>
            </w:pPr>
          </w:p>
        </w:tc>
        <w:tc>
          <w:tcPr>
            <w:tcW w:w="2375" w:type="dxa"/>
            <w:shd w:val="clear" w:color="auto" w:fill="auto"/>
            <w:noWrap/>
            <w:vAlign w:val="bottom"/>
            <w:hideMark/>
          </w:tcPr>
          <w:p w14:paraId="3DC2A39D"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p>
        </w:tc>
      </w:tr>
      <w:tr w:rsidR="006C36DE" w:rsidRPr="006C36DE" w14:paraId="4EAA44E1" w14:textId="77777777" w:rsidTr="005453FE">
        <w:trPr>
          <w:trHeight w:val="300"/>
        </w:trPr>
        <w:tc>
          <w:tcPr>
            <w:tcW w:w="1803" w:type="dxa"/>
            <w:shd w:val="clear" w:color="auto" w:fill="auto"/>
            <w:noWrap/>
            <w:vAlign w:val="bottom"/>
            <w:hideMark/>
          </w:tcPr>
          <w:p w14:paraId="2CF0657A" w14:textId="77777777" w:rsidR="006C36DE" w:rsidRPr="006C36DE" w:rsidRDefault="006C36DE" w:rsidP="006C36DE">
            <w:pPr>
              <w:spacing w:after="0" w:line="240" w:lineRule="auto"/>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Adenovirus</w:t>
            </w:r>
          </w:p>
        </w:tc>
        <w:tc>
          <w:tcPr>
            <w:tcW w:w="1286" w:type="dxa"/>
            <w:shd w:val="clear" w:color="auto" w:fill="auto"/>
            <w:noWrap/>
            <w:vAlign w:val="bottom"/>
            <w:hideMark/>
          </w:tcPr>
          <w:p w14:paraId="1D71C2FA"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534" w:type="dxa"/>
            <w:shd w:val="clear" w:color="auto" w:fill="auto"/>
            <w:noWrap/>
            <w:vAlign w:val="bottom"/>
            <w:hideMark/>
          </w:tcPr>
          <w:p w14:paraId="3051B98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875" w:type="dxa"/>
            <w:shd w:val="clear" w:color="auto" w:fill="auto"/>
            <w:noWrap/>
            <w:vAlign w:val="bottom"/>
            <w:hideMark/>
          </w:tcPr>
          <w:p w14:paraId="4A4644AF"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383" w:type="dxa"/>
          </w:tcPr>
          <w:p w14:paraId="04C5B79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30217A7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365" w:type="dxa"/>
            <w:shd w:val="clear" w:color="auto" w:fill="auto"/>
            <w:noWrap/>
            <w:vAlign w:val="bottom"/>
            <w:hideMark/>
          </w:tcPr>
          <w:p w14:paraId="0F641A2C"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192" w:type="dxa"/>
            <w:shd w:val="clear" w:color="auto" w:fill="auto"/>
            <w:noWrap/>
            <w:vAlign w:val="bottom"/>
            <w:hideMark/>
          </w:tcPr>
          <w:p w14:paraId="0E4CD5E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2375" w:type="dxa"/>
            <w:shd w:val="clear" w:color="auto" w:fill="auto"/>
            <w:noWrap/>
            <w:vAlign w:val="bottom"/>
            <w:hideMark/>
          </w:tcPr>
          <w:p w14:paraId="34B63F61"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No outbreaks reported</w:t>
            </w:r>
          </w:p>
        </w:tc>
      </w:tr>
      <w:tr w:rsidR="006C36DE" w:rsidRPr="006C36DE" w14:paraId="00B921DE" w14:textId="77777777" w:rsidTr="005453FE">
        <w:trPr>
          <w:trHeight w:val="300"/>
        </w:trPr>
        <w:tc>
          <w:tcPr>
            <w:tcW w:w="1803" w:type="dxa"/>
            <w:shd w:val="clear" w:color="auto" w:fill="auto"/>
            <w:noWrap/>
            <w:vAlign w:val="bottom"/>
            <w:hideMark/>
          </w:tcPr>
          <w:p w14:paraId="75214101" w14:textId="77777777" w:rsidR="006C36DE" w:rsidRPr="006C36DE" w:rsidRDefault="006C36DE" w:rsidP="006C36DE">
            <w:pPr>
              <w:spacing w:after="0" w:line="240" w:lineRule="auto"/>
              <w:rPr>
                <w:rFonts w:ascii="Calibri" w:eastAsia="Times New Roman" w:hAnsi="Calibri" w:cs="Calibri"/>
                <w:color w:val="000000"/>
                <w:lang w:val="en-GB" w:eastAsia="en-GB" w:bidi="ar-SA"/>
              </w:rPr>
            </w:pPr>
            <w:proofErr w:type="spellStart"/>
            <w:r w:rsidRPr="006C36DE">
              <w:rPr>
                <w:rFonts w:ascii="Calibri" w:eastAsia="Times New Roman" w:hAnsi="Calibri" w:cs="Calibri"/>
                <w:color w:val="000000"/>
                <w:lang w:val="en-GB" w:eastAsia="en-GB" w:bidi="ar-SA"/>
              </w:rPr>
              <w:t>Astrovirus</w:t>
            </w:r>
            <w:proofErr w:type="spellEnd"/>
          </w:p>
        </w:tc>
        <w:tc>
          <w:tcPr>
            <w:tcW w:w="1286" w:type="dxa"/>
            <w:shd w:val="clear" w:color="auto" w:fill="auto"/>
            <w:noWrap/>
            <w:vAlign w:val="bottom"/>
            <w:hideMark/>
          </w:tcPr>
          <w:p w14:paraId="17C7B85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0</w:t>
            </w:r>
          </w:p>
        </w:tc>
        <w:tc>
          <w:tcPr>
            <w:tcW w:w="1534" w:type="dxa"/>
            <w:shd w:val="clear" w:color="auto" w:fill="auto"/>
            <w:noWrap/>
            <w:vAlign w:val="bottom"/>
            <w:hideMark/>
          </w:tcPr>
          <w:p w14:paraId="63F736D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18</w:t>
            </w:r>
          </w:p>
        </w:tc>
        <w:tc>
          <w:tcPr>
            <w:tcW w:w="875" w:type="dxa"/>
            <w:shd w:val="clear" w:color="auto" w:fill="auto"/>
            <w:noWrap/>
            <w:vAlign w:val="bottom"/>
            <w:hideMark/>
          </w:tcPr>
          <w:p w14:paraId="1DFEFAFF"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0.0%</w:t>
            </w:r>
          </w:p>
        </w:tc>
        <w:tc>
          <w:tcPr>
            <w:tcW w:w="383" w:type="dxa"/>
          </w:tcPr>
          <w:p w14:paraId="59EFC0E8"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5DC86DE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0</w:t>
            </w:r>
          </w:p>
        </w:tc>
        <w:tc>
          <w:tcPr>
            <w:tcW w:w="1365" w:type="dxa"/>
            <w:shd w:val="clear" w:color="auto" w:fill="auto"/>
            <w:noWrap/>
            <w:vAlign w:val="bottom"/>
            <w:hideMark/>
          </w:tcPr>
          <w:p w14:paraId="6D2E21A5"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283</w:t>
            </w:r>
          </w:p>
        </w:tc>
        <w:tc>
          <w:tcPr>
            <w:tcW w:w="1192" w:type="dxa"/>
            <w:shd w:val="clear" w:color="auto" w:fill="auto"/>
            <w:noWrap/>
            <w:vAlign w:val="bottom"/>
            <w:hideMark/>
          </w:tcPr>
          <w:p w14:paraId="1DCD9D25"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0.0%</w:t>
            </w:r>
          </w:p>
        </w:tc>
        <w:tc>
          <w:tcPr>
            <w:tcW w:w="2375" w:type="dxa"/>
            <w:shd w:val="clear" w:color="auto" w:fill="auto"/>
            <w:noWrap/>
            <w:vAlign w:val="bottom"/>
            <w:hideMark/>
          </w:tcPr>
          <w:p w14:paraId="741264FD"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078F7ACF" w14:textId="77777777" w:rsidTr="005453FE">
        <w:trPr>
          <w:trHeight w:val="300"/>
        </w:trPr>
        <w:tc>
          <w:tcPr>
            <w:tcW w:w="1803" w:type="dxa"/>
            <w:shd w:val="clear" w:color="auto" w:fill="auto"/>
            <w:noWrap/>
            <w:vAlign w:val="bottom"/>
            <w:hideMark/>
          </w:tcPr>
          <w:p w14:paraId="5955011D" w14:textId="77777777" w:rsidR="006C36DE" w:rsidRPr="006C36DE" w:rsidRDefault="006C36DE" w:rsidP="006C36DE">
            <w:pPr>
              <w:spacing w:after="0" w:line="240" w:lineRule="auto"/>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Norovirus</w:t>
            </w:r>
          </w:p>
        </w:tc>
        <w:tc>
          <w:tcPr>
            <w:tcW w:w="1286" w:type="dxa"/>
            <w:shd w:val="clear" w:color="auto" w:fill="auto"/>
            <w:noWrap/>
            <w:vAlign w:val="bottom"/>
            <w:hideMark/>
          </w:tcPr>
          <w:p w14:paraId="2D18899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61</w:t>
            </w:r>
          </w:p>
        </w:tc>
        <w:tc>
          <w:tcPr>
            <w:tcW w:w="1534" w:type="dxa"/>
            <w:shd w:val="clear" w:color="auto" w:fill="auto"/>
            <w:noWrap/>
            <w:vAlign w:val="bottom"/>
            <w:hideMark/>
          </w:tcPr>
          <w:p w14:paraId="2163DCF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2228</w:t>
            </w:r>
          </w:p>
        </w:tc>
        <w:tc>
          <w:tcPr>
            <w:tcW w:w="875" w:type="dxa"/>
            <w:shd w:val="clear" w:color="auto" w:fill="auto"/>
            <w:noWrap/>
            <w:vAlign w:val="bottom"/>
            <w:hideMark/>
          </w:tcPr>
          <w:p w14:paraId="0F20F1E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2.7%</w:t>
            </w:r>
          </w:p>
        </w:tc>
        <w:tc>
          <w:tcPr>
            <w:tcW w:w="383" w:type="dxa"/>
          </w:tcPr>
          <w:p w14:paraId="7DEC322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694C23A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1500</w:t>
            </w:r>
          </w:p>
        </w:tc>
        <w:tc>
          <w:tcPr>
            <w:tcW w:w="1365" w:type="dxa"/>
            <w:shd w:val="clear" w:color="auto" w:fill="auto"/>
            <w:noWrap/>
            <w:vAlign w:val="bottom"/>
            <w:hideMark/>
          </w:tcPr>
          <w:p w14:paraId="2901C89E"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58,855</w:t>
            </w:r>
          </w:p>
        </w:tc>
        <w:tc>
          <w:tcPr>
            <w:tcW w:w="1192" w:type="dxa"/>
            <w:shd w:val="clear" w:color="auto" w:fill="auto"/>
            <w:noWrap/>
            <w:vAlign w:val="bottom"/>
            <w:hideMark/>
          </w:tcPr>
          <w:p w14:paraId="447A194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2.5%</w:t>
            </w:r>
          </w:p>
        </w:tc>
        <w:tc>
          <w:tcPr>
            <w:tcW w:w="2375" w:type="dxa"/>
            <w:shd w:val="clear" w:color="auto" w:fill="auto"/>
            <w:noWrap/>
            <w:vAlign w:val="bottom"/>
            <w:hideMark/>
          </w:tcPr>
          <w:p w14:paraId="1B28CEBA"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r w:rsidR="006C36DE" w:rsidRPr="006C36DE" w14:paraId="54D52B37" w14:textId="77777777" w:rsidTr="005453FE">
        <w:trPr>
          <w:trHeight w:val="300"/>
        </w:trPr>
        <w:tc>
          <w:tcPr>
            <w:tcW w:w="1803" w:type="dxa"/>
            <w:shd w:val="clear" w:color="auto" w:fill="auto"/>
            <w:noWrap/>
            <w:vAlign w:val="bottom"/>
            <w:hideMark/>
          </w:tcPr>
          <w:p w14:paraId="26670462" w14:textId="77777777" w:rsidR="006C36DE" w:rsidRPr="006C36DE" w:rsidRDefault="006C36DE" w:rsidP="006C36DE">
            <w:pPr>
              <w:spacing w:after="0" w:line="240" w:lineRule="auto"/>
              <w:rPr>
                <w:rFonts w:ascii="Calibri" w:eastAsia="Times New Roman" w:hAnsi="Calibri" w:cs="Calibri"/>
                <w:color w:val="000000"/>
                <w:lang w:val="en-GB" w:eastAsia="en-GB" w:bidi="ar-SA"/>
              </w:rPr>
            </w:pPr>
            <w:proofErr w:type="spellStart"/>
            <w:r w:rsidRPr="006C36DE">
              <w:rPr>
                <w:rFonts w:ascii="Calibri" w:eastAsia="Times New Roman" w:hAnsi="Calibri" w:cs="Calibri"/>
                <w:color w:val="000000"/>
                <w:lang w:val="en-GB" w:eastAsia="en-GB" w:bidi="ar-SA"/>
              </w:rPr>
              <w:t>Sapovirus</w:t>
            </w:r>
            <w:proofErr w:type="spellEnd"/>
          </w:p>
        </w:tc>
        <w:tc>
          <w:tcPr>
            <w:tcW w:w="1286" w:type="dxa"/>
            <w:shd w:val="clear" w:color="auto" w:fill="auto"/>
            <w:noWrap/>
            <w:vAlign w:val="bottom"/>
            <w:hideMark/>
          </w:tcPr>
          <w:p w14:paraId="591FEB6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534" w:type="dxa"/>
            <w:shd w:val="clear" w:color="auto" w:fill="auto"/>
            <w:noWrap/>
            <w:vAlign w:val="bottom"/>
            <w:hideMark/>
          </w:tcPr>
          <w:p w14:paraId="3895E8E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875" w:type="dxa"/>
            <w:shd w:val="clear" w:color="auto" w:fill="auto"/>
            <w:noWrap/>
            <w:vAlign w:val="bottom"/>
            <w:hideMark/>
          </w:tcPr>
          <w:p w14:paraId="6A1447F2"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383" w:type="dxa"/>
          </w:tcPr>
          <w:p w14:paraId="2718F5F1"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039FEF07"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365" w:type="dxa"/>
            <w:shd w:val="clear" w:color="auto" w:fill="auto"/>
            <w:noWrap/>
            <w:vAlign w:val="bottom"/>
            <w:hideMark/>
          </w:tcPr>
          <w:p w14:paraId="29A1962B"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1192" w:type="dxa"/>
            <w:shd w:val="clear" w:color="auto" w:fill="auto"/>
            <w:noWrap/>
            <w:vAlign w:val="bottom"/>
            <w:hideMark/>
          </w:tcPr>
          <w:p w14:paraId="370AB30F"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w:t>
            </w:r>
          </w:p>
        </w:tc>
        <w:tc>
          <w:tcPr>
            <w:tcW w:w="2375" w:type="dxa"/>
            <w:shd w:val="clear" w:color="auto" w:fill="auto"/>
            <w:noWrap/>
            <w:vAlign w:val="bottom"/>
            <w:hideMark/>
          </w:tcPr>
          <w:p w14:paraId="30840C35"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No outbreaks reported</w:t>
            </w:r>
          </w:p>
        </w:tc>
      </w:tr>
      <w:tr w:rsidR="006C36DE" w:rsidRPr="006C36DE" w14:paraId="46743B05" w14:textId="77777777" w:rsidTr="005453FE">
        <w:trPr>
          <w:trHeight w:val="300"/>
        </w:trPr>
        <w:tc>
          <w:tcPr>
            <w:tcW w:w="1803" w:type="dxa"/>
            <w:shd w:val="clear" w:color="auto" w:fill="auto"/>
            <w:noWrap/>
            <w:vAlign w:val="bottom"/>
            <w:hideMark/>
          </w:tcPr>
          <w:p w14:paraId="10E7AE48" w14:textId="77777777" w:rsidR="006C36DE" w:rsidRPr="006C36DE" w:rsidRDefault="006C36DE" w:rsidP="006C36DE">
            <w:pPr>
              <w:spacing w:after="0" w:line="240" w:lineRule="auto"/>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Rotavirus</w:t>
            </w:r>
          </w:p>
        </w:tc>
        <w:tc>
          <w:tcPr>
            <w:tcW w:w="1286" w:type="dxa"/>
            <w:shd w:val="clear" w:color="auto" w:fill="auto"/>
            <w:noWrap/>
            <w:vAlign w:val="bottom"/>
            <w:hideMark/>
          </w:tcPr>
          <w:p w14:paraId="2315B6B5"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w:t>
            </w:r>
          </w:p>
        </w:tc>
        <w:tc>
          <w:tcPr>
            <w:tcW w:w="1534" w:type="dxa"/>
            <w:shd w:val="clear" w:color="auto" w:fill="auto"/>
            <w:noWrap/>
            <w:vAlign w:val="bottom"/>
            <w:hideMark/>
          </w:tcPr>
          <w:p w14:paraId="130EFA39"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136</w:t>
            </w:r>
          </w:p>
        </w:tc>
        <w:tc>
          <w:tcPr>
            <w:tcW w:w="875" w:type="dxa"/>
            <w:shd w:val="clear" w:color="auto" w:fill="auto"/>
            <w:noWrap/>
            <w:vAlign w:val="bottom"/>
            <w:hideMark/>
          </w:tcPr>
          <w:p w14:paraId="40A2269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0.7%</w:t>
            </w:r>
          </w:p>
        </w:tc>
        <w:tc>
          <w:tcPr>
            <w:tcW w:w="383" w:type="dxa"/>
          </w:tcPr>
          <w:p w14:paraId="27AF2614"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p>
        </w:tc>
        <w:tc>
          <w:tcPr>
            <w:tcW w:w="923" w:type="dxa"/>
            <w:shd w:val="clear" w:color="auto" w:fill="auto"/>
            <w:noWrap/>
            <w:vAlign w:val="bottom"/>
            <w:hideMark/>
          </w:tcPr>
          <w:p w14:paraId="0554A217"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30</w:t>
            </w:r>
          </w:p>
        </w:tc>
        <w:tc>
          <w:tcPr>
            <w:tcW w:w="1365" w:type="dxa"/>
            <w:shd w:val="clear" w:color="auto" w:fill="auto"/>
            <w:noWrap/>
            <w:vAlign w:val="bottom"/>
            <w:hideMark/>
          </w:tcPr>
          <w:p w14:paraId="1ADAF12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2338</w:t>
            </w:r>
          </w:p>
        </w:tc>
        <w:tc>
          <w:tcPr>
            <w:tcW w:w="1192" w:type="dxa"/>
            <w:shd w:val="clear" w:color="auto" w:fill="auto"/>
            <w:noWrap/>
            <w:vAlign w:val="bottom"/>
            <w:hideMark/>
          </w:tcPr>
          <w:p w14:paraId="5C61F966" w14:textId="77777777" w:rsidR="006C36DE" w:rsidRPr="006C36DE" w:rsidRDefault="006C36DE" w:rsidP="006C36DE">
            <w:pPr>
              <w:spacing w:after="0" w:line="240" w:lineRule="auto"/>
              <w:jc w:val="right"/>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1.3%</w:t>
            </w:r>
          </w:p>
        </w:tc>
        <w:tc>
          <w:tcPr>
            <w:tcW w:w="2375" w:type="dxa"/>
            <w:shd w:val="clear" w:color="auto" w:fill="auto"/>
            <w:noWrap/>
            <w:vAlign w:val="bottom"/>
            <w:hideMark/>
          </w:tcPr>
          <w:p w14:paraId="35A9998B" w14:textId="77777777" w:rsidR="006C36DE" w:rsidRPr="006C36DE" w:rsidRDefault="006C36DE" w:rsidP="006C36DE">
            <w:pPr>
              <w:spacing w:after="0" w:line="240" w:lineRule="auto"/>
              <w:jc w:val="center"/>
              <w:rPr>
                <w:rFonts w:ascii="Calibri" w:eastAsia="Times New Roman" w:hAnsi="Calibri" w:cs="Calibri"/>
                <w:color w:val="000000"/>
                <w:lang w:val="en-GB" w:eastAsia="en-GB" w:bidi="ar-SA"/>
              </w:rPr>
            </w:pPr>
            <w:r w:rsidRPr="006C36DE">
              <w:rPr>
                <w:rFonts w:ascii="Calibri" w:eastAsia="Times New Roman" w:hAnsi="Calibri" w:cs="Calibri"/>
                <w:color w:val="000000"/>
                <w:lang w:val="en-GB" w:eastAsia="en-GB" w:bidi="ar-SA"/>
              </w:rPr>
              <w:t>Outbreak surveillance</w:t>
            </w:r>
          </w:p>
        </w:tc>
      </w:tr>
    </w:tbl>
    <w:p w14:paraId="34D543F0" w14:textId="77777777" w:rsidR="006C36DE" w:rsidRDefault="006C36DE" w:rsidP="002F0F8C">
      <w:pPr>
        <w:spacing w:after="0" w:line="360" w:lineRule="auto"/>
        <w:sectPr w:rsidR="006C36DE" w:rsidSect="006C36DE">
          <w:pgSz w:w="16838" w:h="11906" w:orient="landscape"/>
          <w:pgMar w:top="1440" w:right="1440" w:bottom="1440" w:left="1440" w:header="708" w:footer="708" w:gutter="0"/>
          <w:cols w:space="708"/>
          <w:docGrid w:linePitch="360"/>
        </w:sectPr>
      </w:pPr>
    </w:p>
    <w:p w14:paraId="2390C6AE" w14:textId="1282892D" w:rsidR="00BD17D8" w:rsidRDefault="00BD17D8" w:rsidP="002F0F8C">
      <w:pPr>
        <w:spacing w:after="0" w:line="360" w:lineRule="auto"/>
      </w:pPr>
    </w:p>
    <w:p w14:paraId="12D3638D" w14:textId="77777777" w:rsidR="001B302A" w:rsidRDefault="001B302A" w:rsidP="002F0F8C">
      <w:pPr>
        <w:spacing w:after="0" w:line="360" w:lineRule="auto"/>
      </w:pPr>
      <w:r w:rsidRPr="001B302A">
        <w:t xml:space="preserve">For each outbreak, information was available on the following: outbreak setting, number of cases affected, number of cases </w:t>
      </w:r>
      <w:proofErr w:type="spellStart"/>
      <w:r w:rsidRPr="001B302A">
        <w:t>hospitalised</w:t>
      </w:r>
      <w:proofErr w:type="spellEnd"/>
      <w:r w:rsidRPr="001B302A">
        <w:t>, main mode(s) of transmission, pathogen identified and, for outbreaks involving contaminated foods, the implicated food vehicle (where this was ascertained). For this study, point source or disseminated outbreaks involving contaminated food, and outbreaks involving contaminated food with subsequent person-to-person transmission, were considered to be foodborne. In total, there were 446 outbreaks involving foodborne transmission that were available for analysis.</w:t>
      </w:r>
    </w:p>
    <w:p w14:paraId="31583F6F" w14:textId="77777777" w:rsidR="001B302A" w:rsidRDefault="001B302A" w:rsidP="002F0F8C">
      <w:pPr>
        <w:spacing w:after="0" w:line="360" w:lineRule="auto"/>
      </w:pPr>
    </w:p>
    <w:p w14:paraId="2B9FB021" w14:textId="529ECE2C" w:rsidR="00C52401" w:rsidRDefault="00C52401" w:rsidP="002F0F8C">
      <w:pPr>
        <w:spacing w:after="0" w:line="360" w:lineRule="auto"/>
      </w:pPr>
      <w:r>
        <w:t>Systematic Literature Review</w:t>
      </w:r>
    </w:p>
    <w:p w14:paraId="66A35246" w14:textId="52A271A6" w:rsidR="00D27ACA" w:rsidRDefault="00D27ACA" w:rsidP="00546FCD">
      <w:pPr>
        <w:pStyle w:val="Heading3"/>
        <w:numPr>
          <w:ilvl w:val="0"/>
          <w:numId w:val="0"/>
        </w:numPr>
        <w:spacing w:line="360" w:lineRule="auto"/>
        <w:rPr>
          <w:rFonts w:asciiTheme="minorHAnsi" w:hAnsiTheme="minorHAnsi"/>
          <w:b w:val="0"/>
          <w:color w:val="auto"/>
        </w:rPr>
      </w:pPr>
      <w:r w:rsidRPr="003B6692">
        <w:rPr>
          <w:rFonts w:asciiTheme="minorHAnsi" w:hAnsiTheme="minorHAnsi"/>
          <w:b w:val="0"/>
          <w:color w:val="auto"/>
        </w:rPr>
        <w:t>We conducted a systematic literature review according to the Preferred Reporting Items for Systematic Reviews and Meta-Analyses (PRISMA) guidelines [1</w:t>
      </w:r>
      <w:r w:rsidR="00265BB8" w:rsidRPr="003B6692">
        <w:rPr>
          <w:rFonts w:asciiTheme="minorHAnsi" w:hAnsiTheme="minorHAnsi"/>
          <w:b w:val="0"/>
          <w:color w:val="auto"/>
        </w:rPr>
        <w:t>3</w:t>
      </w:r>
      <w:r w:rsidRPr="003B6692">
        <w:rPr>
          <w:rFonts w:asciiTheme="minorHAnsi" w:hAnsiTheme="minorHAnsi"/>
          <w:b w:val="0"/>
          <w:color w:val="auto"/>
        </w:rPr>
        <w:t xml:space="preserve">]. We searched four databases (MEDLINE, EMBASE, Web of Science and </w:t>
      </w:r>
      <w:proofErr w:type="spellStart"/>
      <w:r w:rsidRPr="003B6692">
        <w:rPr>
          <w:rFonts w:asciiTheme="minorHAnsi" w:hAnsiTheme="minorHAnsi"/>
          <w:b w:val="0"/>
          <w:color w:val="auto"/>
        </w:rPr>
        <w:t>FoodBase</w:t>
      </w:r>
      <w:proofErr w:type="spellEnd"/>
      <w:r w:rsidRPr="003B6692">
        <w:rPr>
          <w:rFonts w:asciiTheme="minorHAnsi" w:hAnsiTheme="minorHAnsi"/>
          <w:b w:val="0"/>
          <w:color w:val="auto"/>
        </w:rPr>
        <w:t xml:space="preserve"> – the UK Food Standards Agency’s research projects database). </w:t>
      </w:r>
      <w:r w:rsidR="00833C7E" w:rsidRPr="003B6692">
        <w:rPr>
          <w:rFonts w:asciiTheme="minorHAnsi" w:hAnsiTheme="minorHAnsi"/>
          <w:b w:val="0"/>
          <w:color w:val="auto"/>
        </w:rPr>
        <w:t xml:space="preserve">The full methodology for our systematic </w:t>
      </w:r>
      <w:proofErr w:type="gramStart"/>
      <w:r w:rsidR="00833C7E" w:rsidRPr="003B6692">
        <w:rPr>
          <w:rFonts w:asciiTheme="minorHAnsi" w:hAnsiTheme="minorHAnsi"/>
          <w:b w:val="0"/>
          <w:color w:val="auto"/>
        </w:rPr>
        <w:t>review</w:t>
      </w:r>
      <w:r w:rsidR="00833C7E">
        <w:rPr>
          <w:rFonts w:asciiTheme="minorHAnsi" w:hAnsiTheme="minorHAnsi"/>
          <w:b w:val="0"/>
          <w:color w:val="auto"/>
        </w:rPr>
        <w:t>,</w:t>
      </w:r>
      <w:proofErr w:type="gramEnd"/>
      <w:r w:rsidR="00833C7E" w:rsidRPr="003B6692">
        <w:rPr>
          <w:rFonts w:asciiTheme="minorHAnsi" w:hAnsiTheme="minorHAnsi"/>
          <w:b w:val="0"/>
          <w:color w:val="auto"/>
        </w:rPr>
        <w:t xml:space="preserve"> and a summary of results have been reported previously [14].</w:t>
      </w:r>
      <w:r w:rsidR="00833C7E">
        <w:rPr>
          <w:rFonts w:asciiTheme="minorHAnsi" w:hAnsiTheme="minorHAnsi"/>
          <w:b w:val="0"/>
          <w:color w:val="auto"/>
        </w:rPr>
        <w:t xml:space="preserve"> </w:t>
      </w:r>
      <w:r w:rsidR="00AA6DEE" w:rsidRPr="003B6692">
        <w:rPr>
          <w:rFonts w:asciiTheme="minorHAnsi" w:hAnsiTheme="minorHAnsi"/>
          <w:b w:val="0"/>
          <w:color w:val="auto"/>
        </w:rPr>
        <w:t xml:space="preserve">We also compared the list of articles that we identified through the systematic review with a list of case-control studies included in a separate, independently published review of case-control study methods for enteric infection [15]. </w:t>
      </w:r>
      <w:r w:rsidRPr="003B6692">
        <w:rPr>
          <w:rFonts w:asciiTheme="minorHAnsi" w:hAnsiTheme="minorHAnsi"/>
          <w:b w:val="0"/>
          <w:color w:val="auto"/>
        </w:rPr>
        <w:t>We identified 3</w:t>
      </w:r>
      <w:r w:rsidR="00422E4D" w:rsidRPr="003B6692">
        <w:rPr>
          <w:rFonts w:asciiTheme="minorHAnsi" w:hAnsiTheme="minorHAnsi"/>
          <w:b w:val="0"/>
          <w:color w:val="auto"/>
        </w:rPr>
        <w:t>2</w:t>
      </w:r>
      <w:r w:rsidRPr="003B6692">
        <w:rPr>
          <w:rFonts w:asciiTheme="minorHAnsi" w:hAnsiTheme="minorHAnsi"/>
          <w:b w:val="0"/>
          <w:color w:val="auto"/>
        </w:rPr>
        <w:t xml:space="preserve"> articles published between 01 January 2001 and 31 December 2011 with relevant information that allowed us to determine the percentage of cases of IID attributable to foodborne transmission</w:t>
      </w:r>
      <w:r w:rsidR="00F302CD" w:rsidRPr="003B6692">
        <w:rPr>
          <w:rFonts w:asciiTheme="minorHAnsi" w:hAnsiTheme="minorHAnsi"/>
          <w:b w:val="0"/>
          <w:color w:val="auto"/>
        </w:rPr>
        <w:t xml:space="preserve"> (see </w:t>
      </w:r>
      <w:r w:rsidR="00C20275" w:rsidRPr="003B6692">
        <w:rPr>
          <w:rFonts w:asciiTheme="minorHAnsi" w:hAnsiTheme="minorHAnsi"/>
          <w:b w:val="0"/>
          <w:color w:val="auto"/>
        </w:rPr>
        <w:t xml:space="preserve">also </w:t>
      </w:r>
      <w:r w:rsidR="00F302CD" w:rsidRPr="003B6692">
        <w:rPr>
          <w:rFonts w:asciiTheme="minorHAnsi" w:hAnsiTheme="minorHAnsi"/>
          <w:b w:val="0"/>
          <w:color w:val="auto"/>
        </w:rPr>
        <w:t>Technical appendix)</w:t>
      </w:r>
      <w:r w:rsidRPr="003B6692">
        <w:rPr>
          <w:rFonts w:asciiTheme="minorHAnsi" w:hAnsiTheme="minorHAnsi"/>
          <w:b w:val="0"/>
          <w:color w:val="auto"/>
        </w:rPr>
        <w:t xml:space="preserve">. </w:t>
      </w:r>
      <w:r w:rsidR="00F302CD" w:rsidRPr="003B6692">
        <w:rPr>
          <w:rFonts w:asciiTheme="minorHAnsi" w:hAnsiTheme="minorHAnsi"/>
          <w:b w:val="0"/>
          <w:color w:val="auto"/>
        </w:rPr>
        <w:t xml:space="preserve">The Bayesian priors were based on uniform distributions, which essentially assume that any value within a specified range is equally likely. The lower and upper bounds of the distribution were determined by the lowest and highest estimates from studies found in the literature review. So for example, the reported range for foodborne </w:t>
      </w:r>
      <w:r w:rsidR="00F302CD" w:rsidRPr="003B6692">
        <w:rPr>
          <w:rFonts w:asciiTheme="minorHAnsi" w:hAnsiTheme="minorHAnsi"/>
          <w:b w:val="0"/>
          <w:i/>
          <w:color w:val="auto"/>
        </w:rPr>
        <w:t>Campylobacter</w:t>
      </w:r>
      <w:r w:rsidR="00F302CD" w:rsidRPr="003B6692">
        <w:rPr>
          <w:rFonts w:asciiTheme="minorHAnsi" w:hAnsiTheme="minorHAnsi"/>
          <w:b w:val="0"/>
          <w:color w:val="auto"/>
        </w:rPr>
        <w:t xml:space="preserve"> was between 42% and 80%, and these percentages formed the lower and upper bounds used for the uniform prior</w:t>
      </w:r>
      <w:r w:rsidR="002D51F6" w:rsidRPr="003B6692">
        <w:rPr>
          <w:rFonts w:asciiTheme="minorHAnsi" w:hAnsiTheme="minorHAnsi"/>
          <w:b w:val="0"/>
          <w:color w:val="auto"/>
        </w:rPr>
        <w:t xml:space="preserve"> (see Technical Appendix)</w:t>
      </w:r>
      <w:r w:rsidR="00F302CD" w:rsidRPr="003B6692">
        <w:rPr>
          <w:rFonts w:asciiTheme="minorHAnsi" w:hAnsiTheme="minorHAnsi"/>
          <w:b w:val="0"/>
          <w:color w:val="auto"/>
        </w:rPr>
        <w:t>.</w:t>
      </w:r>
      <w:r w:rsidR="00F302CD">
        <w:rPr>
          <w:rFonts w:asciiTheme="minorHAnsi" w:hAnsiTheme="minorHAnsi"/>
          <w:b w:val="0"/>
          <w:color w:val="auto"/>
        </w:rPr>
        <w:t xml:space="preserve"> </w:t>
      </w:r>
    </w:p>
    <w:p w14:paraId="22982398" w14:textId="77777777" w:rsidR="00F302CD" w:rsidRPr="00F302CD" w:rsidRDefault="00F302CD" w:rsidP="00F302CD"/>
    <w:p w14:paraId="419A41BB" w14:textId="77777777" w:rsidR="002864D8" w:rsidRPr="00857697" w:rsidRDefault="0021372A" w:rsidP="00546FCD">
      <w:pPr>
        <w:pStyle w:val="Heading3"/>
        <w:numPr>
          <w:ilvl w:val="0"/>
          <w:numId w:val="0"/>
        </w:numPr>
        <w:spacing w:line="360" w:lineRule="auto"/>
        <w:rPr>
          <w:rFonts w:asciiTheme="minorHAnsi" w:hAnsiTheme="minorHAnsi"/>
          <w:color w:val="auto"/>
        </w:rPr>
      </w:pPr>
      <w:r w:rsidRPr="00857697">
        <w:rPr>
          <w:rFonts w:asciiTheme="minorHAnsi" w:hAnsiTheme="minorHAnsi"/>
          <w:color w:val="auto"/>
        </w:rPr>
        <w:t>Modelling approach</w:t>
      </w:r>
    </w:p>
    <w:p w14:paraId="55D86FA9" w14:textId="627C3CDA" w:rsidR="002864D8" w:rsidRDefault="00116B5E" w:rsidP="00546FCD">
      <w:pPr>
        <w:pStyle w:val="Unknown0"/>
        <w:spacing w:line="360" w:lineRule="auto"/>
        <w:rPr>
          <w:rFonts w:asciiTheme="minorHAnsi" w:hAnsiTheme="minorHAnsi" w:cstheme="minorHAnsi"/>
        </w:rPr>
      </w:pPr>
      <w:r w:rsidRPr="0021372A">
        <w:rPr>
          <w:rFonts w:asciiTheme="minorHAnsi" w:hAnsiTheme="minorHAnsi" w:cstheme="minorHAnsi"/>
        </w:rPr>
        <w:t xml:space="preserve">We developed a model to estimate the number of cases, general practice consultations and hospital admissions of </w:t>
      </w:r>
      <w:r w:rsidR="00C37483">
        <w:rPr>
          <w:rFonts w:asciiTheme="minorHAnsi" w:hAnsiTheme="minorHAnsi" w:cstheme="minorHAnsi"/>
        </w:rPr>
        <w:t>UK-acquired</w:t>
      </w:r>
      <w:r w:rsidRPr="0021372A">
        <w:rPr>
          <w:rFonts w:asciiTheme="minorHAnsi" w:hAnsiTheme="minorHAnsi" w:cstheme="minorHAnsi"/>
        </w:rPr>
        <w:t xml:space="preserve"> foodborne disease due to </w:t>
      </w:r>
      <w:r w:rsidR="00E87C00">
        <w:rPr>
          <w:rFonts w:asciiTheme="minorHAnsi" w:hAnsiTheme="minorHAnsi" w:cstheme="minorHAnsi"/>
        </w:rPr>
        <w:t>13</w:t>
      </w:r>
      <w:r w:rsidR="00E87C00" w:rsidRPr="0021372A">
        <w:rPr>
          <w:rFonts w:asciiTheme="minorHAnsi" w:hAnsiTheme="minorHAnsi" w:cstheme="minorHAnsi"/>
        </w:rPr>
        <w:t xml:space="preserve"> </w:t>
      </w:r>
      <w:r w:rsidRPr="0021372A">
        <w:rPr>
          <w:rFonts w:asciiTheme="minorHAnsi" w:hAnsiTheme="minorHAnsi" w:cstheme="minorHAnsi"/>
        </w:rPr>
        <w:t>major enteric pathogens</w:t>
      </w:r>
      <w:r w:rsidR="00961B4D">
        <w:rPr>
          <w:rFonts w:asciiTheme="minorHAnsi" w:hAnsiTheme="minorHAnsi" w:cstheme="minorHAnsi"/>
        </w:rPr>
        <w:t xml:space="preserve">: </w:t>
      </w:r>
      <w:r w:rsidR="00F9762E" w:rsidRPr="003B6692">
        <w:rPr>
          <w:rFonts w:asciiTheme="minorHAnsi" w:hAnsiTheme="minorHAnsi" w:cstheme="minorHAnsi"/>
          <w:i/>
        </w:rPr>
        <w:t>Clostridium</w:t>
      </w:r>
      <w:r w:rsidR="00E87C00">
        <w:rPr>
          <w:rFonts w:asciiTheme="minorHAnsi" w:hAnsiTheme="minorHAnsi" w:cstheme="minorHAnsi"/>
          <w:i/>
        </w:rPr>
        <w:t xml:space="preserve"> </w:t>
      </w:r>
      <w:proofErr w:type="spellStart"/>
      <w:r w:rsidR="00E87C00">
        <w:rPr>
          <w:rFonts w:asciiTheme="minorHAnsi" w:hAnsiTheme="minorHAnsi" w:cstheme="minorHAnsi"/>
          <w:i/>
        </w:rPr>
        <w:t>perfringens</w:t>
      </w:r>
      <w:proofErr w:type="spellEnd"/>
      <w:r w:rsidR="00E87C00">
        <w:rPr>
          <w:rFonts w:asciiTheme="minorHAnsi" w:hAnsiTheme="minorHAnsi" w:cstheme="minorHAnsi"/>
          <w:i/>
        </w:rPr>
        <w:t>, Campylobacter, E</w:t>
      </w:r>
      <w:r w:rsidR="0091385F">
        <w:rPr>
          <w:rFonts w:asciiTheme="minorHAnsi" w:hAnsiTheme="minorHAnsi" w:cstheme="minorHAnsi"/>
          <w:i/>
        </w:rPr>
        <w:t>scherichia</w:t>
      </w:r>
      <w:r w:rsidR="00E87C00">
        <w:rPr>
          <w:rFonts w:asciiTheme="minorHAnsi" w:hAnsiTheme="minorHAnsi" w:cstheme="minorHAnsi"/>
          <w:i/>
        </w:rPr>
        <w:t xml:space="preserve"> coli </w:t>
      </w:r>
      <w:r w:rsidR="00E87C00">
        <w:rPr>
          <w:rFonts w:asciiTheme="minorHAnsi" w:hAnsiTheme="minorHAnsi" w:cstheme="minorHAnsi"/>
        </w:rPr>
        <w:t xml:space="preserve">O157, </w:t>
      </w:r>
      <w:r w:rsidR="00E87C00">
        <w:rPr>
          <w:rFonts w:asciiTheme="minorHAnsi" w:hAnsiTheme="minorHAnsi" w:cstheme="minorHAnsi"/>
          <w:i/>
        </w:rPr>
        <w:t>Listeria, Salmonella</w:t>
      </w:r>
      <w:r w:rsidR="00E87C00">
        <w:rPr>
          <w:rFonts w:asciiTheme="minorHAnsi" w:hAnsiTheme="minorHAnsi" w:cstheme="minorHAnsi"/>
        </w:rPr>
        <w:t xml:space="preserve"> (non-</w:t>
      </w:r>
      <w:proofErr w:type="spellStart"/>
      <w:r w:rsidR="00E87C00">
        <w:rPr>
          <w:rFonts w:asciiTheme="minorHAnsi" w:hAnsiTheme="minorHAnsi" w:cstheme="minorHAnsi"/>
        </w:rPr>
        <w:t>typhoidal</w:t>
      </w:r>
      <w:proofErr w:type="spellEnd"/>
      <w:r w:rsidR="00E87C00">
        <w:rPr>
          <w:rFonts w:asciiTheme="minorHAnsi" w:hAnsiTheme="minorHAnsi" w:cstheme="minorHAnsi"/>
        </w:rPr>
        <w:t>)</w:t>
      </w:r>
      <w:r w:rsidR="00E87C00">
        <w:rPr>
          <w:rFonts w:asciiTheme="minorHAnsi" w:hAnsiTheme="minorHAnsi" w:cstheme="minorHAnsi"/>
          <w:i/>
        </w:rPr>
        <w:t xml:space="preserve">, </w:t>
      </w:r>
      <w:proofErr w:type="spellStart"/>
      <w:r w:rsidR="00E87C00">
        <w:rPr>
          <w:rFonts w:asciiTheme="minorHAnsi" w:hAnsiTheme="minorHAnsi" w:cstheme="minorHAnsi"/>
          <w:i/>
        </w:rPr>
        <w:t>Shigella</w:t>
      </w:r>
      <w:proofErr w:type="spellEnd"/>
      <w:r w:rsidR="00E87C00">
        <w:rPr>
          <w:rFonts w:asciiTheme="minorHAnsi" w:hAnsiTheme="minorHAnsi" w:cstheme="minorHAnsi"/>
          <w:i/>
        </w:rPr>
        <w:t xml:space="preserve">, Cryptosporidium, Giardia, </w:t>
      </w:r>
      <w:r w:rsidR="00E87C00">
        <w:rPr>
          <w:rFonts w:asciiTheme="minorHAnsi" w:hAnsiTheme="minorHAnsi" w:cstheme="minorHAnsi"/>
        </w:rPr>
        <w:t xml:space="preserve">adenovirus, </w:t>
      </w:r>
      <w:proofErr w:type="spellStart"/>
      <w:r w:rsidR="00E87C00">
        <w:rPr>
          <w:rFonts w:asciiTheme="minorHAnsi" w:hAnsiTheme="minorHAnsi" w:cstheme="minorHAnsi"/>
        </w:rPr>
        <w:t>astrovirus</w:t>
      </w:r>
      <w:proofErr w:type="spellEnd"/>
      <w:r w:rsidR="00E87C00">
        <w:rPr>
          <w:rFonts w:asciiTheme="minorHAnsi" w:hAnsiTheme="minorHAnsi" w:cstheme="minorHAnsi"/>
        </w:rPr>
        <w:t xml:space="preserve">, norovirus, rotavirus and </w:t>
      </w:r>
      <w:proofErr w:type="spellStart"/>
      <w:r w:rsidR="00E87C00">
        <w:rPr>
          <w:rFonts w:asciiTheme="minorHAnsi" w:hAnsiTheme="minorHAnsi" w:cstheme="minorHAnsi"/>
        </w:rPr>
        <w:t>sapovirus</w:t>
      </w:r>
      <w:proofErr w:type="spellEnd"/>
      <w:r w:rsidR="00E87C00">
        <w:rPr>
          <w:rFonts w:asciiTheme="minorHAnsi" w:hAnsiTheme="minorHAnsi" w:cstheme="minorHAnsi"/>
        </w:rPr>
        <w:t xml:space="preserve">. The basic model </w:t>
      </w:r>
      <w:r w:rsidR="00242459">
        <w:rPr>
          <w:rFonts w:asciiTheme="minorHAnsi" w:hAnsiTheme="minorHAnsi" w:cstheme="minorHAnsi"/>
        </w:rPr>
        <w:t>wa</w:t>
      </w:r>
      <w:r w:rsidR="00E87C00">
        <w:rPr>
          <w:rFonts w:asciiTheme="minorHAnsi" w:hAnsiTheme="minorHAnsi" w:cstheme="minorHAnsi"/>
        </w:rPr>
        <w:t>s:</w:t>
      </w:r>
    </w:p>
    <w:p w14:paraId="6B40803B" w14:textId="77777777" w:rsidR="002864D8" w:rsidRDefault="00EB7CAB" w:rsidP="00546FCD">
      <w:pPr>
        <w:pStyle w:val="Unknown0"/>
        <w:spacing w:line="360" w:lineRule="auto"/>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F</m:t>
              </m:r>
            </m:e>
            <m:sub>
              <m:r>
                <w:rPr>
                  <w:rFonts w:ascii="Cambria Math" w:hAnsi="Cambria Math" w:cstheme="minorHAnsi"/>
                </w:rPr>
                <m:t>p</m:t>
              </m:r>
            </m:sub>
          </m:sSub>
          <m:r>
            <w:rPr>
              <w:rFonts w:ascii="Cambria Math" w:hAnsiTheme="minorHAnsi" w:cstheme="minorHAnsi"/>
            </w:rPr>
            <m:t>=</m:t>
          </m:r>
          <m:r>
            <w:rPr>
              <w:rFonts w:ascii="Cambria Math" w:hAnsi="Cambria Math" w:cstheme="minorHAnsi"/>
            </w:rPr>
            <m:t>N</m:t>
          </m:r>
          <m:r>
            <w:rPr>
              <w:rFonts w:asciiTheme="minorHAnsi" w:hAnsiTheme="minorHAnsi" w:cstheme="minorHAnsi"/>
            </w:rPr>
            <m:t>∙</m:t>
          </m:r>
          <m:sSub>
            <m:sSubPr>
              <m:ctrlPr>
                <w:rPr>
                  <w:rFonts w:ascii="Cambria Math" w:hAnsiTheme="minorHAnsi" w:cstheme="minorHAnsi"/>
                  <w:i/>
                </w:rPr>
              </m:ctrlPr>
            </m:sSubPr>
            <m:e>
              <m:r>
                <w:rPr>
                  <w:rFonts w:ascii="Cambria Math" w:hAnsi="Cambria Math" w:cstheme="minorHAnsi"/>
                </w:rPr>
                <m:t>c</m:t>
              </m:r>
            </m:e>
            <m:sub>
              <m:r>
                <w:rPr>
                  <w:rFonts w:ascii="Cambria Math" w:hAnsi="Cambria Math" w:cstheme="minorHAnsi"/>
                </w:rPr>
                <m:t>p</m:t>
              </m:r>
            </m:sub>
          </m:sSub>
          <m:r>
            <w:rPr>
              <w:rFonts w:asciiTheme="minorHAnsi" w:hAnsiTheme="minorHAnsi" w:cstheme="minorHAnsi"/>
            </w:rPr>
            <m:t>∙</m:t>
          </m:r>
          <m:sSub>
            <m:sSubPr>
              <m:ctrlPr>
                <w:rPr>
                  <w:rFonts w:ascii="Cambria Math" w:hAnsiTheme="minorHAnsi" w:cstheme="minorHAnsi"/>
                  <w:i/>
                </w:rPr>
              </m:ctrlPr>
            </m:sSubPr>
            <m:e>
              <m:r>
                <w:rPr>
                  <w:rFonts w:ascii="Cambria Math" w:hAnsi="Cambria Math" w:cstheme="minorHAnsi"/>
                </w:rPr>
                <m:t>π</m:t>
              </m:r>
            </m:e>
            <m:sub>
              <m:r>
                <w:rPr>
                  <w:rFonts w:ascii="Cambria Math" w:hAnsi="Cambria Math" w:cstheme="minorHAnsi"/>
                </w:rPr>
                <m:t>p</m:t>
              </m:r>
            </m:sub>
          </m:sSub>
          <m:r>
            <m:rPr>
              <m:sty m:val="p"/>
            </m:rPr>
            <w:rPr>
              <w:rFonts w:ascii="Cambria Math" w:hAnsiTheme="minorHAnsi" w:cstheme="minorHAnsi"/>
            </w:rPr>
            <w:br/>
          </m:r>
        </m:oMath>
        <m:oMath>
          <m:sSub>
            <m:sSubPr>
              <m:ctrlPr>
                <w:rPr>
                  <w:rFonts w:ascii="Cambria Math" w:hAnsiTheme="minorHAnsi" w:cstheme="minorHAnsi"/>
                  <w:i/>
                </w:rPr>
              </m:ctrlPr>
            </m:sSubPr>
            <m:e>
              <m:r>
                <w:rPr>
                  <w:rFonts w:ascii="Cambria Math" w:hAnsi="Cambria Math" w:cstheme="minorHAnsi"/>
                </w:rPr>
                <m:t>G</m:t>
              </m:r>
            </m:e>
            <m:sub>
              <m:r>
                <w:rPr>
                  <w:rFonts w:ascii="Cambria Math" w:hAnsi="Cambria Math" w:cstheme="minorHAnsi"/>
                </w:rPr>
                <m:t>p</m:t>
              </m:r>
            </m:sub>
          </m:sSub>
          <m:r>
            <w:rPr>
              <w:rFonts w:ascii="Cambria Math" w:hAnsiTheme="minorHAnsi" w:cstheme="minorHAnsi"/>
            </w:rPr>
            <m:t>=</m:t>
          </m:r>
          <m:r>
            <w:rPr>
              <w:rFonts w:ascii="Cambria Math" w:hAnsi="Cambria Math" w:cstheme="minorHAnsi"/>
            </w:rPr>
            <m:t>N</m:t>
          </m:r>
          <m:r>
            <w:rPr>
              <w:rFonts w:asciiTheme="minorHAnsi" w:hAnsiTheme="minorHAnsi" w:cstheme="minorHAnsi"/>
            </w:rPr>
            <m:t>∙</m:t>
          </m:r>
          <m:sSub>
            <m:sSubPr>
              <m:ctrlPr>
                <w:rPr>
                  <w:rFonts w:ascii="Cambria Math" w:hAnsiTheme="minorHAnsi" w:cstheme="minorHAnsi"/>
                  <w:i/>
                </w:rPr>
              </m:ctrlPr>
            </m:sSubPr>
            <m:e>
              <m:r>
                <w:rPr>
                  <w:rFonts w:ascii="Cambria Math" w:hAnsi="Cambria Math" w:cstheme="minorHAnsi"/>
                </w:rPr>
                <m:t>g</m:t>
              </m:r>
            </m:e>
            <m:sub>
              <m:r>
                <w:rPr>
                  <w:rFonts w:ascii="Cambria Math" w:hAnsi="Cambria Math" w:cstheme="minorHAnsi"/>
                </w:rPr>
                <m:t>p</m:t>
              </m:r>
            </m:sub>
          </m:sSub>
          <m:r>
            <w:rPr>
              <w:rFonts w:asciiTheme="minorHAnsi" w:hAnsiTheme="minorHAnsi" w:cstheme="minorHAnsi"/>
            </w:rPr>
            <m:t>∙</m:t>
          </m:r>
          <m:sSub>
            <m:sSubPr>
              <m:ctrlPr>
                <w:rPr>
                  <w:rFonts w:ascii="Cambria Math" w:hAnsiTheme="minorHAnsi" w:cstheme="minorHAnsi"/>
                  <w:i/>
                </w:rPr>
              </m:ctrlPr>
            </m:sSubPr>
            <m:e>
              <m:r>
                <w:rPr>
                  <w:rFonts w:ascii="Cambria Math" w:hAnsi="Cambria Math" w:cstheme="minorHAnsi"/>
                </w:rPr>
                <m:t>π</m:t>
              </m:r>
            </m:e>
            <m:sub>
              <m:r>
                <w:rPr>
                  <w:rFonts w:ascii="Cambria Math" w:hAnsi="Cambria Math" w:cstheme="minorHAnsi"/>
                </w:rPr>
                <m:t>p</m:t>
              </m:r>
            </m:sub>
          </m:sSub>
          <m:r>
            <m:rPr>
              <m:sty m:val="p"/>
            </m:rPr>
            <w:rPr>
              <w:rFonts w:ascii="Cambria Math" w:hAnsiTheme="minorHAnsi" w:cstheme="minorHAnsi"/>
            </w:rPr>
            <w:br/>
          </m:r>
        </m:oMath>
        <m:oMath>
          <m:sSub>
            <m:sSubPr>
              <m:ctrlPr>
                <w:rPr>
                  <w:rFonts w:ascii="Cambria Math" w:hAnsiTheme="minorHAnsi" w:cstheme="minorHAnsi"/>
                  <w:i/>
                </w:rPr>
              </m:ctrlPr>
            </m:sSubPr>
            <m:e>
              <m:r>
                <w:rPr>
                  <w:rFonts w:ascii="Cambria Math" w:hAnsi="Cambria Math" w:cstheme="minorHAnsi"/>
                </w:rPr>
                <m:t>H</m:t>
              </m:r>
            </m:e>
            <m:sub>
              <m:r>
                <w:rPr>
                  <w:rFonts w:ascii="Cambria Math" w:hAnsi="Cambria Math" w:cstheme="minorHAnsi"/>
                </w:rPr>
                <m:t>p</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F</m:t>
              </m:r>
            </m:e>
            <m:sub>
              <m:r>
                <w:rPr>
                  <w:rFonts w:ascii="Cambria Math" w:hAnsi="Cambria Math" w:cstheme="minorHAnsi"/>
                </w:rPr>
                <m:t>p</m:t>
              </m:r>
            </m:sub>
          </m:sSub>
          <m:r>
            <w:rPr>
              <w:rFonts w:asciiTheme="minorHAnsi" w:hAnsiTheme="minorHAnsi" w:cstheme="minorHAnsi"/>
            </w:rPr>
            <m:t>∙</m:t>
          </m:r>
          <m:sSub>
            <m:sSubPr>
              <m:ctrlPr>
                <w:rPr>
                  <w:rFonts w:ascii="Cambria Math" w:hAnsiTheme="minorHAnsi" w:cstheme="minorHAnsi"/>
                  <w:i/>
                </w:rPr>
              </m:ctrlPr>
            </m:sSubPr>
            <m:e>
              <m:r>
                <w:rPr>
                  <w:rFonts w:ascii="Cambria Math" w:hAnsi="Cambria Math" w:cstheme="minorHAnsi"/>
                </w:rPr>
                <m:t>γ</m:t>
              </m:r>
            </m:e>
            <m:sub>
              <m:r>
                <w:rPr>
                  <w:rFonts w:ascii="Cambria Math" w:hAnsi="Cambria Math" w:cstheme="minorHAnsi"/>
                </w:rPr>
                <m:t>p</m:t>
              </m:r>
            </m:sub>
          </m:sSub>
        </m:oMath>
      </m:oMathPara>
    </w:p>
    <w:p w14:paraId="24844F79" w14:textId="77777777" w:rsidR="002864D8" w:rsidRDefault="00116B5E" w:rsidP="00546FCD">
      <w:pPr>
        <w:pStyle w:val="Unknown0"/>
        <w:spacing w:line="360" w:lineRule="auto"/>
        <w:rPr>
          <w:rFonts w:asciiTheme="minorHAnsi" w:hAnsiTheme="minorHAnsi" w:cstheme="minorHAnsi"/>
        </w:rPr>
      </w:pPr>
      <w:proofErr w:type="gramStart"/>
      <w:r w:rsidRPr="0021372A">
        <w:rPr>
          <w:rFonts w:asciiTheme="minorHAnsi" w:hAnsiTheme="minorHAnsi" w:cstheme="minorHAnsi"/>
        </w:rPr>
        <w:t>where</w:t>
      </w:r>
      <w:proofErr w:type="gramEnd"/>
      <w:r w:rsidRPr="0021372A">
        <w:rPr>
          <w:rFonts w:asciiTheme="minorHAnsi" w:hAnsiTheme="minorHAnsi" w:cstheme="minorHAnsi"/>
        </w:rPr>
        <w:t xml:space="preserve"> </w:t>
      </w:r>
      <w:proofErr w:type="spellStart"/>
      <w:r w:rsidRPr="0021372A">
        <w:rPr>
          <w:rFonts w:asciiTheme="minorHAnsi" w:hAnsiTheme="minorHAnsi" w:cstheme="minorHAnsi"/>
          <w:i/>
        </w:rPr>
        <w:t>F</w:t>
      </w:r>
      <w:r w:rsidRPr="0021372A">
        <w:rPr>
          <w:rFonts w:asciiTheme="minorHAnsi" w:hAnsiTheme="minorHAnsi" w:cstheme="minorHAnsi"/>
          <w:i/>
          <w:vertAlign w:val="subscript"/>
        </w:rPr>
        <w:softHyphen/>
        <w:t>p</w:t>
      </w:r>
      <w:proofErr w:type="spellEnd"/>
      <w:r w:rsidRPr="0021372A">
        <w:rPr>
          <w:rFonts w:asciiTheme="minorHAnsi" w:hAnsiTheme="minorHAnsi" w:cstheme="minorHAnsi"/>
        </w:rPr>
        <w:t xml:space="preserve">, </w:t>
      </w:r>
      <w:proofErr w:type="spellStart"/>
      <w:r w:rsidRPr="0021372A">
        <w:rPr>
          <w:rFonts w:asciiTheme="minorHAnsi" w:hAnsiTheme="minorHAnsi" w:cstheme="minorHAnsi"/>
          <w:i/>
        </w:rPr>
        <w:t>G</w:t>
      </w:r>
      <w:r w:rsidRPr="0021372A">
        <w:rPr>
          <w:rFonts w:asciiTheme="minorHAnsi" w:hAnsiTheme="minorHAnsi" w:cstheme="minorHAnsi"/>
          <w:i/>
          <w:vertAlign w:val="subscript"/>
        </w:rPr>
        <w:t>p</w:t>
      </w:r>
      <w:proofErr w:type="spellEnd"/>
      <w:r w:rsidRPr="0021372A">
        <w:rPr>
          <w:rFonts w:asciiTheme="minorHAnsi" w:hAnsiTheme="minorHAnsi" w:cstheme="minorHAnsi"/>
        </w:rPr>
        <w:t xml:space="preserve"> and </w:t>
      </w:r>
      <w:proofErr w:type="spellStart"/>
      <w:r w:rsidRPr="0021372A">
        <w:rPr>
          <w:rFonts w:asciiTheme="minorHAnsi" w:hAnsiTheme="minorHAnsi" w:cstheme="minorHAnsi"/>
          <w:i/>
        </w:rPr>
        <w:t>H</w:t>
      </w:r>
      <w:r w:rsidRPr="0021372A">
        <w:rPr>
          <w:rFonts w:asciiTheme="minorHAnsi" w:hAnsiTheme="minorHAnsi" w:cstheme="minorHAnsi"/>
          <w:i/>
          <w:vertAlign w:val="subscript"/>
        </w:rPr>
        <w:t>p</w:t>
      </w:r>
      <w:proofErr w:type="spellEnd"/>
      <w:r w:rsidRPr="0021372A">
        <w:rPr>
          <w:rFonts w:asciiTheme="minorHAnsi" w:hAnsiTheme="minorHAnsi" w:cstheme="minorHAnsi"/>
        </w:rPr>
        <w:t xml:space="preserve"> represent, respectively, the estimated number of </w:t>
      </w:r>
      <w:r w:rsidR="00265B6F">
        <w:rPr>
          <w:rFonts w:asciiTheme="minorHAnsi" w:hAnsiTheme="minorHAnsi" w:cstheme="minorHAnsi"/>
        </w:rPr>
        <w:t>UK-acquired</w:t>
      </w:r>
      <w:r w:rsidRPr="0021372A">
        <w:rPr>
          <w:rFonts w:asciiTheme="minorHAnsi" w:hAnsiTheme="minorHAnsi" w:cstheme="minorHAnsi"/>
        </w:rPr>
        <w:t xml:space="preserve"> foodborne disease cases, GP consultations </w:t>
      </w:r>
      <w:r w:rsidR="00183BC3">
        <w:rPr>
          <w:rFonts w:asciiTheme="minorHAnsi" w:hAnsiTheme="minorHAnsi" w:cstheme="minorHAnsi"/>
        </w:rPr>
        <w:t>or</w:t>
      </w:r>
      <w:r w:rsidR="00183BC3" w:rsidRPr="0021372A">
        <w:rPr>
          <w:rFonts w:asciiTheme="minorHAnsi" w:hAnsiTheme="minorHAnsi" w:cstheme="minorHAnsi"/>
        </w:rPr>
        <w:t xml:space="preserve"> </w:t>
      </w:r>
      <w:r w:rsidRPr="0021372A">
        <w:rPr>
          <w:rFonts w:asciiTheme="minorHAnsi" w:hAnsiTheme="minorHAnsi" w:cstheme="minorHAnsi"/>
        </w:rPr>
        <w:t xml:space="preserve">hospital admissions for pathogen </w:t>
      </w:r>
      <w:r w:rsidRPr="0021372A">
        <w:rPr>
          <w:rFonts w:asciiTheme="minorHAnsi" w:hAnsiTheme="minorHAnsi" w:cstheme="minorHAnsi"/>
          <w:i/>
        </w:rPr>
        <w:t>p</w:t>
      </w:r>
      <w:r w:rsidRPr="0021372A">
        <w:rPr>
          <w:rFonts w:asciiTheme="minorHAnsi" w:hAnsiTheme="minorHAnsi" w:cstheme="minorHAnsi"/>
        </w:rPr>
        <w:t xml:space="preserve"> in 2009. </w:t>
      </w:r>
      <w:proofErr w:type="spellStart"/>
      <w:proofErr w:type="gramStart"/>
      <w:r w:rsidRPr="0021372A">
        <w:rPr>
          <w:rFonts w:asciiTheme="minorHAnsi" w:hAnsiTheme="minorHAnsi" w:cstheme="minorHAnsi"/>
          <w:i/>
        </w:rPr>
        <w:t>c</w:t>
      </w:r>
      <w:r w:rsidRPr="0021372A">
        <w:rPr>
          <w:rFonts w:asciiTheme="minorHAnsi" w:hAnsiTheme="minorHAnsi" w:cstheme="minorHAnsi"/>
          <w:i/>
          <w:vertAlign w:val="subscript"/>
        </w:rPr>
        <w:t>p</w:t>
      </w:r>
      <w:proofErr w:type="spellEnd"/>
      <w:proofErr w:type="gramEnd"/>
      <w:r w:rsidRPr="0021372A">
        <w:rPr>
          <w:rFonts w:asciiTheme="minorHAnsi" w:hAnsiTheme="minorHAnsi" w:cstheme="minorHAnsi"/>
        </w:rPr>
        <w:t xml:space="preserve"> is the UK </w:t>
      </w:r>
      <w:r w:rsidR="00183BC3">
        <w:rPr>
          <w:rFonts w:asciiTheme="minorHAnsi" w:hAnsiTheme="minorHAnsi" w:cstheme="minorHAnsi"/>
        </w:rPr>
        <w:t>incidence</w:t>
      </w:r>
      <w:r w:rsidR="00183BC3" w:rsidRPr="0021372A">
        <w:rPr>
          <w:rFonts w:asciiTheme="minorHAnsi" w:hAnsiTheme="minorHAnsi" w:cstheme="minorHAnsi"/>
        </w:rPr>
        <w:t xml:space="preserve"> </w:t>
      </w:r>
      <w:r w:rsidRPr="0021372A">
        <w:rPr>
          <w:rFonts w:asciiTheme="minorHAnsi" w:hAnsiTheme="minorHAnsi" w:cstheme="minorHAnsi"/>
        </w:rPr>
        <w:t xml:space="preserve">of infectious intestinal disease (IID) due to pathogen </w:t>
      </w:r>
      <w:r w:rsidRPr="0021372A">
        <w:rPr>
          <w:rFonts w:asciiTheme="minorHAnsi" w:hAnsiTheme="minorHAnsi" w:cstheme="minorHAnsi"/>
          <w:i/>
        </w:rPr>
        <w:t>p</w:t>
      </w:r>
      <w:r w:rsidRPr="0021372A">
        <w:rPr>
          <w:rFonts w:asciiTheme="minorHAnsi" w:hAnsiTheme="minorHAnsi" w:cstheme="minorHAnsi"/>
        </w:rPr>
        <w:t xml:space="preserve">, and </w:t>
      </w:r>
      <w:proofErr w:type="spellStart"/>
      <w:r w:rsidRPr="0021372A">
        <w:rPr>
          <w:rFonts w:asciiTheme="minorHAnsi" w:hAnsiTheme="minorHAnsi" w:cstheme="minorHAnsi"/>
          <w:i/>
        </w:rPr>
        <w:t>g</w:t>
      </w:r>
      <w:r w:rsidRPr="0021372A">
        <w:rPr>
          <w:rFonts w:asciiTheme="minorHAnsi" w:hAnsiTheme="minorHAnsi" w:cstheme="minorHAnsi"/>
          <w:i/>
          <w:vertAlign w:val="subscript"/>
        </w:rPr>
        <w:t>p</w:t>
      </w:r>
      <w:proofErr w:type="spellEnd"/>
      <w:r w:rsidRPr="0021372A">
        <w:rPr>
          <w:rFonts w:asciiTheme="minorHAnsi" w:hAnsiTheme="minorHAnsi" w:cstheme="minorHAnsi"/>
        </w:rPr>
        <w:t xml:space="preserve"> is the GP consultation</w:t>
      </w:r>
      <w:r w:rsidR="00183BC3">
        <w:rPr>
          <w:rFonts w:asciiTheme="minorHAnsi" w:hAnsiTheme="minorHAnsi" w:cstheme="minorHAnsi"/>
        </w:rPr>
        <w:t xml:space="preserve"> rate for IID</w:t>
      </w:r>
      <w:r w:rsidRPr="0021372A">
        <w:rPr>
          <w:rFonts w:asciiTheme="minorHAnsi" w:hAnsiTheme="minorHAnsi" w:cstheme="minorHAnsi"/>
        </w:rPr>
        <w:t xml:space="preserve"> due to pathogen </w:t>
      </w:r>
      <w:r w:rsidRPr="0021372A">
        <w:rPr>
          <w:rFonts w:asciiTheme="minorHAnsi" w:hAnsiTheme="minorHAnsi" w:cstheme="minorHAnsi"/>
          <w:i/>
        </w:rPr>
        <w:t>p</w:t>
      </w:r>
      <w:r w:rsidRPr="0021372A">
        <w:rPr>
          <w:rFonts w:asciiTheme="minorHAnsi" w:hAnsiTheme="minorHAnsi" w:cstheme="minorHAnsi"/>
        </w:rPr>
        <w:t xml:space="preserve">. </w:t>
      </w:r>
      <w:r w:rsidR="00183BC3" w:rsidRPr="0021372A">
        <w:rPr>
          <w:rFonts w:asciiTheme="minorHAnsi" w:hAnsiTheme="minorHAnsi" w:cstheme="minorHAnsi"/>
        </w:rPr>
        <w:t xml:space="preserve">The constant, </w:t>
      </w:r>
      <w:r w:rsidR="00183BC3" w:rsidRPr="0021372A">
        <w:rPr>
          <w:rFonts w:asciiTheme="minorHAnsi" w:hAnsiTheme="minorHAnsi" w:cstheme="minorHAnsi"/>
          <w:i/>
        </w:rPr>
        <w:t>N</w:t>
      </w:r>
      <w:r w:rsidR="00183BC3" w:rsidRPr="0021372A">
        <w:rPr>
          <w:rFonts w:asciiTheme="minorHAnsi" w:hAnsiTheme="minorHAnsi" w:cstheme="minorHAnsi"/>
        </w:rPr>
        <w:t>, is the mid-2009 population of the UK.</w:t>
      </w:r>
      <w:r w:rsidR="00183BC3">
        <w:rPr>
          <w:rFonts w:asciiTheme="minorHAnsi" w:hAnsiTheme="minorHAnsi" w:cstheme="minorHAnsi"/>
        </w:rPr>
        <w:t xml:space="preserve"> </w:t>
      </w:r>
      <w:r w:rsidRPr="0021372A">
        <w:rPr>
          <w:rFonts w:asciiTheme="minorHAnsi" w:hAnsiTheme="minorHAnsi" w:cstheme="minorHAnsi"/>
        </w:rPr>
        <w:t xml:space="preserve">The two parameters, </w:t>
      </w:r>
      <w:r w:rsidRPr="0021372A">
        <w:rPr>
          <w:rFonts w:asciiTheme="minorHAnsi" w:hAnsiTheme="minorHAnsi" w:cstheme="minorHAnsi"/>
          <w:i/>
        </w:rPr>
        <w:sym w:font="Symbol" w:char="F070"/>
      </w:r>
      <w:r w:rsidRPr="0021372A">
        <w:rPr>
          <w:rFonts w:asciiTheme="minorHAnsi" w:hAnsiTheme="minorHAnsi" w:cstheme="minorHAnsi"/>
          <w:i/>
          <w:vertAlign w:val="subscript"/>
        </w:rPr>
        <w:t>p</w:t>
      </w:r>
      <w:r w:rsidRPr="0021372A">
        <w:rPr>
          <w:rFonts w:asciiTheme="minorHAnsi" w:hAnsiTheme="minorHAnsi" w:cstheme="minorHAnsi"/>
        </w:rPr>
        <w:t xml:space="preserve"> and </w:t>
      </w:r>
      <w:r w:rsidRPr="0021372A">
        <w:rPr>
          <w:rFonts w:asciiTheme="minorHAnsi" w:hAnsiTheme="minorHAnsi" w:cstheme="minorHAnsi"/>
          <w:i/>
        </w:rPr>
        <w:sym w:font="Symbol" w:char="F067"/>
      </w:r>
      <w:r w:rsidRPr="0021372A">
        <w:rPr>
          <w:rFonts w:asciiTheme="minorHAnsi" w:hAnsiTheme="minorHAnsi" w:cstheme="minorHAnsi"/>
          <w:i/>
          <w:vertAlign w:val="subscript"/>
        </w:rPr>
        <w:t>p</w:t>
      </w:r>
      <w:r w:rsidRPr="0021372A">
        <w:rPr>
          <w:rFonts w:asciiTheme="minorHAnsi" w:hAnsiTheme="minorHAnsi" w:cstheme="minorHAnsi"/>
        </w:rPr>
        <w:t>, represent</w:t>
      </w:r>
      <w:r w:rsidR="000A43F1">
        <w:rPr>
          <w:rFonts w:asciiTheme="minorHAnsi" w:hAnsiTheme="minorHAnsi" w:cstheme="minorHAnsi"/>
        </w:rPr>
        <w:t>, respectively,</w:t>
      </w:r>
      <w:r w:rsidRPr="0021372A">
        <w:rPr>
          <w:rFonts w:asciiTheme="minorHAnsi" w:hAnsiTheme="minorHAnsi" w:cstheme="minorHAnsi"/>
        </w:rPr>
        <w:t xml:space="preserve"> the proportion of IID cases due to pathogen </w:t>
      </w:r>
      <w:r w:rsidRPr="0021372A">
        <w:rPr>
          <w:rFonts w:asciiTheme="minorHAnsi" w:hAnsiTheme="minorHAnsi" w:cstheme="minorHAnsi"/>
          <w:i/>
        </w:rPr>
        <w:t>p</w:t>
      </w:r>
      <w:r w:rsidRPr="0021372A">
        <w:rPr>
          <w:rFonts w:asciiTheme="minorHAnsi" w:hAnsiTheme="minorHAnsi" w:cstheme="minorHAnsi"/>
        </w:rPr>
        <w:t xml:space="preserve"> that are </w:t>
      </w:r>
      <w:r w:rsidR="00036FAD">
        <w:rPr>
          <w:rFonts w:asciiTheme="minorHAnsi" w:hAnsiTheme="minorHAnsi" w:cstheme="minorHAnsi"/>
        </w:rPr>
        <w:t>transmitted through food</w:t>
      </w:r>
      <w:r w:rsidRPr="0021372A">
        <w:rPr>
          <w:rFonts w:asciiTheme="minorHAnsi" w:hAnsiTheme="minorHAnsi" w:cstheme="minorHAnsi"/>
        </w:rPr>
        <w:t>, and the proportion of cases</w:t>
      </w:r>
      <w:r w:rsidR="00961B4D">
        <w:rPr>
          <w:rFonts w:asciiTheme="minorHAnsi" w:hAnsiTheme="minorHAnsi" w:cstheme="minorHAnsi"/>
        </w:rPr>
        <w:t xml:space="preserve"> due to pathogen </w:t>
      </w:r>
      <w:r w:rsidR="00961B4D">
        <w:rPr>
          <w:rFonts w:asciiTheme="minorHAnsi" w:hAnsiTheme="minorHAnsi" w:cstheme="minorHAnsi"/>
          <w:i/>
        </w:rPr>
        <w:t>p</w:t>
      </w:r>
      <w:r w:rsidR="00961B4D">
        <w:rPr>
          <w:rFonts w:asciiTheme="minorHAnsi" w:hAnsiTheme="minorHAnsi" w:cstheme="minorHAnsi"/>
        </w:rPr>
        <w:t xml:space="preserve"> that are</w:t>
      </w:r>
      <w:r w:rsidRPr="0021372A">
        <w:rPr>
          <w:rFonts w:asciiTheme="minorHAnsi" w:hAnsiTheme="minorHAnsi" w:cstheme="minorHAnsi"/>
        </w:rPr>
        <w:t xml:space="preserve"> </w:t>
      </w:r>
      <w:proofErr w:type="spellStart"/>
      <w:r w:rsidRPr="0021372A">
        <w:rPr>
          <w:rFonts w:asciiTheme="minorHAnsi" w:hAnsiTheme="minorHAnsi" w:cstheme="minorHAnsi"/>
        </w:rPr>
        <w:t>hospitalised</w:t>
      </w:r>
      <w:proofErr w:type="spellEnd"/>
      <w:r w:rsidRPr="0021372A">
        <w:rPr>
          <w:rFonts w:asciiTheme="minorHAnsi" w:hAnsiTheme="minorHAnsi" w:cstheme="minorHAnsi"/>
        </w:rPr>
        <w:t xml:space="preserve">. </w:t>
      </w:r>
      <w:r w:rsidR="00FB4D41">
        <w:rPr>
          <w:rFonts w:asciiTheme="minorHAnsi" w:hAnsiTheme="minorHAnsi" w:cstheme="minorHAnsi"/>
        </w:rPr>
        <w:t>W</w:t>
      </w:r>
      <w:r w:rsidRPr="0021372A">
        <w:rPr>
          <w:rFonts w:asciiTheme="minorHAnsi" w:hAnsiTheme="minorHAnsi" w:cstheme="minorHAnsi"/>
        </w:rPr>
        <w:t>e assume</w:t>
      </w:r>
      <w:r w:rsidR="0082406A">
        <w:rPr>
          <w:rFonts w:asciiTheme="minorHAnsi" w:hAnsiTheme="minorHAnsi" w:cstheme="minorHAnsi"/>
        </w:rPr>
        <w:t>d</w:t>
      </w:r>
      <w:r w:rsidRPr="0021372A">
        <w:rPr>
          <w:rFonts w:asciiTheme="minorHAnsi" w:hAnsiTheme="minorHAnsi" w:cstheme="minorHAnsi"/>
        </w:rPr>
        <w:t xml:space="preserve"> that</w:t>
      </w:r>
      <w:r w:rsidR="00961B4D">
        <w:rPr>
          <w:rFonts w:asciiTheme="minorHAnsi" w:hAnsiTheme="minorHAnsi" w:cstheme="minorHAnsi"/>
        </w:rPr>
        <w:t xml:space="preserve"> foodborne cases were equally likely </w:t>
      </w:r>
      <w:r w:rsidR="00974AB4">
        <w:rPr>
          <w:rFonts w:asciiTheme="minorHAnsi" w:hAnsiTheme="minorHAnsi" w:cstheme="minorHAnsi"/>
        </w:rPr>
        <w:t xml:space="preserve">to consult </w:t>
      </w:r>
      <w:r w:rsidR="00974AB4" w:rsidRPr="0021372A">
        <w:rPr>
          <w:rFonts w:asciiTheme="minorHAnsi" w:hAnsiTheme="minorHAnsi" w:cstheme="minorHAnsi"/>
        </w:rPr>
        <w:t xml:space="preserve">a GP or </w:t>
      </w:r>
      <w:r w:rsidR="00974AB4">
        <w:rPr>
          <w:rFonts w:asciiTheme="minorHAnsi" w:hAnsiTheme="minorHAnsi" w:cstheme="minorHAnsi"/>
        </w:rPr>
        <w:t>be</w:t>
      </w:r>
      <w:r w:rsidR="00974AB4" w:rsidRPr="0021372A">
        <w:rPr>
          <w:rFonts w:asciiTheme="minorHAnsi" w:hAnsiTheme="minorHAnsi" w:cstheme="minorHAnsi"/>
        </w:rPr>
        <w:t xml:space="preserve"> </w:t>
      </w:r>
      <w:proofErr w:type="spellStart"/>
      <w:r w:rsidR="00974AB4" w:rsidRPr="0021372A">
        <w:rPr>
          <w:rFonts w:asciiTheme="minorHAnsi" w:hAnsiTheme="minorHAnsi" w:cstheme="minorHAnsi"/>
        </w:rPr>
        <w:t>hospitalised</w:t>
      </w:r>
      <w:proofErr w:type="spellEnd"/>
      <w:r w:rsidR="00974AB4">
        <w:rPr>
          <w:rFonts w:asciiTheme="minorHAnsi" w:hAnsiTheme="minorHAnsi" w:cstheme="minorHAnsi"/>
        </w:rPr>
        <w:t xml:space="preserve"> </w:t>
      </w:r>
      <w:r w:rsidR="00961B4D">
        <w:rPr>
          <w:rFonts w:asciiTheme="minorHAnsi" w:hAnsiTheme="minorHAnsi" w:cstheme="minorHAnsi"/>
        </w:rPr>
        <w:t>as non-foodborne cases</w:t>
      </w:r>
      <w:r w:rsidRPr="0021372A">
        <w:rPr>
          <w:rFonts w:asciiTheme="minorHAnsi" w:hAnsiTheme="minorHAnsi" w:cstheme="minorHAnsi"/>
        </w:rPr>
        <w:t>.</w:t>
      </w:r>
    </w:p>
    <w:p w14:paraId="02E98823" w14:textId="4E1E92FC" w:rsidR="002864D8" w:rsidRDefault="0082406A" w:rsidP="00546FCD">
      <w:pPr>
        <w:pStyle w:val="Unknown0"/>
        <w:spacing w:after="0" w:line="360" w:lineRule="auto"/>
        <w:rPr>
          <w:rFonts w:asciiTheme="minorHAnsi" w:hAnsiTheme="minorHAnsi" w:cstheme="minorHAnsi"/>
        </w:rPr>
      </w:pPr>
      <w:r>
        <w:rPr>
          <w:rFonts w:asciiTheme="minorHAnsi" w:hAnsiTheme="minorHAnsi" w:cstheme="minorHAnsi"/>
        </w:rPr>
        <w:t xml:space="preserve">We </w:t>
      </w:r>
      <w:r w:rsidR="00961B4D">
        <w:rPr>
          <w:rFonts w:asciiTheme="minorHAnsi" w:hAnsiTheme="minorHAnsi" w:cstheme="minorHAnsi"/>
        </w:rPr>
        <w:t xml:space="preserve">used </w:t>
      </w:r>
      <w:r w:rsidR="005464D7">
        <w:rPr>
          <w:rFonts w:asciiTheme="minorHAnsi" w:hAnsiTheme="minorHAnsi" w:cstheme="minorHAnsi"/>
        </w:rPr>
        <w:t>various</w:t>
      </w:r>
      <w:r w:rsidR="00961B4D">
        <w:rPr>
          <w:rFonts w:asciiTheme="minorHAnsi" w:hAnsiTheme="minorHAnsi" w:cstheme="minorHAnsi"/>
        </w:rPr>
        <w:t xml:space="preserve"> data sources to inform model parameters</w:t>
      </w:r>
      <w:r w:rsidR="00116B5E" w:rsidRPr="0021372A">
        <w:rPr>
          <w:rFonts w:asciiTheme="minorHAnsi" w:hAnsiTheme="minorHAnsi" w:cstheme="minorHAnsi"/>
        </w:rPr>
        <w:t xml:space="preserve">. </w:t>
      </w:r>
      <w:r w:rsidR="00C5363F">
        <w:rPr>
          <w:rFonts w:asciiTheme="minorHAnsi" w:hAnsiTheme="minorHAnsi" w:cstheme="minorHAnsi"/>
        </w:rPr>
        <w:t xml:space="preserve">The data available for each pathogen are </w:t>
      </w:r>
      <w:proofErr w:type="spellStart"/>
      <w:r w:rsidR="00C5363F">
        <w:rPr>
          <w:rFonts w:asciiTheme="minorHAnsi" w:hAnsiTheme="minorHAnsi" w:cstheme="minorHAnsi"/>
        </w:rPr>
        <w:t>summarised</w:t>
      </w:r>
      <w:proofErr w:type="spellEnd"/>
      <w:r w:rsidR="00C5363F">
        <w:rPr>
          <w:rFonts w:asciiTheme="minorHAnsi" w:hAnsiTheme="minorHAnsi" w:cstheme="minorHAnsi"/>
        </w:rPr>
        <w:t xml:space="preserve"> in </w:t>
      </w:r>
      <w:r w:rsidR="00EB7CAB">
        <w:rPr>
          <w:rFonts w:asciiTheme="minorHAnsi" w:hAnsiTheme="minorHAnsi" w:cstheme="minorHAnsi"/>
        </w:rPr>
        <w:t xml:space="preserve">the </w:t>
      </w:r>
      <w:r w:rsidR="008D4B06">
        <w:rPr>
          <w:rFonts w:asciiTheme="minorHAnsi" w:hAnsiTheme="minorHAnsi" w:cstheme="minorHAnsi"/>
        </w:rPr>
        <w:t>Technical Appendix online</w:t>
      </w:r>
      <w:r w:rsidR="00EB7CAB" w:rsidRPr="00EB7CAB">
        <w:rPr>
          <w:rFonts w:asciiTheme="minorHAnsi" w:hAnsiTheme="minorHAnsi" w:cstheme="minorHAnsi"/>
        </w:rPr>
        <w:t xml:space="preserve"> </w:t>
      </w:r>
      <w:r w:rsidR="00EB7CAB">
        <w:rPr>
          <w:rFonts w:asciiTheme="minorHAnsi" w:hAnsiTheme="minorHAnsi" w:cstheme="minorHAnsi"/>
        </w:rPr>
        <w:t>(</w:t>
      </w:r>
      <w:bookmarkStart w:id="0" w:name="_GoBack"/>
      <w:bookmarkEnd w:id="0"/>
      <w:r w:rsidR="00EB7CAB">
        <w:rPr>
          <w:rFonts w:asciiTheme="minorHAnsi" w:hAnsiTheme="minorHAnsi" w:cstheme="minorHAnsi"/>
        </w:rPr>
        <w:t>Tables A1 to A3</w:t>
      </w:r>
      <w:r w:rsidR="008D4B06">
        <w:rPr>
          <w:rFonts w:asciiTheme="minorHAnsi" w:hAnsiTheme="minorHAnsi" w:cstheme="minorHAnsi"/>
        </w:rPr>
        <w:t>)</w:t>
      </w:r>
      <w:r w:rsidR="00C5363F">
        <w:rPr>
          <w:rFonts w:asciiTheme="minorHAnsi" w:hAnsiTheme="minorHAnsi" w:cstheme="minorHAnsi"/>
        </w:rPr>
        <w:t xml:space="preserve">. </w:t>
      </w:r>
      <w:r w:rsidR="00116B5E" w:rsidRPr="0021372A">
        <w:rPr>
          <w:rFonts w:asciiTheme="minorHAnsi" w:hAnsiTheme="minorHAnsi" w:cstheme="minorHAnsi"/>
        </w:rPr>
        <w:t xml:space="preserve">We used two modelling approaches: a Monte Carlo simulation approach and a Bayesian approach. </w:t>
      </w:r>
      <w:r w:rsidR="00E664F1">
        <w:rPr>
          <w:rFonts w:asciiTheme="minorHAnsi" w:hAnsiTheme="minorHAnsi" w:cstheme="minorHAnsi"/>
        </w:rPr>
        <w:t xml:space="preserve">In the Monte Carlo approach, </w:t>
      </w:r>
      <w:r w:rsidR="00116B5E" w:rsidRPr="0021372A">
        <w:rPr>
          <w:rFonts w:asciiTheme="minorHAnsi" w:hAnsiTheme="minorHAnsi" w:cstheme="minorHAnsi"/>
        </w:rPr>
        <w:t xml:space="preserve">the parameters </w:t>
      </w:r>
      <w:r w:rsidR="00116B5E" w:rsidRPr="0021372A">
        <w:rPr>
          <w:rFonts w:asciiTheme="minorHAnsi" w:hAnsiTheme="minorHAnsi" w:cstheme="minorHAnsi"/>
          <w:i/>
        </w:rPr>
        <w:sym w:font="Symbol" w:char="F070"/>
      </w:r>
      <w:r w:rsidR="00116B5E" w:rsidRPr="0021372A">
        <w:rPr>
          <w:rFonts w:asciiTheme="minorHAnsi" w:hAnsiTheme="minorHAnsi" w:cstheme="minorHAnsi"/>
          <w:i/>
          <w:vertAlign w:val="subscript"/>
        </w:rPr>
        <w:t>p</w:t>
      </w:r>
      <w:r w:rsidR="00116B5E" w:rsidRPr="0021372A">
        <w:rPr>
          <w:rFonts w:asciiTheme="minorHAnsi" w:hAnsiTheme="minorHAnsi" w:cstheme="minorHAnsi"/>
        </w:rPr>
        <w:t xml:space="preserve"> and </w:t>
      </w:r>
      <w:r w:rsidR="00116B5E" w:rsidRPr="0021372A">
        <w:rPr>
          <w:rFonts w:asciiTheme="minorHAnsi" w:hAnsiTheme="minorHAnsi" w:cstheme="minorHAnsi"/>
          <w:i/>
        </w:rPr>
        <w:sym w:font="Symbol" w:char="F067"/>
      </w:r>
      <w:r w:rsidR="00116B5E" w:rsidRPr="0021372A">
        <w:rPr>
          <w:rFonts w:asciiTheme="minorHAnsi" w:hAnsiTheme="minorHAnsi" w:cstheme="minorHAnsi"/>
          <w:i/>
          <w:vertAlign w:val="subscript"/>
        </w:rPr>
        <w:t>p</w:t>
      </w:r>
      <w:r w:rsidR="00116B5E" w:rsidRPr="0021372A">
        <w:rPr>
          <w:rFonts w:asciiTheme="minorHAnsi" w:hAnsiTheme="minorHAnsi" w:cstheme="minorHAnsi"/>
        </w:rPr>
        <w:t xml:space="preserve"> </w:t>
      </w:r>
      <w:r w:rsidR="00E664F1">
        <w:rPr>
          <w:rFonts w:asciiTheme="minorHAnsi" w:hAnsiTheme="minorHAnsi" w:cstheme="minorHAnsi"/>
        </w:rPr>
        <w:t xml:space="preserve">were defined by Beta distributions fitted to empirical bootstrap samples of </w:t>
      </w:r>
      <w:r w:rsidR="00961B4D">
        <w:rPr>
          <w:rFonts w:asciiTheme="minorHAnsi" w:hAnsiTheme="minorHAnsi" w:cstheme="minorHAnsi"/>
        </w:rPr>
        <w:t xml:space="preserve">UK </w:t>
      </w:r>
      <w:r w:rsidR="00E664F1">
        <w:rPr>
          <w:rFonts w:asciiTheme="minorHAnsi" w:hAnsiTheme="minorHAnsi" w:cstheme="minorHAnsi"/>
        </w:rPr>
        <w:t>outbreak data; in the Bayesian approach</w:t>
      </w:r>
      <w:r w:rsidR="00116B5E" w:rsidRPr="0021372A">
        <w:rPr>
          <w:rFonts w:asciiTheme="minorHAnsi" w:hAnsiTheme="minorHAnsi" w:cstheme="minorHAnsi"/>
        </w:rPr>
        <w:t xml:space="preserve">, these parameters </w:t>
      </w:r>
      <w:r>
        <w:rPr>
          <w:rFonts w:asciiTheme="minorHAnsi" w:hAnsiTheme="minorHAnsi" w:cstheme="minorHAnsi"/>
        </w:rPr>
        <w:t>we</w:t>
      </w:r>
      <w:r w:rsidR="00116B5E" w:rsidRPr="0021372A">
        <w:rPr>
          <w:rFonts w:asciiTheme="minorHAnsi" w:hAnsiTheme="minorHAnsi" w:cstheme="minorHAnsi"/>
        </w:rPr>
        <w:t xml:space="preserve">re </w:t>
      </w:r>
      <w:r w:rsidR="000A43F1">
        <w:rPr>
          <w:rFonts w:asciiTheme="minorHAnsi" w:hAnsiTheme="minorHAnsi" w:cstheme="minorHAnsi"/>
        </w:rPr>
        <w:t xml:space="preserve">modelled as binomial quantities and </w:t>
      </w:r>
      <w:r w:rsidR="00116B5E" w:rsidRPr="0021372A">
        <w:rPr>
          <w:rFonts w:asciiTheme="minorHAnsi" w:hAnsiTheme="minorHAnsi" w:cstheme="minorHAnsi"/>
        </w:rPr>
        <w:t>given priors informed by</w:t>
      </w:r>
      <w:r w:rsidR="00961B4D">
        <w:rPr>
          <w:rFonts w:asciiTheme="minorHAnsi" w:hAnsiTheme="minorHAnsi" w:cstheme="minorHAnsi"/>
        </w:rPr>
        <w:t xml:space="preserve"> </w:t>
      </w:r>
      <w:r w:rsidR="00116B5E" w:rsidRPr="0021372A">
        <w:rPr>
          <w:rFonts w:asciiTheme="minorHAnsi" w:hAnsiTheme="minorHAnsi" w:cstheme="minorHAnsi"/>
        </w:rPr>
        <w:t xml:space="preserve">published studies and </w:t>
      </w:r>
      <w:proofErr w:type="spellStart"/>
      <w:r w:rsidR="00116B5E" w:rsidRPr="0021372A">
        <w:rPr>
          <w:rFonts w:asciiTheme="minorHAnsi" w:hAnsiTheme="minorHAnsi" w:cstheme="minorHAnsi"/>
        </w:rPr>
        <w:t>hospitalisation</w:t>
      </w:r>
      <w:proofErr w:type="spellEnd"/>
      <w:r w:rsidR="00116B5E" w:rsidRPr="0021372A">
        <w:rPr>
          <w:rFonts w:asciiTheme="minorHAnsi" w:hAnsiTheme="minorHAnsi" w:cstheme="minorHAnsi"/>
        </w:rPr>
        <w:t xml:space="preserve"> data from </w:t>
      </w:r>
      <w:r w:rsidR="00961B4D">
        <w:rPr>
          <w:rFonts w:asciiTheme="minorHAnsi" w:hAnsiTheme="minorHAnsi" w:cstheme="minorHAnsi"/>
        </w:rPr>
        <w:t xml:space="preserve">previous </w:t>
      </w:r>
      <w:r w:rsidR="00116B5E" w:rsidRPr="0021372A">
        <w:rPr>
          <w:rFonts w:asciiTheme="minorHAnsi" w:hAnsiTheme="minorHAnsi" w:cstheme="minorHAnsi"/>
        </w:rPr>
        <w:t>studies</w:t>
      </w:r>
      <w:r w:rsidR="00961B4D">
        <w:rPr>
          <w:rFonts w:asciiTheme="minorHAnsi" w:hAnsiTheme="minorHAnsi" w:cstheme="minorHAnsi"/>
        </w:rPr>
        <w:t xml:space="preserve"> in the UK</w:t>
      </w:r>
      <w:r w:rsidR="00116B5E" w:rsidRPr="0021372A">
        <w:rPr>
          <w:rFonts w:asciiTheme="minorHAnsi" w:hAnsiTheme="minorHAnsi" w:cstheme="minorHAnsi"/>
        </w:rPr>
        <w:t>.</w:t>
      </w:r>
      <w:r w:rsidR="005E73BC">
        <w:rPr>
          <w:rFonts w:asciiTheme="minorHAnsi" w:hAnsiTheme="minorHAnsi" w:cstheme="minorHAnsi"/>
        </w:rPr>
        <w:t xml:space="preserve"> Model details are given in </w:t>
      </w:r>
      <w:r w:rsidR="00705C1D" w:rsidRPr="00705C1D">
        <w:rPr>
          <w:rFonts w:asciiTheme="minorHAnsi" w:hAnsiTheme="minorHAnsi" w:cstheme="minorHAnsi"/>
        </w:rPr>
        <w:t xml:space="preserve">the </w:t>
      </w:r>
      <w:r w:rsidR="00705C1D" w:rsidRPr="003B6692">
        <w:rPr>
          <w:rFonts w:asciiTheme="minorHAnsi" w:hAnsiTheme="minorHAnsi" w:cstheme="minorHAnsi"/>
        </w:rPr>
        <w:t>Technical Appendix</w:t>
      </w:r>
      <w:r w:rsidR="005E73BC" w:rsidRPr="003B6692">
        <w:rPr>
          <w:rFonts w:asciiTheme="minorHAnsi" w:hAnsiTheme="minorHAnsi" w:cstheme="minorHAnsi"/>
        </w:rPr>
        <w:t>.</w:t>
      </w:r>
    </w:p>
    <w:p w14:paraId="54185C83" w14:textId="77777777" w:rsidR="002864D8" w:rsidRPr="0020421B" w:rsidRDefault="00276E9F" w:rsidP="00546FCD">
      <w:pPr>
        <w:pStyle w:val="Heading3"/>
        <w:numPr>
          <w:ilvl w:val="0"/>
          <w:numId w:val="0"/>
        </w:numPr>
        <w:spacing w:line="360" w:lineRule="auto"/>
        <w:rPr>
          <w:rFonts w:asciiTheme="minorHAnsi" w:hAnsiTheme="minorHAnsi"/>
          <w:i/>
          <w:color w:val="auto"/>
        </w:rPr>
      </w:pPr>
      <w:r w:rsidRPr="0020421B">
        <w:rPr>
          <w:rFonts w:asciiTheme="minorHAnsi" w:hAnsiTheme="minorHAnsi"/>
          <w:color w:val="auto"/>
        </w:rPr>
        <w:t>Pathogen-specific rates of IID</w:t>
      </w:r>
      <w:r w:rsidRPr="0020421B">
        <w:rPr>
          <w:rFonts w:asciiTheme="minorHAnsi" w:hAnsiTheme="minorHAnsi"/>
          <w:i/>
          <w:color w:val="auto"/>
        </w:rPr>
        <w:t xml:space="preserve"> </w:t>
      </w:r>
      <w:r w:rsidR="00116B5E" w:rsidRPr="0020421B">
        <w:rPr>
          <w:rFonts w:asciiTheme="minorHAnsi" w:hAnsiTheme="minorHAnsi"/>
          <w:i/>
          <w:color w:val="auto"/>
        </w:rPr>
        <w:t>(</w:t>
      </w:r>
      <w:proofErr w:type="spellStart"/>
      <w:proofErr w:type="gramStart"/>
      <w:r w:rsidR="00116B5E" w:rsidRPr="0020421B">
        <w:rPr>
          <w:rFonts w:asciiTheme="minorHAnsi" w:hAnsiTheme="minorHAnsi"/>
          <w:i/>
          <w:color w:val="auto"/>
        </w:rPr>
        <w:t>c</w:t>
      </w:r>
      <w:r w:rsidR="00116B5E" w:rsidRPr="0020421B">
        <w:rPr>
          <w:rFonts w:asciiTheme="minorHAnsi" w:hAnsiTheme="minorHAnsi"/>
          <w:i/>
          <w:color w:val="auto"/>
          <w:vertAlign w:val="subscript"/>
        </w:rPr>
        <w:t>p</w:t>
      </w:r>
      <w:proofErr w:type="spellEnd"/>
      <w:r w:rsidR="00116B5E" w:rsidRPr="0020421B">
        <w:rPr>
          <w:rFonts w:asciiTheme="minorHAnsi" w:hAnsiTheme="minorHAnsi"/>
          <w:i/>
          <w:color w:val="auto"/>
          <w:vertAlign w:val="subscript"/>
        </w:rPr>
        <w:t xml:space="preserve"> </w:t>
      </w:r>
      <w:r w:rsidR="00116B5E" w:rsidRPr="0020421B">
        <w:rPr>
          <w:rFonts w:asciiTheme="minorHAnsi" w:hAnsiTheme="minorHAnsi"/>
          <w:i/>
          <w:color w:val="auto"/>
        </w:rPr>
        <w:t>,</w:t>
      </w:r>
      <w:proofErr w:type="gramEnd"/>
      <w:r w:rsidR="00116B5E" w:rsidRPr="0020421B">
        <w:rPr>
          <w:rFonts w:asciiTheme="minorHAnsi" w:hAnsiTheme="minorHAnsi"/>
          <w:i/>
          <w:color w:val="auto"/>
        </w:rPr>
        <w:t xml:space="preserve"> </w:t>
      </w:r>
      <w:proofErr w:type="spellStart"/>
      <w:r w:rsidR="00116B5E" w:rsidRPr="0020421B">
        <w:rPr>
          <w:rFonts w:asciiTheme="minorHAnsi" w:hAnsiTheme="minorHAnsi"/>
          <w:i/>
          <w:color w:val="auto"/>
        </w:rPr>
        <w:t>g</w:t>
      </w:r>
      <w:r w:rsidR="00116B5E" w:rsidRPr="0020421B">
        <w:rPr>
          <w:rFonts w:asciiTheme="minorHAnsi" w:hAnsiTheme="minorHAnsi"/>
          <w:i/>
          <w:color w:val="auto"/>
          <w:vertAlign w:val="subscript"/>
        </w:rPr>
        <w:t>p</w:t>
      </w:r>
      <w:proofErr w:type="spellEnd"/>
      <w:r w:rsidR="00116B5E" w:rsidRPr="0020421B">
        <w:rPr>
          <w:rFonts w:asciiTheme="minorHAnsi" w:hAnsiTheme="minorHAnsi"/>
          <w:i/>
          <w:color w:val="auto"/>
        </w:rPr>
        <w:t>)</w:t>
      </w:r>
    </w:p>
    <w:p w14:paraId="45A1F777" w14:textId="10CCE2AA" w:rsidR="002864D8" w:rsidRPr="00E43DAD" w:rsidRDefault="00116B5E" w:rsidP="00546FCD">
      <w:pPr>
        <w:pStyle w:val="Unknown0"/>
        <w:spacing w:after="0" w:line="360" w:lineRule="auto"/>
        <w:rPr>
          <w:rFonts w:asciiTheme="minorHAnsi" w:hAnsiTheme="minorHAnsi" w:cstheme="minorHAnsi"/>
          <w:strike/>
        </w:rPr>
      </w:pPr>
      <w:r w:rsidRPr="0021372A">
        <w:rPr>
          <w:rFonts w:asciiTheme="minorHAnsi" w:hAnsiTheme="minorHAnsi" w:cstheme="minorHAnsi"/>
        </w:rPr>
        <w:t xml:space="preserve">We obtained data </w:t>
      </w:r>
      <w:r w:rsidR="00166886">
        <w:rPr>
          <w:rFonts w:asciiTheme="minorHAnsi" w:hAnsiTheme="minorHAnsi" w:cstheme="minorHAnsi"/>
        </w:rPr>
        <w:t xml:space="preserve">from the IID2 Study </w:t>
      </w:r>
      <w:r w:rsidRPr="0021372A">
        <w:rPr>
          <w:rFonts w:asciiTheme="minorHAnsi" w:hAnsiTheme="minorHAnsi" w:cstheme="minorHAnsi"/>
        </w:rPr>
        <w:t xml:space="preserve">on </w:t>
      </w:r>
      <w:r w:rsidR="00183BC3">
        <w:rPr>
          <w:rFonts w:asciiTheme="minorHAnsi" w:hAnsiTheme="minorHAnsi" w:cstheme="minorHAnsi"/>
        </w:rPr>
        <w:t>population incidence</w:t>
      </w:r>
      <w:r w:rsidR="00166886">
        <w:rPr>
          <w:rFonts w:asciiTheme="minorHAnsi" w:hAnsiTheme="minorHAnsi" w:cstheme="minorHAnsi"/>
        </w:rPr>
        <w:t xml:space="preserve"> and GP consultation</w:t>
      </w:r>
      <w:r w:rsidR="00183BC3">
        <w:rPr>
          <w:rFonts w:asciiTheme="minorHAnsi" w:hAnsiTheme="minorHAnsi" w:cstheme="minorHAnsi"/>
        </w:rPr>
        <w:t xml:space="preserve"> rates for IID</w:t>
      </w:r>
      <w:r w:rsidR="006C26E4">
        <w:rPr>
          <w:rFonts w:asciiTheme="minorHAnsi" w:hAnsiTheme="minorHAnsi" w:cstheme="minorHAnsi"/>
        </w:rPr>
        <w:t>, and their associated uncertainty,</w:t>
      </w:r>
      <w:r w:rsidR="00166886">
        <w:rPr>
          <w:rFonts w:asciiTheme="minorHAnsi" w:hAnsiTheme="minorHAnsi" w:cstheme="minorHAnsi"/>
        </w:rPr>
        <w:t xml:space="preserve"> for the </w:t>
      </w:r>
      <w:r w:rsidR="00D46243">
        <w:rPr>
          <w:rFonts w:asciiTheme="minorHAnsi" w:hAnsiTheme="minorHAnsi" w:cstheme="minorHAnsi"/>
        </w:rPr>
        <w:t>above pathogen</w:t>
      </w:r>
      <w:r w:rsidR="006C26E4">
        <w:rPr>
          <w:rFonts w:asciiTheme="minorHAnsi" w:hAnsiTheme="minorHAnsi" w:cstheme="minorHAnsi"/>
        </w:rPr>
        <w:t>s</w:t>
      </w:r>
      <w:r w:rsidR="00D46243">
        <w:rPr>
          <w:rFonts w:asciiTheme="minorHAnsi" w:hAnsiTheme="minorHAnsi" w:cstheme="minorHAnsi"/>
        </w:rPr>
        <w:t>.</w:t>
      </w:r>
      <w:r w:rsidR="005464D7">
        <w:rPr>
          <w:rFonts w:asciiTheme="minorHAnsi" w:hAnsiTheme="minorHAnsi" w:cstheme="minorHAnsi"/>
        </w:rPr>
        <w:t>[10]</w:t>
      </w:r>
      <w:r w:rsidRPr="0021372A">
        <w:rPr>
          <w:rFonts w:asciiTheme="minorHAnsi" w:hAnsiTheme="minorHAnsi" w:cstheme="minorHAnsi"/>
        </w:rPr>
        <w:t xml:space="preserve"> </w:t>
      </w:r>
      <w:r w:rsidRPr="003B6692">
        <w:rPr>
          <w:rFonts w:asciiTheme="minorHAnsi" w:hAnsiTheme="minorHAnsi" w:cstheme="minorHAnsi"/>
        </w:rPr>
        <w:t xml:space="preserve">For </w:t>
      </w:r>
      <w:proofErr w:type="spellStart"/>
      <w:r w:rsidRPr="003B6692">
        <w:rPr>
          <w:rFonts w:asciiTheme="minorHAnsi" w:hAnsiTheme="minorHAnsi" w:cstheme="minorHAnsi"/>
          <w:i/>
        </w:rPr>
        <w:t>Shigella</w:t>
      </w:r>
      <w:proofErr w:type="spellEnd"/>
      <w:r w:rsidRPr="003B6692">
        <w:rPr>
          <w:rFonts w:asciiTheme="minorHAnsi" w:hAnsiTheme="minorHAnsi" w:cstheme="minorHAnsi"/>
        </w:rPr>
        <w:t xml:space="preserve">, </w:t>
      </w:r>
      <w:r w:rsidR="00183BC3" w:rsidRPr="003B6692">
        <w:rPr>
          <w:rFonts w:asciiTheme="minorHAnsi" w:hAnsiTheme="minorHAnsi" w:cstheme="minorHAnsi"/>
        </w:rPr>
        <w:t xml:space="preserve">no cases were </w:t>
      </w:r>
      <w:r w:rsidR="00166886" w:rsidRPr="003B6692">
        <w:rPr>
          <w:rFonts w:asciiTheme="minorHAnsi" w:hAnsiTheme="minorHAnsi" w:cstheme="minorHAnsi"/>
        </w:rPr>
        <w:t>found in IID2</w:t>
      </w:r>
      <w:r w:rsidR="00E60F40" w:rsidRPr="003B6692">
        <w:rPr>
          <w:rFonts w:asciiTheme="minorHAnsi" w:hAnsiTheme="minorHAnsi" w:cstheme="minorHAnsi"/>
        </w:rPr>
        <w:t xml:space="preserve"> so</w:t>
      </w:r>
      <w:r w:rsidR="00166886" w:rsidRPr="003B6692">
        <w:rPr>
          <w:rFonts w:asciiTheme="minorHAnsi" w:hAnsiTheme="minorHAnsi" w:cstheme="minorHAnsi"/>
        </w:rPr>
        <w:t xml:space="preserve"> </w:t>
      </w:r>
      <w:r w:rsidRPr="003B6692">
        <w:rPr>
          <w:rFonts w:asciiTheme="minorHAnsi" w:hAnsiTheme="minorHAnsi" w:cstheme="minorHAnsi"/>
        </w:rPr>
        <w:t xml:space="preserve">we </w:t>
      </w:r>
      <w:r w:rsidR="00166886" w:rsidRPr="003B6692">
        <w:rPr>
          <w:rFonts w:asciiTheme="minorHAnsi" w:hAnsiTheme="minorHAnsi" w:cstheme="minorHAnsi"/>
        </w:rPr>
        <w:t>applied</w:t>
      </w:r>
      <w:r w:rsidR="00166886">
        <w:rPr>
          <w:rFonts w:asciiTheme="minorHAnsi" w:hAnsiTheme="minorHAnsi" w:cstheme="minorHAnsi"/>
        </w:rPr>
        <w:t xml:space="preserve"> </w:t>
      </w:r>
      <w:r w:rsidRPr="0021372A">
        <w:rPr>
          <w:rFonts w:asciiTheme="minorHAnsi" w:hAnsiTheme="minorHAnsi" w:cstheme="minorHAnsi"/>
        </w:rPr>
        <w:t xml:space="preserve">the reporting ratio </w:t>
      </w:r>
      <w:r w:rsidR="00166886">
        <w:rPr>
          <w:rFonts w:asciiTheme="minorHAnsi" w:hAnsiTheme="minorHAnsi" w:cstheme="minorHAnsi"/>
        </w:rPr>
        <w:t xml:space="preserve">from </w:t>
      </w:r>
      <w:r w:rsidRPr="0021372A">
        <w:rPr>
          <w:rFonts w:asciiTheme="minorHAnsi" w:hAnsiTheme="minorHAnsi" w:cstheme="minorHAnsi"/>
        </w:rPr>
        <w:t>IID1</w:t>
      </w:r>
      <w:r w:rsidR="00166886">
        <w:rPr>
          <w:rFonts w:asciiTheme="minorHAnsi" w:hAnsiTheme="minorHAnsi" w:cstheme="minorHAnsi"/>
        </w:rPr>
        <w:t xml:space="preserve"> (</w:t>
      </w:r>
      <w:r w:rsidRPr="0021372A">
        <w:rPr>
          <w:rFonts w:asciiTheme="minorHAnsi" w:hAnsiTheme="minorHAnsi" w:cstheme="minorHAnsi"/>
        </w:rPr>
        <w:t xml:space="preserve">the ratio of community </w:t>
      </w:r>
      <w:r w:rsidR="00183BC3">
        <w:rPr>
          <w:rFonts w:asciiTheme="minorHAnsi" w:hAnsiTheme="minorHAnsi" w:cstheme="minorHAnsi"/>
        </w:rPr>
        <w:t xml:space="preserve">cases </w:t>
      </w:r>
      <w:r w:rsidRPr="0021372A">
        <w:rPr>
          <w:rFonts w:asciiTheme="minorHAnsi" w:hAnsiTheme="minorHAnsi" w:cstheme="minorHAnsi"/>
        </w:rPr>
        <w:t>to laboratory-confirmed cases reported to national surveillance</w:t>
      </w:r>
      <w:r w:rsidR="00166886">
        <w:rPr>
          <w:rFonts w:asciiTheme="minorHAnsi" w:hAnsiTheme="minorHAnsi" w:cstheme="minorHAnsi"/>
        </w:rPr>
        <w:t>)</w:t>
      </w:r>
      <w:r w:rsidRPr="0021372A">
        <w:rPr>
          <w:rFonts w:asciiTheme="minorHAnsi" w:hAnsiTheme="minorHAnsi" w:cstheme="minorHAnsi"/>
        </w:rPr>
        <w:t xml:space="preserve"> to the number of cases reported in 2009</w:t>
      </w:r>
      <w:r w:rsidR="00C90550">
        <w:rPr>
          <w:rFonts w:asciiTheme="minorHAnsi" w:hAnsiTheme="minorHAnsi" w:cstheme="minorHAnsi"/>
        </w:rPr>
        <w:t xml:space="preserve"> and </w:t>
      </w:r>
      <w:r w:rsidRPr="0021372A">
        <w:rPr>
          <w:rFonts w:asciiTheme="minorHAnsi" w:hAnsiTheme="minorHAnsi" w:cstheme="minorHAnsi"/>
        </w:rPr>
        <w:t xml:space="preserve">divided </w:t>
      </w:r>
      <w:r w:rsidR="003D2E53">
        <w:rPr>
          <w:rFonts w:asciiTheme="minorHAnsi" w:hAnsiTheme="minorHAnsi" w:cstheme="minorHAnsi"/>
        </w:rPr>
        <w:t xml:space="preserve">this </w:t>
      </w:r>
      <w:r w:rsidRPr="0021372A">
        <w:rPr>
          <w:rFonts w:asciiTheme="minorHAnsi" w:hAnsiTheme="minorHAnsi" w:cstheme="minorHAnsi"/>
        </w:rPr>
        <w:t xml:space="preserve">by the mid-2009 UK population to obtain the overall </w:t>
      </w:r>
      <w:r w:rsidR="00166886" w:rsidRPr="00166886">
        <w:rPr>
          <w:rFonts w:asciiTheme="minorHAnsi" w:hAnsiTheme="minorHAnsi" w:cstheme="minorHAnsi"/>
        </w:rPr>
        <w:t>shigellosis</w:t>
      </w:r>
      <w:r w:rsidR="00E73245">
        <w:rPr>
          <w:rFonts w:asciiTheme="minorHAnsi" w:hAnsiTheme="minorHAnsi" w:cstheme="minorHAnsi"/>
        </w:rPr>
        <w:t xml:space="preserve"> rate</w:t>
      </w:r>
      <w:r w:rsidRPr="0021372A">
        <w:rPr>
          <w:rFonts w:asciiTheme="minorHAnsi" w:hAnsiTheme="minorHAnsi" w:cstheme="minorHAnsi"/>
        </w:rPr>
        <w:t>.</w:t>
      </w:r>
      <w:r w:rsidR="005464D7">
        <w:rPr>
          <w:rFonts w:asciiTheme="minorHAnsi" w:hAnsiTheme="minorHAnsi" w:cstheme="minorHAnsi"/>
        </w:rPr>
        <w:t>[11]</w:t>
      </w:r>
      <w:r w:rsidRPr="0021372A">
        <w:rPr>
          <w:rFonts w:asciiTheme="minorHAnsi" w:hAnsiTheme="minorHAnsi" w:cstheme="minorHAnsi"/>
        </w:rPr>
        <w:t xml:space="preserve"> </w:t>
      </w:r>
      <w:r w:rsidR="003D2E98">
        <w:rPr>
          <w:rFonts w:asciiTheme="minorHAnsi" w:hAnsiTheme="minorHAnsi" w:cstheme="minorHAnsi"/>
        </w:rPr>
        <w:t xml:space="preserve">Similarly, we estimated </w:t>
      </w:r>
      <w:r w:rsidRPr="0021372A">
        <w:rPr>
          <w:rFonts w:asciiTheme="minorHAnsi" w:hAnsiTheme="minorHAnsi" w:cstheme="minorHAnsi"/>
        </w:rPr>
        <w:t xml:space="preserve">GP consultation </w:t>
      </w:r>
      <w:r w:rsidR="003D2E98" w:rsidRPr="0021372A">
        <w:rPr>
          <w:rFonts w:asciiTheme="minorHAnsi" w:hAnsiTheme="minorHAnsi" w:cstheme="minorHAnsi"/>
        </w:rPr>
        <w:t>rate</w:t>
      </w:r>
      <w:r w:rsidR="003D2E98">
        <w:rPr>
          <w:rFonts w:asciiTheme="minorHAnsi" w:hAnsiTheme="minorHAnsi" w:cstheme="minorHAnsi"/>
        </w:rPr>
        <w:t>s</w:t>
      </w:r>
      <w:r w:rsidR="003D2E98" w:rsidRPr="0021372A">
        <w:rPr>
          <w:rFonts w:asciiTheme="minorHAnsi" w:hAnsiTheme="minorHAnsi" w:cstheme="minorHAnsi"/>
        </w:rPr>
        <w:t xml:space="preserve"> </w:t>
      </w:r>
      <w:r w:rsidRPr="0021372A">
        <w:rPr>
          <w:rFonts w:asciiTheme="minorHAnsi" w:hAnsiTheme="minorHAnsi" w:cstheme="minorHAnsi"/>
        </w:rPr>
        <w:t xml:space="preserve">by applying the </w:t>
      </w:r>
      <w:r w:rsidR="00183BC3">
        <w:rPr>
          <w:rFonts w:asciiTheme="minorHAnsi" w:hAnsiTheme="minorHAnsi" w:cstheme="minorHAnsi"/>
        </w:rPr>
        <w:t xml:space="preserve">reporting </w:t>
      </w:r>
      <w:r w:rsidRPr="0021372A">
        <w:rPr>
          <w:rFonts w:asciiTheme="minorHAnsi" w:hAnsiTheme="minorHAnsi" w:cstheme="minorHAnsi"/>
        </w:rPr>
        <w:t xml:space="preserve">ratio </w:t>
      </w:r>
      <w:r w:rsidR="00183BC3">
        <w:rPr>
          <w:rFonts w:asciiTheme="minorHAnsi" w:hAnsiTheme="minorHAnsi" w:cstheme="minorHAnsi"/>
        </w:rPr>
        <w:t xml:space="preserve">from IID1 (the ratio </w:t>
      </w:r>
      <w:r w:rsidRPr="0021372A">
        <w:rPr>
          <w:rFonts w:asciiTheme="minorHAnsi" w:hAnsiTheme="minorHAnsi" w:cstheme="minorHAnsi"/>
        </w:rPr>
        <w:t xml:space="preserve">of GP </w:t>
      </w:r>
      <w:r w:rsidR="00183BC3">
        <w:rPr>
          <w:rFonts w:asciiTheme="minorHAnsi" w:hAnsiTheme="minorHAnsi" w:cstheme="minorHAnsi"/>
        </w:rPr>
        <w:t xml:space="preserve">consultations </w:t>
      </w:r>
      <w:r w:rsidRPr="0021372A">
        <w:rPr>
          <w:rFonts w:asciiTheme="minorHAnsi" w:hAnsiTheme="minorHAnsi" w:cstheme="minorHAnsi"/>
        </w:rPr>
        <w:t xml:space="preserve">to </w:t>
      </w:r>
      <w:r w:rsidR="00183BC3" w:rsidRPr="0021372A">
        <w:rPr>
          <w:rFonts w:asciiTheme="minorHAnsi" w:hAnsiTheme="minorHAnsi" w:cstheme="minorHAnsi"/>
        </w:rPr>
        <w:t>laboratory-confirmed cases reported to national surveillance</w:t>
      </w:r>
      <w:r w:rsidR="00183BC3">
        <w:rPr>
          <w:rFonts w:asciiTheme="minorHAnsi" w:hAnsiTheme="minorHAnsi" w:cstheme="minorHAnsi"/>
        </w:rPr>
        <w:t>)</w:t>
      </w:r>
      <w:r w:rsidRPr="0021372A">
        <w:rPr>
          <w:rFonts w:asciiTheme="minorHAnsi" w:hAnsiTheme="minorHAnsi" w:cstheme="minorHAnsi"/>
        </w:rPr>
        <w:t xml:space="preserve"> to the number of laboratory reports in 2009. </w:t>
      </w:r>
      <w:r w:rsidR="003D2E98">
        <w:rPr>
          <w:rFonts w:asciiTheme="minorHAnsi" w:hAnsiTheme="minorHAnsi" w:cstheme="minorHAnsi"/>
        </w:rPr>
        <w:t>We accounted for u</w:t>
      </w:r>
      <w:r w:rsidRPr="0021372A">
        <w:rPr>
          <w:rFonts w:asciiTheme="minorHAnsi" w:hAnsiTheme="minorHAnsi" w:cstheme="minorHAnsi"/>
        </w:rPr>
        <w:t xml:space="preserve">ncertainty in incidence estimates by </w:t>
      </w:r>
      <w:r w:rsidR="00C90550">
        <w:rPr>
          <w:rFonts w:asciiTheme="minorHAnsi" w:hAnsiTheme="minorHAnsi" w:cstheme="minorHAnsi"/>
        </w:rPr>
        <w:t>sampling 100,000 times from the distribution of reporting ratios estimated in IID1</w:t>
      </w:r>
      <w:r w:rsidRPr="0021372A">
        <w:rPr>
          <w:rFonts w:asciiTheme="minorHAnsi" w:hAnsiTheme="minorHAnsi" w:cstheme="minorHAnsi"/>
        </w:rPr>
        <w:t xml:space="preserve">. For </w:t>
      </w:r>
      <w:r w:rsidRPr="0021372A">
        <w:rPr>
          <w:rFonts w:asciiTheme="minorHAnsi" w:hAnsiTheme="minorHAnsi" w:cstheme="minorHAnsi"/>
          <w:i/>
        </w:rPr>
        <w:t>Listeria</w:t>
      </w:r>
      <w:r w:rsidRPr="0021372A">
        <w:rPr>
          <w:rFonts w:asciiTheme="minorHAnsi" w:hAnsiTheme="minorHAnsi" w:cstheme="minorHAnsi"/>
        </w:rPr>
        <w:t xml:space="preserve">, no </w:t>
      </w:r>
      <w:r w:rsidR="00AB5922" w:rsidRPr="0021372A">
        <w:rPr>
          <w:rFonts w:asciiTheme="minorHAnsi" w:hAnsiTheme="minorHAnsi" w:cstheme="minorHAnsi"/>
        </w:rPr>
        <w:t xml:space="preserve">incidence </w:t>
      </w:r>
      <w:r w:rsidRPr="0021372A">
        <w:rPr>
          <w:rFonts w:asciiTheme="minorHAnsi" w:hAnsiTheme="minorHAnsi" w:cstheme="minorHAnsi"/>
        </w:rPr>
        <w:t xml:space="preserve">data were available from IID1 or IID2 </w:t>
      </w:r>
      <w:r w:rsidR="003D2E98">
        <w:rPr>
          <w:rFonts w:asciiTheme="minorHAnsi" w:hAnsiTheme="minorHAnsi" w:cstheme="minorHAnsi"/>
        </w:rPr>
        <w:t xml:space="preserve">so we used </w:t>
      </w:r>
      <w:r w:rsidRPr="0021372A">
        <w:rPr>
          <w:rFonts w:asciiTheme="minorHAnsi" w:hAnsiTheme="minorHAnsi" w:cstheme="minorHAnsi"/>
        </w:rPr>
        <w:t xml:space="preserve">the number of laboratory reports for </w:t>
      </w:r>
      <w:proofErr w:type="spellStart"/>
      <w:r w:rsidRPr="0021372A">
        <w:rPr>
          <w:rFonts w:asciiTheme="minorHAnsi" w:hAnsiTheme="minorHAnsi" w:cstheme="minorHAnsi"/>
        </w:rPr>
        <w:t>listeriosis</w:t>
      </w:r>
      <w:proofErr w:type="spellEnd"/>
      <w:r w:rsidRPr="0021372A">
        <w:rPr>
          <w:rFonts w:asciiTheme="minorHAnsi" w:hAnsiTheme="minorHAnsi" w:cstheme="minorHAnsi"/>
        </w:rPr>
        <w:t xml:space="preserve"> in 2009 as a conservative population incidence</w:t>
      </w:r>
      <w:r w:rsidR="006D280E" w:rsidRPr="006D280E">
        <w:rPr>
          <w:rFonts w:asciiTheme="minorHAnsi" w:hAnsiTheme="minorHAnsi" w:cstheme="minorHAnsi"/>
        </w:rPr>
        <w:t xml:space="preserve"> </w:t>
      </w:r>
      <w:r w:rsidR="006D280E" w:rsidRPr="0021372A">
        <w:rPr>
          <w:rFonts w:asciiTheme="minorHAnsi" w:hAnsiTheme="minorHAnsi" w:cstheme="minorHAnsi"/>
        </w:rPr>
        <w:t>estimate</w:t>
      </w:r>
      <w:r w:rsidRPr="0021372A">
        <w:rPr>
          <w:rFonts w:asciiTheme="minorHAnsi" w:hAnsiTheme="minorHAnsi" w:cstheme="minorHAnsi"/>
        </w:rPr>
        <w:t>.</w:t>
      </w:r>
      <w:r w:rsidR="00183BC3">
        <w:rPr>
          <w:rFonts w:asciiTheme="minorHAnsi" w:hAnsiTheme="minorHAnsi" w:cstheme="minorHAnsi"/>
        </w:rPr>
        <w:t xml:space="preserve"> </w:t>
      </w:r>
    </w:p>
    <w:p w14:paraId="719F73F5" w14:textId="77777777" w:rsidR="002864D8" w:rsidRPr="0020421B" w:rsidRDefault="00235197" w:rsidP="00546FCD">
      <w:pPr>
        <w:pStyle w:val="Heading3"/>
        <w:numPr>
          <w:ilvl w:val="0"/>
          <w:numId w:val="0"/>
        </w:numPr>
        <w:spacing w:line="360" w:lineRule="auto"/>
        <w:rPr>
          <w:rFonts w:asciiTheme="minorHAnsi" w:hAnsiTheme="minorHAnsi"/>
          <w:i/>
          <w:color w:val="auto"/>
        </w:rPr>
      </w:pPr>
      <w:r w:rsidRPr="0020421B">
        <w:rPr>
          <w:rFonts w:asciiTheme="minorHAnsi" w:hAnsiTheme="minorHAnsi"/>
          <w:color w:val="auto"/>
        </w:rPr>
        <w:t xml:space="preserve">Proportion of cases </w:t>
      </w:r>
      <w:r w:rsidR="000847EF" w:rsidRPr="0020421B">
        <w:rPr>
          <w:rFonts w:asciiTheme="minorHAnsi" w:hAnsiTheme="minorHAnsi"/>
          <w:color w:val="auto"/>
        </w:rPr>
        <w:t>transmitted through food</w:t>
      </w:r>
      <w:r w:rsidR="00C903C8" w:rsidRPr="0020421B">
        <w:rPr>
          <w:rFonts w:asciiTheme="minorHAnsi" w:hAnsiTheme="minorHAnsi"/>
          <w:color w:val="auto"/>
        </w:rPr>
        <w:t xml:space="preserve"> </w:t>
      </w:r>
      <w:r w:rsidR="00116B5E" w:rsidRPr="0020421B">
        <w:rPr>
          <w:rFonts w:asciiTheme="minorHAnsi" w:hAnsiTheme="minorHAnsi"/>
          <w:i/>
          <w:color w:val="auto"/>
        </w:rPr>
        <w:t>(</w:t>
      </w:r>
      <w:r w:rsidR="00116B5E" w:rsidRPr="0020421B">
        <w:rPr>
          <w:rFonts w:asciiTheme="minorHAnsi" w:hAnsiTheme="minorHAnsi"/>
          <w:i/>
          <w:color w:val="auto"/>
        </w:rPr>
        <w:sym w:font="Symbol" w:char="F070"/>
      </w:r>
      <w:r w:rsidR="007C0965" w:rsidRPr="0020421B">
        <w:rPr>
          <w:rFonts w:asciiTheme="minorHAnsi" w:hAnsiTheme="minorHAnsi"/>
          <w:i/>
          <w:color w:val="auto"/>
          <w:vertAlign w:val="subscript"/>
        </w:rPr>
        <w:t>p</w:t>
      </w:r>
      <w:r w:rsidR="00116B5E" w:rsidRPr="0020421B">
        <w:rPr>
          <w:rFonts w:asciiTheme="minorHAnsi" w:hAnsiTheme="minorHAnsi"/>
          <w:i/>
          <w:color w:val="auto"/>
        </w:rPr>
        <w:t>)</w:t>
      </w:r>
    </w:p>
    <w:p w14:paraId="0D307525" w14:textId="77777777" w:rsidR="006E0430" w:rsidRPr="006E0430" w:rsidRDefault="002864D8" w:rsidP="006E0430">
      <w:pPr>
        <w:pStyle w:val="Subtitle"/>
        <w:spacing w:after="0" w:line="360" w:lineRule="auto"/>
        <w:rPr>
          <w:rFonts w:asciiTheme="minorHAnsi" w:hAnsiTheme="minorHAnsi"/>
          <w:i w:val="0"/>
          <w:color w:val="auto"/>
          <w:sz w:val="22"/>
        </w:rPr>
      </w:pPr>
      <w:r w:rsidRPr="006E0430">
        <w:rPr>
          <w:rFonts w:asciiTheme="minorHAnsi" w:hAnsiTheme="minorHAnsi"/>
          <w:i w:val="0"/>
          <w:color w:val="auto"/>
          <w:sz w:val="22"/>
        </w:rPr>
        <w:t>Estimating the proportion of cases transmitted through food</w:t>
      </w:r>
    </w:p>
    <w:p w14:paraId="170AB8BA" w14:textId="77777777" w:rsidR="002864D8" w:rsidRDefault="0096502E" w:rsidP="00546FCD">
      <w:pPr>
        <w:pStyle w:val="Unknown0"/>
        <w:spacing w:line="360" w:lineRule="auto"/>
        <w:rPr>
          <w:rFonts w:asciiTheme="minorHAnsi" w:hAnsiTheme="minorHAnsi" w:cstheme="minorHAnsi"/>
        </w:rPr>
      </w:pPr>
      <w:r>
        <w:rPr>
          <w:rFonts w:asciiTheme="minorHAnsi" w:hAnsiTheme="minorHAnsi" w:cstheme="minorHAnsi"/>
        </w:rPr>
        <w:t xml:space="preserve">We used data on outbreaks reported </w:t>
      </w:r>
      <w:r w:rsidR="00387293">
        <w:rPr>
          <w:rFonts w:asciiTheme="minorHAnsi" w:hAnsiTheme="minorHAnsi" w:cstheme="minorHAnsi"/>
        </w:rPr>
        <w:t>to national surveillance systems</w:t>
      </w:r>
      <w:r>
        <w:rPr>
          <w:rFonts w:asciiTheme="minorHAnsi" w:hAnsiTheme="minorHAnsi" w:cstheme="minorHAnsi"/>
        </w:rPr>
        <w:t xml:space="preserve"> between January 2001 and December 2008 to estimate </w:t>
      </w:r>
      <w:r w:rsidR="00116B5E" w:rsidRPr="0021372A">
        <w:rPr>
          <w:rFonts w:asciiTheme="minorHAnsi" w:hAnsiTheme="minorHAnsi" w:cstheme="minorHAnsi"/>
        </w:rPr>
        <w:t xml:space="preserve">the proportion of cases </w:t>
      </w:r>
      <w:r w:rsidR="00EE7629">
        <w:rPr>
          <w:rFonts w:asciiTheme="minorHAnsi" w:hAnsiTheme="minorHAnsi" w:cstheme="minorHAnsi"/>
        </w:rPr>
        <w:t>transmitted through food</w:t>
      </w:r>
      <w:r w:rsidR="00116B5E" w:rsidRPr="0021372A">
        <w:rPr>
          <w:rFonts w:asciiTheme="minorHAnsi" w:hAnsiTheme="minorHAnsi" w:cstheme="minorHAnsi"/>
        </w:rPr>
        <w:t xml:space="preserve">. For each pathogen, </w:t>
      </w:r>
      <w:r w:rsidR="00116B5E" w:rsidRPr="0021372A">
        <w:rPr>
          <w:rFonts w:asciiTheme="minorHAnsi" w:hAnsiTheme="minorHAnsi" w:cstheme="minorHAnsi"/>
        </w:rPr>
        <w:lastRenderedPageBreak/>
        <w:t xml:space="preserve">we </w:t>
      </w:r>
      <w:r w:rsidR="00C90550">
        <w:rPr>
          <w:rFonts w:asciiTheme="minorHAnsi" w:hAnsiTheme="minorHAnsi" w:cstheme="minorHAnsi"/>
        </w:rPr>
        <w:t>computed</w:t>
      </w:r>
      <w:r w:rsidR="00C90550" w:rsidRPr="0021372A">
        <w:rPr>
          <w:rFonts w:asciiTheme="minorHAnsi" w:hAnsiTheme="minorHAnsi" w:cstheme="minorHAnsi"/>
        </w:rPr>
        <w:t xml:space="preserve"> </w:t>
      </w:r>
      <w:r w:rsidR="00116B5E" w:rsidRPr="0021372A">
        <w:rPr>
          <w:rFonts w:asciiTheme="minorHAnsi" w:hAnsiTheme="minorHAnsi" w:cstheme="minorHAnsi"/>
        </w:rPr>
        <w:t xml:space="preserve">empirical </w:t>
      </w:r>
      <w:r>
        <w:rPr>
          <w:rFonts w:asciiTheme="minorHAnsi" w:hAnsiTheme="minorHAnsi" w:cstheme="minorHAnsi"/>
        </w:rPr>
        <w:t xml:space="preserve">estimates </w:t>
      </w:r>
      <w:r w:rsidR="00116B5E" w:rsidRPr="0021372A">
        <w:rPr>
          <w:rFonts w:asciiTheme="minorHAnsi" w:hAnsiTheme="minorHAnsi" w:cstheme="minorHAnsi"/>
        </w:rPr>
        <w:t>for</w:t>
      </w:r>
      <w:r>
        <w:rPr>
          <w:rFonts w:asciiTheme="minorHAnsi" w:hAnsiTheme="minorHAnsi" w:cstheme="minorHAnsi"/>
        </w:rPr>
        <w:t xml:space="preserve"> </w:t>
      </w:r>
      <w:r w:rsidR="002864D8" w:rsidRPr="002864D8">
        <w:rPr>
          <w:rFonts w:cstheme="minorHAnsi"/>
          <w:i/>
        </w:rPr>
        <w:sym w:font="Symbol" w:char="F070"/>
      </w:r>
      <w:r w:rsidR="00A3697F">
        <w:rPr>
          <w:rFonts w:cstheme="minorHAnsi"/>
          <w:i/>
          <w:vertAlign w:val="subscript"/>
        </w:rPr>
        <w:t>p</w:t>
      </w:r>
      <w:r w:rsidR="00A3697F">
        <w:rPr>
          <w:rFonts w:asciiTheme="minorHAnsi" w:hAnsiTheme="minorHAnsi" w:cstheme="minorHAnsi"/>
        </w:rPr>
        <w:t xml:space="preserve"> </w:t>
      </w:r>
      <w:r>
        <w:rPr>
          <w:rFonts w:asciiTheme="minorHAnsi" w:hAnsiTheme="minorHAnsi" w:cstheme="minorHAnsi"/>
        </w:rPr>
        <w:t>by obtaining 4</w:t>
      </w:r>
      <w:r w:rsidR="00387293">
        <w:rPr>
          <w:rFonts w:asciiTheme="minorHAnsi" w:hAnsiTheme="minorHAnsi" w:cstheme="minorHAnsi"/>
        </w:rPr>
        <w:t>,</w:t>
      </w:r>
      <w:r>
        <w:rPr>
          <w:rFonts w:asciiTheme="minorHAnsi" w:hAnsiTheme="minorHAnsi" w:cstheme="minorHAnsi"/>
        </w:rPr>
        <w:t xml:space="preserve">999 bootstrap samples of the proportion of cases </w:t>
      </w:r>
      <w:r w:rsidR="00C90550">
        <w:rPr>
          <w:rFonts w:asciiTheme="minorHAnsi" w:hAnsiTheme="minorHAnsi" w:cstheme="minorHAnsi"/>
        </w:rPr>
        <w:t xml:space="preserve">in outbreaks that resulted from </w:t>
      </w:r>
      <w:r>
        <w:rPr>
          <w:rFonts w:asciiTheme="minorHAnsi" w:hAnsiTheme="minorHAnsi" w:cstheme="minorHAnsi"/>
        </w:rPr>
        <w:t xml:space="preserve">foodborne </w:t>
      </w:r>
      <w:r w:rsidR="00C90550">
        <w:rPr>
          <w:rFonts w:asciiTheme="minorHAnsi" w:hAnsiTheme="minorHAnsi" w:cstheme="minorHAnsi"/>
        </w:rPr>
        <w:t xml:space="preserve">transmission. We then </w:t>
      </w:r>
      <w:r>
        <w:rPr>
          <w:rFonts w:asciiTheme="minorHAnsi" w:hAnsiTheme="minorHAnsi" w:cstheme="minorHAnsi"/>
        </w:rPr>
        <w:t>fitt</w:t>
      </w:r>
      <w:r w:rsidR="00C90550">
        <w:rPr>
          <w:rFonts w:asciiTheme="minorHAnsi" w:hAnsiTheme="minorHAnsi" w:cstheme="minorHAnsi"/>
        </w:rPr>
        <w:t>ed</w:t>
      </w:r>
      <w:r>
        <w:rPr>
          <w:rFonts w:asciiTheme="minorHAnsi" w:hAnsiTheme="minorHAnsi" w:cstheme="minorHAnsi"/>
        </w:rPr>
        <w:t xml:space="preserve"> a Beta </w:t>
      </w:r>
      <w:r w:rsidR="006C26E4">
        <w:rPr>
          <w:rFonts w:asciiTheme="minorHAnsi" w:hAnsiTheme="minorHAnsi" w:cstheme="minorHAnsi"/>
        </w:rPr>
        <w:t xml:space="preserve">function </w:t>
      </w:r>
      <w:r>
        <w:rPr>
          <w:rFonts w:asciiTheme="minorHAnsi" w:hAnsiTheme="minorHAnsi" w:cstheme="minorHAnsi"/>
        </w:rPr>
        <w:t>to the resulting distribution</w:t>
      </w:r>
      <w:r w:rsidR="00317DD7">
        <w:rPr>
          <w:rFonts w:asciiTheme="minorHAnsi" w:hAnsiTheme="minorHAnsi" w:cstheme="minorHAnsi"/>
        </w:rPr>
        <w:t xml:space="preserve"> using maximum likelihood</w:t>
      </w:r>
      <w:r w:rsidR="00116B5E" w:rsidRPr="0021372A">
        <w:rPr>
          <w:rFonts w:asciiTheme="minorHAnsi" w:hAnsiTheme="minorHAnsi" w:cstheme="minorHAnsi"/>
        </w:rPr>
        <w:t xml:space="preserve">. </w:t>
      </w:r>
      <w:r w:rsidR="00317DD7">
        <w:rPr>
          <w:rFonts w:asciiTheme="minorHAnsi" w:hAnsiTheme="minorHAnsi" w:cstheme="minorHAnsi"/>
        </w:rPr>
        <w:t xml:space="preserve">For </w:t>
      </w:r>
      <w:r w:rsidR="00317DD7">
        <w:rPr>
          <w:rFonts w:asciiTheme="minorHAnsi" w:hAnsiTheme="minorHAnsi" w:cstheme="minorHAnsi"/>
          <w:i/>
        </w:rPr>
        <w:t xml:space="preserve">Cryptosporidium </w:t>
      </w:r>
      <w:r w:rsidR="00317DD7">
        <w:rPr>
          <w:rFonts w:asciiTheme="minorHAnsi" w:hAnsiTheme="minorHAnsi" w:cstheme="minorHAnsi"/>
        </w:rPr>
        <w:t xml:space="preserve">and </w:t>
      </w:r>
      <w:r w:rsidR="001179E8" w:rsidRPr="00C90550">
        <w:rPr>
          <w:rFonts w:asciiTheme="minorHAnsi" w:hAnsiTheme="minorHAnsi" w:cstheme="minorHAnsi"/>
          <w:i/>
        </w:rPr>
        <w:t>Giardia</w:t>
      </w:r>
      <w:r w:rsidR="00317DD7">
        <w:rPr>
          <w:rFonts w:asciiTheme="minorHAnsi" w:hAnsiTheme="minorHAnsi" w:cstheme="minorHAnsi"/>
        </w:rPr>
        <w:t>, this approach gave an unrealistically high estimate for the proportion of cases transmitted through food because</w:t>
      </w:r>
      <w:r w:rsidR="000A43F1">
        <w:rPr>
          <w:rFonts w:asciiTheme="minorHAnsi" w:hAnsiTheme="minorHAnsi" w:cstheme="minorHAnsi"/>
        </w:rPr>
        <w:t>,</w:t>
      </w:r>
      <w:r w:rsidR="00317DD7">
        <w:rPr>
          <w:rFonts w:asciiTheme="minorHAnsi" w:hAnsiTheme="minorHAnsi" w:cstheme="minorHAnsi"/>
        </w:rPr>
        <w:t xml:space="preserve"> </w:t>
      </w:r>
      <w:r w:rsidR="000A43F1">
        <w:rPr>
          <w:rFonts w:asciiTheme="minorHAnsi" w:hAnsiTheme="minorHAnsi" w:cstheme="minorHAnsi"/>
        </w:rPr>
        <w:t xml:space="preserve">of the few outbreaks that were reported, </w:t>
      </w:r>
      <w:r w:rsidR="00570711">
        <w:rPr>
          <w:rFonts w:asciiTheme="minorHAnsi" w:hAnsiTheme="minorHAnsi" w:cstheme="minorHAnsi"/>
        </w:rPr>
        <w:t xml:space="preserve">those involving </w:t>
      </w:r>
      <w:r w:rsidR="00317DD7">
        <w:rPr>
          <w:rFonts w:asciiTheme="minorHAnsi" w:hAnsiTheme="minorHAnsi" w:cstheme="minorHAnsi"/>
        </w:rPr>
        <w:t xml:space="preserve">foodborne </w:t>
      </w:r>
      <w:r w:rsidR="00570711">
        <w:rPr>
          <w:rFonts w:asciiTheme="minorHAnsi" w:hAnsiTheme="minorHAnsi" w:cstheme="minorHAnsi"/>
        </w:rPr>
        <w:t>transmission were larger</w:t>
      </w:r>
      <w:r w:rsidR="00317DD7">
        <w:rPr>
          <w:rFonts w:asciiTheme="minorHAnsi" w:hAnsiTheme="minorHAnsi" w:cstheme="minorHAnsi"/>
        </w:rPr>
        <w:t xml:space="preserve">. For these two pathogens, we used </w:t>
      </w:r>
      <w:r w:rsidR="00387293">
        <w:rPr>
          <w:rFonts w:asciiTheme="minorHAnsi" w:hAnsiTheme="minorHAnsi" w:cstheme="minorHAnsi"/>
        </w:rPr>
        <w:t xml:space="preserve">instead </w:t>
      </w:r>
      <w:r w:rsidR="00317DD7">
        <w:rPr>
          <w:rFonts w:asciiTheme="minorHAnsi" w:hAnsiTheme="minorHAnsi" w:cstheme="minorHAnsi"/>
        </w:rPr>
        <w:t xml:space="preserve">the proportion of outbreaks that were foodborne as an estimate of </w:t>
      </w:r>
      <w:r w:rsidR="00317DD7" w:rsidRPr="0096502E">
        <w:rPr>
          <w:rFonts w:asciiTheme="minorHAnsi" w:hAnsiTheme="minorHAnsi" w:cstheme="minorHAnsi"/>
          <w:i/>
        </w:rPr>
        <w:sym w:font="Symbol" w:char="F070"/>
      </w:r>
      <w:r w:rsidR="00317DD7" w:rsidRPr="0096502E">
        <w:rPr>
          <w:rFonts w:asciiTheme="minorHAnsi" w:hAnsiTheme="minorHAnsi" w:cstheme="minorHAnsi"/>
          <w:i/>
          <w:vertAlign w:val="subscript"/>
        </w:rPr>
        <w:t>P</w:t>
      </w:r>
      <w:r w:rsidR="00317DD7">
        <w:rPr>
          <w:rFonts w:asciiTheme="minorHAnsi" w:hAnsiTheme="minorHAnsi" w:cstheme="minorHAnsi"/>
        </w:rPr>
        <w:t xml:space="preserve">, as </w:t>
      </w:r>
      <w:r w:rsidR="00387293">
        <w:rPr>
          <w:rFonts w:asciiTheme="minorHAnsi" w:hAnsiTheme="minorHAnsi" w:cstheme="minorHAnsi"/>
        </w:rPr>
        <w:t xml:space="preserve">was </w:t>
      </w:r>
      <w:r w:rsidR="00317DD7">
        <w:rPr>
          <w:rFonts w:asciiTheme="minorHAnsi" w:hAnsiTheme="minorHAnsi" w:cstheme="minorHAnsi"/>
        </w:rPr>
        <w:t>done</w:t>
      </w:r>
      <w:r w:rsidR="00387293">
        <w:rPr>
          <w:rFonts w:asciiTheme="minorHAnsi" w:hAnsiTheme="minorHAnsi" w:cstheme="minorHAnsi"/>
        </w:rPr>
        <w:t xml:space="preserve"> in a previous study</w:t>
      </w:r>
      <w:proofErr w:type="gramStart"/>
      <w:r w:rsidR="00387293">
        <w:rPr>
          <w:rFonts w:asciiTheme="minorHAnsi" w:hAnsiTheme="minorHAnsi" w:cstheme="minorHAnsi"/>
        </w:rPr>
        <w:t>.[</w:t>
      </w:r>
      <w:proofErr w:type="gramEnd"/>
      <w:r w:rsidR="00387293">
        <w:rPr>
          <w:rFonts w:asciiTheme="minorHAnsi" w:hAnsiTheme="minorHAnsi" w:cstheme="minorHAnsi"/>
        </w:rPr>
        <w:t>5]</w:t>
      </w:r>
      <w:r w:rsidR="00317DD7" w:rsidRPr="00317DD7">
        <w:rPr>
          <w:rFonts w:asciiTheme="minorHAnsi" w:hAnsiTheme="minorHAnsi" w:cstheme="minorHAnsi"/>
        </w:rPr>
        <w:t xml:space="preserve"> </w:t>
      </w:r>
      <w:r w:rsidR="006C26E4">
        <w:rPr>
          <w:rFonts w:asciiTheme="minorHAnsi" w:hAnsiTheme="minorHAnsi" w:cstheme="minorHAnsi"/>
        </w:rPr>
        <w:t xml:space="preserve">For adenovirus and </w:t>
      </w:r>
      <w:proofErr w:type="spellStart"/>
      <w:r w:rsidR="006C26E4">
        <w:rPr>
          <w:rFonts w:asciiTheme="minorHAnsi" w:hAnsiTheme="minorHAnsi" w:cstheme="minorHAnsi"/>
        </w:rPr>
        <w:t>sapovirus</w:t>
      </w:r>
      <w:proofErr w:type="spellEnd"/>
      <w:r w:rsidR="006C26E4">
        <w:rPr>
          <w:rFonts w:asciiTheme="minorHAnsi" w:hAnsiTheme="minorHAnsi" w:cstheme="minorHAnsi"/>
        </w:rPr>
        <w:t xml:space="preserve">, for which no outbreaks were reported, we used parameters derived from analysis of rotavirus and norovirus outbreaks respectively. For pathogens for which all outbreaks or no outbreaks were foodborne, we specified limits to the fitted Beta distributions as described in the Technical Appendix. </w:t>
      </w:r>
      <w:proofErr w:type="gramStart"/>
      <w:r w:rsidR="00397E05">
        <w:rPr>
          <w:rFonts w:asciiTheme="minorHAnsi" w:hAnsiTheme="minorHAnsi" w:cstheme="minorHAnsi"/>
        </w:rPr>
        <w:t xml:space="preserve">The </w:t>
      </w:r>
      <w:r w:rsidR="002B4121" w:rsidRPr="002B4121">
        <w:rPr>
          <w:rFonts w:asciiTheme="minorHAnsi" w:hAnsiTheme="minorHAnsi" w:cstheme="minorHAnsi"/>
          <w:i/>
        </w:rPr>
        <w:t>a</w:t>
      </w:r>
      <w:proofErr w:type="gramEnd"/>
      <w:r w:rsidR="00397E05">
        <w:rPr>
          <w:rFonts w:asciiTheme="minorHAnsi" w:hAnsiTheme="minorHAnsi" w:cstheme="minorHAnsi"/>
        </w:rPr>
        <w:t xml:space="preserve"> and </w:t>
      </w:r>
      <w:r w:rsidR="002B4121" w:rsidRPr="002B4121">
        <w:rPr>
          <w:rFonts w:asciiTheme="minorHAnsi" w:hAnsiTheme="minorHAnsi" w:cstheme="minorHAnsi"/>
          <w:i/>
        </w:rPr>
        <w:t>b</w:t>
      </w:r>
      <w:r w:rsidR="00397E05">
        <w:rPr>
          <w:rFonts w:asciiTheme="minorHAnsi" w:hAnsiTheme="minorHAnsi" w:cstheme="minorHAnsi"/>
        </w:rPr>
        <w:t xml:space="preserve"> parameters from the fitted Beta distributions were then used in the Monte Carlo simulations (see Model 1 below).</w:t>
      </w:r>
    </w:p>
    <w:p w14:paraId="115D7876" w14:textId="77777777" w:rsidR="002864D8" w:rsidRPr="00D14586" w:rsidRDefault="002864D8" w:rsidP="00546FCD">
      <w:pPr>
        <w:pStyle w:val="Subtitle"/>
        <w:spacing w:after="0" w:line="360" w:lineRule="auto"/>
        <w:rPr>
          <w:rFonts w:asciiTheme="minorHAnsi" w:hAnsiTheme="minorHAnsi"/>
          <w:b/>
          <w:i w:val="0"/>
          <w:color w:val="auto"/>
        </w:rPr>
      </w:pPr>
      <w:r w:rsidRPr="00D14586">
        <w:rPr>
          <w:rFonts w:asciiTheme="minorHAnsi" w:hAnsiTheme="minorHAnsi"/>
          <w:b/>
          <w:i w:val="0"/>
          <w:color w:val="auto"/>
          <w:sz w:val="22"/>
        </w:rPr>
        <w:t>Prior distributions for</w:t>
      </w:r>
      <w:r w:rsidR="00D14586" w:rsidRPr="00D14586">
        <w:rPr>
          <w:rFonts w:asciiTheme="minorHAnsi" w:hAnsiTheme="minorHAnsi"/>
          <w:b/>
          <w:i w:val="0"/>
          <w:color w:val="auto"/>
          <w:sz w:val="22"/>
        </w:rPr>
        <w:t xml:space="preserve"> </w:t>
      </w:r>
      <w:r w:rsidR="00D14586" w:rsidRPr="003B6692">
        <w:rPr>
          <w:rFonts w:asciiTheme="minorHAnsi" w:hAnsiTheme="minorHAnsi"/>
          <w:b/>
          <w:i w:val="0"/>
          <w:color w:val="auto"/>
          <w:sz w:val="22"/>
        </w:rPr>
        <w:t>the proportion of cases transmitted through food</w:t>
      </w:r>
      <w:r w:rsidRPr="00D14586">
        <w:rPr>
          <w:rFonts w:asciiTheme="minorHAnsi" w:hAnsiTheme="minorHAnsi"/>
          <w:b/>
          <w:i w:val="0"/>
          <w:color w:val="auto"/>
          <w:sz w:val="22"/>
        </w:rPr>
        <w:t xml:space="preserve"> </w:t>
      </w:r>
      <w:r w:rsidR="00D14586" w:rsidRPr="00D14586">
        <w:rPr>
          <w:rFonts w:asciiTheme="minorHAnsi" w:hAnsiTheme="minorHAnsi"/>
          <w:b/>
          <w:i w:val="0"/>
          <w:color w:val="auto"/>
          <w:sz w:val="22"/>
        </w:rPr>
        <w:t>(</w:t>
      </w:r>
      <w:r w:rsidR="005B21DA" w:rsidRPr="00D14586">
        <w:rPr>
          <w:rFonts w:asciiTheme="minorHAnsi" w:hAnsiTheme="minorHAnsi"/>
          <w:b/>
          <w:color w:val="auto"/>
          <w:sz w:val="22"/>
        </w:rPr>
        <w:sym w:font="Symbol" w:char="F070"/>
      </w:r>
      <w:r w:rsidR="005B21DA" w:rsidRPr="00D14586">
        <w:rPr>
          <w:rFonts w:asciiTheme="minorHAnsi" w:hAnsiTheme="minorHAnsi"/>
          <w:b/>
          <w:color w:val="auto"/>
          <w:sz w:val="22"/>
          <w:vertAlign w:val="subscript"/>
        </w:rPr>
        <w:t>p</w:t>
      </w:r>
      <w:r w:rsidR="00D14586" w:rsidRPr="00D14586">
        <w:rPr>
          <w:rFonts w:asciiTheme="minorHAnsi" w:hAnsiTheme="minorHAnsi"/>
          <w:b/>
          <w:i w:val="0"/>
          <w:color w:val="auto"/>
          <w:sz w:val="22"/>
        </w:rPr>
        <w:t>)</w:t>
      </w:r>
    </w:p>
    <w:p w14:paraId="49E305E2" w14:textId="77777777" w:rsidR="002864D8" w:rsidRDefault="0060771C" w:rsidP="00546FCD">
      <w:pPr>
        <w:pStyle w:val="Unknown0"/>
        <w:spacing w:after="0" w:line="360" w:lineRule="auto"/>
        <w:rPr>
          <w:rFonts w:asciiTheme="minorHAnsi" w:hAnsiTheme="minorHAnsi" w:cstheme="minorHAnsi"/>
        </w:rPr>
      </w:pPr>
      <w:r>
        <w:rPr>
          <w:rFonts w:asciiTheme="minorHAnsi" w:hAnsiTheme="minorHAnsi" w:cstheme="minorHAnsi"/>
        </w:rPr>
        <w:t>We obtained p</w:t>
      </w:r>
      <w:r w:rsidR="00116B5E" w:rsidRPr="0021372A">
        <w:rPr>
          <w:rFonts w:asciiTheme="minorHAnsi" w:hAnsiTheme="minorHAnsi" w:cstheme="minorHAnsi"/>
        </w:rPr>
        <w:t xml:space="preserve">rior distributions for the </w:t>
      </w:r>
      <w:r w:rsidR="00116B5E" w:rsidRPr="0021372A">
        <w:rPr>
          <w:rFonts w:asciiTheme="minorHAnsi" w:hAnsiTheme="minorHAnsi" w:cstheme="minorHAnsi"/>
          <w:i/>
        </w:rPr>
        <w:sym w:font="Symbol" w:char="F070"/>
      </w:r>
      <w:r w:rsidR="00116B5E" w:rsidRPr="0021372A">
        <w:rPr>
          <w:rFonts w:asciiTheme="minorHAnsi" w:hAnsiTheme="minorHAnsi" w:cstheme="minorHAnsi"/>
          <w:i/>
          <w:vertAlign w:val="subscript"/>
        </w:rPr>
        <w:t>p</w:t>
      </w:r>
      <w:r w:rsidR="00116B5E" w:rsidRPr="0021372A">
        <w:rPr>
          <w:rFonts w:asciiTheme="minorHAnsi" w:hAnsiTheme="minorHAnsi" w:cstheme="minorHAnsi"/>
        </w:rPr>
        <w:t xml:space="preserve"> parameters from </w:t>
      </w:r>
      <w:r w:rsidR="00DE00CE">
        <w:rPr>
          <w:rFonts w:asciiTheme="minorHAnsi" w:hAnsiTheme="minorHAnsi" w:cstheme="minorHAnsi"/>
        </w:rPr>
        <w:t>the</w:t>
      </w:r>
      <w:r w:rsidR="00866CCF" w:rsidRPr="0021372A">
        <w:rPr>
          <w:rFonts w:asciiTheme="minorHAnsi" w:hAnsiTheme="minorHAnsi" w:cstheme="minorHAnsi"/>
        </w:rPr>
        <w:t xml:space="preserve"> </w:t>
      </w:r>
      <w:r w:rsidR="004D65BE">
        <w:rPr>
          <w:rFonts w:asciiTheme="minorHAnsi" w:hAnsiTheme="minorHAnsi" w:cstheme="minorHAnsi"/>
        </w:rPr>
        <w:t xml:space="preserve">systematic </w:t>
      </w:r>
      <w:r w:rsidR="00116B5E" w:rsidRPr="0021372A">
        <w:rPr>
          <w:rFonts w:asciiTheme="minorHAnsi" w:hAnsiTheme="minorHAnsi" w:cstheme="minorHAnsi"/>
        </w:rPr>
        <w:t>literature review</w:t>
      </w:r>
      <w:r w:rsidR="00116B5E" w:rsidRPr="00DE00CE">
        <w:rPr>
          <w:rFonts w:asciiTheme="minorHAnsi" w:hAnsiTheme="minorHAnsi" w:cstheme="minorHAnsi"/>
        </w:rPr>
        <w:t>.</w:t>
      </w:r>
      <w:r w:rsidR="00116B5E" w:rsidRPr="0021372A">
        <w:rPr>
          <w:rFonts w:asciiTheme="minorHAnsi" w:hAnsiTheme="minorHAnsi" w:cstheme="minorHAnsi"/>
        </w:rPr>
        <w:t xml:space="preserve"> We divided retrieved articles into two categories: food attribution studies </w:t>
      </w:r>
      <w:r w:rsidR="00866CCF">
        <w:rPr>
          <w:rFonts w:asciiTheme="minorHAnsi" w:hAnsiTheme="minorHAnsi" w:cstheme="minorHAnsi"/>
        </w:rPr>
        <w:t xml:space="preserve">(Group A) </w:t>
      </w:r>
      <w:r w:rsidR="00116B5E" w:rsidRPr="0021372A">
        <w:rPr>
          <w:rFonts w:asciiTheme="minorHAnsi" w:hAnsiTheme="minorHAnsi" w:cstheme="minorHAnsi"/>
        </w:rPr>
        <w:t>and other</w:t>
      </w:r>
      <w:r w:rsidR="00C86497">
        <w:rPr>
          <w:rFonts w:asciiTheme="minorHAnsi" w:hAnsiTheme="minorHAnsi" w:cstheme="minorHAnsi"/>
        </w:rPr>
        <w:t>s</w:t>
      </w:r>
      <w:r w:rsidR="00866CCF">
        <w:rPr>
          <w:rFonts w:asciiTheme="minorHAnsi" w:hAnsiTheme="minorHAnsi" w:cstheme="minorHAnsi"/>
        </w:rPr>
        <w:t xml:space="preserve"> (Group B)</w:t>
      </w:r>
      <w:r w:rsidR="00116B5E" w:rsidRPr="0021372A">
        <w:rPr>
          <w:rFonts w:asciiTheme="minorHAnsi" w:hAnsiTheme="minorHAnsi" w:cstheme="minorHAnsi"/>
        </w:rPr>
        <w:t xml:space="preserve">. </w:t>
      </w:r>
      <w:r w:rsidR="00C86497">
        <w:rPr>
          <w:rFonts w:asciiTheme="minorHAnsi" w:hAnsiTheme="minorHAnsi" w:cstheme="minorHAnsi"/>
        </w:rPr>
        <w:t xml:space="preserve">In </w:t>
      </w:r>
      <w:r w:rsidR="00866CCF">
        <w:rPr>
          <w:rFonts w:asciiTheme="minorHAnsi" w:hAnsiTheme="minorHAnsi" w:cstheme="minorHAnsi"/>
        </w:rPr>
        <w:t xml:space="preserve">Group A </w:t>
      </w:r>
      <w:r w:rsidR="00116B5E" w:rsidRPr="0021372A">
        <w:rPr>
          <w:rFonts w:asciiTheme="minorHAnsi" w:hAnsiTheme="minorHAnsi" w:cstheme="minorHAnsi"/>
        </w:rPr>
        <w:t xml:space="preserve">studies the proportion of cases </w:t>
      </w:r>
      <w:r w:rsidR="00C86497">
        <w:rPr>
          <w:rFonts w:asciiTheme="minorHAnsi" w:hAnsiTheme="minorHAnsi" w:cstheme="minorHAnsi"/>
        </w:rPr>
        <w:t>transmitted through food was estimated</w:t>
      </w:r>
      <w:r w:rsidR="00116B5E" w:rsidRPr="0021372A">
        <w:rPr>
          <w:rFonts w:asciiTheme="minorHAnsi" w:hAnsiTheme="minorHAnsi" w:cstheme="minorHAnsi"/>
        </w:rPr>
        <w:t xml:space="preserve"> for </w:t>
      </w:r>
      <w:r>
        <w:rPr>
          <w:rFonts w:asciiTheme="minorHAnsi" w:hAnsiTheme="minorHAnsi" w:cstheme="minorHAnsi"/>
        </w:rPr>
        <w:t>several</w:t>
      </w:r>
      <w:r w:rsidR="00116B5E" w:rsidRPr="0021372A">
        <w:rPr>
          <w:rFonts w:asciiTheme="minorHAnsi" w:hAnsiTheme="minorHAnsi" w:cstheme="minorHAnsi"/>
        </w:rPr>
        <w:t xml:space="preserve"> pathogens, through expert elicitation or retrospective </w:t>
      </w:r>
      <w:r w:rsidR="00C86497">
        <w:rPr>
          <w:rFonts w:asciiTheme="minorHAnsi" w:hAnsiTheme="minorHAnsi" w:cstheme="minorHAnsi"/>
        </w:rPr>
        <w:t xml:space="preserve">data </w:t>
      </w:r>
      <w:r w:rsidR="00116B5E" w:rsidRPr="0021372A">
        <w:rPr>
          <w:rFonts w:asciiTheme="minorHAnsi" w:hAnsiTheme="minorHAnsi" w:cstheme="minorHAnsi"/>
        </w:rPr>
        <w:t xml:space="preserve">reviews. </w:t>
      </w:r>
      <w:r w:rsidR="00866CCF">
        <w:rPr>
          <w:rFonts w:asciiTheme="minorHAnsi" w:hAnsiTheme="minorHAnsi" w:cstheme="minorHAnsi"/>
        </w:rPr>
        <w:t xml:space="preserve">Group B </w:t>
      </w:r>
      <w:r w:rsidR="00116B5E" w:rsidRPr="0021372A">
        <w:rPr>
          <w:rFonts w:asciiTheme="minorHAnsi" w:hAnsiTheme="minorHAnsi" w:cstheme="minorHAnsi"/>
        </w:rPr>
        <w:t xml:space="preserve">studies were primarily </w:t>
      </w:r>
      <w:r w:rsidR="00866CCF">
        <w:rPr>
          <w:rFonts w:asciiTheme="minorHAnsi" w:hAnsiTheme="minorHAnsi" w:cstheme="minorHAnsi"/>
        </w:rPr>
        <w:t xml:space="preserve">pathogen-specific </w:t>
      </w:r>
      <w:r w:rsidR="00116B5E" w:rsidRPr="0021372A">
        <w:rPr>
          <w:rFonts w:asciiTheme="minorHAnsi" w:hAnsiTheme="minorHAnsi" w:cstheme="minorHAnsi"/>
        </w:rPr>
        <w:t xml:space="preserve">case-control studies, or studies using </w:t>
      </w:r>
      <w:r w:rsidR="00AE0B4E">
        <w:rPr>
          <w:rFonts w:asciiTheme="minorHAnsi" w:hAnsiTheme="minorHAnsi" w:cstheme="minorHAnsi"/>
        </w:rPr>
        <w:t xml:space="preserve">microbiological </w:t>
      </w:r>
      <w:r w:rsidR="00116B5E" w:rsidRPr="0021372A">
        <w:rPr>
          <w:rFonts w:asciiTheme="minorHAnsi" w:hAnsiTheme="minorHAnsi" w:cstheme="minorHAnsi"/>
        </w:rPr>
        <w:t xml:space="preserve">typing for source attribution. For </w:t>
      </w:r>
      <w:r w:rsidR="00866CCF">
        <w:rPr>
          <w:rFonts w:asciiTheme="minorHAnsi" w:hAnsiTheme="minorHAnsi" w:cstheme="minorHAnsi"/>
        </w:rPr>
        <w:t>Group A and Group B studies</w:t>
      </w:r>
      <w:r w:rsidR="00116B5E" w:rsidRPr="0021372A">
        <w:rPr>
          <w:rFonts w:asciiTheme="minorHAnsi" w:hAnsiTheme="minorHAnsi" w:cstheme="minorHAnsi"/>
        </w:rPr>
        <w:t xml:space="preserve">, we defined uniform distributions for </w:t>
      </w:r>
      <w:r w:rsidR="00116B5E" w:rsidRPr="0021372A">
        <w:rPr>
          <w:rFonts w:asciiTheme="minorHAnsi" w:hAnsiTheme="minorHAnsi" w:cstheme="minorHAnsi"/>
          <w:i/>
        </w:rPr>
        <w:sym w:font="Symbol" w:char="F070"/>
      </w:r>
      <w:r w:rsidR="00116B5E" w:rsidRPr="0021372A">
        <w:rPr>
          <w:rFonts w:asciiTheme="minorHAnsi" w:hAnsiTheme="minorHAnsi" w:cstheme="minorHAnsi"/>
          <w:i/>
          <w:vertAlign w:val="subscript"/>
        </w:rPr>
        <w:t>p</w:t>
      </w:r>
      <w:r w:rsidR="00116B5E" w:rsidRPr="0021372A">
        <w:rPr>
          <w:rFonts w:asciiTheme="minorHAnsi" w:hAnsiTheme="minorHAnsi" w:cstheme="minorHAnsi"/>
        </w:rPr>
        <w:t xml:space="preserve">, based on the minimum and maximum </w:t>
      </w:r>
      <w:r w:rsidR="006A63A1">
        <w:rPr>
          <w:rFonts w:asciiTheme="minorHAnsi" w:hAnsiTheme="minorHAnsi" w:cstheme="minorHAnsi"/>
        </w:rPr>
        <w:t>estimate</w:t>
      </w:r>
      <w:r w:rsidR="00116B5E" w:rsidRPr="0021372A">
        <w:rPr>
          <w:rFonts w:asciiTheme="minorHAnsi" w:hAnsiTheme="minorHAnsi" w:cstheme="minorHAnsi"/>
        </w:rPr>
        <w:t xml:space="preserve">s </w:t>
      </w:r>
      <w:r w:rsidR="006A63A1">
        <w:rPr>
          <w:rFonts w:asciiTheme="minorHAnsi" w:hAnsiTheme="minorHAnsi" w:cstheme="minorHAnsi"/>
        </w:rPr>
        <w:t>of</w:t>
      </w:r>
      <w:r w:rsidR="00116B5E" w:rsidRPr="0021372A">
        <w:rPr>
          <w:rFonts w:asciiTheme="minorHAnsi" w:hAnsiTheme="minorHAnsi" w:cstheme="minorHAnsi"/>
        </w:rPr>
        <w:t xml:space="preserve"> the proportion of cases </w:t>
      </w:r>
      <w:r w:rsidR="006A63A1">
        <w:rPr>
          <w:rFonts w:asciiTheme="minorHAnsi" w:hAnsiTheme="minorHAnsi" w:cstheme="minorHAnsi"/>
        </w:rPr>
        <w:t>transmitted through food in</w:t>
      </w:r>
      <w:r w:rsidR="00116B5E" w:rsidRPr="0021372A">
        <w:rPr>
          <w:rFonts w:asciiTheme="minorHAnsi" w:hAnsiTheme="minorHAnsi" w:cstheme="minorHAnsi"/>
        </w:rPr>
        <w:t xml:space="preserve"> these studies, for pathogens </w:t>
      </w:r>
      <w:r w:rsidR="00DC3B14">
        <w:rPr>
          <w:rFonts w:asciiTheme="minorHAnsi" w:hAnsiTheme="minorHAnsi" w:cstheme="minorHAnsi"/>
        </w:rPr>
        <w:t>with</w:t>
      </w:r>
      <w:r w:rsidR="00116B5E" w:rsidRPr="0021372A">
        <w:rPr>
          <w:rFonts w:asciiTheme="minorHAnsi" w:hAnsiTheme="minorHAnsi" w:cstheme="minorHAnsi"/>
        </w:rPr>
        <w:t xml:space="preserve"> at least two published studies. Where the observed proportion from outbreak data fell outside the limits of this uniform distribution, we arbitrarily allowed the lower or upper limit of the distribution to extend by 0.1 beyond the observed value.</w:t>
      </w:r>
    </w:p>
    <w:p w14:paraId="25657FBA" w14:textId="77777777" w:rsidR="002864D8" w:rsidRPr="00B46955" w:rsidRDefault="00F0371E" w:rsidP="00546FCD">
      <w:pPr>
        <w:pStyle w:val="Subtitle"/>
        <w:spacing w:before="240" w:after="0" w:line="360" w:lineRule="auto"/>
        <w:rPr>
          <w:rFonts w:asciiTheme="minorHAnsi" w:hAnsiTheme="minorHAnsi"/>
          <w:b/>
          <w:i w:val="0"/>
          <w:color w:val="auto"/>
          <w:sz w:val="22"/>
          <w:szCs w:val="22"/>
        </w:rPr>
      </w:pPr>
      <w:r w:rsidRPr="00B46955">
        <w:rPr>
          <w:rFonts w:asciiTheme="minorHAnsi" w:hAnsiTheme="minorHAnsi"/>
          <w:b/>
          <w:i w:val="0"/>
          <w:color w:val="auto"/>
          <w:sz w:val="22"/>
          <w:szCs w:val="22"/>
        </w:rPr>
        <w:t xml:space="preserve">Pathogen-specific </w:t>
      </w:r>
      <w:proofErr w:type="spellStart"/>
      <w:r w:rsidR="002864D8" w:rsidRPr="00B46955">
        <w:rPr>
          <w:rFonts w:asciiTheme="minorHAnsi" w:hAnsiTheme="minorHAnsi"/>
          <w:b/>
          <w:i w:val="0"/>
          <w:color w:val="auto"/>
          <w:sz w:val="22"/>
          <w:szCs w:val="22"/>
        </w:rPr>
        <w:t>hospitalisation</w:t>
      </w:r>
      <w:proofErr w:type="spellEnd"/>
      <w:r w:rsidRPr="00B46955">
        <w:rPr>
          <w:rFonts w:asciiTheme="minorHAnsi" w:hAnsiTheme="minorHAnsi"/>
          <w:b/>
          <w:i w:val="0"/>
          <w:color w:val="auto"/>
          <w:sz w:val="22"/>
          <w:szCs w:val="22"/>
        </w:rPr>
        <w:t xml:space="preserve"> </w:t>
      </w:r>
      <w:r w:rsidR="00116B5E" w:rsidRPr="00C80D04">
        <w:rPr>
          <w:rFonts w:asciiTheme="minorHAnsi" w:hAnsiTheme="minorHAnsi"/>
          <w:b/>
          <w:color w:val="auto"/>
          <w:sz w:val="22"/>
          <w:szCs w:val="22"/>
        </w:rPr>
        <w:t>(</w:t>
      </w:r>
      <w:r w:rsidR="00116B5E" w:rsidRPr="00C80D04">
        <w:rPr>
          <w:rFonts w:asciiTheme="minorHAnsi" w:hAnsiTheme="minorHAnsi"/>
          <w:b/>
          <w:color w:val="auto"/>
          <w:sz w:val="22"/>
          <w:szCs w:val="22"/>
        </w:rPr>
        <w:sym w:font="Symbol" w:char="F067"/>
      </w:r>
      <w:r w:rsidR="00116B5E" w:rsidRPr="00C80D04">
        <w:rPr>
          <w:rFonts w:asciiTheme="minorHAnsi" w:hAnsiTheme="minorHAnsi"/>
          <w:b/>
          <w:color w:val="auto"/>
          <w:sz w:val="22"/>
          <w:szCs w:val="22"/>
          <w:vertAlign w:val="subscript"/>
        </w:rPr>
        <w:t>p</w:t>
      </w:r>
      <w:r w:rsidR="00116B5E" w:rsidRPr="00C80D04">
        <w:rPr>
          <w:rFonts w:asciiTheme="minorHAnsi" w:hAnsiTheme="minorHAnsi"/>
          <w:b/>
          <w:color w:val="auto"/>
          <w:sz w:val="22"/>
          <w:szCs w:val="22"/>
        </w:rPr>
        <w:t>)</w:t>
      </w:r>
    </w:p>
    <w:p w14:paraId="41E1C721" w14:textId="77777777" w:rsidR="002864D8" w:rsidRDefault="00570711" w:rsidP="00546FCD">
      <w:pPr>
        <w:pStyle w:val="Unknown0"/>
        <w:spacing w:after="0" w:line="360" w:lineRule="auto"/>
        <w:rPr>
          <w:rFonts w:asciiTheme="minorHAnsi" w:hAnsiTheme="minorHAnsi" w:cstheme="minorHAnsi"/>
        </w:rPr>
      </w:pPr>
      <w:r>
        <w:rPr>
          <w:rFonts w:asciiTheme="minorHAnsi" w:hAnsiTheme="minorHAnsi" w:cstheme="minorHAnsi"/>
        </w:rPr>
        <w:t xml:space="preserve">Data on </w:t>
      </w:r>
      <w:proofErr w:type="spellStart"/>
      <w:r>
        <w:rPr>
          <w:rFonts w:asciiTheme="minorHAnsi" w:hAnsiTheme="minorHAnsi" w:cstheme="minorHAnsi"/>
        </w:rPr>
        <w:t>hospitalisations</w:t>
      </w:r>
      <w:proofErr w:type="spellEnd"/>
      <w:r>
        <w:rPr>
          <w:rFonts w:asciiTheme="minorHAnsi" w:hAnsiTheme="minorHAnsi" w:cstheme="minorHAnsi"/>
        </w:rPr>
        <w:t xml:space="preserve"> </w:t>
      </w:r>
      <w:r w:rsidR="00897DBE">
        <w:rPr>
          <w:rFonts w:asciiTheme="minorHAnsi" w:hAnsiTheme="minorHAnsi" w:cstheme="minorHAnsi"/>
        </w:rPr>
        <w:t xml:space="preserve">were </w:t>
      </w:r>
      <w:r>
        <w:rPr>
          <w:rFonts w:asciiTheme="minorHAnsi" w:hAnsiTheme="minorHAnsi" w:cstheme="minorHAnsi"/>
        </w:rPr>
        <w:t xml:space="preserve">available only for outbreaks reported in England and Wales. </w:t>
      </w:r>
      <w:r w:rsidR="00116B5E" w:rsidRPr="0021372A">
        <w:rPr>
          <w:rFonts w:asciiTheme="minorHAnsi" w:hAnsiTheme="minorHAnsi" w:cstheme="minorHAnsi"/>
        </w:rPr>
        <w:t>For each reported outbreak</w:t>
      </w:r>
      <w:r w:rsidR="00E250EA">
        <w:rPr>
          <w:rFonts w:asciiTheme="minorHAnsi" w:hAnsiTheme="minorHAnsi" w:cstheme="minorHAnsi"/>
        </w:rPr>
        <w:t>, exc</w:t>
      </w:r>
      <w:r w:rsidR="00397E05">
        <w:rPr>
          <w:rFonts w:asciiTheme="minorHAnsi" w:hAnsiTheme="minorHAnsi" w:cstheme="minorHAnsi"/>
        </w:rPr>
        <w:t>luding</w:t>
      </w:r>
      <w:r w:rsidR="00E250EA">
        <w:rPr>
          <w:rFonts w:asciiTheme="minorHAnsi" w:hAnsiTheme="minorHAnsi" w:cstheme="minorHAnsi"/>
        </w:rPr>
        <w:t xml:space="preserve"> those in</w:t>
      </w:r>
      <w:r w:rsidR="00116B5E" w:rsidRPr="0021372A">
        <w:rPr>
          <w:rFonts w:asciiTheme="minorHAnsi" w:hAnsiTheme="minorHAnsi" w:cstheme="minorHAnsi"/>
        </w:rPr>
        <w:t xml:space="preserve"> hospitals </w:t>
      </w:r>
      <w:r w:rsidR="00E250EA">
        <w:rPr>
          <w:rFonts w:asciiTheme="minorHAnsi" w:hAnsiTheme="minorHAnsi" w:cstheme="minorHAnsi"/>
        </w:rPr>
        <w:t xml:space="preserve">or </w:t>
      </w:r>
      <w:r w:rsidR="00116B5E" w:rsidRPr="0021372A">
        <w:rPr>
          <w:rFonts w:asciiTheme="minorHAnsi" w:hAnsiTheme="minorHAnsi" w:cstheme="minorHAnsi"/>
        </w:rPr>
        <w:t xml:space="preserve">residential institutions, </w:t>
      </w:r>
      <w:r w:rsidR="00E250EA">
        <w:rPr>
          <w:rFonts w:asciiTheme="minorHAnsi" w:hAnsiTheme="minorHAnsi" w:cstheme="minorHAnsi"/>
        </w:rPr>
        <w:t xml:space="preserve">we </w:t>
      </w:r>
      <w:r w:rsidR="00DC3B14">
        <w:rPr>
          <w:rFonts w:asciiTheme="minorHAnsi" w:hAnsiTheme="minorHAnsi" w:cstheme="minorHAnsi"/>
        </w:rPr>
        <w:t xml:space="preserve">computed </w:t>
      </w:r>
      <w:r w:rsidR="00E250EA">
        <w:rPr>
          <w:rFonts w:asciiTheme="minorHAnsi" w:hAnsiTheme="minorHAnsi" w:cstheme="minorHAnsi"/>
        </w:rPr>
        <w:t>the</w:t>
      </w:r>
      <w:r w:rsidR="00116B5E" w:rsidRPr="0021372A">
        <w:rPr>
          <w:rFonts w:asciiTheme="minorHAnsi" w:hAnsiTheme="minorHAnsi" w:cstheme="minorHAnsi"/>
        </w:rPr>
        <w:t xml:space="preserve"> </w:t>
      </w:r>
      <w:r w:rsidR="00DC3B14">
        <w:rPr>
          <w:rFonts w:asciiTheme="minorHAnsi" w:hAnsiTheme="minorHAnsi" w:cstheme="minorHAnsi"/>
        </w:rPr>
        <w:t xml:space="preserve">proportion </w:t>
      </w:r>
      <w:r w:rsidR="00E250EA">
        <w:rPr>
          <w:rFonts w:asciiTheme="minorHAnsi" w:hAnsiTheme="minorHAnsi" w:cstheme="minorHAnsi"/>
        </w:rPr>
        <w:t>of</w:t>
      </w:r>
      <w:r w:rsidR="00116B5E" w:rsidRPr="0021372A">
        <w:rPr>
          <w:rFonts w:asciiTheme="minorHAnsi" w:hAnsiTheme="minorHAnsi" w:cstheme="minorHAnsi"/>
        </w:rPr>
        <w:t xml:space="preserve"> cases </w:t>
      </w:r>
      <w:proofErr w:type="spellStart"/>
      <w:r w:rsidR="00116B5E" w:rsidRPr="0021372A">
        <w:rPr>
          <w:rFonts w:asciiTheme="minorHAnsi" w:hAnsiTheme="minorHAnsi" w:cstheme="minorHAnsi"/>
        </w:rPr>
        <w:t>hospitalised</w:t>
      </w:r>
      <w:proofErr w:type="spellEnd"/>
      <w:r w:rsidR="00116B5E" w:rsidRPr="0021372A">
        <w:rPr>
          <w:rFonts w:asciiTheme="minorHAnsi" w:hAnsiTheme="minorHAnsi" w:cstheme="minorHAnsi"/>
        </w:rPr>
        <w:t xml:space="preserve"> by causative organism</w:t>
      </w:r>
      <w:r w:rsidR="00DC3B14">
        <w:rPr>
          <w:rFonts w:asciiTheme="minorHAnsi" w:hAnsiTheme="minorHAnsi" w:cstheme="minorHAnsi"/>
        </w:rPr>
        <w:t>.</w:t>
      </w:r>
      <w:r w:rsidR="00210760">
        <w:rPr>
          <w:rFonts w:asciiTheme="minorHAnsi" w:hAnsiTheme="minorHAnsi" w:cstheme="minorHAnsi"/>
        </w:rPr>
        <w:t xml:space="preserve"> </w:t>
      </w:r>
      <w:r w:rsidR="00DC3B14">
        <w:rPr>
          <w:rFonts w:asciiTheme="minorHAnsi" w:hAnsiTheme="minorHAnsi" w:cstheme="minorHAnsi"/>
        </w:rPr>
        <w:t xml:space="preserve">We based </w:t>
      </w:r>
      <w:proofErr w:type="spellStart"/>
      <w:r w:rsidR="00DC3B14">
        <w:rPr>
          <w:rFonts w:asciiTheme="minorHAnsi" w:hAnsiTheme="minorHAnsi" w:cstheme="minorHAnsi"/>
        </w:rPr>
        <w:t>hospitalisation</w:t>
      </w:r>
      <w:proofErr w:type="spellEnd"/>
      <w:r w:rsidR="00DC3B14">
        <w:rPr>
          <w:rFonts w:asciiTheme="minorHAnsi" w:hAnsiTheme="minorHAnsi" w:cstheme="minorHAnsi"/>
        </w:rPr>
        <w:t xml:space="preserve"> </w:t>
      </w:r>
      <w:r w:rsidR="00DC3B14" w:rsidRPr="0021372A">
        <w:rPr>
          <w:rFonts w:asciiTheme="minorHAnsi" w:hAnsiTheme="minorHAnsi" w:cstheme="minorHAnsi"/>
        </w:rPr>
        <w:t>estimates on all outbreaks</w:t>
      </w:r>
      <w:r>
        <w:rPr>
          <w:rFonts w:asciiTheme="minorHAnsi" w:hAnsiTheme="minorHAnsi" w:cstheme="minorHAnsi"/>
        </w:rPr>
        <w:t xml:space="preserve"> with available data</w:t>
      </w:r>
      <w:r w:rsidR="00DC3B14">
        <w:rPr>
          <w:rFonts w:asciiTheme="minorHAnsi" w:hAnsiTheme="minorHAnsi" w:cstheme="minorHAnsi"/>
        </w:rPr>
        <w:t>, as w</w:t>
      </w:r>
      <w:r w:rsidR="00210760">
        <w:rPr>
          <w:rFonts w:asciiTheme="minorHAnsi" w:hAnsiTheme="minorHAnsi" w:cstheme="minorHAnsi"/>
        </w:rPr>
        <w:t xml:space="preserve">e found </w:t>
      </w:r>
      <w:r w:rsidR="00116B5E" w:rsidRPr="0021372A">
        <w:rPr>
          <w:rFonts w:asciiTheme="minorHAnsi" w:hAnsiTheme="minorHAnsi" w:cstheme="minorHAnsi"/>
        </w:rPr>
        <w:t>no major difference</w:t>
      </w:r>
      <w:r w:rsidR="005A43F2">
        <w:rPr>
          <w:rFonts w:asciiTheme="minorHAnsi" w:hAnsiTheme="minorHAnsi" w:cstheme="minorHAnsi"/>
        </w:rPr>
        <w:t>s</w:t>
      </w:r>
      <w:r w:rsidR="00116B5E" w:rsidRPr="0021372A">
        <w:rPr>
          <w:rFonts w:asciiTheme="minorHAnsi" w:hAnsiTheme="minorHAnsi" w:cstheme="minorHAnsi"/>
        </w:rPr>
        <w:t xml:space="preserve"> in </w:t>
      </w:r>
      <w:proofErr w:type="spellStart"/>
      <w:r w:rsidR="00116B5E" w:rsidRPr="0021372A">
        <w:rPr>
          <w:rFonts w:asciiTheme="minorHAnsi" w:hAnsiTheme="minorHAnsi" w:cstheme="minorHAnsi"/>
        </w:rPr>
        <w:t>hospitalisation</w:t>
      </w:r>
      <w:proofErr w:type="spellEnd"/>
      <w:r w:rsidR="00116B5E" w:rsidRPr="0021372A">
        <w:rPr>
          <w:rFonts w:asciiTheme="minorHAnsi" w:hAnsiTheme="minorHAnsi" w:cstheme="minorHAnsi"/>
        </w:rPr>
        <w:t xml:space="preserve"> </w:t>
      </w:r>
      <w:r w:rsidR="00DC3B14">
        <w:rPr>
          <w:rFonts w:asciiTheme="minorHAnsi" w:hAnsiTheme="minorHAnsi" w:cstheme="minorHAnsi"/>
        </w:rPr>
        <w:t>between foodborne and other outbreaks</w:t>
      </w:r>
      <w:r w:rsidR="00116B5E" w:rsidRPr="0021372A">
        <w:rPr>
          <w:rFonts w:asciiTheme="minorHAnsi" w:hAnsiTheme="minorHAnsi" w:cstheme="minorHAnsi"/>
        </w:rPr>
        <w:t xml:space="preserve">. To account for uncertainty in these parameters, we </w:t>
      </w:r>
      <w:r w:rsidR="00317DD7">
        <w:rPr>
          <w:rFonts w:asciiTheme="minorHAnsi" w:hAnsiTheme="minorHAnsi" w:cstheme="minorHAnsi"/>
        </w:rPr>
        <w:t xml:space="preserve">fitted Beta distributions to bootstrapped data as </w:t>
      </w:r>
      <w:r w:rsidR="00116B5E" w:rsidRPr="0021372A">
        <w:rPr>
          <w:rFonts w:asciiTheme="minorHAnsi" w:hAnsiTheme="minorHAnsi" w:cstheme="minorHAnsi"/>
        </w:rPr>
        <w:t xml:space="preserve">detailed above for </w:t>
      </w:r>
      <w:r w:rsidR="00116B5E" w:rsidRPr="0021372A">
        <w:rPr>
          <w:rFonts w:asciiTheme="minorHAnsi" w:hAnsiTheme="minorHAnsi" w:cstheme="minorHAnsi"/>
          <w:i/>
        </w:rPr>
        <w:sym w:font="Symbol" w:char="F070"/>
      </w:r>
      <w:r w:rsidR="00116B5E" w:rsidRPr="0021372A">
        <w:rPr>
          <w:rFonts w:asciiTheme="minorHAnsi" w:hAnsiTheme="minorHAnsi" w:cstheme="minorHAnsi"/>
          <w:i/>
          <w:vertAlign w:val="subscript"/>
        </w:rPr>
        <w:t>p</w:t>
      </w:r>
      <w:r w:rsidR="00374F16">
        <w:rPr>
          <w:rFonts w:asciiTheme="minorHAnsi" w:hAnsiTheme="minorHAnsi" w:cstheme="minorHAnsi"/>
        </w:rPr>
        <w:t>, but additionally weighting by outbreak size (see Technical Appendix)</w:t>
      </w:r>
      <w:r w:rsidR="00116B5E" w:rsidRPr="0021372A">
        <w:rPr>
          <w:rFonts w:asciiTheme="minorHAnsi" w:hAnsiTheme="minorHAnsi" w:cstheme="minorHAnsi"/>
        </w:rPr>
        <w:t xml:space="preserve">. </w:t>
      </w:r>
      <w:r w:rsidR="00397E05">
        <w:rPr>
          <w:rFonts w:asciiTheme="minorHAnsi" w:hAnsiTheme="minorHAnsi" w:cstheme="minorHAnsi"/>
        </w:rPr>
        <w:t xml:space="preserve">For adenovirus and </w:t>
      </w:r>
      <w:proofErr w:type="spellStart"/>
      <w:r w:rsidR="00397E05">
        <w:rPr>
          <w:rFonts w:asciiTheme="minorHAnsi" w:hAnsiTheme="minorHAnsi" w:cstheme="minorHAnsi"/>
        </w:rPr>
        <w:t>sap</w:t>
      </w:r>
      <w:r w:rsidR="00A3697F">
        <w:rPr>
          <w:rFonts w:asciiTheme="minorHAnsi" w:hAnsiTheme="minorHAnsi" w:cstheme="minorHAnsi"/>
        </w:rPr>
        <w:t>ovirus</w:t>
      </w:r>
      <w:proofErr w:type="spellEnd"/>
      <w:r w:rsidR="00A3697F">
        <w:rPr>
          <w:rFonts w:asciiTheme="minorHAnsi" w:hAnsiTheme="minorHAnsi" w:cstheme="minorHAnsi"/>
        </w:rPr>
        <w:t xml:space="preserve">, we used parameters derived from analysis of rotavirus and norovirus outbreaks respectively. </w:t>
      </w:r>
      <w:r w:rsidR="00116B5E" w:rsidRPr="0021372A">
        <w:rPr>
          <w:rFonts w:asciiTheme="minorHAnsi" w:hAnsiTheme="minorHAnsi" w:cstheme="minorHAnsi"/>
        </w:rPr>
        <w:t xml:space="preserve">Bootstrap estimates with fitted Beta distributions by pathogen are shown in </w:t>
      </w:r>
      <w:r w:rsidR="00DC3B14">
        <w:rPr>
          <w:rFonts w:asciiTheme="minorHAnsi" w:hAnsiTheme="minorHAnsi" w:cstheme="minorHAnsi"/>
        </w:rPr>
        <w:t xml:space="preserve">the </w:t>
      </w:r>
      <w:r w:rsidR="00374F16">
        <w:rPr>
          <w:rFonts w:asciiTheme="minorHAnsi" w:hAnsiTheme="minorHAnsi" w:cstheme="minorHAnsi"/>
        </w:rPr>
        <w:t>T</w:t>
      </w:r>
      <w:r w:rsidR="00DC3B14">
        <w:rPr>
          <w:rFonts w:asciiTheme="minorHAnsi" w:hAnsiTheme="minorHAnsi" w:cstheme="minorHAnsi"/>
        </w:rPr>
        <w:t xml:space="preserve">echnical </w:t>
      </w:r>
      <w:r w:rsidR="00374F16">
        <w:rPr>
          <w:rFonts w:asciiTheme="minorHAnsi" w:hAnsiTheme="minorHAnsi" w:cstheme="minorHAnsi"/>
        </w:rPr>
        <w:t>A</w:t>
      </w:r>
      <w:r w:rsidR="00DC3B14">
        <w:rPr>
          <w:rFonts w:asciiTheme="minorHAnsi" w:hAnsiTheme="minorHAnsi" w:cstheme="minorHAnsi"/>
        </w:rPr>
        <w:t>ppendix.</w:t>
      </w:r>
    </w:p>
    <w:p w14:paraId="0DA11E8C" w14:textId="77777777" w:rsidR="002864D8" w:rsidRPr="00D14586" w:rsidRDefault="002864D8" w:rsidP="00546FCD">
      <w:pPr>
        <w:pStyle w:val="Subtitle"/>
        <w:spacing w:before="240" w:after="0" w:line="360" w:lineRule="auto"/>
        <w:rPr>
          <w:rFonts w:asciiTheme="minorHAnsi" w:hAnsiTheme="minorHAnsi"/>
          <w:b/>
          <w:i w:val="0"/>
          <w:color w:val="auto"/>
        </w:rPr>
      </w:pPr>
      <w:r w:rsidRPr="007D2A10">
        <w:rPr>
          <w:rFonts w:asciiTheme="minorHAnsi" w:hAnsiTheme="minorHAnsi"/>
          <w:b/>
          <w:i w:val="0"/>
          <w:color w:val="auto"/>
          <w:sz w:val="22"/>
          <w:szCs w:val="22"/>
        </w:rPr>
        <w:lastRenderedPageBreak/>
        <w:t>Prior distributions for</w:t>
      </w:r>
      <w:r w:rsidR="00D14586" w:rsidRPr="007D2A10">
        <w:rPr>
          <w:rFonts w:asciiTheme="minorHAnsi" w:hAnsiTheme="minorHAnsi"/>
          <w:b/>
          <w:i w:val="0"/>
          <w:color w:val="auto"/>
          <w:sz w:val="22"/>
          <w:szCs w:val="22"/>
        </w:rPr>
        <w:t xml:space="preserve"> </w:t>
      </w:r>
      <w:r w:rsidR="00D14586" w:rsidRPr="003B6692">
        <w:rPr>
          <w:rFonts w:asciiTheme="minorHAnsi" w:hAnsiTheme="minorHAnsi"/>
          <w:b/>
          <w:i w:val="0"/>
          <w:color w:val="auto"/>
          <w:sz w:val="22"/>
          <w:szCs w:val="22"/>
        </w:rPr>
        <w:t xml:space="preserve">pathogen-specific </w:t>
      </w:r>
      <w:proofErr w:type="spellStart"/>
      <w:r w:rsidR="00D14586" w:rsidRPr="003B6692">
        <w:rPr>
          <w:rFonts w:asciiTheme="minorHAnsi" w:hAnsiTheme="minorHAnsi"/>
          <w:b/>
          <w:i w:val="0"/>
          <w:color w:val="auto"/>
          <w:sz w:val="22"/>
          <w:szCs w:val="22"/>
        </w:rPr>
        <w:t>hospitalisation</w:t>
      </w:r>
      <w:proofErr w:type="spellEnd"/>
      <w:r w:rsidRPr="007D2A10">
        <w:rPr>
          <w:rFonts w:asciiTheme="minorHAnsi" w:hAnsiTheme="minorHAnsi"/>
          <w:b/>
          <w:i w:val="0"/>
          <w:color w:val="auto"/>
          <w:sz w:val="22"/>
          <w:szCs w:val="22"/>
        </w:rPr>
        <w:t xml:space="preserve"> </w:t>
      </w:r>
      <w:r w:rsidR="00D14586" w:rsidRPr="007D2A10">
        <w:rPr>
          <w:rFonts w:asciiTheme="minorHAnsi" w:hAnsiTheme="minorHAnsi"/>
          <w:b/>
          <w:i w:val="0"/>
          <w:color w:val="auto"/>
          <w:sz w:val="22"/>
          <w:szCs w:val="22"/>
        </w:rPr>
        <w:t>(</w:t>
      </w:r>
      <w:r w:rsidRPr="007D2A10">
        <w:rPr>
          <w:rFonts w:asciiTheme="minorHAnsi" w:hAnsiTheme="minorHAnsi"/>
          <w:b/>
          <w:color w:val="auto"/>
          <w:sz w:val="22"/>
          <w:szCs w:val="22"/>
        </w:rPr>
        <w:sym w:font="Symbol" w:char="F067"/>
      </w:r>
      <w:r w:rsidRPr="007D2A10">
        <w:rPr>
          <w:rFonts w:asciiTheme="minorHAnsi" w:hAnsiTheme="minorHAnsi"/>
          <w:b/>
          <w:color w:val="auto"/>
          <w:sz w:val="22"/>
          <w:szCs w:val="22"/>
          <w:vertAlign w:val="subscript"/>
        </w:rPr>
        <w:t>p</w:t>
      </w:r>
      <w:r w:rsidR="00D14586" w:rsidRPr="007D2A10">
        <w:rPr>
          <w:rFonts w:asciiTheme="minorHAnsi" w:hAnsiTheme="minorHAnsi"/>
          <w:b/>
          <w:i w:val="0"/>
          <w:color w:val="auto"/>
          <w:sz w:val="22"/>
          <w:szCs w:val="22"/>
        </w:rPr>
        <w:t>)</w:t>
      </w:r>
    </w:p>
    <w:p w14:paraId="791DA75D" w14:textId="7DA79147" w:rsidR="002864D8" w:rsidRDefault="00A627C2" w:rsidP="00546FCD">
      <w:pPr>
        <w:pStyle w:val="Unknown0"/>
        <w:spacing w:after="0" w:line="360" w:lineRule="auto"/>
        <w:rPr>
          <w:rFonts w:asciiTheme="minorHAnsi" w:hAnsiTheme="minorHAnsi" w:cstheme="minorHAnsi"/>
        </w:rPr>
      </w:pPr>
      <w:r>
        <w:rPr>
          <w:rFonts w:asciiTheme="minorHAnsi" w:hAnsiTheme="minorHAnsi" w:cstheme="minorHAnsi"/>
        </w:rPr>
        <w:t>We used pathogen-specific, Beta-distributed priors for</w:t>
      </w:r>
      <w:r w:rsidR="00DC3B14">
        <w:rPr>
          <w:rFonts w:asciiTheme="minorHAnsi" w:hAnsiTheme="minorHAnsi" w:cstheme="minorHAnsi"/>
        </w:rPr>
        <w:t xml:space="preserve"> </w:t>
      </w:r>
      <w:r w:rsidR="002864D8" w:rsidRPr="002864D8">
        <w:rPr>
          <w:rFonts w:cstheme="minorHAnsi"/>
          <w:i/>
        </w:rPr>
        <w:sym w:font="Symbol" w:char="F067"/>
      </w:r>
      <w:r w:rsidR="002864D8" w:rsidRPr="002864D8">
        <w:rPr>
          <w:rFonts w:cstheme="minorHAnsi"/>
          <w:i/>
          <w:vertAlign w:val="subscript"/>
        </w:rPr>
        <w:t>p</w:t>
      </w:r>
      <w:r>
        <w:rPr>
          <w:rFonts w:cstheme="minorHAnsi"/>
        </w:rPr>
        <w:t xml:space="preserve">. </w:t>
      </w:r>
      <w:r>
        <w:rPr>
          <w:rFonts w:asciiTheme="minorHAnsi" w:hAnsiTheme="minorHAnsi" w:cstheme="minorHAnsi"/>
        </w:rPr>
        <w:t>The Beta parameters were informed</w:t>
      </w:r>
      <w:r w:rsidR="00DC3B14">
        <w:rPr>
          <w:rFonts w:asciiTheme="minorHAnsi" w:hAnsiTheme="minorHAnsi" w:cstheme="minorHAnsi"/>
        </w:rPr>
        <w:t xml:space="preserve"> </w:t>
      </w:r>
      <w:r w:rsidR="00B649D6">
        <w:rPr>
          <w:rFonts w:asciiTheme="minorHAnsi" w:hAnsiTheme="minorHAnsi" w:cstheme="minorHAnsi"/>
        </w:rPr>
        <w:t xml:space="preserve">by </w:t>
      </w:r>
      <w:r>
        <w:rPr>
          <w:rFonts w:asciiTheme="minorHAnsi" w:hAnsiTheme="minorHAnsi" w:cstheme="minorHAnsi"/>
        </w:rPr>
        <w:t xml:space="preserve">an analysis of </w:t>
      </w:r>
      <w:proofErr w:type="spellStart"/>
      <w:r>
        <w:rPr>
          <w:rFonts w:asciiTheme="minorHAnsi" w:hAnsiTheme="minorHAnsi" w:cstheme="minorHAnsi"/>
        </w:rPr>
        <w:t>hospitalisation</w:t>
      </w:r>
      <w:proofErr w:type="spellEnd"/>
      <w:r>
        <w:rPr>
          <w:rFonts w:asciiTheme="minorHAnsi" w:hAnsiTheme="minorHAnsi" w:cstheme="minorHAnsi"/>
        </w:rPr>
        <w:t xml:space="preserve"> data from the </w:t>
      </w:r>
      <w:r w:rsidR="00B649D6">
        <w:rPr>
          <w:rFonts w:asciiTheme="minorHAnsi" w:hAnsiTheme="minorHAnsi" w:cstheme="minorHAnsi"/>
        </w:rPr>
        <w:t xml:space="preserve">IID1 and IID2 </w:t>
      </w:r>
      <w:r>
        <w:rPr>
          <w:rFonts w:asciiTheme="minorHAnsi" w:hAnsiTheme="minorHAnsi" w:cstheme="minorHAnsi"/>
        </w:rPr>
        <w:t>Studies (see</w:t>
      </w:r>
      <w:r w:rsidR="001521B6">
        <w:rPr>
          <w:rFonts w:asciiTheme="minorHAnsi" w:hAnsiTheme="minorHAnsi" w:cstheme="minorHAnsi"/>
        </w:rPr>
        <w:t xml:space="preserve"> Figure A1,</w:t>
      </w:r>
      <w:r>
        <w:rPr>
          <w:rFonts w:asciiTheme="minorHAnsi" w:hAnsiTheme="minorHAnsi" w:cstheme="minorHAnsi"/>
        </w:rPr>
        <w:t xml:space="preserve"> Technical Appendix). </w:t>
      </w:r>
    </w:p>
    <w:p w14:paraId="01AA9812" w14:textId="77777777" w:rsidR="002B4121" w:rsidRPr="00645D34" w:rsidRDefault="0061289E" w:rsidP="00546FCD">
      <w:pPr>
        <w:pStyle w:val="Subtitle"/>
        <w:spacing w:before="240" w:after="0" w:line="360" w:lineRule="auto"/>
        <w:rPr>
          <w:rFonts w:asciiTheme="minorHAnsi" w:hAnsiTheme="minorHAnsi"/>
          <w:i w:val="0"/>
          <w:color w:val="auto"/>
          <w:sz w:val="22"/>
        </w:rPr>
      </w:pPr>
      <w:r w:rsidRPr="00645D34">
        <w:rPr>
          <w:rFonts w:asciiTheme="minorHAnsi" w:hAnsiTheme="minorHAnsi"/>
          <w:i w:val="0"/>
          <w:color w:val="auto"/>
          <w:sz w:val="22"/>
        </w:rPr>
        <w:t>Estimating</w:t>
      </w:r>
      <w:r w:rsidR="00820021" w:rsidRPr="00645D34">
        <w:rPr>
          <w:rFonts w:asciiTheme="minorHAnsi" w:hAnsiTheme="minorHAnsi"/>
          <w:i w:val="0"/>
          <w:color w:val="auto"/>
          <w:sz w:val="22"/>
        </w:rPr>
        <w:t xml:space="preserve"> </w:t>
      </w:r>
      <w:r w:rsidRPr="00645D34">
        <w:rPr>
          <w:rFonts w:asciiTheme="minorHAnsi" w:hAnsiTheme="minorHAnsi"/>
          <w:i w:val="0"/>
          <w:color w:val="auto"/>
          <w:sz w:val="22"/>
        </w:rPr>
        <w:t xml:space="preserve">food-related </w:t>
      </w:r>
      <w:r w:rsidR="001D0BB7" w:rsidRPr="00645D34">
        <w:rPr>
          <w:rFonts w:asciiTheme="minorHAnsi" w:hAnsiTheme="minorHAnsi"/>
          <w:i w:val="0"/>
          <w:color w:val="auto"/>
          <w:sz w:val="22"/>
        </w:rPr>
        <w:t xml:space="preserve">IID </w:t>
      </w:r>
      <w:r w:rsidR="00820021" w:rsidRPr="00645D34">
        <w:rPr>
          <w:rFonts w:asciiTheme="minorHAnsi" w:hAnsiTheme="minorHAnsi"/>
          <w:i w:val="0"/>
          <w:color w:val="auto"/>
          <w:sz w:val="22"/>
        </w:rPr>
        <w:t xml:space="preserve">cases, </w:t>
      </w:r>
      <w:r w:rsidR="001D0BB7" w:rsidRPr="00645D34">
        <w:rPr>
          <w:rFonts w:asciiTheme="minorHAnsi" w:hAnsiTheme="minorHAnsi"/>
          <w:i w:val="0"/>
          <w:color w:val="auto"/>
          <w:sz w:val="22"/>
        </w:rPr>
        <w:t xml:space="preserve">GP </w:t>
      </w:r>
      <w:r w:rsidR="00820021" w:rsidRPr="00645D34">
        <w:rPr>
          <w:rFonts w:asciiTheme="minorHAnsi" w:hAnsiTheme="minorHAnsi"/>
          <w:i w:val="0"/>
          <w:color w:val="auto"/>
          <w:sz w:val="22"/>
        </w:rPr>
        <w:t xml:space="preserve">consultations and </w:t>
      </w:r>
      <w:proofErr w:type="spellStart"/>
      <w:r w:rsidR="00820021" w:rsidRPr="00645D34">
        <w:rPr>
          <w:rFonts w:asciiTheme="minorHAnsi" w:hAnsiTheme="minorHAnsi"/>
          <w:i w:val="0"/>
          <w:color w:val="auto"/>
          <w:sz w:val="22"/>
        </w:rPr>
        <w:t>hospitalisations</w:t>
      </w:r>
      <w:proofErr w:type="spellEnd"/>
      <w:r w:rsidR="00470B0E" w:rsidRPr="00645D34">
        <w:rPr>
          <w:rFonts w:asciiTheme="minorHAnsi" w:hAnsiTheme="minorHAnsi"/>
          <w:i w:val="0"/>
          <w:color w:val="auto"/>
          <w:sz w:val="22"/>
        </w:rPr>
        <w:t xml:space="preserve"> </w:t>
      </w:r>
      <w:r w:rsidR="00116B5E" w:rsidRPr="00BE101E">
        <w:rPr>
          <w:rFonts w:asciiTheme="minorHAnsi" w:hAnsiTheme="minorHAnsi"/>
          <w:color w:val="auto"/>
          <w:sz w:val="22"/>
        </w:rPr>
        <w:t>(</w:t>
      </w:r>
      <w:proofErr w:type="spellStart"/>
      <w:r w:rsidR="00116B5E" w:rsidRPr="00BE101E">
        <w:rPr>
          <w:rFonts w:asciiTheme="minorHAnsi" w:hAnsiTheme="minorHAnsi"/>
          <w:color w:val="auto"/>
          <w:sz w:val="22"/>
        </w:rPr>
        <w:t>F</w:t>
      </w:r>
      <w:r w:rsidR="00116B5E" w:rsidRPr="00BE101E">
        <w:rPr>
          <w:rFonts w:asciiTheme="minorHAnsi" w:hAnsiTheme="minorHAnsi"/>
          <w:color w:val="auto"/>
          <w:sz w:val="22"/>
          <w:vertAlign w:val="subscript"/>
        </w:rPr>
        <w:t>p</w:t>
      </w:r>
      <w:proofErr w:type="spellEnd"/>
      <w:r w:rsidR="00116B5E" w:rsidRPr="00BE101E">
        <w:rPr>
          <w:rFonts w:asciiTheme="minorHAnsi" w:hAnsiTheme="minorHAnsi"/>
          <w:color w:val="auto"/>
          <w:sz w:val="22"/>
        </w:rPr>
        <w:t xml:space="preserve">, </w:t>
      </w:r>
      <w:proofErr w:type="spellStart"/>
      <w:r w:rsidR="00116B5E" w:rsidRPr="00BE101E">
        <w:rPr>
          <w:rFonts w:asciiTheme="minorHAnsi" w:hAnsiTheme="minorHAnsi"/>
          <w:color w:val="auto"/>
          <w:sz w:val="22"/>
        </w:rPr>
        <w:t>G</w:t>
      </w:r>
      <w:r w:rsidR="00116B5E" w:rsidRPr="00BE101E">
        <w:rPr>
          <w:rFonts w:asciiTheme="minorHAnsi" w:hAnsiTheme="minorHAnsi"/>
          <w:color w:val="auto"/>
          <w:sz w:val="22"/>
          <w:vertAlign w:val="subscript"/>
        </w:rPr>
        <w:t>p</w:t>
      </w:r>
      <w:proofErr w:type="spellEnd"/>
      <w:r w:rsidR="00116B5E" w:rsidRPr="00BE101E">
        <w:rPr>
          <w:rFonts w:asciiTheme="minorHAnsi" w:hAnsiTheme="minorHAnsi"/>
          <w:color w:val="auto"/>
          <w:sz w:val="22"/>
        </w:rPr>
        <w:t xml:space="preserve">, </w:t>
      </w:r>
      <w:proofErr w:type="spellStart"/>
      <w:r w:rsidR="00116B5E" w:rsidRPr="00BE101E">
        <w:rPr>
          <w:rFonts w:asciiTheme="minorHAnsi" w:hAnsiTheme="minorHAnsi"/>
          <w:color w:val="auto"/>
          <w:sz w:val="22"/>
        </w:rPr>
        <w:t>H</w:t>
      </w:r>
      <w:r w:rsidR="00116B5E" w:rsidRPr="00BE101E">
        <w:rPr>
          <w:rFonts w:asciiTheme="minorHAnsi" w:hAnsiTheme="minorHAnsi"/>
          <w:color w:val="auto"/>
          <w:sz w:val="22"/>
          <w:vertAlign w:val="subscript"/>
        </w:rPr>
        <w:t>p</w:t>
      </w:r>
      <w:proofErr w:type="spellEnd"/>
      <w:r w:rsidR="00116B5E" w:rsidRPr="00BE101E">
        <w:rPr>
          <w:rFonts w:asciiTheme="minorHAnsi" w:hAnsiTheme="minorHAnsi"/>
          <w:color w:val="auto"/>
          <w:sz w:val="22"/>
        </w:rPr>
        <w:t>)</w:t>
      </w:r>
    </w:p>
    <w:p w14:paraId="089892A1" w14:textId="77777777" w:rsidR="002864D8" w:rsidRDefault="001D0BB7" w:rsidP="00546FCD">
      <w:pPr>
        <w:pStyle w:val="Unknown0"/>
        <w:spacing w:line="360" w:lineRule="auto"/>
        <w:rPr>
          <w:rFonts w:asciiTheme="minorHAnsi" w:hAnsiTheme="minorHAnsi" w:cstheme="minorHAnsi"/>
        </w:rPr>
      </w:pPr>
      <w:r>
        <w:rPr>
          <w:rFonts w:asciiTheme="minorHAnsi" w:hAnsiTheme="minorHAnsi" w:cstheme="minorHAnsi"/>
        </w:rPr>
        <w:t xml:space="preserve">We obtained estimates of the number of foodborne cases, GP consultations and </w:t>
      </w:r>
      <w:proofErr w:type="spellStart"/>
      <w:r>
        <w:rPr>
          <w:rFonts w:asciiTheme="minorHAnsi" w:hAnsiTheme="minorHAnsi" w:cstheme="minorHAnsi"/>
        </w:rPr>
        <w:t>hospitalisations</w:t>
      </w:r>
      <w:proofErr w:type="spellEnd"/>
      <w:r>
        <w:rPr>
          <w:rFonts w:asciiTheme="minorHAnsi" w:hAnsiTheme="minorHAnsi" w:cstheme="minorHAnsi"/>
        </w:rPr>
        <w:t xml:space="preserve"> using three different approaches. In </w:t>
      </w:r>
      <w:r w:rsidR="00391526">
        <w:rPr>
          <w:rFonts w:asciiTheme="minorHAnsi" w:hAnsiTheme="minorHAnsi" w:cstheme="minorHAnsi"/>
        </w:rPr>
        <w:t xml:space="preserve">Model 1, we used Monte Carlo simulation to </w:t>
      </w:r>
      <w:r w:rsidR="00866CCF">
        <w:rPr>
          <w:rFonts w:asciiTheme="minorHAnsi" w:hAnsiTheme="minorHAnsi" w:cstheme="minorHAnsi"/>
        </w:rPr>
        <w:t xml:space="preserve">draw values at random from each parameter distribution. In Model 2, we used a </w:t>
      </w:r>
      <w:r w:rsidR="00866CCF" w:rsidRPr="0021372A">
        <w:rPr>
          <w:rFonts w:asciiTheme="minorHAnsi" w:hAnsiTheme="minorHAnsi" w:cstheme="minorHAnsi"/>
        </w:rPr>
        <w:t>Bayesian approach</w:t>
      </w:r>
      <w:r w:rsidR="00866CCF">
        <w:rPr>
          <w:rFonts w:asciiTheme="minorHAnsi" w:hAnsiTheme="minorHAnsi" w:cstheme="minorHAnsi"/>
        </w:rPr>
        <w:t xml:space="preserve"> that included </w:t>
      </w:r>
      <w:r w:rsidR="00866CCF" w:rsidRPr="0021372A">
        <w:rPr>
          <w:rFonts w:asciiTheme="minorHAnsi" w:hAnsiTheme="minorHAnsi" w:cstheme="minorHAnsi"/>
        </w:rPr>
        <w:t xml:space="preserve">parameters for the prior distributions of </w:t>
      </w:r>
      <w:r w:rsidR="00552C30" w:rsidRPr="0021372A">
        <w:rPr>
          <w:rFonts w:asciiTheme="minorHAnsi" w:hAnsiTheme="minorHAnsi" w:cstheme="minorHAnsi"/>
          <w:i/>
        </w:rPr>
        <w:sym w:font="Symbol" w:char="F067"/>
      </w:r>
      <w:r w:rsidR="00552C30" w:rsidRPr="0021372A">
        <w:rPr>
          <w:rFonts w:asciiTheme="minorHAnsi" w:hAnsiTheme="minorHAnsi" w:cstheme="minorHAnsi"/>
          <w:i/>
          <w:vertAlign w:val="subscript"/>
        </w:rPr>
        <w:t>p</w:t>
      </w:r>
      <w:r w:rsidR="00552C30" w:rsidRPr="0021372A">
        <w:rPr>
          <w:rFonts w:asciiTheme="minorHAnsi" w:hAnsiTheme="minorHAnsi" w:cstheme="minorHAnsi"/>
          <w:i/>
        </w:rPr>
        <w:t xml:space="preserve"> </w:t>
      </w:r>
      <w:r w:rsidR="00552C30">
        <w:rPr>
          <w:rFonts w:asciiTheme="minorHAnsi" w:hAnsiTheme="minorHAnsi" w:cstheme="minorHAnsi"/>
        </w:rPr>
        <w:t>from the IID1 and IID2 studies, and for</w:t>
      </w:r>
      <w:r w:rsidR="00552C30">
        <w:rPr>
          <w:rFonts w:asciiTheme="minorHAnsi" w:hAnsiTheme="minorHAnsi" w:cstheme="minorHAnsi"/>
          <w:i/>
        </w:rPr>
        <w:t xml:space="preserve"> </w:t>
      </w:r>
      <w:r w:rsidR="00866CCF" w:rsidRPr="0021372A">
        <w:rPr>
          <w:rFonts w:asciiTheme="minorHAnsi" w:hAnsiTheme="minorHAnsi" w:cstheme="minorHAnsi"/>
          <w:i/>
        </w:rPr>
        <w:sym w:font="Symbol" w:char="F070"/>
      </w:r>
      <w:r w:rsidR="00866CCF" w:rsidRPr="0021372A">
        <w:rPr>
          <w:rFonts w:asciiTheme="minorHAnsi" w:hAnsiTheme="minorHAnsi" w:cstheme="minorHAnsi"/>
          <w:i/>
          <w:vertAlign w:val="subscript"/>
        </w:rPr>
        <w:t>p</w:t>
      </w:r>
      <w:r w:rsidR="00866CCF" w:rsidRPr="0021372A">
        <w:rPr>
          <w:rFonts w:asciiTheme="minorHAnsi" w:hAnsiTheme="minorHAnsi" w:cstheme="minorHAnsi"/>
        </w:rPr>
        <w:t xml:space="preserve"> </w:t>
      </w:r>
      <w:r w:rsidR="00866CCF">
        <w:rPr>
          <w:rFonts w:asciiTheme="minorHAnsi" w:hAnsiTheme="minorHAnsi" w:cstheme="minorHAnsi"/>
        </w:rPr>
        <w:t xml:space="preserve">from Group </w:t>
      </w:r>
      <w:proofErr w:type="gramStart"/>
      <w:r w:rsidR="00866CCF">
        <w:rPr>
          <w:rFonts w:asciiTheme="minorHAnsi" w:hAnsiTheme="minorHAnsi" w:cstheme="minorHAnsi"/>
        </w:rPr>
        <w:t>A</w:t>
      </w:r>
      <w:proofErr w:type="gramEnd"/>
      <w:r w:rsidR="00866CCF">
        <w:rPr>
          <w:rFonts w:asciiTheme="minorHAnsi" w:hAnsiTheme="minorHAnsi" w:cstheme="minorHAnsi"/>
        </w:rPr>
        <w:t xml:space="preserve"> studies as described above</w:t>
      </w:r>
      <w:r w:rsidR="00866CCF" w:rsidRPr="0021372A">
        <w:rPr>
          <w:rFonts w:asciiTheme="minorHAnsi" w:hAnsiTheme="minorHAnsi" w:cstheme="minorHAnsi"/>
        </w:rPr>
        <w:t>. These priors were used, together with the outbreak data</w:t>
      </w:r>
      <w:r w:rsidR="00866CCF">
        <w:rPr>
          <w:rFonts w:asciiTheme="minorHAnsi" w:hAnsiTheme="minorHAnsi" w:cstheme="minorHAnsi"/>
        </w:rPr>
        <w:t>,</w:t>
      </w:r>
      <w:r w:rsidR="00866CCF" w:rsidRPr="0021372A">
        <w:rPr>
          <w:rFonts w:asciiTheme="minorHAnsi" w:hAnsiTheme="minorHAnsi" w:cstheme="minorHAnsi"/>
        </w:rPr>
        <w:t xml:space="preserve"> to obtain posterior distributions for these parameters, which were then used in the model</w:t>
      </w:r>
      <w:r w:rsidR="00866CCF">
        <w:rPr>
          <w:rFonts w:asciiTheme="minorHAnsi" w:hAnsiTheme="minorHAnsi" w:cstheme="minorHAnsi"/>
        </w:rPr>
        <w:t xml:space="preserve">. </w:t>
      </w:r>
      <w:r w:rsidR="00C01ABE">
        <w:rPr>
          <w:rFonts w:asciiTheme="minorHAnsi" w:hAnsiTheme="minorHAnsi" w:cstheme="minorHAnsi"/>
        </w:rPr>
        <w:t xml:space="preserve">This model could not be applied to </w:t>
      </w:r>
      <w:proofErr w:type="spellStart"/>
      <w:r w:rsidR="00C01ABE">
        <w:rPr>
          <w:rFonts w:asciiTheme="minorHAnsi" w:hAnsiTheme="minorHAnsi" w:cstheme="minorHAnsi"/>
        </w:rPr>
        <w:t>sapovirus</w:t>
      </w:r>
      <w:proofErr w:type="spellEnd"/>
      <w:r w:rsidR="00C01ABE">
        <w:rPr>
          <w:rFonts w:asciiTheme="minorHAnsi" w:hAnsiTheme="minorHAnsi" w:cstheme="minorHAnsi"/>
        </w:rPr>
        <w:t xml:space="preserve">, because none of the identified studies had information about this pathogen. </w:t>
      </w:r>
      <w:r w:rsidR="00EF77DA">
        <w:rPr>
          <w:rFonts w:asciiTheme="minorHAnsi" w:hAnsiTheme="minorHAnsi" w:cstheme="minorHAnsi"/>
        </w:rPr>
        <w:t xml:space="preserve">Model 3 had the same structure as Model 2, except that Bayesian priors </w:t>
      </w:r>
      <w:r w:rsidR="00552C30">
        <w:rPr>
          <w:rFonts w:asciiTheme="minorHAnsi" w:hAnsiTheme="minorHAnsi" w:cstheme="minorHAnsi"/>
        </w:rPr>
        <w:t xml:space="preserve">for </w:t>
      </w:r>
      <w:r w:rsidR="00552C30" w:rsidRPr="0021372A">
        <w:rPr>
          <w:rFonts w:asciiTheme="minorHAnsi" w:hAnsiTheme="minorHAnsi" w:cstheme="minorHAnsi"/>
          <w:i/>
        </w:rPr>
        <w:sym w:font="Symbol" w:char="F070"/>
      </w:r>
      <w:r w:rsidR="00552C30" w:rsidRPr="0021372A">
        <w:rPr>
          <w:rFonts w:asciiTheme="minorHAnsi" w:hAnsiTheme="minorHAnsi" w:cstheme="minorHAnsi"/>
          <w:i/>
          <w:vertAlign w:val="subscript"/>
        </w:rPr>
        <w:t>p</w:t>
      </w:r>
      <w:r w:rsidR="00552C30" w:rsidRPr="0021372A">
        <w:rPr>
          <w:rFonts w:asciiTheme="minorHAnsi" w:hAnsiTheme="minorHAnsi" w:cstheme="minorHAnsi"/>
        </w:rPr>
        <w:t xml:space="preserve"> </w:t>
      </w:r>
      <w:r w:rsidR="00EF77DA">
        <w:rPr>
          <w:rFonts w:asciiTheme="minorHAnsi" w:hAnsiTheme="minorHAnsi" w:cstheme="minorHAnsi"/>
        </w:rPr>
        <w:t xml:space="preserve">from Group B studies were used instead. </w:t>
      </w:r>
      <w:r w:rsidR="00C01ABE">
        <w:rPr>
          <w:rFonts w:asciiTheme="minorHAnsi" w:hAnsiTheme="minorHAnsi" w:cstheme="minorHAnsi"/>
        </w:rPr>
        <w:t xml:space="preserve">This model was applied to </w:t>
      </w:r>
      <w:r w:rsidR="00C01ABE">
        <w:rPr>
          <w:rFonts w:asciiTheme="minorHAnsi" w:hAnsiTheme="minorHAnsi" w:cstheme="minorHAnsi"/>
          <w:i/>
        </w:rPr>
        <w:t>Campylobacter</w:t>
      </w:r>
      <w:r w:rsidR="00C01ABE">
        <w:rPr>
          <w:rFonts w:asciiTheme="minorHAnsi" w:hAnsiTheme="minorHAnsi" w:cstheme="minorHAnsi"/>
        </w:rPr>
        <w:t xml:space="preserve">, </w:t>
      </w:r>
      <w:r w:rsidR="0091385F" w:rsidRPr="0091385F">
        <w:rPr>
          <w:rFonts w:asciiTheme="minorHAnsi" w:hAnsiTheme="minorHAnsi" w:cstheme="minorHAnsi"/>
          <w:i/>
        </w:rPr>
        <w:t>E. coli</w:t>
      </w:r>
      <w:r w:rsidR="0091385F">
        <w:rPr>
          <w:rFonts w:asciiTheme="minorHAnsi" w:hAnsiTheme="minorHAnsi" w:cstheme="minorHAnsi"/>
        </w:rPr>
        <w:t xml:space="preserve"> </w:t>
      </w:r>
      <w:r w:rsidR="00C01ABE">
        <w:rPr>
          <w:rFonts w:asciiTheme="minorHAnsi" w:hAnsiTheme="minorHAnsi" w:cstheme="minorHAnsi"/>
        </w:rPr>
        <w:t xml:space="preserve">O157, </w:t>
      </w:r>
      <w:r w:rsidR="00C01ABE">
        <w:rPr>
          <w:rFonts w:asciiTheme="minorHAnsi" w:hAnsiTheme="minorHAnsi" w:cstheme="minorHAnsi"/>
          <w:i/>
        </w:rPr>
        <w:t xml:space="preserve">Listeria </w:t>
      </w:r>
      <w:r w:rsidR="00C01ABE">
        <w:rPr>
          <w:rFonts w:asciiTheme="minorHAnsi" w:hAnsiTheme="minorHAnsi" w:cstheme="minorHAnsi"/>
        </w:rPr>
        <w:t xml:space="preserve">and </w:t>
      </w:r>
      <w:r w:rsidR="00C01ABE">
        <w:rPr>
          <w:rFonts w:asciiTheme="minorHAnsi" w:hAnsiTheme="minorHAnsi" w:cstheme="minorHAnsi"/>
          <w:i/>
        </w:rPr>
        <w:t>Salmonella</w:t>
      </w:r>
      <w:r w:rsidR="00C01ABE">
        <w:rPr>
          <w:rFonts w:asciiTheme="minorHAnsi" w:hAnsiTheme="minorHAnsi" w:cstheme="minorHAnsi"/>
        </w:rPr>
        <w:t>, for which sufficient data from published studies were available.</w:t>
      </w:r>
      <w:r w:rsidR="00C01ABE">
        <w:rPr>
          <w:rFonts w:asciiTheme="minorHAnsi" w:hAnsiTheme="minorHAnsi" w:cstheme="minorHAnsi"/>
          <w:i/>
        </w:rPr>
        <w:t xml:space="preserve"> </w:t>
      </w:r>
      <w:r w:rsidR="00EF77DA" w:rsidRPr="0021372A">
        <w:rPr>
          <w:rFonts w:asciiTheme="minorHAnsi" w:hAnsiTheme="minorHAnsi" w:cstheme="minorHAnsi"/>
        </w:rPr>
        <w:t xml:space="preserve">A full description of model parameters is given in </w:t>
      </w:r>
      <w:r w:rsidR="00EF77DA">
        <w:rPr>
          <w:rFonts w:asciiTheme="minorHAnsi" w:hAnsiTheme="minorHAnsi" w:cstheme="minorHAnsi"/>
        </w:rPr>
        <w:t xml:space="preserve">the </w:t>
      </w:r>
      <w:r w:rsidR="00645D34">
        <w:rPr>
          <w:rFonts w:asciiTheme="minorHAnsi" w:hAnsiTheme="minorHAnsi" w:cstheme="minorHAnsi"/>
        </w:rPr>
        <w:t>T</w:t>
      </w:r>
      <w:r w:rsidR="00EF77DA">
        <w:rPr>
          <w:rFonts w:asciiTheme="minorHAnsi" w:hAnsiTheme="minorHAnsi" w:cstheme="minorHAnsi"/>
        </w:rPr>
        <w:t xml:space="preserve">echnical </w:t>
      </w:r>
      <w:r w:rsidR="00645D34">
        <w:rPr>
          <w:rFonts w:asciiTheme="minorHAnsi" w:hAnsiTheme="minorHAnsi" w:cstheme="minorHAnsi"/>
        </w:rPr>
        <w:t>A</w:t>
      </w:r>
      <w:r w:rsidR="00EF77DA">
        <w:rPr>
          <w:rFonts w:asciiTheme="minorHAnsi" w:hAnsiTheme="minorHAnsi" w:cstheme="minorHAnsi"/>
        </w:rPr>
        <w:t>ppendix.</w:t>
      </w:r>
    </w:p>
    <w:p w14:paraId="603DE4C8" w14:textId="77777777" w:rsidR="002864D8" w:rsidRDefault="00EF77DA" w:rsidP="00546FCD">
      <w:pPr>
        <w:pStyle w:val="Unknown0"/>
        <w:spacing w:line="360" w:lineRule="auto"/>
        <w:rPr>
          <w:rFonts w:asciiTheme="minorHAnsi" w:hAnsiTheme="minorHAnsi" w:cstheme="minorHAnsi"/>
        </w:rPr>
      </w:pPr>
      <w:r>
        <w:rPr>
          <w:rFonts w:asciiTheme="minorHAnsi" w:hAnsiTheme="minorHAnsi" w:cstheme="minorHAnsi"/>
        </w:rPr>
        <w:t>For each model, w</w:t>
      </w:r>
      <w:r w:rsidRPr="0021372A">
        <w:rPr>
          <w:rFonts w:asciiTheme="minorHAnsi" w:hAnsiTheme="minorHAnsi" w:cstheme="minorHAnsi"/>
        </w:rPr>
        <w:t>e carried out 100,000 simulations, discarding the first 10% and retaining the model outputs for every 10</w:t>
      </w:r>
      <w:r w:rsidRPr="0021372A">
        <w:rPr>
          <w:rFonts w:asciiTheme="minorHAnsi" w:hAnsiTheme="minorHAnsi" w:cstheme="minorHAnsi"/>
          <w:vertAlign w:val="superscript"/>
        </w:rPr>
        <w:t>th</w:t>
      </w:r>
      <w:r w:rsidRPr="0021372A">
        <w:rPr>
          <w:rFonts w:asciiTheme="minorHAnsi" w:hAnsiTheme="minorHAnsi" w:cstheme="minorHAnsi"/>
        </w:rPr>
        <w:t xml:space="preserve"> simulation. We checked model convergence graphically by plotting parameter values over time to verify adequate mixing, plotting </w:t>
      </w:r>
      <w:proofErr w:type="spellStart"/>
      <w:r w:rsidRPr="0021372A">
        <w:rPr>
          <w:rFonts w:asciiTheme="minorHAnsi" w:hAnsiTheme="minorHAnsi" w:cstheme="minorHAnsi"/>
        </w:rPr>
        <w:t>autocorrelograms</w:t>
      </w:r>
      <w:proofErr w:type="spellEnd"/>
      <w:r w:rsidRPr="0021372A">
        <w:rPr>
          <w:rFonts w:asciiTheme="minorHAnsi" w:hAnsiTheme="minorHAnsi" w:cstheme="minorHAnsi"/>
        </w:rPr>
        <w:t xml:space="preserve"> and comparing density plots for outcome variables by </w:t>
      </w:r>
      <w:proofErr w:type="spellStart"/>
      <w:r w:rsidRPr="0021372A">
        <w:rPr>
          <w:rFonts w:asciiTheme="minorHAnsi" w:hAnsiTheme="minorHAnsi" w:cstheme="minorHAnsi"/>
        </w:rPr>
        <w:t>tertile</w:t>
      </w:r>
      <w:proofErr w:type="spellEnd"/>
      <w:r w:rsidRPr="0021372A">
        <w:rPr>
          <w:rFonts w:asciiTheme="minorHAnsi" w:hAnsiTheme="minorHAnsi" w:cstheme="minorHAnsi"/>
        </w:rPr>
        <w:t xml:space="preserve"> of the simulation chain.</w:t>
      </w:r>
      <w:r>
        <w:rPr>
          <w:rFonts w:asciiTheme="minorHAnsi" w:hAnsiTheme="minorHAnsi" w:cstheme="minorHAnsi"/>
        </w:rPr>
        <w:t xml:space="preserve"> We </w:t>
      </w:r>
      <w:proofErr w:type="spellStart"/>
      <w:r>
        <w:rPr>
          <w:rFonts w:asciiTheme="minorHAnsi" w:hAnsiTheme="minorHAnsi" w:cstheme="minorHAnsi"/>
        </w:rPr>
        <w:t>summarised</w:t>
      </w:r>
      <w:proofErr w:type="spellEnd"/>
      <w:r>
        <w:rPr>
          <w:rFonts w:asciiTheme="minorHAnsi" w:hAnsiTheme="minorHAnsi" w:cstheme="minorHAnsi"/>
        </w:rPr>
        <w:t xml:space="preserve"> model outputs using the median and central 95% of the posterior distributions to obtain point estimates and 95% credible intervals for the number of food-related cases, GP consultations and </w:t>
      </w:r>
      <w:proofErr w:type="spellStart"/>
      <w:r>
        <w:rPr>
          <w:rFonts w:asciiTheme="minorHAnsi" w:hAnsiTheme="minorHAnsi" w:cstheme="minorHAnsi"/>
        </w:rPr>
        <w:t>hospitalisations</w:t>
      </w:r>
      <w:proofErr w:type="spellEnd"/>
      <w:r>
        <w:rPr>
          <w:rFonts w:asciiTheme="minorHAnsi" w:hAnsiTheme="minorHAnsi" w:cstheme="minorHAnsi"/>
        </w:rPr>
        <w:t xml:space="preserve"> by pathogen. </w:t>
      </w:r>
      <w:r w:rsidRPr="0021372A">
        <w:rPr>
          <w:rFonts w:asciiTheme="minorHAnsi" w:hAnsiTheme="minorHAnsi" w:cstheme="minorHAnsi"/>
        </w:rPr>
        <w:t>We conducted the analyses using Stata 12</w:t>
      </w:r>
      <w:r w:rsidR="007F4A91">
        <w:rPr>
          <w:rFonts w:asciiTheme="minorHAnsi" w:hAnsiTheme="minorHAnsi" w:cstheme="minorHAnsi"/>
        </w:rPr>
        <w:t>.1</w:t>
      </w:r>
      <w:r w:rsidRPr="0021372A">
        <w:rPr>
          <w:rFonts w:asciiTheme="minorHAnsi" w:hAnsiTheme="minorHAnsi" w:cstheme="minorHAnsi"/>
        </w:rPr>
        <w:t xml:space="preserve">, </w:t>
      </w:r>
      <w:proofErr w:type="spellStart"/>
      <w:r w:rsidRPr="0021372A">
        <w:rPr>
          <w:rFonts w:asciiTheme="minorHAnsi" w:hAnsiTheme="minorHAnsi" w:cstheme="minorHAnsi"/>
        </w:rPr>
        <w:t>WinBUGS</w:t>
      </w:r>
      <w:proofErr w:type="spellEnd"/>
      <w:r w:rsidRPr="0021372A">
        <w:rPr>
          <w:rFonts w:asciiTheme="minorHAnsi" w:hAnsiTheme="minorHAnsi" w:cstheme="minorHAnsi"/>
        </w:rPr>
        <w:t xml:space="preserve"> and Microsoft Excel software. We used the </w:t>
      </w:r>
      <w:proofErr w:type="spellStart"/>
      <w:r w:rsidR="002864D8" w:rsidRPr="002864D8">
        <w:rPr>
          <w:rFonts w:ascii="Courier New" w:hAnsi="Courier New" w:cs="Courier New"/>
        </w:rPr>
        <w:t>winbugsfromstata</w:t>
      </w:r>
      <w:proofErr w:type="spellEnd"/>
      <w:r w:rsidRPr="0021372A">
        <w:rPr>
          <w:rFonts w:asciiTheme="minorHAnsi" w:hAnsiTheme="minorHAnsi" w:cstheme="minorHAnsi"/>
        </w:rPr>
        <w:t xml:space="preserve"> module in Stata to carry out the simulations</w:t>
      </w:r>
      <w:proofErr w:type="gramStart"/>
      <w:r w:rsidRPr="0021372A">
        <w:rPr>
          <w:rFonts w:asciiTheme="minorHAnsi" w:hAnsiTheme="minorHAnsi" w:cstheme="minorHAnsi"/>
        </w:rPr>
        <w:t>.</w:t>
      </w:r>
      <w:r w:rsidR="00F15479">
        <w:rPr>
          <w:rFonts w:asciiTheme="minorHAnsi" w:hAnsiTheme="minorHAnsi" w:cstheme="minorHAnsi"/>
        </w:rPr>
        <w:t>[</w:t>
      </w:r>
      <w:proofErr w:type="gramEnd"/>
      <w:r w:rsidR="00F15479" w:rsidRPr="00202681">
        <w:rPr>
          <w:rFonts w:asciiTheme="minorHAnsi" w:hAnsiTheme="minorHAnsi" w:cstheme="minorHAnsi"/>
        </w:rPr>
        <w:t>1</w:t>
      </w:r>
      <w:r w:rsidR="00202681">
        <w:rPr>
          <w:rFonts w:asciiTheme="minorHAnsi" w:hAnsiTheme="minorHAnsi" w:cstheme="minorHAnsi"/>
        </w:rPr>
        <w:t>6</w:t>
      </w:r>
      <w:r w:rsidR="00F15479">
        <w:rPr>
          <w:rFonts w:asciiTheme="minorHAnsi" w:hAnsiTheme="minorHAnsi" w:cstheme="minorHAnsi"/>
        </w:rPr>
        <w:t>]</w:t>
      </w:r>
    </w:p>
    <w:p w14:paraId="417EC9A1" w14:textId="0DAD01A6" w:rsidR="002864D8" w:rsidRPr="003B6692" w:rsidRDefault="00F7299C" w:rsidP="00546FCD">
      <w:pPr>
        <w:pStyle w:val="Unknown0"/>
        <w:spacing w:after="0" w:line="360" w:lineRule="auto"/>
        <w:rPr>
          <w:rFonts w:asciiTheme="minorHAnsi" w:hAnsiTheme="minorHAnsi" w:cstheme="minorHAnsi"/>
          <w:b/>
        </w:rPr>
      </w:pPr>
      <w:r w:rsidRPr="003B6692">
        <w:rPr>
          <w:rFonts w:asciiTheme="minorHAnsi" w:hAnsiTheme="minorHAnsi" w:cstheme="minorHAnsi"/>
          <w:b/>
        </w:rPr>
        <w:t>Ethical considerations</w:t>
      </w:r>
    </w:p>
    <w:p w14:paraId="3809EF25" w14:textId="47C153AD" w:rsidR="00006BC0" w:rsidRPr="0021372A" w:rsidRDefault="00F7299C" w:rsidP="00546FCD">
      <w:pPr>
        <w:spacing w:line="360" w:lineRule="auto"/>
        <w:rPr>
          <w:rFonts w:cstheme="minorHAnsi"/>
        </w:rPr>
      </w:pPr>
      <w:r w:rsidRPr="003B6692">
        <w:rPr>
          <w:rFonts w:cstheme="minorHAnsi"/>
        </w:rPr>
        <w:t xml:space="preserve">An Ethics Committee </w:t>
      </w:r>
      <w:proofErr w:type="spellStart"/>
      <w:r w:rsidRPr="003B6692">
        <w:rPr>
          <w:rFonts w:cstheme="minorHAnsi"/>
        </w:rPr>
        <w:t>favourable</w:t>
      </w:r>
      <w:proofErr w:type="spellEnd"/>
      <w:r w:rsidRPr="003B6692">
        <w:rPr>
          <w:rFonts w:cstheme="minorHAnsi"/>
        </w:rPr>
        <w:t xml:space="preserve"> opinion was not required. These were secondary analyses of previously collected, publicly available data. All datasets </w:t>
      </w:r>
      <w:r w:rsidR="008E32F3">
        <w:rPr>
          <w:rFonts w:cstheme="minorHAnsi"/>
        </w:rPr>
        <w:t xml:space="preserve">used </w:t>
      </w:r>
      <w:r w:rsidRPr="003B6692">
        <w:rPr>
          <w:rFonts w:cstheme="minorHAnsi"/>
        </w:rPr>
        <w:t>were completely anonymous and there was no risk of disclosure of personal data.</w:t>
      </w:r>
      <w:r w:rsidR="00006BC0" w:rsidRPr="0021372A">
        <w:rPr>
          <w:rFonts w:cstheme="minorHAnsi"/>
        </w:rPr>
        <w:br w:type="page"/>
      </w:r>
    </w:p>
    <w:p w14:paraId="7028271F" w14:textId="77777777" w:rsidR="002864D8" w:rsidRPr="00F23DE6" w:rsidRDefault="00F23DE6" w:rsidP="00546FCD">
      <w:pPr>
        <w:pStyle w:val="Heading2"/>
        <w:numPr>
          <w:ilvl w:val="0"/>
          <w:numId w:val="0"/>
        </w:numPr>
        <w:spacing w:line="360" w:lineRule="auto"/>
        <w:rPr>
          <w:rFonts w:asciiTheme="minorHAnsi" w:hAnsiTheme="minorHAnsi"/>
          <w:color w:val="auto"/>
          <w:sz w:val="22"/>
          <w:szCs w:val="22"/>
        </w:rPr>
      </w:pPr>
      <w:r w:rsidRPr="00F23DE6">
        <w:rPr>
          <w:rFonts w:asciiTheme="minorHAnsi" w:hAnsiTheme="minorHAnsi"/>
          <w:color w:val="auto"/>
          <w:sz w:val="22"/>
          <w:szCs w:val="22"/>
        </w:rPr>
        <w:lastRenderedPageBreak/>
        <w:t>RESULTS</w:t>
      </w:r>
    </w:p>
    <w:p w14:paraId="4F71B171" w14:textId="77777777" w:rsidR="002864D8" w:rsidRPr="00EB1EF1" w:rsidRDefault="00043121" w:rsidP="00546FCD">
      <w:pPr>
        <w:pStyle w:val="Heading3"/>
        <w:numPr>
          <w:ilvl w:val="0"/>
          <w:numId w:val="0"/>
        </w:numPr>
        <w:spacing w:line="360" w:lineRule="auto"/>
        <w:rPr>
          <w:rFonts w:asciiTheme="minorHAnsi" w:hAnsiTheme="minorHAnsi"/>
          <w:color w:val="auto"/>
        </w:rPr>
      </w:pPr>
      <w:r w:rsidRPr="00EB1EF1">
        <w:rPr>
          <w:rFonts w:asciiTheme="minorHAnsi" w:hAnsiTheme="minorHAnsi"/>
          <w:color w:val="auto"/>
        </w:rPr>
        <w:t>Proportion of cases attributable to foodborne transmission</w:t>
      </w:r>
    </w:p>
    <w:p w14:paraId="57B12C84" w14:textId="1F203CE5" w:rsidR="002864D8" w:rsidRPr="00CA39A2" w:rsidRDefault="007C0965" w:rsidP="00546FCD">
      <w:pPr>
        <w:spacing w:after="0" w:line="360" w:lineRule="auto"/>
        <w:rPr>
          <w:rFonts w:cs="Arial"/>
          <w:b/>
        </w:rPr>
      </w:pPr>
      <w:r>
        <w:rPr>
          <w:rFonts w:cs="Arial"/>
        </w:rPr>
        <w:t xml:space="preserve">Table 1 </w:t>
      </w:r>
      <w:proofErr w:type="spellStart"/>
      <w:r>
        <w:rPr>
          <w:rFonts w:cs="Arial"/>
        </w:rPr>
        <w:t>summarises</w:t>
      </w:r>
      <w:proofErr w:type="spellEnd"/>
      <w:r>
        <w:rPr>
          <w:rFonts w:cs="Arial"/>
        </w:rPr>
        <w:t xml:space="preserve"> the </w:t>
      </w:r>
      <w:r w:rsidR="003568C0">
        <w:rPr>
          <w:rFonts w:cs="Arial"/>
        </w:rPr>
        <w:t xml:space="preserve">outbreak </w:t>
      </w:r>
      <w:r>
        <w:rPr>
          <w:rFonts w:cs="Arial"/>
        </w:rPr>
        <w:t>data used for estimating the proportion of cases due to foodborne transmission from outbreak data</w:t>
      </w:r>
      <w:r w:rsidR="00B36994">
        <w:rPr>
          <w:rFonts w:cs="Arial"/>
        </w:rPr>
        <w:t>. T</w:t>
      </w:r>
      <w:r>
        <w:rPr>
          <w:rFonts w:cs="Arial"/>
        </w:rPr>
        <w:t>he identified studies used to inform Bayesian uniform priors</w:t>
      </w:r>
      <w:r w:rsidR="003568C0">
        <w:rPr>
          <w:rFonts w:cs="Arial"/>
        </w:rPr>
        <w:t xml:space="preserve"> are </w:t>
      </w:r>
      <w:proofErr w:type="spellStart"/>
      <w:r w:rsidR="003568C0">
        <w:rPr>
          <w:rFonts w:cs="Arial"/>
        </w:rPr>
        <w:t>summarised</w:t>
      </w:r>
      <w:proofErr w:type="spellEnd"/>
      <w:r w:rsidR="003568C0">
        <w:rPr>
          <w:rFonts w:cs="Arial"/>
        </w:rPr>
        <w:t xml:space="preserve"> in </w:t>
      </w:r>
      <w:r w:rsidR="00514E1F" w:rsidRPr="003B6692">
        <w:rPr>
          <w:rFonts w:cs="Arial"/>
        </w:rPr>
        <w:t>the</w:t>
      </w:r>
      <w:r w:rsidR="00F65DFF" w:rsidRPr="003B6692">
        <w:rPr>
          <w:rFonts w:cs="Arial"/>
        </w:rPr>
        <w:t xml:space="preserve"> Technical Appendix</w:t>
      </w:r>
      <w:r w:rsidR="00514E1F" w:rsidRPr="003B6692">
        <w:rPr>
          <w:rFonts w:cs="Arial"/>
        </w:rPr>
        <w:t xml:space="preserve"> </w:t>
      </w:r>
      <w:r w:rsidR="00D21E9C">
        <w:rPr>
          <w:rFonts w:cs="Arial"/>
        </w:rPr>
        <w:t xml:space="preserve">online </w:t>
      </w:r>
      <w:r w:rsidR="00514E1F">
        <w:rPr>
          <w:rFonts w:cs="Arial"/>
        </w:rPr>
        <w:t>(</w:t>
      </w:r>
      <w:r w:rsidR="003568C0">
        <w:rPr>
          <w:rFonts w:cs="Arial"/>
        </w:rPr>
        <w:t>Tables A2 and A3</w:t>
      </w:r>
      <w:r w:rsidR="00514E1F">
        <w:rPr>
          <w:rFonts w:cs="Arial"/>
        </w:rPr>
        <w:t>)</w:t>
      </w:r>
      <w:r>
        <w:rPr>
          <w:rFonts w:cs="Arial"/>
        </w:rPr>
        <w:t xml:space="preserve">. </w:t>
      </w:r>
      <w:r w:rsidR="00006BC0" w:rsidRPr="00043121">
        <w:rPr>
          <w:rFonts w:cs="Arial"/>
        </w:rPr>
        <w:t xml:space="preserve">Figure </w:t>
      </w:r>
      <w:r w:rsidR="00043121">
        <w:rPr>
          <w:rFonts w:cs="Arial"/>
        </w:rPr>
        <w:t>1</w:t>
      </w:r>
      <w:r w:rsidR="00006BC0" w:rsidRPr="00043121">
        <w:rPr>
          <w:rFonts w:cs="Arial"/>
        </w:rPr>
        <w:t xml:space="preserve"> </w:t>
      </w:r>
      <w:r w:rsidR="003D39B3">
        <w:rPr>
          <w:rFonts w:cs="Arial"/>
        </w:rPr>
        <w:t xml:space="preserve">shows the empirical bootstrap distributions for the estimated proportion of cases due to foodborne transmission based on outbreak data. For most pathogens, the Beta distribution provided a reasonable fit to the bootstrapped distribution, with the exception of </w:t>
      </w:r>
      <w:r w:rsidR="003D39B3">
        <w:rPr>
          <w:rFonts w:cs="Arial"/>
          <w:i/>
        </w:rPr>
        <w:t>Giardia</w:t>
      </w:r>
      <w:r w:rsidR="003D39B3">
        <w:rPr>
          <w:rFonts w:cs="Arial"/>
        </w:rPr>
        <w:t>, for which data were sparse</w:t>
      </w:r>
      <w:r w:rsidR="00E0276A">
        <w:rPr>
          <w:rFonts w:cs="Arial"/>
        </w:rPr>
        <w:t>, and rotavirus, for which the estimated proportion foodborne was very small</w:t>
      </w:r>
      <w:r w:rsidR="003D39B3">
        <w:rPr>
          <w:rFonts w:cs="Arial"/>
        </w:rPr>
        <w:t>.</w:t>
      </w:r>
      <w:r w:rsidR="00CA39A2">
        <w:rPr>
          <w:rFonts w:cs="Arial"/>
        </w:rPr>
        <w:t xml:space="preserve"> </w:t>
      </w:r>
      <w:r w:rsidR="00CA39A2">
        <w:rPr>
          <w:rFonts w:cs="Arial"/>
          <w:i/>
        </w:rPr>
        <w:t>Salmonella</w:t>
      </w:r>
      <w:r w:rsidR="00CA39A2">
        <w:rPr>
          <w:rFonts w:cs="Arial"/>
        </w:rPr>
        <w:t xml:space="preserve"> and </w:t>
      </w:r>
      <w:r w:rsidR="00CA39A2">
        <w:rPr>
          <w:rFonts w:cs="Arial"/>
          <w:i/>
        </w:rPr>
        <w:t xml:space="preserve">C. </w:t>
      </w:r>
      <w:proofErr w:type="spellStart"/>
      <w:r w:rsidR="00CA39A2">
        <w:rPr>
          <w:rFonts w:cs="Arial"/>
          <w:i/>
        </w:rPr>
        <w:t>perfringens</w:t>
      </w:r>
      <w:proofErr w:type="spellEnd"/>
      <w:r w:rsidR="00CA39A2">
        <w:rPr>
          <w:rFonts w:cs="Arial"/>
        </w:rPr>
        <w:t xml:space="preserve"> had the largest estimated proportion of cases attributable to foodborne transmission, each approximately 90%. </w:t>
      </w:r>
      <w:r w:rsidR="00183BC3">
        <w:rPr>
          <w:rFonts w:cs="Arial"/>
        </w:rPr>
        <w:t>Around</w:t>
      </w:r>
      <w:r w:rsidR="00CA39A2">
        <w:rPr>
          <w:rFonts w:cs="Arial"/>
        </w:rPr>
        <w:t xml:space="preserve"> 50% of </w:t>
      </w:r>
      <w:r w:rsidR="00CA39A2">
        <w:rPr>
          <w:rFonts w:cs="Arial"/>
          <w:i/>
        </w:rPr>
        <w:t xml:space="preserve">Campylobacter </w:t>
      </w:r>
      <w:r w:rsidR="00CA39A2">
        <w:rPr>
          <w:rFonts w:cs="Arial"/>
        </w:rPr>
        <w:t xml:space="preserve">and </w:t>
      </w:r>
      <w:r w:rsidR="007268FE" w:rsidRPr="007268FE">
        <w:rPr>
          <w:rFonts w:cs="Arial"/>
          <w:i/>
        </w:rPr>
        <w:t>E. coli</w:t>
      </w:r>
      <w:r w:rsidR="007268FE">
        <w:rPr>
          <w:rFonts w:cs="Arial"/>
        </w:rPr>
        <w:t xml:space="preserve"> </w:t>
      </w:r>
      <w:r w:rsidR="00CA39A2">
        <w:rPr>
          <w:rFonts w:cs="Arial"/>
        </w:rPr>
        <w:t xml:space="preserve">O157 cases were estimated to result from foodborne transmission, although there was considerable uncertainty in these estimates as evidenced by the long tails in these distributions. Foodborne transmission accounted for less than 5% of norovirus cases, while approximately </w:t>
      </w:r>
      <w:r w:rsidR="00383CDD">
        <w:rPr>
          <w:rFonts w:cs="Arial"/>
        </w:rPr>
        <w:t xml:space="preserve">65% of </w:t>
      </w:r>
      <w:r w:rsidR="00383CDD" w:rsidRPr="00383CDD">
        <w:rPr>
          <w:rFonts w:cs="Arial"/>
          <w:i/>
        </w:rPr>
        <w:t>Giardia</w:t>
      </w:r>
      <w:r w:rsidR="00383CDD">
        <w:rPr>
          <w:rFonts w:cs="Arial"/>
        </w:rPr>
        <w:t xml:space="preserve"> cases, 30% of </w:t>
      </w:r>
      <w:r w:rsidR="00383CDD">
        <w:rPr>
          <w:rFonts w:cs="Arial"/>
          <w:i/>
        </w:rPr>
        <w:t>Cryptosporidium</w:t>
      </w:r>
      <w:r w:rsidR="00383CDD">
        <w:rPr>
          <w:rFonts w:cs="Arial"/>
        </w:rPr>
        <w:t xml:space="preserve"> cases, and </w:t>
      </w:r>
      <w:r w:rsidR="00CA39A2">
        <w:rPr>
          <w:rFonts w:cs="Arial"/>
        </w:rPr>
        <w:t xml:space="preserve">20% of </w:t>
      </w:r>
      <w:proofErr w:type="spellStart"/>
      <w:r w:rsidR="00383CDD" w:rsidRPr="002035AC">
        <w:rPr>
          <w:rFonts w:cs="Arial"/>
          <w:i/>
        </w:rPr>
        <w:t>Shigella</w:t>
      </w:r>
      <w:proofErr w:type="spellEnd"/>
      <w:r w:rsidR="00383CDD">
        <w:rPr>
          <w:rFonts w:cs="Arial"/>
        </w:rPr>
        <w:t xml:space="preserve"> </w:t>
      </w:r>
      <w:r w:rsidR="00CA39A2">
        <w:rPr>
          <w:rFonts w:cs="Arial"/>
        </w:rPr>
        <w:t xml:space="preserve">cases were food-related. </w:t>
      </w:r>
    </w:p>
    <w:p w14:paraId="4305B672" w14:textId="77777777" w:rsidR="002864D8" w:rsidRPr="00527564" w:rsidRDefault="00043121" w:rsidP="00546FCD">
      <w:pPr>
        <w:pStyle w:val="Heading3"/>
        <w:numPr>
          <w:ilvl w:val="0"/>
          <w:numId w:val="0"/>
        </w:numPr>
        <w:spacing w:line="360" w:lineRule="auto"/>
        <w:rPr>
          <w:rFonts w:asciiTheme="minorHAnsi" w:hAnsiTheme="minorHAnsi"/>
          <w:color w:val="auto"/>
        </w:rPr>
      </w:pPr>
      <w:r w:rsidRPr="00527564">
        <w:rPr>
          <w:rFonts w:asciiTheme="minorHAnsi" w:hAnsiTheme="minorHAnsi"/>
          <w:color w:val="auto"/>
        </w:rPr>
        <w:t xml:space="preserve">Proportion of cases </w:t>
      </w:r>
      <w:proofErr w:type="spellStart"/>
      <w:r w:rsidRPr="00527564">
        <w:rPr>
          <w:rFonts w:asciiTheme="minorHAnsi" w:hAnsiTheme="minorHAnsi"/>
          <w:color w:val="auto"/>
        </w:rPr>
        <w:t>hospitalised</w:t>
      </w:r>
      <w:proofErr w:type="spellEnd"/>
    </w:p>
    <w:p w14:paraId="4D34FBDF" w14:textId="77777777" w:rsidR="002864D8" w:rsidRDefault="007C0965" w:rsidP="00546FCD">
      <w:pPr>
        <w:spacing w:after="0" w:line="360" w:lineRule="auto"/>
        <w:rPr>
          <w:rFonts w:cs="Arial"/>
        </w:rPr>
      </w:pPr>
      <w:r>
        <w:rPr>
          <w:rFonts w:cs="Arial"/>
        </w:rPr>
        <w:t xml:space="preserve">Table 2 </w:t>
      </w:r>
      <w:proofErr w:type="spellStart"/>
      <w:r>
        <w:rPr>
          <w:rFonts w:cs="Arial"/>
        </w:rPr>
        <w:t>summarises</w:t>
      </w:r>
      <w:proofErr w:type="spellEnd"/>
      <w:r>
        <w:rPr>
          <w:rFonts w:cs="Arial"/>
        </w:rPr>
        <w:t xml:space="preserve"> the data sources used to inform </w:t>
      </w:r>
      <w:proofErr w:type="spellStart"/>
      <w:r>
        <w:rPr>
          <w:rFonts w:cs="Arial"/>
        </w:rPr>
        <w:t>hospitalisation</w:t>
      </w:r>
      <w:proofErr w:type="spellEnd"/>
      <w:r>
        <w:rPr>
          <w:rFonts w:cs="Arial"/>
        </w:rPr>
        <w:t xml:space="preserve"> parameters. </w:t>
      </w:r>
      <w:r w:rsidR="00006BC0" w:rsidRPr="00043121">
        <w:rPr>
          <w:rFonts w:cs="Arial"/>
        </w:rPr>
        <w:t xml:space="preserve">Figure </w:t>
      </w:r>
      <w:r w:rsidR="00C85A1D">
        <w:rPr>
          <w:rFonts w:cs="Arial"/>
        </w:rPr>
        <w:t>2</w:t>
      </w:r>
      <w:r w:rsidR="00006BC0" w:rsidRPr="00043121">
        <w:rPr>
          <w:rFonts w:cs="Arial"/>
        </w:rPr>
        <w:t xml:space="preserve"> shows the estimated </w:t>
      </w:r>
      <w:proofErr w:type="spellStart"/>
      <w:r w:rsidR="00006BC0" w:rsidRPr="00043121">
        <w:rPr>
          <w:rFonts w:cs="Arial"/>
        </w:rPr>
        <w:t>hospitalisation</w:t>
      </w:r>
      <w:proofErr w:type="spellEnd"/>
      <w:r w:rsidR="00006BC0" w:rsidRPr="00043121">
        <w:rPr>
          <w:rFonts w:cs="Arial"/>
        </w:rPr>
        <w:t xml:space="preserve"> </w:t>
      </w:r>
      <w:r w:rsidR="00A47535">
        <w:rPr>
          <w:rFonts w:cs="Arial"/>
        </w:rPr>
        <w:t>proportions</w:t>
      </w:r>
      <w:r w:rsidR="00A47535" w:rsidRPr="00043121">
        <w:rPr>
          <w:rFonts w:cs="Arial"/>
        </w:rPr>
        <w:t xml:space="preserve"> </w:t>
      </w:r>
      <w:r w:rsidR="00006BC0" w:rsidRPr="00043121">
        <w:rPr>
          <w:rFonts w:cs="Arial"/>
        </w:rPr>
        <w:t>in reported outbreaks by pathogen</w:t>
      </w:r>
      <w:r w:rsidR="00DC4E8D">
        <w:rPr>
          <w:rFonts w:cs="Arial"/>
        </w:rPr>
        <w:t xml:space="preserve">, based on </w:t>
      </w:r>
      <w:r w:rsidR="00E0276A">
        <w:rPr>
          <w:rFonts w:cs="Arial"/>
        </w:rPr>
        <w:t xml:space="preserve">the medians of Beta distributions fitted to </w:t>
      </w:r>
      <w:r w:rsidR="00DC4E8D">
        <w:rPr>
          <w:rFonts w:cs="Arial"/>
        </w:rPr>
        <w:t>outbreak data</w:t>
      </w:r>
      <w:r w:rsidR="00006BC0" w:rsidRPr="00043121">
        <w:rPr>
          <w:rFonts w:cs="Arial"/>
        </w:rPr>
        <w:t xml:space="preserve">. </w:t>
      </w:r>
      <w:proofErr w:type="spellStart"/>
      <w:r w:rsidR="00DC4E8D">
        <w:rPr>
          <w:rFonts w:cs="Arial"/>
        </w:rPr>
        <w:t>Hospitalisation</w:t>
      </w:r>
      <w:proofErr w:type="spellEnd"/>
      <w:r w:rsidR="00DC4E8D">
        <w:rPr>
          <w:rFonts w:cs="Arial"/>
        </w:rPr>
        <w:t xml:space="preserve"> was</w:t>
      </w:r>
      <w:r w:rsidR="00006BC0" w:rsidRPr="00043121">
        <w:rPr>
          <w:rFonts w:cs="Arial"/>
        </w:rPr>
        <w:t xml:space="preserve"> particularly high for </w:t>
      </w:r>
      <w:r w:rsidR="007268FE" w:rsidRPr="007268FE">
        <w:rPr>
          <w:rFonts w:cs="Arial"/>
          <w:i/>
        </w:rPr>
        <w:t>E. coli</w:t>
      </w:r>
      <w:r w:rsidR="007268FE" w:rsidRPr="00043121">
        <w:rPr>
          <w:rFonts w:cs="Arial"/>
          <w:i/>
        </w:rPr>
        <w:t xml:space="preserve"> </w:t>
      </w:r>
      <w:r w:rsidR="00006BC0" w:rsidRPr="00043121">
        <w:rPr>
          <w:rFonts w:cs="Arial"/>
        </w:rPr>
        <w:t>O157 (2</w:t>
      </w:r>
      <w:r w:rsidR="006B53EE">
        <w:rPr>
          <w:rFonts w:cs="Arial"/>
        </w:rPr>
        <w:t>3</w:t>
      </w:r>
      <w:r w:rsidR="00006BC0" w:rsidRPr="00043121">
        <w:rPr>
          <w:rFonts w:cs="Arial"/>
        </w:rPr>
        <w:t xml:space="preserve">%). By contrast, </w:t>
      </w:r>
      <w:r w:rsidR="00E0276A">
        <w:rPr>
          <w:rFonts w:cs="Arial"/>
        </w:rPr>
        <w:t xml:space="preserve">less than 2% of cases due to </w:t>
      </w:r>
      <w:r w:rsidR="00006BC0" w:rsidRPr="00043121">
        <w:rPr>
          <w:rFonts w:cs="Arial"/>
          <w:i/>
        </w:rPr>
        <w:t xml:space="preserve">C. </w:t>
      </w:r>
      <w:proofErr w:type="spellStart"/>
      <w:r w:rsidR="00006BC0" w:rsidRPr="00043121">
        <w:rPr>
          <w:rFonts w:cs="Arial"/>
          <w:i/>
        </w:rPr>
        <w:t>perfringens</w:t>
      </w:r>
      <w:proofErr w:type="spellEnd"/>
      <w:r w:rsidR="00006BC0" w:rsidRPr="00043121">
        <w:rPr>
          <w:rFonts w:cs="Arial"/>
        </w:rPr>
        <w:t xml:space="preserve">, </w:t>
      </w:r>
      <w:r w:rsidR="00006BC0" w:rsidRPr="00043121">
        <w:rPr>
          <w:rFonts w:cs="Arial"/>
          <w:i/>
        </w:rPr>
        <w:t>Campylobacter</w:t>
      </w:r>
      <w:r w:rsidR="00006BC0" w:rsidRPr="00043121">
        <w:rPr>
          <w:rFonts w:cs="Arial"/>
        </w:rPr>
        <w:t xml:space="preserve">, </w:t>
      </w:r>
      <w:r w:rsidR="00006BC0" w:rsidRPr="00043121">
        <w:rPr>
          <w:rFonts w:cs="Arial"/>
          <w:i/>
        </w:rPr>
        <w:t>Giardia</w:t>
      </w:r>
      <w:r w:rsidR="00006BC0" w:rsidRPr="00043121">
        <w:rPr>
          <w:rFonts w:cs="Arial"/>
        </w:rPr>
        <w:t xml:space="preserve">, norovirus and rotavirus were </w:t>
      </w:r>
      <w:proofErr w:type="spellStart"/>
      <w:r w:rsidR="00E0276A">
        <w:rPr>
          <w:rFonts w:cs="Arial"/>
        </w:rPr>
        <w:t>hospitalised</w:t>
      </w:r>
      <w:proofErr w:type="spellEnd"/>
      <w:r w:rsidR="00E0276A">
        <w:rPr>
          <w:rFonts w:cs="Arial"/>
        </w:rPr>
        <w:t>.</w:t>
      </w:r>
    </w:p>
    <w:p w14:paraId="4FE06EC4" w14:textId="77777777" w:rsidR="008833CE" w:rsidRDefault="008833CE" w:rsidP="00546FCD">
      <w:pPr>
        <w:pStyle w:val="Heading3"/>
        <w:numPr>
          <w:ilvl w:val="0"/>
          <w:numId w:val="0"/>
        </w:numPr>
        <w:spacing w:line="360" w:lineRule="auto"/>
        <w:rPr>
          <w:rFonts w:asciiTheme="minorHAnsi" w:hAnsiTheme="minorHAnsi"/>
          <w:color w:val="auto"/>
        </w:rPr>
        <w:sectPr w:rsidR="008833CE" w:rsidSect="005E7E19">
          <w:pgSz w:w="11906" w:h="16838"/>
          <w:pgMar w:top="1440" w:right="1440" w:bottom="1440" w:left="1440" w:header="708" w:footer="708" w:gutter="0"/>
          <w:cols w:space="708"/>
          <w:docGrid w:linePitch="360"/>
        </w:sectPr>
      </w:pPr>
    </w:p>
    <w:p w14:paraId="5E7A3286" w14:textId="125157C1" w:rsidR="008833CE" w:rsidRPr="008833CE" w:rsidRDefault="008833CE" w:rsidP="008833CE">
      <w:pPr>
        <w:spacing w:after="0" w:line="240" w:lineRule="auto"/>
        <w:rPr>
          <w:rFonts w:ascii="Calibri" w:eastAsia="MS Mincho" w:hAnsi="Calibri" w:cs="Arial"/>
          <w:b/>
          <w:bCs/>
        </w:rPr>
      </w:pPr>
      <w:r w:rsidRPr="008833CE">
        <w:rPr>
          <w:rFonts w:ascii="Calibri" w:eastAsia="MS Mincho" w:hAnsi="Calibri" w:cs="Arial"/>
          <w:b/>
          <w:bCs/>
        </w:rPr>
        <w:lastRenderedPageBreak/>
        <w:t xml:space="preserve">Table 2: Summary of </w:t>
      </w:r>
      <w:proofErr w:type="spellStart"/>
      <w:r w:rsidRPr="008833CE">
        <w:rPr>
          <w:rFonts w:ascii="Calibri" w:eastAsia="MS Mincho" w:hAnsi="Calibri" w:cs="Arial"/>
          <w:b/>
          <w:bCs/>
        </w:rPr>
        <w:t>hospitalisation</w:t>
      </w:r>
      <w:proofErr w:type="spellEnd"/>
      <w:r w:rsidRPr="008833CE">
        <w:rPr>
          <w:rFonts w:ascii="Calibri" w:eastAsia="MS Mincho" w:hAnsi="Calibri" w:cs="Arial"/>
          <w:b/>
          <w:bCs/>
        </w:rPr>
        <w:t xml:space="preserve"> data by pathogen</w:t>
      </w:r>
      <w:r w:rsidR="00123EB7">
        <w:rPr>
          <w:rFonts w:ascii="Calibri" w:eastAsia="MS Mincho" w:hAnsi="Calibri" w:cs="Arial"/>
          <w:b/>
          <w:bCs/>
        </w:rPr>
        <w:t>, UK 1993-2008</w:t>
      </w:r>
    </w:p>
    <w:p w14:paraId="10F12F3A" w14:textId="77777777" w:rsidR="008833CE" w:rsidRPr="008833CE" w:rsidRDefault="008833CE" w:rsidP="008833CE">
      <w:pPr>
        <w:spacing w:after="0" w:line="240" w:lineRule="auto"/>
        <w:rPr>
          <w:rFonts w:ascii="Calibri" w:eastAsia="MS Mincho" w:hAnsi="Calibri" w:cs="Arial"/>
          <w:b/>
          <w:bCs/>
        </w:rPr>
      </w:pPr>
    </w:p>
    <w:tbl>
      <w:tblPr>
        <w:tblW w:w="13991" w:type="dxa"/>
        <w:jc w:val="center"/>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1313"/>
        <w:gridCol w:w="1010"/>
        <w:gridCol w:w="814"/>
        <w:gridCol w:w="1213"/>
        <w:gridCol w:w="2736"/>
        <w:gridCol w:w="352"/>
        <w:gridCol w:w="1313"/>
        <w:gridCol w:w="1010"/>
        <w:gridCol w:w="814"/>
        <w:gridCol w:w="1857"/>
      </w:tblGrid>
      <w:tr w:rsidR="008833CE" w:rsidRPr="008833CE" w14:paraId="3B0084C9" w14:textId="77777777" w:rsidTr="005453FE">
        <w:trPr>
          <w:trHeight w:val="300"/>
          <w:jc w:val="center"/>
        </w:trPr>
        <w:tc>
          <w:tcPr>
            <w:tcW w:w="1559" w:type="dxa"/>
            <w:tcBorders>
              <w:bottom w:val="nil"/>
            </w:tcBorders>
            <w:shd w:val="clear" w:color="auto" w:fill="BFBFBF" w:themeFill="background1" w:themeFillShade="BF"/>
            <w:noWrap/>
            <w:vAlign w:val="center"/>
            <w:hideMark/>
          </w:tcPr>
          <w:p w14:paraId="0FAD70C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7086" w:type="dxa"/>
            <w:gridSpan w:val="5"/>
            <w:tcBorders>
              <w:top w:val="single" w:sz="4" w:space="0" w:color="auto"/>
              <w:bottom w:val="single" w:sz="4" w:space="0" w:color="auto"/>
            </w:tcBorders>
            <w:shd w:val="clear" w:color="auto" w:fill="BFBFBF" w:themeFill="background1" w:themeFillShade="BF"/>
            <w:noWrap/>
            <w:vAlign w:val="center"/>
            <w:hideMark/>
          </w:tcPr>
          <w:p w14:paraId="0BCD532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HOSPITALISATION IN OUTBREAKS</w:t>
            </w:r>
          </w:p>
        </w:tc>
        <w:tc>
          <w:tcPr>
            <w:tcW w:w="352" w:type="dxa"/>
            <w:tcBorders>
              <w:bottom w:val="nil"/>
            </w:tcBorders>
            <w:shd w:val="clear" w:color="auto" w:fill="BFBFBF" w:themeFill="background1" w:themeFillShade="BF"/>
            <w:noWrap/>
            <w:vAlign w:val="center"/>
            <w:hideMark/>
          </w:tcPr>
          <w:p w14:paraId="5EFC8BA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4994" w:type="dxa"/>
            <w:gridSpan w:val="4"/>
            <w:tcBorders>
              <w:top w:val="single" w:sz="4" w:space="0" w:color="auto"/>
              <w:bottom w:val="single" w:sz="4" w:space="0" w:color="auto"/>
            </w:tcBorders>
            <w:shd w:val="clear" w:color="auto" w:fill="BFBFBF" w:themeFill="background1" w:themeFillShade="BF"/>
            <w:noWrap/>
            <w:vAlign w:val="center"/>
            <w:hideMark/>
          </w:tcPr>
          <w:p w14:paraId="1985BF1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HOSPITALISATION IN IID1 AND IID2 STUDIES</w:t>
            </w:r>
          </w:p>
        </w:tc>
      </w:tr>
      <w:tr w:rsidR="008833CE" w:rsidRPr="008833CE" w14:paraId="5978B1FC" w14:textId="77777777" w:rsidTr="005453FE">
        <w:trPr>
          <w:trHeight w:val="300"/>
          <w:jc w:val="center"/>
        </w:trPr>
        <w:tc>
          <w:tcPr>
            <w:tcW w:w="1559" w:type="dxa"/>
            <w:tcBorders>
              <w:top w:val="nil"/>
              <w:bottom w:val="single" w:sz="4" w:space="0" w:color="auto"/>
            </w:tcBorders>
            <w:shd w:val="clear" w:color="auto" w:fill="BFBFBF" w:themeFill="background1" w:themeFillShade="BF"/>
            <w:noWrap/>
            <w:vAlign w:val="center"/>
            <w:hideMark/>
          </w:tcPr>
          <w:p w14:paraId="1DF2EC09"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Organism</w:t>
            </w:r>
          </w:p>
        </w:tc>
        <w:tc>
          <w:tcPr>
            <w:tcW w:w="1313" w:type="dxa"/>
            <w:tcBorders>
              <w:top w:val="single" w:sz="4" w:space="0" w:color="auto"/>
              <w:bottom w:val="single" w:sz="4" w:space="0" w:color="auto"/>
            </w:tcBorders>
            <w:shd w:val="clear" w:color="auto" w:fill="BFBFBF" w:themeFill="background1" w:themeFillShade="BF"/>
            <w:noWrap/>
            <w:vAlign w:val="center"/>
            <w:hideMark/>
          </w:tcPr>
          <w:p w14:paraId="0B55E70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Hospitalised</w:t>
            </w:r>
          </w:p>
        </w:tc>
        <w:tc>
          <w:tcPr>
            <w:tcW w:w="1010" w:type="dxa"/>
            <w:tcBorders>
              <w:top w:val="single" w:sz="4" w:space="0" w:color="auto"/>
              <w:bottom w:val="single" w:sz="4" w:space="0" w:color="auto"/>
            </w:tcBorders>
            <w:shd w:val="clear" w:color="auto" w:fill="BFBFBF" w:themeFill="background1" w:themeFillShade="BF"/>
            <w:noWrap/>
            <w:vAlign w:val="center"/>
            <w:hideMark/>
          </w:tcPr>
          <w:p w14:paraId="798C64C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Affected</w:t>
            </w:r>
          </w:p>
        </w:tc>
        <w:tc>
          <w:tcPr>
            <w:tcW w:w="814" w:type="dxa"/>
            <w:tcBorders>
              <w:top w:val="single" w:sz="4" w:space="0" w:color="auto"/>
              <w:bottom w:val="single" w:sz="4" w:space="0" w:color="auto"/>
            </w:tcBorders>
            <w:shd w:val="clear" w:color="auto" w:fill="BFBFBF" w:themeFill="background1" w:themeFillShade="BF"/>
            <w:noWrap/>
            <w:vAlign w:val="center"/>
            <w:hideMark/>
          </w:tcPr>
          <w:p w14:paraId="1A0449A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213" w:type="dxa"/>
            <w:tcBorders>
              <w:top w:val="single" w:sz="4" w:space="0" w:color="auto"/>
              <w:bottom w:val="single" w:sz="4" w:space="0" w:color="auto"/>
            </w:tcBorders>
            <w:shd w:val="clear" w:color="auto" w:fill="BFBFBF" w:themeFill="background1" w:themeFillShade="BF"/>
            <w:noWrap/>
            <w:vAlign w:val="center"/>
            <w:hideMark/>
          </w:tcPr>
          <w:p w14:paraId="318AF15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Outbreaks with data</w:t>
            </w:r>
          </w:p>
        </w:tc>
        <w:tc>
          <w:tcPr>
            <w:tcW w:w="2736" w:type="dxa"/>
            <w:tcBorders>
              <w:top w:val="single" w:sz="4" w:space="0" w:color="auto"/>
              <w:bottom w:val="single" w:sz="4" w:space="0" w:color="auto"/>
            </w:tcBorders>
            <w:shd w:val="clear" w:color="auto" w:fill="BFBFBF" w:themeFill="background1" w:themeFillShade="BF"/>
            <w:noWrap/>
            <w:vAlign w:val="center"/>
            <w:hideMark/>
          </w:tcPr>
          <w:p w14:paraId="3A58CC9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Source</w:t>
            </w:r>
          </w:p>
        </w:tc>
        <w:tc>
          <w:tcPr>
            <w:tcW w:w="352" w:type="dxa"/>
            <w:tcBorders>
              <w:top w:val="nil"/>
              <w:bottom w:val="single" w:sz="4" w:space="0" w:color="auto"/>
            </w:tcBorders>
            <w:shd w:val="clear" w:color="auto" w:fill="BFBFBF" w:themeFill="background1" w:themeFillShade="BF"/>
            <w:noWrap/>
            <w:vAlign w:val="center"/>
            <w:hideMark/>
          </w:tcPr>
          <w:p w14:paraId="7BAD11E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tcBorders>
              <w:top w:val="single" w:sz="4" w:space="0" w:color="auto"/>
              <w:bottom w:val="single" w:sz="4" w:space="0" w:color="auto"/>
            </w:tcBorders>
            <w:shd w:val="clear" w:color="auto" w:fill="BFBFBF" w:themeFill="background1" w:themeFillShade="BF"/>
            <w:noWrap/>
            <w:vAlign w:val="center"/>
            <w:hideMark/>
          </w:tcPr>
          <w:p w14:paraId="3995618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Hospitalised</w:t>
            </w:r>
          </w:p>
        </w:tc>
        <w:tc>
          <w:tcPr>
            <w:tcW w:w="1010" w:type="dxa"/>
            <w:tcBorders>
              <w:top w:val="single" w:sz="4" w:space="0" w:color="auto"/>
              <w:bottom w:val="single" w:sz="4" w:space="0" w:color="auto"/>
            </w:tcBorders>
            <w:shd w:val="clear" w:color="auto" w:fill="BFBFBF" w:themeFill="background1" w:themeFillShade="BF"/>
            <w:noWrap/>
            <w:vAlign w:val="center"/>
            <w:hideMark/>
          </w:tcPr>
          <w:p w14:paraId="32CA528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Affected</w:t>
            </w:r>
          </w:p>
        </w:tc>
        <w:tc>
          <w:tcPr>
            <w:tcW w:w="814" w:type="dxa"/>
            <w:tcBorders>
              <w:top w:val="single" w:sz="4" w:space="0" w:color="auto"/>
              <w:bottom w:val="single" w:sz="4" w:space="0" w:color="auto"/>
            </w:tcBorders>
            <w:shd w:val="clear" w:color="auto" w:fill="BFBFBF" w:themeFill="background1" w:themeFillShade="BF"/>
            <w:noWrap/>
            <w:vAlign w:val="center"/>
            <w:hideMark/>
          </w:tcPr>
          <w:p w14:paraId="16CCD585" w14:textId="77777777" w:rsidR="008833CE" w:rsidRPr="008833CE" w:rsidRDefault="008833CE" w:rsidP="008833CE">
            <w:pPr>
              <w:spacing w:after="0" w:line="240" w:lineRule="auto"/>
              <w:jc w:val="center"/>
              <w:rPr>
                <w:rFonts w:ascii="Calibri" w:eastAsia="Times New Roman" w:hAnsi="Calibri" w:cs="Calibri"/>
                <w:color w:val="000000"/>
                <w:sz w:val="20"/>
                <w:szCs w:val="16"/>
                <w:vertAlign w:val="superscript"/>
                <w:lang w:val="en-GB" w:eastAsia="en-GB" w:bidi="ar-SA"/>
              </w:rPr>
            </w:pPr>
            <w:r w:rsidRPr="008833CE">
              <w:rPr>
                <w:rFonts w:ascii="Calibri" w:eastAsia="Times New Roman" w:hAnsi="Calibri" w:cs="Calibri"/>
                <w:color w:val="000000"/>
                <w:sz w:val="20"/>
                <w:szCs w:val="16"/>
                <w:lang w:val="en-GB" w:eastAsia="en-GB" w:bidi="ar-SA"/>
              </w:rPr>
              <w:t>%</w:t>
            </w:r>
            <w:r w:rsidRPr="008833CE">
              <w:rPr>
                <w:rFonts w:ascii="Calibri" w:eastAsia="Times New Roman" w:hAnsi="Calibri" w:cs="Calibri"/>
                <w:color w:val="000000"/>
                <w:sz w:val="20"/>
                <w:szCs w:val="16"/>
                <w:vertAlign w:val="superscript"/>
                <w:lang w:val="en-GB" w:eastAsia="en-GB" w:bidi="ar-SA"/>
              </w:rPr>
              <w:t>1</w:t>
            </w:r>
          </w:p>
        </w:tc>
        <w:tc>
          <w:tcPr>
            <w:tcW w:w="1857" w:type="dxa"/>
            <w:tcBorders>
              <w:top w:val="single" w:sz="4" w:space="0" w:color="auto"/>
              <w:bottom w:val="single" w:sz="4" w:space="0" w:color="auto"/>
            </w:tcBorders>
            <w:shd w:val="clear" w:color="auto" w:fill="BFBFBF" w:themeFill="background1" w:themeFillShade="BF"/>
            <w:noWrap/>
            <w:vAlign w:val="center"/>
            <w:hideMark/>
          </w:tcPr>
          <w:p w14:paraId="4B2805F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Source</w:t>
            </w:r>
          </w:p>
        </w:tc>
      </w:tr>
      <w:tr w:rsidR="008833CE" w:rsidRPr="008833CE" w14:paraId="223BFB18" w14:textId="77777777" w:rsidTr="005453FE">
        <w:trPr>
          <w:trHeight w:val="300"/>
          <w:jc w:val="center"/>
        </w:trPr>
        <w:tc>
          <w:tcPr>
            <w:tcW w:w="1559" w:type="dxa"/>
            <w:tcBorders>
              <w:top w:val="single" w:sz="4" w:space="0" w:color="auto"/>
            </w:tcBorders>
            <w:shd w:val="clear" w:color="auto" w:fill="auto"/>
            <w:noWrap/>
            <w:vAlign w:val="center"/>
            <w:hideMark/>
          </w:tcPr>
          <w:p w14:paraId="0650FCAC" w14:textId="77777777" w:rsidR="008833CE" w:rsidRPr="008833CE" w:rsidRDefault="008833CE" w:rsidP="008833CE">
            <w:pPr>
              <w:spacing w:after="0" w:line="240" w:lineRule="auto"/>
              <w:rPr>
                <w:rFonts w:ascii="Calibri" w:eastAsia="Times New Roman" w:hAnsi="Calibri" w:cs="Calibri"/>
                <w:b/>
                <w:bCs/>
                <w:color w:val="000000"/>
                <w:sz w:val="20"/>
                <w:szCs w:val="16"/>
                <w:lang w:val="en-GB" w:eastAsia="en-GB" w:bidi="ar-SA"/>
              </w:rPr>
            </w:pPr>
            <w:r w:rsidRPr="008833CE">
              <w:rPr>
                <w:rFonts w:ascii="Calibri" w:eastAsia="Times New Roman" w:hAnsi="Calibri" w:cs="Calibri"/>
                <w:b/>
                <w:bCs/>
                <w:color w:val="000000"/>
                <w:sz w:val="20"/>
                <w:szCs w:val="16"/>
                <w:lang w:val="en-GB" w:eastAsia="en-GB" w:bidi="ar-SA"/>
              </w:rPr>
              <w:t>Bacteria</w:t>
            </w:r>
          </w:p>
        </w:tc>
        <w:tc>
          <w:tcPr>
            <w:tcW w:w="1313" w:type="dxa"/>
            <w:tcBorders>
              <w:top w:val="single" w:sz="4" w:space="0" w:color="auto"/>
            </w:tcBorders>
            <w:shd w:val="clear" w:color="auto" w:fill="auto"/>
            <w:noWrap/>
            <w:vAlign w:val="center"/>
            <w:hideMark/>
          </w:tcPr>
          <w:p w14:paraId="6BFA0A1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tcBorders>
              <w:top w:val="single" w:sz="4" w:space="0" w:color="auto"/>
            </w:tcBorders>
            <w:shd w:val="clear" w:color="auto" w:fill="auto"/>
            <w:noWrap/>
            <w:vAlign w:val="center"/>
            <w:hideMark/>
          </w:tcPr>
          <w:p w14:paraId="726198E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tcBorders>
              <w:top w:val="single" w:sz="4" w:space="0" w:color="auto"/>
            </w:tcBorders>
            <w:shd w:val="clear" w:color="auto" w:fill="auto"/>
            <w:noWrap/>
            <w:vAlign w:val="center"/>
            <w:hideMark/>
          </w:tcPr>
          <w:p w14:paraId="2534991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213" w:type="dxa"/>
            <w:tcBorders>
              <w:top w:val="single" w:sz="4" w:space="0" w:color="auto"/>
            </w:tcBorders>
            <w:shd w:val="clear" w:color="auto" w:fill="auto"/>
            <w:noWrap/>
            <w:vAlign w:val="center"/>
            <w:hideMark/>
          </w:tcPr>
          <w:p w14:paraId="6DE1A48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2736" w:type="dxa"/>
            <w:tcBorders>
              <w:top w:val="single" w:sz="4" w:space="0" w:color="auto"/>
            </w:tcBorders>
            <w:shd w:val="clear" w:color="auto" w:fill="auto"/>
            <w:noWrap/>
            <w:vAlign w:val="center"/>
            <w:hideMark/>
          </w:tcPr>
          <w:p w14:paraId="0470B59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352" w:type="dxa"/>
            <w:tcBorders>
              <w:top w:val="single" w:sz="4" w:space="0" w:color="auto"/>
            </w:tcBorders>
            <w:shd w:val="clear" w:color="auto" w:fill="auto"/>
            <w:noWrap/>
            <w:vAlign w:val="center"/>
            <w:hideMark/>
          </w:tcPr>
          <w:p w14:paraId="72F33BB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tcBorders>
              <w:top w:val="single" w:sz="4" w:space="0" w:color="auto"/>
            </w:tcBorders>
            <w:shd w:val="clear" w:color="auto" w:fill="auto"/>
            <w:noWrap/>
            <w:vAlign w:val="center"/>
            <w:hideMark/>
          </w:tcPr>
          <w:p w14:paraId="7845ED5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tcBorders>
              <w:top w:val="single" w:sz="4" w:space="0" w:color="auto"/>
            </w:tcBorders>
            <w:shd w:val="clear" w:color="auto" w:fill="auto"/>
            <w:noWrap/>
            <w:vAlign w:val="center"/>
            <w:hideMark/>
          </w:tcPr>
          <w:p w14:paraId="2DAED5C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tcBorders>
              <w:top w:val="single" w:sz="4" w:space="0" w:color="auto"/>
            </w:tcBorders>
            <w:shd w:val="clear" w:color="auto" w:fill="auto"/>
            <w:noWrap/>
            <w:vAlign w:val="center"/>
            <w:hideMark/>
          </w:tcPr>
          <w:p w14:paraId="274C35E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857" w:type="dxa"/>
            <w:tcBorders>
              <w:top w:val="single" w:sz="4" w:space="0" w:color="auto"/>
            </w:tcBorders>
            <w:shd w:val="clear" w:color="auto" w:fill="auto"/>
            <w:noWrap/>
            <w:vAlign w:val="center"/>
            <w:hideMark/>
          </w:tcPr>
          <w:p w14:paraId="31BC5CA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r>
      <w:tr w:rsidR="008833CE" w:rsidRPr="008833CE" w14:paraId="33D0B4EB" w14:textId="77777777" w:rsidTr="005453FE">
        <w:trPr>
          <w:trHeight w:val="300"/>
          <w:jc w:val="center"/>
        </w:trPr>
        <w:tc>
          <w:tcPr>
            <w:tcW w:w="1559" w:type="dxa"/>
            <w:shd w:val="clear" w:color="auto" w:fill="auto"/>
            <w:noWrap/>
            <w:vAlign w:val="center"/>
            <w:hideMark/>
          </w:tcPr>
          <w:p w14:paraId="721C7B91"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 xml:space="preserve">C. </w:t>
            </w:r>
            <w:proofErr w:type="spellStart"/>
            <w:r w:rsidRPr="008833CE">
              <w:rPr>
                <w:rFonts w:ascii="Calibri" w:eastAsia="Times New Roman" w:hAnsi="Calibri" w:cs="Calibri"/>
                <w:i/>
                <w:color w:val="000000"/>
                <w:sz w:val="20"/>
                <w:szCs w:val="16"/>
                <w:lang w:val="en-GB" w:eastAsia="en-GB" w:bidi="ar-SA"/>
              </w:rPr>
              <w:t>perfringens</w:t>
            </w:r>
            <w:proofErr w:type="spellEnd"/>
          </w:p>
        </w:tc>
        <w:tc>
          <w:tcPr>
            <w:tcW w:w="1313" w:type="dxa"/>
            <w:shd w:val="clear" w:color="auto" w:fill="auto"/>
            <w:noWrap/>
            <w:vAlign w:val="center"/>
            <w:hideMark/>
          </w:tcPr>
          <w:p w14:paraId="49BD5E3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1010" w:type="dxa"/>
            <w:shd w:val="clear" w:color="auto" w:fill="auto"/>
            <w:noWrap/>
            <w:vAlign w:val="center"/>
            <w:hideMark/>
          </w:tcPr>
          <w:p w14:paraId="00D342A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1,120</w:t>
            </w:r>
          </w:p>
        </w:tc>
        <w:tc>
          <w:tcPr>
            <w:tcW w:w="814" w:type="dxa"/>
            <w:shd w:val="clear" w:color="auto" w:fill="auto"/>
            <w:noWrap/>
            <w:vAlign w:val="center"/>
            <w:hideMark/>
          </w:tcPr>
          <w:p w14:paraId="43B1247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0.2%</w:t>
            </w:r>
          </w:p>
        </w:tc>
        <w:tc>
          <w:tcPr>
            <w:tcW w:w="1213" w:type="dxa"/>
            <w:shd w:val="clear" w:color="auto" w:fill="auto"/>
            <w:noWrap/>
            <w:vAlign w:val="center"/>
            <w:hideMark/>
          </w:tcPr>
          <w:p w14:paraId="7DD09F4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21</w:t>
            </w:r>
          </w:p>
        </w:tc>
        <w:tc>
          <w:tcPr>
            <w:tcW w:w="2736" w:type="dxa"/>
            <w:shd w:val="clear" w:color="auto" w:fill="auto"/>
            <w:noWrap/>
            <w:vAlign w:val="center"/>
            <w:hideMark/>
          </w:tcPr>
          <w:p w14:paraId="477A647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3D6E148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4317832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1010" w:type="dxa"/>
            <w:shd w:val="clear" w:color="auto" w:fill="auto"/>
            <w:noWrap/>
            <w:vAlign w:val="center"/>
            <w:hideMark/>
          </w:tcPr>
          <w:p w14:paraId="781004E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78</w:t>
            </w:r>
          </w:p>
        </w:tc>
        <w:tc>
          <w:tcPr>
            <w:tcW w:w="814" w:type="dxa"/>
            <w:shd w:val="clear" w:color="auto" w:fill="auto"/>
            <w:noWrap/>
            <w:vAlign w:val="center"/>
            <w:hideMark/>
          </w:tcPr>
          <w:p w14:paraId="1999DF0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2.6%</w:t>
            </w:r>
          </w:p>
        </w:tc>
        <w:tc>
          <w:tcPr>
            <w:tcW w:w="1857" w:type="dxa"/>
            <w:shd w:val="clear" w:color="auto" w:fill="auto"/>
            <w:noWrap/>
            <w:vAlign w:val="center"/>
            <w:hideMark/>
          </w:tcPr>
          <w:p w14:paraId="3F0EBF6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5F06073F" w14:textId="77777777" w:rsidTr="005453FE">
        <w:trPr>
          <w:trHeight w:val="300"/>
          <w:jc w:val="center"/>
        </w:trPr>
        <w:tc>
          <w:tcPr>
            <w:tcW w:w="1559" w:type="dxa"/>
            <w:shd w:val="clear" w:color="auto" w:fill="auto"/>
            <w:noWrap/>
            <w:vAlign w:val="center"/>
            <w:hideMark/>
          </w:tcPr>
          <w:p w14:paraId="68B97C8D"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Campylobacter</w:t>
            </w:r>
          </w:p>
        </w:tc>
        <w:tc>
          <w:tcPr>
            <w:tcW w:w="1313" w:type="dxa"/>
            <w:shd w:val="clear" w:color="auto" w:fill="auto"/>
            <w:noWrap/>
            <w:vAlign w:val="center"/>
            <w:hideMark/>
          </w:tcPr>
          <w:p w14:paraId="2EEC1D9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1010" w:type="dxa"/>
            <w:shd w:val="clear" w:color="auto" w:fill="auto"/>
            <w:noWrap/>
            <w:vAlign w:val="center"/>
            <w:hideMark/>
          </w:tcPr>
          <w:p w14:paraId="3338FB8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424</w:t>
            </w:r>
          </w:p>
        </w:tc>
        <w:tc>
          <w:tcPr>
            <w:tcW w:w="814" w:type="dxa"/>
            <w:shd w:val="clear" w:color="auto" w:fill="auto"/>
            <w:noWrap/>
            <w:vAlign w:val="center"/>
            <w:hideMark/>
          </w:tcPr>
          <w:p w14:paraId="2C17698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0.5%</w:t>
            </w:r>
          </w:p>
        </w:tc>
        <w:tc>
          <w:tcPr>
            <w:tcW w:w="1213" w:type="dxa"/>
            <w:shd w:val="clear" w:color="auto" w:fill="auto"/>
            <w:noWrap/>
            <w:vAlign w:val="center"/>
            <w:hideMark/>
          </w:tcPr>
          <w:p w14:paraId="19382BF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29</w:t>
            </w:r>
          </w:p>
        </w:tc>
        <w:tc>
          <w:tcPr>
            <w:tcW w:w="2736" w:type="dxa"/>
            <w:shd w:val="clear" w:color="auto" w:fill="auto"/>
            <w:noWrap/>
            <w:vAlign w:val="center"/>
            <w:hideMark/>
          </w:tcPr>
          <w:p w14:paraId="1AFABCD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202AE9A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2952A74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5</w:t>
            </w:r>
          </w:p>
        </w:tc>
        <w:tc>
          <w:tcPr>
            <w:tcW w:w="1010" w:type="dxa"/>
            <w:shd w:val="clear" w:color="auto" w:fill="auto"/>
            <w:noWrap/>
            <w:vAlign w:val="center"/>
            <w:hideMark/>
          </w:tcPr>
          <w:p w14:paraId="62E9039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441</w:t>
            </w:r>
          </w:p>
        </w:tc>
        <w:tc>
          <w:tcPr>
            <w:tcW w:w="814" w:type="dxa"/>
            <w:shd w:val="clear" w:color="auto" w:fill="auto"/>
            <w:noWrap/>
            <w:vAlign w:val="center"/>
            <w:hideMark/>
          </w:tcPr>
          <w:p w14:paraId="203AE6A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1.1%</w:t>
            </w:r>
          </w:p>
        </w:tc>
        <w:tc>
          <w:tcPr>
            <w:tcW w:w="1857" w:type="dxa"/>
            <w:shd w:val="clear" w:color="auto" w:fill="auto"/>
            <w:noWrap/>
            <w:vAlign w:val="center"/>
            <w:hideMark/>
          </w:tcPr>
          <w:p w14:paraId="0EAEB29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2849D498" w14:textId="77777777" w:rsidTr="005453FE">
        <w:trPr>
          <w:trHeight w:val="300"/>
          <w:jc w:val="center"/>
        </w:trPr>
        <w:tc>
          <w:tcPr>
            <w:tcW w:w="1559" w:type="dxa"/>
            <w:shd w:val="clear" w:color="auto" w:fill="auto"/>
            <w:noWrap/>
            <w:vAlign w:val="center"/>
            <w:hideMark/>
          </w:tcPr>
          <w:p w14:paraId="0550E52A"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E. coli O157</w:t>
            </w:r>
          </w:p>
        </w:tc>
        <w:tc>
          <w:tcPr>
            <w:tcW w:w="1313" w:type="dxa"/>
            <w:shd w:val="clear" w:color="auto" w:fill="auto"/>
            <w:noWrap/>
            <w:vAlign w:val="center"/>
            <w:hideMark/>
          </w:tcPr>
          <w:p w14:paraId="0B74379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197</w:t>
            </w:r>
          </w:p>
        </w:tc>
        <w:tc>
          <w:tcPr>
            <w:tcW w:w="1010" w:type="dxa"/>
            <w:shd w:val="clear" w:color="auto" w:fill="auto"/>
            <w:noWrap/>
            <w:vAlign w:val="center"/>
            <w:hideMark/>
          </w:tcPr>
          <w:p w14:paraId="0485E36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877</w:t>
            </w:r>
          </w:p>
        </w:tc>
        <w:tc>
          <w:tcPr>
            <w:tcW w:w="814" w:type="dxa"/>
            <w:shd w:val="clear" w:color="auto" w:fill="auto"/>
            <w:noWrap/>
            <w:vAlign w:val="center"/>
            <w:hideMark/>
          </w:tcPr>
          <w:p w14:paraId="1F71420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22.5%</w:t>
            </w:r>
          </w:p>
        </w:tc>
        <w:tc>
          <w:tcPr>
            <w:tcW w:w="1213" w:type="dxa"/>
            <w:shd w:val="clear" w:color="auto" w:fill="auto"/>
            <w:noWrap/>
            <w:vAlign w:val="center"/>
            <w:hideMark/>
          </w:tcPr>
          <w:p w14:paraId="56FDEF9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70</w:t>
            </w:r>
          </w:p>
        </w:tc>
        <w:tc>
          <w:tcPr>
            <w:tcW w:w="2736" w:type="dxa"/>
            <w:shd w:val="clear" w:color="auto" w:fill="auto"/>
            <w:noWrap/>
            <w:vAlign w:val="center"/>
            <w:hideMark/>
          </w:tcPr>
          <w:p w14:paraId="66DC40E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2AB3A73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492341D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w:t>
            </w:r>
          </w:p>
        </w:tc>
        <w:tc>
          <w:tcPr>
            <w:tcW w:w="1010" w:type="dxa"/>
            <w:shd w:val="clear" w:color="auto" w:fill="auto"/>
            <w:noWrap/>
            <w:vAlign w:val="center"/>
            <w:hideMark/>
          </w:tcPr>
          <w:p w14:paraId="68A108C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814" w:type="dxa"/>
            <w:shd w:val="clear" w:color="auto" w:fill="auto"/>
            <w:noWrap/>
            <w:vAlign w:val="center"/>
            <w:hideMark/>
          </w:tcPr>
          <w:p w14:paraId="04D9AA6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33.3%</w:t>
            </w:r>
          </w:p>
        </w:tc>
        <w:tc>
          <w:tcPr>
            <w:tcW w:w="1857" w:type="dxa"/>
            <w:shd w:val="clear" w:color="auto" w:fill="auto"/>
            <w:noWrap/>
            <w:vAlign w:val="center"/>
            <w:hideMark/>
          </w:tcPr>
          <w:p w14:paraId="2D6C216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7104843A" w14:textId="77777777" w:rsidTr="005453FE">
        <w:trPr>
          <w:trHeight w:val="300"/>
          <w:jc w:val="center"/>
        </w:trPr>
        <w:tc>
          <w:tcPr>
            <w:tcW w:w="1559" w:type="dxa"/>
            <w:shd w:val="clear" w:color="auto" w:fill="auto"/>
            <w:noWrap/>
            <w:vAlign w:val="center"/>
            <w:hideMark/>
          </w:tcPr>
          <w:p w14:paraId="336D87D6"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Listeria</w:t>
            </w:r>
          </w:p>
        </w:tc>
        <w:tc>
          <w:tcPr>
            <w:tcW w:w="1313" w:type="dxa"/>
            <w:shd w:val="clear" w:color="auto" w:fill="auto"/>
            <w:noWrap/>
            <w:vAlign w:val="center"/>
            <w:hideMark/>
          </w:tcPr>
          <w:p w14:paraId="0C00F49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010" w:type="dxa"/>
            <w:shd w:val="clear" w:color="auto" w:fill="auto"/>
            <w:noWrap/>
            <w:vAlign w:val="center"/>
            <w:hideMark/>
          </w:tcPr>
          <w:p w14:paraId="1BB2E74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814" w:type="dxa"/>
            <w:shd w:val="clear" w:color="auto" w:fill="auto"/>
            <w:noWrap/>
            <w:vAlign w:val="center"/>
            <w:hideMark/>
          </w:tcPr>
          <w:p w14:paraId="395FFDD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213" w:type="dxa"/>
            <w:shd w:val="clear" w:color="auto" w:fill="auto"/>
            <w:noWrap/>
            <w:vAlign w:val="center"/>
            <w:hideMark/>
          </w:tcPr>
          <w:p w14:paraId="3298FF09"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2736" w:type="dxa"/>
            <w:shd w:val="clear" w:color="auto" w:fill="auto"/>
            <w:noWrap/>
            <w:vAlign w:val="center"/>
            <w:hideMark/>
          </w:tcPr>
          <w:p w14:paraId="327CDA6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All outbreaks occurred in hospitals</w:t>
            </w:r>
          </w:p>
        </w:tc>
        <w:tc>
          <w:tcPr>
            <w:tcW w:w="352" w:type="dxa"/>
            <w:shd w:val="clear" w:color="auto" w:fill="auto"/>
            <w:noWrap/>
            <w:vAlign w:val="center"/>
            <w:hideMark/>
          </w:tcPr>
          <w:p w14:paraId="7AD29A7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7C7CE89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010" w:type="dxa"/>
            <w:shd w:val="clear" w:color="auto" w:fill="auto"/>
            <w:noWrap/>
            <w:vAlign w:val="center"/>
            <w:hideMark/>
          </w:tcPr>
          <w:p w14:paraId="5EF525D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814" w:type="dxa"/>
            <w:shd w:val="clear" w:color="auto" w:fill="auto"/>
            <w:noWrap/>
            <w:vAlign w:val="center"/>
            <w:hideMark/>
          </w:tcPr>
          <w:p w14:paraId="7DBA136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857" w:type="dxa"/>
            <w:shd w:val="clear" w:color="auto" w:fill="auto"/>
            <w:noWrap/>
            <w:vAlign w:val="center"/>
            <w:hideMark/>
          </w:tcPr>
          <w:p w14:paraId="6687563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No cases identified</w:t>
            </w:r>
          </w:p>
        </w:tc>
      </w:tr>
      <w:tr w:rsidR="008833CE" w:rsidRPr="008833CE" w14:paraId="38F4DF66" w14:textId="77777777" w:rsidTr="005453FE">
        <w:trPr>
          <w:trHeight w:val="300"/>
          <w:jc w:val="center"/>
        </w:trPr>
        <w:tc>
          <w:tcPr>
            <w:tcW w:w="1559" w:type="dxa"/>
            <w:shd w:val="clear" w:color="auto" w:fill="auto"/>
            <w:noWrap/>
            <w:vAlign w:val="center"/>
            <w:hideMark/>
          </w:tcPr>
          <w:p w14:paraId="5551A100"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Salmonella</w:t>
            </w:r>
          </w:p>
        </w:tc>
        <w:tc>
          <w:tcPr>
            <w:tcW w:w="1313" w:type="dxa"/>
            <w:shd w:val="clear" w:color="auto" w:fill="auto"/>
            <w:noWrap/>
            <w:vAlign w:val="center"/>
            <w:hideMark/>
          </w:tcPr>
          <w:p w14:paraId="379A67A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419</w:t>
            </w:r>
          </w:p>
        </w:tc>
        <w:tc>
          <w:tcPr>
            <w:tcW w:w="1010" w:type="dxa"/>
            <w:shd w:val="clear" w:color="auto" w:fill="auto"/>
            <w:noWrap/>
            <w:vAlign w:val="center"/>
            <w:hideMark/>
          </w:tcPr>
          <w:p w14:paraId="39862AC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5,527</w:t>
            </w:r>
          </w:p>
        </w:tc>
        <w:tc>
          <w:tcPr>
            <w:tcW w:w="814" w:type="dxa"/>
            <w:shd w:val="clear" w:color="auto" w:fill="auto"/>
            <w:noWrap/>
            <w:vAlign w:val="center"/>
            <w:hideMark/>
          </w:tcPr>
          <w:p w14:paraId="6B251E3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7.6%</w:t>
            </w:r>
          </w:p>
        </w:tc>
        <w:tc>
          <w:tcPr>
            <w:tcW w:w="1213" w:type="dxa"/>
            <w:shd w:val="clear" w:color="auto" w:fill="auto"/>
            <w:noWrap/>
            <w:vAlign w:val="center"/>
            <w:hideMark/>
          </w:tcPr>
          <w:p w14:paraId="0A041339"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217</w:t>
            </w:r>
          </w:p>
        </w:tc>
        <w:tc>
          <w:tcPr>
            <w:tcW w:w="2736" w:type="dxa"/>
            <w:shd w:val="clear" w:color="auto" w:fill="auto"/>
            <w:noWrap/>
            <w:vAlign w:val="center"/>
            <w:hideMark/>
          </w:tcPr>
          <w:p w14:paraId="596227E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25A0C91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244F55D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w:t>
            </w:r>
          </w:p>
        </w:tc>
        <w:tc>
          <w:tcPr>
            <w:tcW w:w="1010" w:type="dxa"/>
            <w:shd w:val="clear" w:color="auto" w:fill="auto"/>
            <w:noWrap/>
            <w:vAlign w:val="center"/>
            <w:hideMark/>
          </w:tcPr>
          <w:p w14:paraId="129CF4D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114</w:t>
            </w:r>
          </w:p>
        </w:tc>
        <w:tc>
          <w:tcPr>
            <w:tcW w:w="814" w:type="dxa"/>
            <w:shd w:val="clear" w:color="auto" w:fill="auto"/>
            <w:noWrap/>
            <w:vAlign w:val="center"/>
            <w:hideMark/>
          </w:tcPr>
          <w:p w14:paraId="2A68DC5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3.5%</w:t>
            </w:r>
          </w:p>
        </w:tc>
        <w:tc>
          <w:tcPr>
            <w:tcW w:w="1857" w:type="dxa"/>
            <w:shd w:val="clear" w:color="auto" w:fill="auto"/>
            <w:noWrap/>
            <w:vAlign w:val="center"/>
            <w:hideMark/>
          </w:tcPr>
          <w:p w14:paraId="13DA4E2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0B450D38" w14:textId="77777777" w:rsidTr="005453FE">
        <w:trPr>
          <w:trHeight w:val="300"/>
          <w:jc w:val="center"/>
        </w:trPr>
        <w:tc>
          <w:tcPr>
            <w:tcW w:w="1559" w:type="dxa"/>
            <w:shd w:val="clear" w:color="auto" w:fill="auto"/>
            <w:noWrap/>
            <w:vAlign w:val="center"/>
            <w:hideMark/>
          </w:tcPr>
          <w:p w14:paraId="252B0C7F"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proofErr w:type="spellStart"/>
            <w:r w:rsidRPr="008833CE">
              <w:rPr>
                <w:rFonts w:ascii="Calibri" w:eastAsia="Times New Roman" w:hAnsi="Calibri" w:cs="Calibri"/>
                <w:i/>
                <w:color w:val="000000"/>
                <w:sz w:val="20"/>
                <w:szCs w:val="16"/>
                <w:lang w:val="en-GB" w:eastAsia="en-GB" w:bidi="ar-SA"/>
              </w:rPr>
              <w:t>Shigella</w:t>
            </w:r>
            <w:proofErr w:type="spellEnd"/>
          </w:p>
        </w:tc>
        <w:tc>
          <w:tcPr>
            <w:tcW w:w="1313" w:type="dxa"/>
            <w:shd w:val="clear" w:color="auto" w:fill="auto"/>
            <w:noWrap/>
            <w:vAlign w:val="center"/>
            <w:hideMark/>
          </w:tcPr>
          <w:p w14:paraId="7F8B1FB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w:t>
            </w:r>
          </w:p>
        </w:tc>
        <w:tc>
          <w:tcPr>
            <w:tcW w:w="1010" w:type="dxa"/>
            <w:shd w:val="clear" w:color="auto" w:fill="auto"/>
            <w:noWrap/>
            <w:vAlign w:val="center"/>
            <w:hideMark/>
          </w:tcPr>
          <w:p w14:paraId="174C25B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153</w:t>
            </w:r>
          </w:p>
        </w:tc>
        <w:tc>
          <w:tcPr>
            <w:tcW w:w="814" w:type="dxa"/>
            <w:shd w:val="clear" w:color="auto" w:fill="auto"/>
            <w:noWrap/>
            <w:vAlign w:val="center"/>
            <w:hideMark/>
          </w:tcPr>
          <w:p w14:paraId="5F50AC7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2.6%</w:t>
            </w:r>
          </w:p>
        </w:tc>
        <w:tc>
          <w:tcPr>
            <w:tcW w:w="1213" w:type="dxa"/>
            <w:shd w:val="clear" w:color="auto" w:fill="auto"/>
            <w:noWrap/>
            <w:vAlign w:val="center"/>
            <w:hideMark/>
          </w:tcPr>
          <w:p w14:paraId="34F5EF4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w:t>
            </w:r>
          </w:p>
        </w:tc>
        <w:tc>
          <w:tcPr>
            <w:tcW w:w="2736" w:type="dxa"/>
            <w:shd w:val="clear" w:color="auto" w:fill="auto"/>
            <w:noWrap/>
            <w:vAlign w:val="center"/>
            <w:hideMark/>
          </w:tcPr>
          <w:p w14:paraId="59EA708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11EAF7A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7E2BA5F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w:t>
            </w:r>
          </w:p>
        </w:tc>
        <w:tc>
          <w:tcPr>
            <w:tcW w:w="1010" w:type="dxa"/>
            <w:shd w:val="clear" w:color="auto" w:fill="auto"/>
            <w:noWrap/>
            <w:vAlign w:val="center"/>
            <w:hideMark/>
          </w:tcPr>
          <w:p w14:paraId="6B8C09C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11</w:t>
            </w:r>
          </w:p>
        </w:tc>
        <w:tc>
          <w:tcPr>
            <w:tcW w:w="814" w:type="dxa"/>
            <w:shd w:val="clear" w:color="auto" w:fill="auto"/>
            <w:noWrap/>
            <w:vAlign w:val="center"/>
            <w:hideMark/>
          </w:tcPr>
          <w:p w14:paraId="766088C9"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8.3%</w:t>
            </w:r>
          </w:p>
        </w:tc>
        <w:tc>
          <w:tcPr>
            <w:tcW w:w="1857" w:type="dxa"/>
            <w:shd w:val="clear" w:color="auto" w:fill="auto"/>
            <w:noWrap/>
            <w:vAlign w:val="center"/>
            <w:hideMark/>
          </w:tcPr>
          <w:p w14:paraId="706C715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w:t>
            </w:r>
          </w:p>
        </w:tc>
      </w:tr>
      <w:tr w:rsidR="008833CE" w:rsidRPr="008833CE" w14:paraId="2C347C60" w14:textId="77777777" w:rsidTr="005453FE">
        <w:trPr>
          <w:trHeight w:val="300"/>
          <w:jc w:val="center"/>
        </w:trPr>
        <w:tc>
          <w:tcPr>
            <w:tcW w:w="1559" w:type="dxa"/>
            <w:shd w:val="clear" w:color="auto" w:fill="auto"/>
            <w:noWrap/>
            <w:vAlign w:val="center"/>
            <w:hideMark/>
          </w:tcPr>
          <w:p w14:paraId="7318E57F" w14:textId="77777777" w:rsidR="008833CE" w:rsidRPr="008833CE" w:rsidRDefault="008833CE" w:rsidP="008833CE">
            <w:pPr>
              <w:spacing w:after="0" w:line="240" w:lineRule="auto"/>
              <w:rPr>
                <w:rFonts w:ascii="Calibri" w:eastAsia="Times New Roman" w:hAnsi="Calibri" w:cs="Calibri"/>
                <w:b/>
                <w:bCs/>
                <w:color w:val="000000"/>
                <w:sz w:val="20"/>
                <w:szCs w:val="16"/>
                <w:lang w:val="en-GB" w:eastAsia="en-GB" w:bidi="ar-SA"/>
              </w:rPr>
            </w:pPr>
            <w:r w:rsidRPr="008833CE">
              <w:rPr>
                <w:rFonts w:ascii="Calibri" w:eastAsia="Times New Roman" w:hAnsi="Calibri" w:cs="Calibri"/>
                <w:b/>
                <w:bCs/>
                <w:color w:val="000000"/>
                <w:sz w:val="20"/>
                <w:szCs w:val="16"/>
                <w:lang w:val="en-GB" w:eastAsia="en-GB" w:bidi="ar-SA"/>
              </w:rPr>
              <w:t>Protozoa</w:t>
            </w:r>
          </w:p>
        </w:tc>
        <w:tc>
          <w:tcPr>
            <w:tcW w:w="1313" w:type="dxa"/>
            <w:shd w:val="clear" w:color="auto" w:fill="auto"/>
            <w:noWrap/>
            <w:vAlign w:val="center"/>
            <w:hideMark/>
          </w:tcPr>
          <w:p w14:paraId="1D29364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shd w:val="clear" w:color="auto" w:fill="auto"/>
            <w:noWrap/>
            <w:vAlign w:val="center"/>
            <w:hideMark/>
          </w:tcPr>
          <w:p w14:paraId="5113B5B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shd w:val="clear" w:color="auto" w:fill="auto"/>
            <w:noWrap/>
            <w:vAlign w:val="center"/>
            <w:hideMark/>
          </w:tcPr>
          <w:p w14:paraId="7C2F976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213" w:type="dxa"/>
            <w:shd w:val="clear" w:color="auto" w:fill="auto"/>
            <w:noWrap/>
            <w:vAlign w:val="center"/>
            <w:hideMark/>
          </w:tcPr>
          <w:p w14:paraId="48D04DC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2736" w:type="dxa"/>
            <w:shd w:val="clear" w:color="auto" w:fill="auto"/>
            <w:noWrap/>
            <w:vAlign w:val="center"/>
            <w:hideMark/>
          </w:tcPr>
          <w:p w14:paraId="7A44421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352" w:type="dxa"/>
            <w:shd w:val="clear" w:color="auto" w:fill="auto"/>
            <w:noWrap/>
            <w:vAlign w:val="center"/>
            <w:hideMark/>
          </w:tcPr>
          <w:p w14:paraId="27A7C5F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6A637B1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shd w:val="clear" w:color="auto" w:fill="auto"/>
            <w:noWrap/>
            <w:vAlign w:val="center"/>
            <w:hideMark/>
          </w:tcPr>
          <w:p w14:paraId="0576D93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shd w:val="clear" w:color="auto" w:fill="auto"/>
            <w:noWrap/>
            <w:vAlign w:val="center"/>
            <w:hideMark/>
          </w:tcPr>
          <w:p w14:paraId="3B779FA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857" w:type="dxa"/>
            <w:shd w:val="clear" w:color="auto" w:fill="auto"/>
            <w:noWrap/>
            <w:vAlign w:val="center"/>
            <w:hideMark/>
          </w:tcPr>
          <w:p w14:paraId="77344B2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r>
      <w:tr w:rsidR="008833CE" w:rsidRPr="008833CE" w14:paraId="0C625AF5" w14:textId="77777777" w:rsidTr="005453FE">
        <w:trPr>
          <w:trHeight w:val="300"/>
          <w:jc w:val="center"/>
        </w:trPr>
        <w:tc>
          <w:tcPr>
            <w:tcW w:w="1559" w:type="dxa"/>
            <w:shd w:val="clear" w:color="auto" w:fill="auto"/>
            <w:noWrap/>
            <w:vAlign w:val="center"/>
            <w:hideMark/>
          </w:tcPr>
          <w:p w14:paraId="74943AED"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Cryptosporidium</w:t>
            </w:r>
          </w:p>
        </w:tc>
        <w:tc>
          <w:tcPr>
            <w:tcW w:w="1313" w:type="dxa"/>
            <w:shd w:val="clear" w:color="auto" w:fill="auto"/>
            <w:noWrap/>
            <w:vAlign w:val="center"/>
            <w:hideMark/>
          </w:tcPr>
          <w:p w14:paraId="75A57DF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31</w:t>
            </w:r>
          </w:p>
        </w:tc>
        <w:tc>
          <w:tcPr>
            <w:tcW w:w="1010" w:type="dxa"/>
            <w:shd w:val="clear" w:color="auto" w:fill="auto"/>
            <w:noWrap/>
            <w:vAlign w:val="center"/>
            <w:hideMark/>
          </w:tcPr>
          <w:p w14:paraId="68DDA3D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836</w:t>
            </w:r>
          </w:p>
        </w:tc>
        <w:tc>
          <w:tcPr>
            <w:tcW w:w="814" w:type="dxa"/>
            <w:shd w:val="clear" w:color="auto" w:fill="auto"/>
            <w:noWrap/>
            <w:vAlign w:val="center"/>
            <w:hideMark/>
          </w:tcPr>
          <w:p w14:paraId="19E2B9A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3.7%</w:t>
            </w:r>
          </w:p>
        </w:tc>
        <w:tc>
          <w:tcPr>
            <w:tcW w:w="1213" w:type="dxa"/>
            <w:shd w:val="clear" w:color="auto" w:fill="auto"/>
            <w:noWrap/>
            <w:vAlign w:val="center"/>
            <w:hideMark/>
          </w:tcPr>
          <w:p w14:paraId="29FA34D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46</w:t>
            </w:r>
          </w:p>
        </w:tc>
        <w:tc>
          <w:tcPr>
            <w:tcW w:w="2736" w:type="dxa"/>
            <w:shd w:val="clear" w:color="auto" w:fill="auto"/>
            <w:noWrap/>
            <w:vAlign w:val="center"/>
            <w:hideMark/>
          </w:tcPr>
          <w:p w14:paraId="7ECA9DE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3E19B4A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7B33B0B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w:t>
            </w:r>
          </w:p>
        </w:tc>
        <w:tc>
          <w:tcPr>
            <w:tcW w:w="1010" w:type="dxa"/>
            <w:shd w:val="clear" w:color="auto" w:fill="auto"/>
            <w:noWrap/>
            <w:vAlign w:val="center"/>
            <w:hideMark/>
          </w:tcPr>
          <w:p w14:paraId="09107FE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50</w:t>
            </w:r>
          </w:p>
        </w:tc>
        <w:tc>
          <w:tcPr>
            <w:tcW w:w="814" w:type="dxa"/>
            <w:shd w:val="clear" w:color="auto" w:fill="auto"/>
            <w:noWrap/>
            <w:vAlign w:val="center"/>
            <w:hideMark/>
          </w:tcPr>
          <w:p w14:paraId="5908A0B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2.0%</w:t>
            </w:r>
          </w:p>
        </w:tc>
        <w:tc>
          <w:tcPr>
            <w:tcW w:w="1857" w:type="dxa"/>
            <w:shd w:val="clear" w:color="auto" w:fill="auto"/>
            <w:noWrap/>
            <w:vAlign w:val="center"/>
            <w:hideMark/>
          </w:tcPr>
          <w:p w14:paraId="3B0A120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7E536623" w14:textId="77777777" w:rsidTr="005453FE">
        <w:trPr>
          <w:trHeight w:val="300"/>
          <w:jc w:val="center"/>
        </w:trPr>
        <w:tc>
          <w:tcPr>
            <w:tcW w:w="1559" w:type="dxa"/>
            <w:shd w:val="clear" w:color="auto" w:fill="auto"/>
            <w:noWrap/>
            <w:vAlign w:val="center"/>
            <w:hideMark/>
          </w:tcPr>
          <w:p w14:paraId="34481643" w14:textId="77777777" w:rsidR="008833CE" w:rsidRPr="008833CE" w:rsidRDefault="008833CE" w:rsidP="008833CE">
            <w:pPr>
              <w:spacing w:after="0" w:line="240" w:lineRule="auto"/>
              <w:rPr>
                <w:rFonts w:ascii="Calibri" w:eastAsia="Times New Roman" w:hAnsi="Calibri" w:cs="Calibri"/>
                <w:i/>
                <w:color w:val="000000"/>
                <w:sz w:val="20"/>
                <w:szCs w:val="16"/>
                <w:lang w:val="en-GB" w:eastAsia="en-GB" w:bidi="ar-SA"/>
              </w:rPr>
            </w:pPr>
            <w:r w:rsidRPr="008833CE">
              <w:rPr>
                <w:rFonts w:ascii="Calibri" w:eastAsia="Times New Roman" w:hAnsi="Calibri" w:cs="Calibri"/>
                <w:i/>
                <w:color w:val="000000"/>
                <w:sz w:val="20"/>
                <w:szCs w:val="16"/>
                <w:lang w:val="en-GB" w:eastAsia="en-GB" w:bidi="ar-SA"/>
              </w:rPr>
              <w:t>Giardia</w:t>
            </w:r>
          </w:p>
        </w:tc>
        <w:tc>
          <w:tcPr>
            <w:tcW w:w="1313" w:type="dxa"/>
            <w:shd w:val="clear" w:color="auto" w:fill="auto"/>
            <w:noWrap/>
            <w:vAlign w:val="center"/>
            <w:hideMark/>
          </w:tcPr>
          <w:p w14:paraId="4C8AD71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w:t>
            </w:r>
          </w:p>
        </w:tc>
        <w:tc>
          <w:tcPr>
            <w:tcW w:w="1010" w:type="dxa"/>
            <w:shd w:val="clear" w:color="auto" w:fill="auto"/>
            <w:noWrap/>
            <w:vAlign w:val="center"/>
            <w:hideMark/>
          </w:tcPr>
          <w:p w14:paraId="056A638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137</w:t>
            </w:r>
          </w:p>
        </w:tc>
        <w:tc>
          <w:tcPr>
            <w:tcW w:w="814" w:type="dxa"/>
            <w:shd w:val="clear" w:color="auto" w:fill="auto"/>
            <w:noWrap/>
            <w:vAlign w:val="center"/>
            <w:hideMark/>
          </w:tcPr>
          <w:p w14:paraId="5D78E12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0.7%</w:t>
            </w:r>
          </w:p>
        </w:tc>
        <w:tc>
          <w:tcPr>
            <w:tcW w:w="1213" w:type="dxa"/>
            <w:shd w:val="clear" w:color="auto" w:fill="auto"/>
            <w:noWrap/>
            <w:vAlign w:val="center"/>
            <w:hideMark/>
          </w:tcPr>
          <w:p w14:paraId="0163387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5</w:t>
            </w:r>
          </w:p>
        </w:tc>
        <w:tc>
          <w:tcPr>
            <w:tcW w:w="2736" w:type="dxa"/>
            <w:shd w:val="clear" w:color="auto" w:fill="auto"/>
            <w:noWrap/>
            <w:vAlign w:val="center"/>
            <w:hideMark/>
          </w:tcPr>
          <w:p w14:paraId="567AF5A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462E737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7F0F735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w:t>
            </w:r>
          </w:p>
        </w:tc>
        <w:tc>
          <w:tcPr>
            <w:tcW w:w="1010" w:type="dxa"/>
            <w:shd w:val="clear" w:color="auto" w:fill="auto"/>
            <w:noWrap/>
            <w:vAlign w:val="center"/>
            <w:hideMark/>
          </w:tcPr>
          <w:p w14:paraId="0EC8C0C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34</w:t>
            </w:r>
          </w:p>
        </w:tc>
        <w:tc>
          <w:tcPr>
            <w:tcW w:w="814" w:type="dxa"/>
            <w:shd w:val="clear" w:color="auto" w:fill="auto"/>
            <w:noWrap/>
            <w:vAlign w:val="center"/>
            <w:hideMark/>
          </w:tcPr>
          <w:p w14:paraId="4698429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2.9%</w:t>
            </w:r>
          </w:p>
        </w:tc>
        <w:tc>
          <w:tcPr>
            <w:tcW w:w="1857" w:type="dxa"/>
            <w:shd w:val="clear" w:color="auto" w:fill="auto"/>
            <w:noWrap/>
            <w:vAlign w:val="center"/>
            <w:hideMark/>
          </w:tcPr>
          <w:p w14:paraId="5A40ADA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48CBD4E8" w14:textId="77777777" w:rsidTr="005453FE">
        <w:trPr>
          <w:trHeight w:val="300"/>
          <w:jc w:val="center"/>
        </w:trPr>
        <w:tc>
          <w:tcPr>
            <w:tcW w:w="1559" w:type="dxa"/>
            <w:shd w:val="clear" w:color="auto" w:fill="auto"/>
            <w:noWrap/>
            <w:vAlign w:val="center"/>
            <w:hideMark/>
          </w:tcPr>
          <w:p w14:paraId="608257EE" w14:textId="77777777" w:rsidR="008833CE" w:rsidRPr="008833CE" w:rsidRDefault="008833CE" w:rsidP="008833CE">
            <w:pPr>
              <w:spacing w:after="0" w:line="240" w:lineRule="auto"/>
              <w:rPr>
                <w:rFonts w:ascii="Calibri" w:eastAsia="Times New Roman" w:hAnsi="Calibri" w:cs="Calibri"/>
                <w:b/>
                <w:bCs/>
                <w:color w:val="000000"/>
                <w:sz w:val="20"/>
                <w:szCs w:val="16"/>
                <w:lang w:val="en-GB" w:eastAsia="en-GB" w:bidi="ar-SA"/>
              </w:rPr>
            </w:pPr>
            <w:r w:rsidRPr="008833CE">
              <w:rPr>
                <w:rFonts w:ascii="Calibri" w:eastAsia="Times New Roman" w:hAnsi="Calibri" w:cs="Calibri"/>
                <w:b/>
                <w:bCs/>
                <w:color w:val="000000"/>
                <w:sz w:val="20"/>
                <w:szCs w:val="16"/>
                <w:lang w:val="en-GB" w:eastAsia="en-GB" w:bidi="ar-SA"/>
              </w:rPr>
              <w:t>Viruses</w:t>
            </w:r>
          </w:p>
        </w:tc>
        <w:tc>
          <w:tcPr>
            <w:tcW w:w="1313" w:type="dxa"/>
            <w:shd w:val="clear" w:color="auto" w:fill="auto"/>
            <w:noWrap/>
            <w:vAlign w:val="center"/>
            <w:hideMark/>
          </w:tcPr>
          <w:p w14:paraId="0374323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shd w:val="clear" w:color="auto" w:fill="auto"/>
            <w:noWrap/>
            <w:vAlign w:val="center"/>
            <w:hideMark/>
          </w:tcPr>
          <w:p w14:paraId="1BB5FE0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shd w:val="clear" w:color="auto" w:fill="auto"/>
            <w:noWrap/>
            <w:vAlign w:val="center"/>
            <w:hideMark/>
          </w:tcPr>
          <w:p w14:paraId="2FE035C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213" w:type="dxa"/>
            <w:shd w:val="clear" w:color="auto" w:fill="auto"/>
            <w:noWrap/>
            <w:vAlign w:val="center"/>
            <w:hideMark/>
          </w:tcPr>
          <w:p w14:paraId="477BF33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2736" w:type="dxa"/>
            <w:shd w:val="clear" w:color="auto" w:fill="auto"/>
            <w:noWrap/>
            <w:vAlign w:val="center"/>
            <w:hideMark/>
          </w:tcPr>
          <w:p w14:paraId="792DD88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352" w:type="dxa"/>
            <w:shd w:val="clear" w:color="auto" w:fill="auto"/>
            <w:noWrap/>
            <w:vAlign w:val="center"/>
            <w:hideMark/>
          </w:tcPr>
          <w:p w14:paraId="6ED957B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2306CDD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010" w:type="dxa"/>
            <w:shd w:val="clear" w:color="auto" w:fill="auto"/>
            <w:noWrap/>
            <w:vAlign w:val="center"/>
            <w:hideMark/>
          </w:tcPr>
          <w:p w14:paraId="57137A29"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814" w:type="dxa"/>
            <w:shd w:val="clear" w:color="auto" w:fill="auto"/>
            <w:noWrap/>
            <w:vAlign w:val="center"/>
            <w:hideMark/>
          </w:tcPr>
          <w:p w14:paraId="2142548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857" w:type="dxa"/>
            <w:shd w:val="clear" w:color="auto" w:fill="auto"/>
            <w:noWrap/>
            <w:vAlign w:val="center"/>
            <w:hideMark/>
          </w:tcPr>
          <w:p w14:paraId="08B2A76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r>
      <w:tr w:rsidR="008833CE" w:rsidRPr="008833CE" w14:paraId="6BE29F9C" w14:textId="77777777" w:rsidTr="005453FE">
        <w:trPr>
          <w:trHeight w:val="300"/>
          <w:jc w:val="center"/>
        </w:trPr>
        <w:tc>
          <w:tcPr>
            <w:tcW w:w="1559" w:type="dxa"/>
            <w:shd w:val="clear" w:color="auto" w:fill="auto"/>
            <w:noWrap/>
            <w:vAlign w:val="center"/>
            <w:hideMark/>
          </w:tcPr>
          <w:p w14:paraId="4EB3A99D"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Adenovirus</w:t>
            </w:r>
          </w:p>
        </w:tc>
        <w:tc>
          <w:tcPr>
            <w:tcW w:w="1313" w:type="dxa"/>
            <w:shd w:val="clear" w:color="auto" w:fill="auto"/>
            <w:noWrap/>
            <w:vAlign w:val="center"/>
            <w:hideMark/>
          </w:tcPr>
          <w:p w14:paraId="5D7EC40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010" w:type="dxa"/>
            <w:shd w:val="clear" w:color="auto" w:fill="auto"/>
            <w:noWrap/>
            <w:vAlign w:val="center"/>
            <w:hideMark/>
          </w:tcPr>
          <w:p w14:paraId="6332174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814" w:type="dxa"/>
            <w:shd w:val="clear" w:color="auto" w:fill="auto"/>
            <w:noWrap/>
            <w:vAlign w:val="center"/>
            <w:hideMark/>
          </w:tcPr>
          <w:p w14:paraId="13B3F27C"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213" w:type="dxa"/>
            <w:shd w:val="clear" w:color="auto" w:fill="auto"/>
            <w:noWrap/>
            <w:vAlign w:val="center"/>
            <w:hideMark/>
          </w:tcPr>
          <w:p w14:paraId="796A43E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2736" w:type="dxa"/>
            <w:shd w:val="clear" w:color="auto" w:fill="auto"/>
            <w:noWrap/>
            <w:vAlign w:val="center"/>
            <w:hideMark/>
          </w:tcPr>
          <w:p w14:paraId="7CBBF25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No outbreaks reported</w:t>
            </w:r>
          </w:p>
        </w:tc>
        <w:tc>
          <w:tcPr>
            <w:tcW w:w="352" w:type="dxa"/>
            <w:shd w:val="clear" w:color="auto" w:fill="auto"/>
            <w:noWrap/>
            <w:vAlign w:val="center"/>
            <w:hideMark/>
          </w:tcPr>
          <w:p w14:paraId="514D1CD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1659571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w:t>
            </w:r>
          </w:p>
        </w:tc>
        <w:tc>
          <w:tcPr>
            <w:tcW w:w="1010" w:type="dxa"/>
            <w:shd w:val="clear" w:color="auto" w:fill="auto"/>
            <w:noWrap/>
            <w:vAlign w:val="center"/>
            <w:hideMark/>
          </w:tcPr>
          <w:p w14:paraId="7C6E595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79</w:t>
            </w:r>
          </w:p>
        </w:tc>
        <w:tc>
          <w:tcPr>
            <w:tcW w:w="814" w:type="dxa"/>
            <w:shd w:val="clear" w:color="auto" w:fill="auto"/>
            <w:noWrap/>
            <w:vAlign w:val="center"/>
            <w:hideMark/>
          </w:tcPr>
          <w:p w14:paraId="3066CFA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1.3%</w:t>
            </w:r>
          </w:p>
        </w:tc>
        <w:tc>
          <w:tcPr>
            <w:tcW w:w="1857" w:type="dxa"/>
            <w:shd w:val="clear" w:color="auto" w:fill="auto"/>
            <w:noWrap/>
            <w:vAlign w:val="center"/>
            <w:hideMark/>
          </w:tcPr>
          <w:p w14:paraId="7338FA2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2E8396C5" w14:textId="77777777" w:rsidTr="005453FE">
        <w:trPr>
          <w:trHeight w:val="300"/>
          <w:jc w:val="center"/>
        </w:trPr>
        <w:tc>
          <w:tcPr>
            <w:tcW w:w="1559" w:type="dxa"/>
            <w:shd w:val="clear" w:color="auto" w:fill="auto"/>
            <w:noWrap/>
            <w:vAlign w:val="center"/>
            <w:hideMark/>
          </w:tcPr>
          <w:p w14:paraId="701208E6"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proofErr w:type="spellStart"/>
            <w:r w:rsidRPr="008833CE">
              <w:rPr>
                <w:rFonts w:ascii="Calibri" w:eastAsia="Times New Roman" w:hAnsi="Calibri" w:cs="Calibri"/>
                <w:color w:val="000000"/>
                <w:sz w:val="20"/>
                <w:szCs w:val="16"/>
                <w:lang w:val="en-GB" w:eastAsia="en-GB" w:bidi="ar-SA"/>
              </w:rPr>
              <w:t>Astrovirus</w:t>
            </w:r>
            <w:proofErr w:type="spellEnd"/>
          </w:p>
        </w:tc>
        <w:tc>
          <w:tcPr>
            <w:tcW w:w="1313" w:type="dxa"/>
            <w:shd w:val="clear" w:color="auto" w:fill="auto"/>
            <w:noWrap/>
            <w:vAlign w:val="center"/>
            <w:hideMark/>
          </w:tcPr>
          <w:p w14:paraId="7EEC48A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1010" w:type="dxa"/>
            <w:shd w:val="clear" w:color="auto" w:fill="auto"/>
            <w:noWrap/>
            <w:vAlign w:val="center"/>
            <w:hideMark/>
          </w:tcPr>
          <w:p w14:paraId="49AD0F0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88</w:t>
            </w:r>
          </w:p>
        </w:tc>
        <w:tc>
          <w:tcPr>
            <w:tcW w:w="814" w:type="dxa"/>
            <w:shd w:val="clear" w:color="auto" w:fill="auto"/>
            <w:noWrap/>
            <w:vAlign w:val="center"/>
            <w:hideMark/>
          </w:tcPr>
          <w:p w14:paraId="0F276FD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2.3%</w:t>
            </w:r>
          </w:p>
        </w:tc>
        <w:tc>
          <w:tcPr>
            <w:tcW w:w="1213" w:type="dxa"/>
            <w:shd w:val="clear" w:color="auto" w:fill="auto"/>
            <w:noWrap/>
            <w:vAlign w:val="center"/>
            <w:hideMark/>
          </w:tcPr>
          <w:p w14:paraId="76F975B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w:t>
            </w:r>
          </w:p>
        </w:tc>
        <w:tc>
          <w:tcPr>
            <w:tcW w:w="2736" w:type="dxa"/>
            <w:shd w:val="clear" w:color="auto" w:fill="auto"/>
            <w:noWrap/>
            <w:vAlign w:val="center"/>
            <w:hideMark/>
          </w:tcPr>
          <w:p w14:paraId="5B25268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3B43BC1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3092CCC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w:t>
            </w:r>
          </w:p>
        </w:tc>
        <w:tc>
          <w:tcPr>
            <w:tcW w:w="1010" w:type="dxa"/>
            <w:shd w:val="clear" w:color="auto" w:fill="auto"/>
            <w:noWrap/>
            <w:vAlign w:val="center"/>
            <w:hideMark/>
          </w:tcPr>
          <w:p w14:paraId="0AC646F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67</w:t>
            </w:r>
          </w:p>
        </w:tc>
        <w:tc>
          <w:tcPr>
            <w:tcW w:w="814" w:type="dxa"/>
            <w:shd w:val="clear" w:color="auto" w:fill="auto"/>
            <w:noWrap/>
            <w:vAlign w:val="center"/>
            <w:hideMark/>
          </w:tcPr>
          <w:p w14:paraId="739CF0FA"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1.5%</w:t>
            </w:r>
          </w:p>
        </w:tc>
        <w:tc>
          <w:tcPr>
            <w:tcW w:w="1857" w:type="dxa"/>
            <w:shd w:val="clear" w:color="auto" w:fill="auto"/>
            <w:noWrap/>
            <w:vAlign w:val="center"/>
            <w:hideMark/>
          </w:tcPr>
          <w:p w14:paraId="66D5AE1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221FB91F" w14:textId="77777777" w:rsidTr="005453FE">
        <w:trPr>
          <w:trHeight w:val="300"/>
          <w:jc w:val="center"/>
        </w:trPr>
        <w:tc>
          <w:tcPr>
            <w:tcW w:w="1559" w:type="dxa"/>
            <w:shd w:val="clear" w:color="auto" w:fill="auto"/>
            <w:noWrap/>
            <w:vAlign w:val="center"/>
            <w:hideMark/>
          </w:tcPr>
          <w:p w14:paraId="093BE02E"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Norovirus</w:t>
            </w:r>
          </w:p>
        </w:tc>
        <w:tc>
          <w:tcPr>
            <w:tcW w:w="1313" w:type="dxa"/>
            <w:shd w:val="clear" w:color="auto" w:fill="auto"/>
            <w:noWrap/>
            <w:vAlign w:val="center"/>
            <w:hideMark/>
          </w:tcPr>
          <w:p w14:paraId="59140BA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80</w:t>
            </w:r>
          </w:p>
        </w:tc>
        <w:tc>
          <w:tcPr>
            <w:tcW w:w="1010" w:type="dxa"/>
            <w:shd w:val="clear" w:color="auto" w:fill="auto"/>
            <w:noWrap/>
            <w:vAlign w:val="center"/>
            <w:hideMark/>
          </w:tcPr>
          <w:p w14:paraId="7110797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12,333</w:t>
            </w:r>
          </w:p>
        </w:tc>
        <w:tc>
          <w:tcPr>
            <w:tcW w:w="814" w:type="dxa"/>
            <w:shd w:val="clear" w:color="auto" w:fill="auto"/>
            <w:noWrap/>
            <w:vAlign w:val="center"/>
            <w:hideMark/>
          </w:tcPr>
          <w:p w14:paraId="2011662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0.6%</w:t>
            </w:r>
          </w:p>
        </w:tc>
        <w:tc>
          <w:tcPr>
            <w:tcW w:w="1213" w:type="dxa"/>
            <w:shd w:val="clear" w:color="auto" w:fill="auto"/>
            <w:noWrap/>
            <w:vAlign w:val="center"/>
            <w:hideMark/>
          </w:tcPr>
          <w:p w14:paraId="56880955"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342</w:t>
            </w:r>
          </w:p>
        </w:tc>
        <w:tc>
          <w:tcPr>
            <w:tcW w:w="2736" w:type="dxa"/>
            <w:shd w:val="clear" w:color="auto" w:fill="auto"/>
            <w:noWrap/>
            <w:vAlign w:val="center"/>
            <w:hideMark/>
          </w:tcPr>
          <w:p w14:paraId="3BDAD9B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55DE5702"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4DBCBD4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w:t>
            </w:r>
          </w:p>
        </w:tc>
        <w:tc>
          <w:tcPr>
            <w:tcW w:w="1010" w:type="dxa"/>
            <w:shd w:val="clear" w:color="auto" w:fill="auto"/>
            <w:noWrap/>
            <w:vAlign w:val="center"/>
            <w:hideMark/>
          </w:tcPr>
          <w:p w14:paraId="5CB6D0B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201</w:t>
            </w:r>
          </w:p>
        </w:tc>
        <w:tc>
          <w:tcPr>
            <w:tcW w:w="814" w:type="dxa"/>
            <w:shd w:val="clear" w:color="auto" w:fill="auto"/>
            <w:noWrap/>
            <w:vAlign w:val="center"/>
            <w:hideMark/>
          </w:tcPr>
          <w:p w14:paraId="6C7200F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1.0%</w:t>
            </w:r>
          </w:p>
        </w:tc>
        <w:tc>
          <w:tcPr>
            <w:tcW w:w="1857" w:type="dxa"/>
            <w:shd w:val="clear" w:color="auto" w:fill="auto"/>
            <w:noWrap/>
            <w:vAlign w:val="center"/>
            <w:hideMark/>
          </w:tcPr>
          <w:p w14:paraId="6C9B6FD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IID1 &amp; IID2</w:t>
            </w:r>
          </w:p>
        </w:tc>
      </w:tr>
      <w:tr w:rsidR="008833CE" w:rsidRPr="008833CE" w14:paraId="1562ADD0" w14:textId="77777777" w:rsidTr="005453FE">
        <w:trPr>
          <w:trHeight w:val="300"/>
          <w:jc w:val="center"/>
        </w:trPr>
        <w:tc>
          <w:tcPr>
            <w:tcW w:w="1559" w:type="dxa"/>
            <w:shd w:val="clear" w:color="auto" w:fill="auto"/>
            <w:noWrap/>
            <w:vAlign w:val="center"/>
            <w:hideMark/>
          </w:tcPr>
          <w:p w14:paraId="360D9E86"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proofErr w:type="spellStart"/>
            <w:r w:rsidRPr="008833CE">
              <w:rPr>
                <w:rFonts w:ascii="Calibri" w:eastAsia="Times New Roman" w:hAnsi="Calibri" w:cs="Calibri"/>
                <w:color w:val="000000"/>
                <w:sz w:val="20"/>
                <w:szCs w:val="16"/>
                <w:lang w:val="en-GB" w:eastAsia="en-GB" w:bidi="ar-SA"/>
              </w:rPr>
              <w:t>Sapovirus</w:t>
            </w:r>
            <w:proofErr w:type="spellEnd"/>
          </w:p>
        </w:tc>
        <w:tc>
          <w:tcPr>
            <w:tcW w:w="1313" w:type="dxa"/>
            <w:shd w:val="clear" w:color="auto" w:fill="auto"/>
            <w:noWrap/>
            <w:vAlign w:val="center"/>
            <w:hideMark/>
          </w:tcPr>
          <w:p w14:paraId="4387405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010" w:type="dxa"/>
            <w:shd w:val="clear" w:color="auto" w:fill="auto"/>
            <w:noWrap/>
            <w:vAlign w:val="center"/>
            <w:hideMark/>
          </w:tcPr>
          <w:p w14:paraId="36BD06C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814" w:type="dxa"/>
            <w:shd w:val="clear" w:color="auto" w:fill="auto"/>
            <w:noWrap/>
            <w:vAlign w:val="center"/>
            <w:hideMark/>
          </w:tcPr>
          <w:p w14:paraId="0CB9D5B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1213" w:type="dxa"/>
            <w:shd w:val="clear" w:color="auto" w:fill="auto"/>
            <w:noWrap/>
            <w:vAlign w:val="center"/>
            <w:hideMark/>
          </w:tcPr>
          <w:p w14:paraId="504883A7"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w:t>
            </w:r>
          </w:p>
        </w:tc>
        <w:tc>
          <w:tcPr>
            <w:tcW w:w="2736" w:type="dxa"/>
            <w:shd w:val="clear" w:color="auto" w:fill="auto"/>
            <w:noWrap/>
            <w:vAlign w:val="center"/>
            <w:hideMark/>
          </w:tcPr>
          <w:p w14:paraId="08EF840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No outbreaks reported</w:t>
            </w:r>
          </w:p>
        </w:tc>
        <w:tc>
          <w:tcPr>
            <w:tcW w:w="352" w:type="dxa"/>
            <w:shd w:val="clear" w:color="auto" w:fill="auto"/>
            <w:noWrap/>
            <w:vAlign w:val="center"/>
            <w:hideMark/>
          </w:tcPr>
          <w:p w14:paraId="67A8924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49016FA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0</w:t>
            </w:r>
          </w:p>
        </w:tc>
        <w:tc>
          <w:tcPr>
            <w:tcW w:w="1010" w:type="dxa"/>
            <w:shd w:val="clear" w:color="auto" w:fill="auto"/>
            <w:noWrap/>
            <w:vAlign w:val="center"/>
            <w:hideMark/>
          </w:tcPr>
          <w:p w14:paraId="5726730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77</w:t>
            </w:r>
          </w:p>
        </w:tc>
        <w:tc>
          <w:tcPr>
            <w:tcW w:w="814" w:type="dxa"/>
            <w:shd w:val="clear" w:color="auto" w:fill="auto"/>
            <w:noWrap/>
            <w:vAlign w:val="center"/>
            <w:hideMark/>
          </w:tcPr>
          <w:p w14:paraId="7916AC73"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1.3%</w:t>
            </w:r>
          </w:p>
        </w:tc>
        <w:tc>
          <w:tcPr>
            <w:tcW w:w="1857" w:type="dxa"/>
            <w:shd w:val="clear" w:color="auto" w:fill="auto"/>
            <w:noWrap/>
            <w:vAlign w:val="center"/>
            <w:hideMark/>
          </w:tcPr>
          <w:p w14:paraId="75E2B5BB"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IID2</w:t>
            </w:r>
          </w:p>
        </w:tc>
      </w:tr>
      <w:tr w:rsidR="008833CE" w:rsidRPr="008833CE" w14:paraId="244034E3" w14:textId="77777777" w:rsidTr="005453FE">
        <w:trPr>
          <w:trHeight w:val="300"/>
          <w:jc w:val="center"/>
        </w:trPr>
        <w:tc>
          <w:tcPr>
            <w:tcW w:w="1559" w:type="dxa"/>
            <w:shd w:val="clear" w:color="auto" w:fill="auto"/>
            <w:noWrap/>
            <w:vAlign w:val="center"/>
            <w:hideMark/>
          </w:tcPr>
          <w:p w14:paraId="05B2C72D" w14:textId="77777777" w:rsidR="008833CE" w:rsidRPr="008833CE" w:rsidRDefault="008833CE" w:rsidP="008833CE">
            <w:pPr>
              <w:spacing w:after="0" w:line="240" w:lineRule="auto"/>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Rotavirus</w:t>
            </w:r>
          </w:p>
        </w:tc>
        <w:tc>
          <w:tcPr>
            <w:tcW w:w="1313" w:type="dxa"/>
            <w:shd w:val="clear" w:color="auto" w:fill="auto"/>
            <w:noWrap/>
            <w:vAlign w:val="center"/>
            <w:hideMark/>
          </w:tcPr>
          <w:p w14:paraId="368FCF2F"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20</w:t>
            </w:r>
          </w:p>
        </w:tc>
        <w:tc>
          <w:tcPr>
            <w:tcW w:w="1010" w:type="dxa"/>
            <w:shd w:val="clear" w:color="auto" w:fill="auto"/>
            <w:noWrap/>
            <w:vAlign w:val="center"/>
            <w:hideMark/>
          </w:tcPr>
          <w:p w14:paraId="460BFCA4"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1,211</w:t>
            </w:r>
          </w:p>
        </w:tc>
        <w:tc>
          <w:tcPr>
            <w:tcW w:w="814" w:type="dxa"/>
            <w:shd w:val="clear" w:color="auto" w:fill="auto"/>
            <w:noWrap/>
            <w:vAlign w:val="center"/>
            <w:hideMark/>
          </w:tcPr>
          <w:p w14:paraId="54E7ECC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1.7%</w:t>
            </w:r>
          </w:p>
        </w:tc>
        <w:tc>
          <w:tcPr>
            <w:tcW w:w="1213" w:type="dxa"/>
            <w:shd w:val="clear" w:color="auto" w:fill="auto"/>
            <w:noWrap/>
            <w:vAlign w:val="center"/>
            <w:hideMark/>
          </w:tcPr>
          <w:p w14:paraId="60728566"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59</w:t>
            </w:r>
          </w:p>
        </w:tc>
        <w:tc>
          <w:tcPr>
            <w:tcW w:w="2736" w:type="dxa"/>
            <w:shd w:val="clear" w:color="auto" w:fill="auto"/>
            <w:noWrap/>
            <w:vAlign w:val="center"/>
            <w:hideMark/>
          </w:tcPr>
          <w:p w14:paraId="2474795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Outbreak surveillance</w:t>
            </w:r>
          </w:p>
        </w:tc>
        <w:tc>
          <w:tcPr>
            <w:tcW w:w="352" w:type="dxa"/>
            <w:shd w:val="clear" w:color="auto" w:fill="auto"/>
            <w:noWrap/>
            <w:vAlign w:val="center"/>
            <w:hideMark/>
          </w:tcPr>
          <w:p w14:paraId="2360C06D"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p>
        </w:tc>
        <w:tc>
          <w:tcPr>
            <w:tcW w:w="1313" w:type="dxa"/>
            <w:shd w:val="clear" w:color="auto" w:fill="auto"/>
            <w:noWrap/>
            <w:vAlign w:val="center"/>
            <w:hideMark/>
          </w:tcPr>
          <w:p w14:paraId="51C2CEB1"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w:t>
            </w:r>
          </w:p>
        </w:tc>
        <w:tc>
          <w:tcPr>
            <w:tcW w:w="1010" w:type="dxa"/>
            <w:shd w:val="clear" w:color="auto" w:fill="auto"/>
            <w:noWrap/>
            <w:vAlign w:val="center"/>
            <w:hideMark/>
          </w:tcPr>
          <w:p w14:paraId="398045E0"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64</w:t>
            </w:r>
          </w:p>
        </w:tc>
        <w:tc>
          <w:tcPr>
            <w:tcW w:w="814" w:type="dxa"/>
            <w:shd w:val="clear" w:color="auto" w:fill="auto"/>
            <w:noWrap/>
            <w:vAlign w:val="center"/>
            <w:hideMark/>
          </w:tcPr>
          <w:p w14:paraId="09057998"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1.6%</w:t>
            </w:r>
          </w:p>
        </w:tc>
        <w:tc>
          <w:tcPr>
            <w:tcW w:w="1857" w:type="dxa"/>
            <w:shd w:val="clear" w:color="auto" w:fill="auto"/>
            <w:noWrap/>
            <w:vAlign w:val="center"/>
            <w:hideMark/>
          </w:tcPr>
          <w:p w14:paraId="3216802E" w14:textId="77777777" w:rsidR="008833CE" w:rsidRPr="008833CE" w:rsidRDefault="008833CE" w:rsidP="008833CE">
            <w:pPr>
              <w:spacing w:after="0" w:line="240" w:lineRule="auto"/>
              <w:jc w:val="center"/>
              <w:rPr>
                <w:rFonts w:ascii="Calibri" w:eastAsia="Times New Roman" w:hAnsi="Calibri" w:cs="Calibri"/>
                <w:color w:val="000000"/>
                <w:sz w:val="20"/>
                <w:szCs w:val="16"/>
                <w:lang w:val="en-GB" w:eastAsia="en-GB" w:bidi="ar-SA"/>
              </w:rPr>
            </w:pPr>
            <w:r w:rsidRPr="008833CE">
              <w:rPr>
                <w:rFonts w:ascii="Calibri" w:eastAsia="Times New Roman" w:hAnsi="Calibri" w:cs="Calibri"/>
                <w:color w:val="000000"/>
                <w:sz w:val="20"/>
                <w:szCs w:val="16"/>
                <w:lang w:val="en-GB" w:eastAsia="en-GB" w:bidi="ar-SA"/>
              </w:rPr>
              <w:t>IID2</w:t>
            </w:r>
          </w:p>
        </w:tc>
      </w:tr>
    </w:tbl>
    <w:p w14:paraId="4E39A994" w14:textId="77777777" w:rsidR="008833CE" w:rsidRPr="008833CE" w:rsidRDefault="008833CE" w:rsidP="008833CE">
      <w:pPr>
        <w:spacing w:after="0" w:line="240" w:lineRule="auto"/>
        <w:rPr>
          <w:rFonts w:ascii="Calibri" w:eastAsia="MS Mincho" w:hAnsi="Calibri" w:cs="Arial"/>
          <w:b/>
          <w:bCs/>
        </w:rPr>
      </w:pPr>
    </w:p>
    <w:p w14:paraId="39D72FB2" w14:textId="152B66B0" w:rsidR="008833CE" w:rsidRDefault="008833CE" w:rsidP="008833CE">
      <w:pPr>
        <w:pStyle w:val="Heading3"/>
        <w:numPr>
          <w:ilvl w:val="0"/>
          <w:numId w:val="0"/>
        </w:numPr>
        <w:spacing w:line="360" w:lineRule="auto"/>
        <w:rPr>
          <w:rFonts w:asciiTheme="minorHAnsi" w:hAnsiTheme="minorHAnsi"/>
          <w:color w:val="auto"/>
        </w:rPr>
        <w:sectPr w:rsidR="008833CE" w:rsidSect="008833CE">
          <w:pgSz w:w="16838" w:h="11906" w:orient="landscape"/>
          <w:pgMar w:top="1440" w:right="1440" w:bottom="1440" w:left="1440" w:header="708" w:footer="708" w:gutter="0"/>
          <w:cols w:space="708"/>
          <w:docGrid w:linePitch="360"/>
        </w:sectPr>
      </w:pPr>
      <w:r w:rsidRPr="008833CE">
        <w:rPr>
          <w:rFonts w:ascii="Calibri" w:eastAsia="MS Mincho" w:hAnsi="Calibri" w:cs="Arial"/>
          <w:b w:val="0"/>
          <w:bCs w:val="0"/>
          <w:color w:val="auto"/>
          <w:vertAlign w:val="superscript"/>
        </w:rPr>
        <w:t>1</w:t>
      </w:r>
      <w:r w:rsidRPr="008833CE">
        <w:rPr>
          <w:rFonts w:ascii="Calibri" w:eastAsia="MS Mincho" w:hAnsi="Calibri" w:cs="Arial"/>
          <w:b w:val="0"/>
          <w:bCs w:val="0"/>
          <w:color w:val="auto"/>
        </w:rPr>
        <w:t xml:space="preserve">Where no </w:t>
      </w:r>
      <w:proofErr w:type="spellStart"/>
      <w:r w:rsidRPr="008833CE">
        <w:rPr>
          <w:rFonts w:ascii="Calibri" w:eastAsia="MS Mincho" w:hAnsi="Calibri" w:cs="Arial"/>
          <w:b w:val="0"/>
          <w:bCs w:val="0"/>
          <w:color w:val="auto"/>
        </w:rPr>
        <w:t>hospitalisations</w:t>
      </w:r>
      <w:proofErr w:type="spellEnd"/>
      <w:r w:rsidRPr="008833CE">
        <w:rPr>
          <w:rFonts w:ascii="Calibri" w:eastAsia="MS Mincho" w:hAnsi="Calibri" w:cs="Arial"/>
          <w:b w:val="0"/>
          <w:bCs w:val="0"/>
          <w:color w:val="auto"/>
        </w:rPr>
        <w:t xml:space="preserve"> were observed, the </w:t>
      </w:r>
      <w:proofErr w:type="spellStart"/>
      <w:r w:rsidRPr="008833CE">
        <w:rPr>
          <w:rFonts w:ascii="Calibri" w:eastAsia="MS Mincho" w:hAnsi="Calibri" w:cs="Arial"/>
          <w:b w:val="0"/>
          <w:bCs w:val="0"/>
          <w:color w:val="auto"/>
        </w:rPr>
        <w:t>hospitalised</w:t>
      </w:r>
      <w:proofErr w:type="spellEnd"/>
      <w:r w:rsidRPr="008833CE">
        <w:rPr>
          <w:rFonts w:ascii="Calibri" w:eastAsia="MS Mincho" w:hAnsi="Calibri" w:cs="Arial"/>
          <w:b w:val="0"/>
          <w:bCs w:val="0"/>
          <w:color w:val="auto"/>
        </w:rPr>
        <w:t xml:space="preserve"> percentage was calculated assuming the next case observed would have been </w:t>
      </w:r>
      <w:proofErr w:type="spellStart"/>
      <w:r w:rsidRPr="008833CE">
        <w:rPr>
          <w:rFonts w:ascii="Calibri" w:eastAsia="MS Mincho" w:hAnsi="Calibri" w:cs="Arial"/>
          <w:b w:val="0"/>
          <w:bCs w:val="0"/>
          <w:color w:val="auto"/>
        </w:rPr>
        <w:t>hospitalised</w:t>
      </w:r>
      <w:proofErr w:type="spellEnd"/>
      <w:r w:rsidRPr="008833CE">
        <w:rPr>
          <w:rFonts w:ascii="Calibri" w:eastAsia="MS Mincho" w:hAnsi="Calibri" w:cs="Arial"/>
          <w:b w:val="0"/>
          <w:bCs w:val="0"/>
          <w:color w:val="auto"/>
        </w:rPr>
        <w:t xml:space="preserve"> (see Technical Appendix)</w:t>
      </w:r>
    </w:p>
    <w:p w14:paraId="04AF664B" w14:textId="70063975" w:rsidR="002864D8" w:rsidRPr="00527564" w:rsidRDefault="00006BC0" w:rsidP="00546FCD">
      <w:pPr>
        <w:pStyle w:val="Heading3"/>
        <w:numPr>
          <w:ilvl w:val="0"/>
          <w:numId w:val="0"/>
        </w:numPr>
        <w:spacing w:line="360" w:lineRule="auto"/>
        <w:rPr>
          <w:rFonts w:asciiTheme="minorHAnsi" w:hAnsiTheme="minorHAnsi"/>
          <w:color w:val="auto"/>
        </w:rPr>
      </w:pPr>
      <w:r w:rsidRPr="00527564">
        <w:rPr>
          <w:rFonts w:asciiTheme="minorHAnsi" w:hAnsiTheme="minorHAnsi"/>
          <w:color w:val="auto"/>
        </w:rPr>
        <w:lastRenderedPageBreak/>
        <w:t>C</w:t>
      </w:r>
      <w:r w:rsidR="00C85A1D" w:rsidRPr="00527564">
        <w:rPr>
          <w:rFonts w:asciiTheme="minorHAnsi" w:hAnsiTheme="minorHAnsi"/>
          <w:color w:val="auto"/>
        </w:rPr>
        <w:t>ases</w:t>
      </w:r>
      <w:r w:rsidRPr="00527564">
        <w:rPr>
          <w:rFonts w:asciiTheme="minorHAnsi" w:hAnsiTheme="minorHAnsi"/>
          <w:color w:val="auto"/>
        </w:rPr>
        <w:t xml:space="preserve">, GP </w:t>
      </w:r>
      <w:r w:rsidR="00C85A1D" w:rsidRPr="00527564">
        <w:rPr>
          <w:rFonts w:asciiTheme="minorHAnsi" w:hAnsiTheme="minorHAnsi"/>
          <w:color w:val="auto"/>
        </w:rPr>
        <w:t xml:space="preserve">consultations and hospital admissions attributable to foodborne transmission </w:t>
      </w:r>
      <w:r w:rsidRPr="00527564">
        <w:rPr>
          <w:rFonts w:asciiTheme="minorHAnsi" w:hAnsiTheme="minorHAnsi"/>
          <w:color w:val="auto"/>
        </w:rPr>
        <w:t>(M</w:t>
      </w:r>
      <w:r w:rsidR="00C85A1D" w:rsidRPr="00527564">
        <w:rPr>
          <w:rFonts w:asciiTheme="minorHAnsi" w:hAnsiTheme="minorHAnsi"/>
          <w:color w:val="auto"/>
        </w:rPr>
        <w:t>odel</w:t>
      </w:r>
      <w:r w:rsidRPr="00527564">
        <w:rPr>
          <w:rFonts w:asciiTheme="minorHAnsi" w:hAnsiTheme="minorHAnsi"/>
          <w:color w:val="auto"/>
        </w:rPr>
        <w:t xml:space="preserve"> 1)</w:t>
      </w:r>
    </w:p>
    <w:p w14:paraId="57F3FB46" w14:textId="77777777" w:rsidR="002864D8" w:rsidRDefault="00006BC0" w:rsidP="00546FCD">
      <w:pPr>
        <w:spacing w:after="0" w:line="360" w:lineRule="auto"/>
      </w:pPr>
      <w:r w:rsidRPr="00043121">
        <w:rPr>
          <w:rFonts w:cs="Arial"/>
        </w:rPr>
        <w:t xml:space="preserve">Table </w:t>
      </w:r>
      <w:r w:rsidR="00E667AF">
        <w:rPr>
          <w:rFonts w:cs="Arial"/>
        </w:rPr>
        <w:t>3</w:t>
      </w:r>
      <w:r w:rsidR="00A64E15" w:rsidRPr="00043121">
        <w:rPr>
          <w:rFonts w:cs="Arial"/>
        </w:rPr>
        <w:t xml:space="preserve"> </w:t>
      </w:r>
      <w:r w:rsidRPr="00043121">
        <w:rPr>
          <w:rFonts w:cs="Arial"/>
        </w:rPr>
        <w:t xml:space="preserve">presents estimates of food-related cases, GP consultations and hospital admissions in 2009 from 100,000 Monte Carlo simulations. </w:t>
      </w:r>
      <w:r w:rsidRPr="00043121">
        <w:rPr>
          <w:rFonts w:cs="Arial"/>
          <w:i/>
        </w:rPr>
        <w:t>Campylobacter</w:t>
      </w:r>
      <w:r w:rsidRPr="00043121">
        <w:rPr>
          <w:rFonts w:cs="Arial"/>
        </w:rPr>
        <w:t xml:space="preserve"> was the most common foodborne pathogen, accounting for 286,000 food-related cases</w:t>
      </w:r>
      <w:r w:rsidR="004149DC">
        <w:rPr>
          <w:rFonts w:cs="Arial"/>
        </w:rPr>
        <w:t xml:space="preserve"> (95% </w:t>
      </w:r>
      <w:proofErr w:type="spellStart"/>
      <w:r w:rsidR="004149DC">
        <w:rPr>
          <w:rFonts w:cs="Arial"/>
        </w:rPr>
        <w:t>CrI</w:t>
      </w:r>
      <w:proofErr w:type="spellEnd"/>
      <w:r w:rsidR="004149DC">
        <w:rPr>
          <w:rFonts w:cs="Arial"/>
        </w:rPr>
        <w:t xml:space="preserve">: </w:t>
      </w:r>
      <w:r w:rsidR="00250FC4">
        <w:rPr>
          <w:rFonts w:cs="Arial"/>
        </w:rPr>
        <w:t>131,105 – 532,400</w:t>
      </w:r>
      <w:r w:rsidR="004149DC">
        <w:rPr>
          <w:rFonts w:cs="Arial"/>
        </w:rPr>
        <w:t>)</w:t>
      </w:r>
      <w:r w:rsidRPr="00043121">
        <w:rPr>
          <w:rFonts w:cs="Arial"/>
        </w:rPr>
        <w:t xml:space="preserve"> and </w:t>
      </w:r>
      <w:r w:rsidR="0046754E">
        <w:rPr>
          <w:rFonts w:cs="Arial"/>
        </w:rPr>
        <w:t>39,750</w:t>
      </w:r>
      <w:r w:rsidRPr="00043121">
        <w:rPr>
          <w:rFonts w:cs="Arial"/>
        </w:rPr>
        <w:t xml:space="preserve"> GP consultations</w:t>
      </w:r>
      <w:r w:rsidR="004149DC">
        <w:rPr>
          <w:rFonts w:cs="Arial"/>
        </w:rPr>
        <w:t xml:space="preserve"> (95% </w:t>
      </w:r>
      <w:proofErr w:type="spellStart"/>
      <w:r w:rsidR="004149DC">
        <w:rPr>
          <w:rFonts w:cs="Arial"/>
        </w:rPr>
        <w:t>CrI</w:t>
      </w:r>
      <w:proofErr w:type="spellEnd"/>
      <w:r w:rsidR="004149DC">
        <w:rPr>
          <w:rFonts w:cs="Arial"/>
        </w:rPr>
        <w:t xml:space="preserve">: </w:t>
      </w:r>
      <w:r w:rsidR="00250FC4">
        <w:rPr>
          <w:rFonts w:cs="Arial"/>
        </w:rPr>
        <w:t>18,890 – 69,540</w:t>
      </w:r>
      <w:r w:rsidR="004149DC">
        <w:rPr>
          <w:rFonts w:cs="Arial"/>
        </w:rPr>
        <w:t>)</w:t>
      </w:r>
      <w:r w:rsidRPr="00043121">
        <w:rPr>
          <w:rFonts w:cs="Arial"/>
        </w:rPr>
        <w:t xml:space="preserve">, but ranked </w:t>
      </w:r>
      <w:r w:rsidR="0046754E">
        <w:rPr>
          <w:rFonts w:cs="Arial"/>
        </w:rPr>
        <w:t>third</w:t>
      </w:r>
      <w:r w:rsidR="0046754E" w:rsidRPr="00043121">
        <w:rPr>
          <w:rFonts w:cs="Arial"/>
        </w:rPr>
        <w:t xml:space="preserve"> </w:t>
      </w:r>
      <w:r w:rsidRPr="00043121">
        <w:rPr>
          <w:rFonts w:cs="Arial"/>
        </w:rPr>
        <w:t>as a cause of food-related hospital admissions</w:t>
      </w:r>
      <w:r w:rsidR="0046754E">
        <w:rPr>
          <w:rFonts w:cs="Arial"/>
        </w:rPr>
        <w:t xml:space="preserve"> (1,376 admissions) behind </w:t>
      </w:r>
      <w:r w:rsidR="0046754E" w:rsidRPr="00BC38B5">
        <w:rPr>
          <w:rFonts w:cs="Arial"/>
          <w:i/>
        </w:rPr>
        <w:t>Salmonella</w:t>
      </w:r>
      <w:r w:rsidR="0046754E">
        <w:rPr>
          <w:rFonts w:cs="Arial"/>
        </w:rPr>
        <w:t xml:space="preserve"> (2,536 admissions) and </w:t>
      </w:r>
      <w:r w:rsidR="0046754E" w:rsidRPr="00BC38B5">
        <w:rPr>
          <w:rFonts w:cs="Arial"/>
          <w:i/>
        </w:rPr>
        <w:t>E. coli</w:t>
      </w:r>
      <w:r w:rsidR="0046754E">
        <w:rPr>
          <w:rFonts w:cs="Arial"/>
        </w:rPr>
        <w:t xml:space="preserve"> O157 (2,141 admissions)</w:t>
      </w:r>
      <w:r w:rsidRPr="00043121">
        <w:rPr>
          <w:rFonts w:cs="Arial"/>
        </w:rPr>
        <w:t xml:space="preserve">. </w:t>
      </w:r>
      <w:r w:rsidR="00A918E8">
        <w:rPr>
          <w:rFonts w:cs="Arial"/>
        </w:rPr>
        <w:t>Foodborne n</w:t>
      </w:r>
      <w:r w:rsidR="0046754E">
        <w:rPr>
          <w:rFonts w:cs="Arial"/>
        </w:rPr>
        <w:t xml:space="preserve">orovirus accounted for 3,240 GP consultations (95% </w:t>
      </w:r>
      <w:proofErr w:type="spellStart"/>
      <w:r w:rsidR="0046754E">
        <w:rPr>
          <w:rFonts w:cs="Arial"/>
        </w:rPr>
        <w:t>CrI</w:t>
      </w:r>
      <w:proofErr w:type="spellEnd"/>
      <w:r w:rsidR="0046754E">
        <w:rPr>
          <w:rFonts w:cs="Arial"/>
        </w:rPr>
        <w:t>: 1,985 – 5,162)</w:t>
      </w:r>
      <w:r w:rsidR="0046754E" w:rsidRPr="00043121">
        <w:rPr>
          <w:rFonts w:cs="Arial"/>
        </w:rPr>
        <w:t>,</w:t>
      </w:r>
      <w:r w:rsidR="0046754E">
        <w:rPr>
          <w:rFonts w:cs="Arial"/>
        </w:rPr>
        <w:t xml:space="preserve"> but fewer than 500 </w:t>
      </w:r>
      <w:r w:rsidR="00A918E8">
        <w:rPr>
          <w:rFonts w:cs="Arial"/>
        </w:rPr>
        <w:t xml:space="preserve">hospital </w:t>
      </w:r>
      <w:r w:rsidR="0046754E">
        <w:rPr>
          <w:rFonts w:cs="Arial"/>
        </w:rPr>
        <w:t>admissions.</w:t>
      </w:r>
      <w:r w:rsidR="00A918E8">
        <w:rPr>
          <w:rFonts w:cs="Arial"/>
        </w:rPr>
        <w:t xml:space="preserve"> </w:t>
      </w:r>
      <w:r w:rsidRPr="00043121">
        <w:rPr>
          <w:rFonts w:cs="Arial"/>
        </w:rPr>
        <w:t xml:space="preserve">Similarly, other pathogens such as </w:t>
      </w:r>
      <w:r w:rsidRPr="00043121">
        <w:rPr>
          <w:rFonts w:cs="Arial"/>
          <w:i/>
        </w:rPr>
        <w:t xml:space="preserve">C. </w:t>
      </w:r>
      <w:proofErr w:type="spellStart"/>
      <w:r w:rsidRPr="00043121">
        <w:rPr>
          <w:rFonts w:cs="Arial"/>
          <w:i/>
        </w:rPr>
        <w:t>perfringens</w:t>
      </w:r>
      <w:proofErr w:type="spellEnd"/>
      <w:r w:rsidRPr="00043121">
        <w:rPr>
          <w:rFonts w:cs="Arial"/>
        </w:rPr>
        <w:t xml:space="preserve"> and a number of the viruses, while contributing large numbers of cases and GP consultations, were responsible for a modest number of food-related hospital admissions. It should be noted, however, that there was a large degree of uncertainty around these estimates, as demonstrated by the wide 95% credible intervals.</w:t>
      </w:r>
      <w:r w:rsidR="005642E9" w:rsidRPr="00043121">
        <w:t xml:space="preserve"> </w:t>
      </w:r>
    </w:p>
    <w:p w14:paraId="408878D1" w14:textId="77777777" w:rsidR="004A3858" w:rsidRDefault="004A3858" w:rsidP="00546FCD">
      <w:pPr>
        <w:spacing w:after="0" w:line="360" w:lineRule="auto"/>
        <w:sectPr w:rsidR="004A3858" w:rsidSect="005E7E19">
          <w:pgSz w:w="11906" w:h="16838"/>
          <w:pgMar w:top="1440" w:right="1440" w:bottom="1440" w:left="1440" w:header="708" w:footer="708" w:gutter="0"/>
          <w:cols w:space="708"/>
          <w:docGrid w:linePitch="360"/>
        </w:sectPr>
      </w:pPr>
    </w:p>
    <w:p w14:paraId="1BB996AB" w14:textId="77777777" w:rsidR="004A3858" w:rsidRPr="004A3858" w:rsidRDefault="004A3858" w:rsidP="004A3858">
      <w:pPr>
        <w:spacing w:line="360" w:lineRule="auto"/>
        <w:rPr>
          <w:rFonts w:ascii="Calibri" w:eastAsia="MS Mincho" w:hAnsi="Calibri" w:cs="Arial"/>
          <w:b/>
          <w:bCs/>
        </w:rPr>
      </w:pPr>
      <w:r w:rsidRPr="004A3858">
        <w:rPr>
          <w:rFonts w:ascii="Calibri" w:eastAsia="MS Mincho" w:hAnsi="Calibri" w:cs="Arial"/>
          <w:b/>
          <w:bCs/>
        </w:rPr>
        <w:lastRenderedPageBreak/>
        <w:t xml:space="preserve">Table 3: Estimates of food-related cases, GP consultations and </w:t>
      </w:r>
      <w:proofErr w:type="spellStart"/>
      <w:r w:rsidRPr="004A3858">
        <w:rPr>
          <w:rFonts w:ascii="Calibri" w:eastAsia="MS Mincho" w:hAnsi="Calibri" w:cs="Arial"/>
          <w:b/>
          <w:bCs/>
        </w:rPr>
        <w:t>hospitalisations</w:t>
      </w:r>
      <w:proofErr w:type="spellEnd"/>
      <w:r w:rsidRPr="004A3858">
        <w:rPr>
          <w:rFonts w:ascii="Calibri" w:eastAsia="MS Mincho" w:hAnsi="Calibri" w:cs="Arial"/>
          <w:b/>
          <w:bCs/>
        </w:rPr>
        <w:t xml:space="preserve"> by pathogen, UK 2009 (Model 1)</w:t>
      </w:r>
    </w:p>
    <w:tbl>
      <w:tblPr>
        <w:tblW w:w="1159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9"/>
        <w:gridCol w:w="882"/>
        <w:gridCol w:w="1736"/>
        <w:gridCol w:w="236"/>
        <w:gridCol w:w="1680"/>
        <w:gridCol w:w="1554"/>
        <w:gridCol w:w="287"/>
        <w:gridCol w:w="2000"/>
        <w:gridCol w:w="1463"/>
      </w:tblGrid>
      <w:tr w:rsidR="004A3858" w:rsidRPr="004A3858" w14:paraId="705A2CDB" w14:textId="77777777" w:rsidTr="005453FE">
        <w:trPr>
          <w:trHeight w:hRule="exact" w:val="289"/>
          <w:jc w:val="center"/>
        </w:trPr>
        <w:tc>
          <w:tcPr>
            <w:tcW w:w="1759" w:type="dxa"/>
            <w:tcBorders>
              <w:top w:val="single" w:sz="4" w:space="0" w:color="auto"/>
              <w:bottom w:val="single" w:sz="4" w:space="0" w:color="auto"/>
            </w:tcBorders>
            <w:shd w:val="clear" w:color="auto" w:fill="BFBFBF" w:themeFill="background1" w:themeFillShade="BF"/>
            <w:noWrap/>
            <w:vAlign w:val="center"/>
            <w:hideMark/>
          </w:tcPr>
          <w:p w14:paraId="39D5EB00" w14:textId="77777777" w:rsidR="004A3858" w:rsidRPr="004A3858" w:rsidRDefault="004A3858" w:rsidP="004A3858">
            <w:pPr>
              <w:rPr>
                <w:rFonts w:ascii="Calibri" w:eastAsia="Times New Roman" w:hAnsi="Calibri" w:cs="Calibri"/>
                <w:b/>
                <w:color w:val="000000"/>
                <w:sz w:val="20"/>
                <w:szCs w:val="20"/>
              </w:rPr>
            </w:pPr>
            <w:r w:rsidRPr="004A3858">
              <w:rPr>
                <w:rFonts w:ascii="Calibri" w:eastAsia="Times New Roman" w:hAnsi="Calibri" w:cs="Calibri"/>
                <w:b/>
                <w:color w:val="000000"/>
                <w:sz w:val="20"/>
                <w:szCs w:val="20"/>
              </w:rPr>
              <w:t>Organism</w:t>
            </w:r>
          </w:p>
        </w:tc>
        <w:tc>
          <w:tcPr>
            <w:tcW w:w="882" w:type="dxa"/>
            <w:tcBorders>
              <w:top w:val="single" w:sz="4" w:space="0" w:color="auto"/>
              <w:bottom w:val="single" w:sz="4" w:space="0" w:color="auto"/>
            </w:tcBorders>
            <w:shd w:val="clear" w:color="auto" w:fill="BFBFBF" w:themeFill="background1" w:themeFillShade="BF"/>
            <w:noWrap/>
            <w:vAlign w:val="center"/>
            <w:hideMark/>
          </w:tcPr>
          <w:p w14:paraId="5EA52069" w14:textId="77777777" w:rsidR="004A3858" w:rsidRPr="004A3858" w:rsidRDefault="004A3858" w:rsidP="004A3858">
            <w:pPr>
              <w:jc w:val="center"/>
              <w:rPr>
                <w:rFonts w:ascii="Calibri" w:eastAsia="Times New Roman" w:hAnsi="Calibri" w:cs="Calibri"/>
                <w:b/>
                <w:color w:val="000000"/>
                <w:sz w:val="20"/>
                <w:szCs w:val="20"/>
              </w:rPr>
            </w:pPr>
            <w:r w:rsidRPr="004A3858">
              <w:rPr>
                <w:rFonts w:ascii="Calibri" w:eastAsia="Times New Roman" w:hAnsi="Calibri" w:cs="Calibri"/>
                <w:b/>
                <w:color w:val="000000"/>
                <w:sz w:val="20"/>
                <w:szCs w:val="20"/>
              </w:rPr>
              <w:t>Cases</w:t>
            </w:r>
          </w:p>
        </w:tc>
        <w:tc>
          <w:tcPr>
            <w:tcW w:w="1736" w:type="dxa"/>
            <w:tcBorders>
              <w:top w:val="single" w:sz="4" w:space="0" w:color="auto"/>
              <w:bottom w:val="single" w:sz="4" w:space="0" w:color="auto"/>
            </w:tcBorders>
            <w:shd w:val="clear" w:color="auto" w:fill="BFBFBF" w:themeFill="background1" w:themeFillShade="BF"/>
            <w:noWrap/>
            <w:vAlign w:val="center"/>
            <w:hideMark/>
          </w:tcPr>
          <w:p w14:paraId="7FD94BEF" w14:textId="77777777" w:rsidR="004A3858" w:rsidRPr="004A3858" w:rsidRDefault="004A3858" w:rsidP="004A3858">
            <w:pPr>
              <w:jc w:val="center"/>
              <w:rPr>
                <w:rFonts w:ascii="Calibri" w:eastAsia="Times New Roman" w:hAnsi="Calibri" w:cs="Calibri"/>
                <w:b/>
                <w:color w:val="000000"/>
                <w:sz w:val="18"/>
                <w:szCs w:val="20"/>
              </w:rPr>
            </w:pPr>
            <w:r w:rsidRPr="004A3858">
              <w:rPr>
                <w:rFonts w:ascii="Calibri" w:eastAsia="Times New Roman" w:hAnsi="Calibri" w:cs="Calibri"/>
                <w:b/>
                <w:color w:val="000000"/>
                <w:sz w:val="18"/>
                <w:szCs w:val="20"/>
              </w:rPr>
              <w:t xml:space="preserve">(95% </w:t>
            </w:r>
            <w:proofErr w:type="spellStart"/>
            <w:r w:rsidRPr="004A3858">
              <w:rPr>
                <w:rFonts w:ascii="Calibri" w:eastAsia="Times New Roman" w:hAnsi="Calibri" w:cs="Calibri"/>
                <w:b/>
                <w:color w:val="000000"/>
                <w:sz w:val="18"/>
                <w:szCs w:val="20"/>
              </w:rPr>
              <w:t>CrI</w:t>
            </w:r>
            <w:proofErr w:type="spellEnd"/>
            <w:r w:rsidRPr="004A3858">
              <w:rPr>
                <w:rFonts w:ascii="Calibri" w:eastAsia="Times New Roman" w:hAnsi="Calibri" w:cs="Calibri"/>
                <w:b/>
                <w:color w:val="000000"/>
                <w:sz w:val="18"/>
                <w:szCs w:val="20"/>
              </w:rPr>
              <w:t>)</w:t>
            </w:r>
          </w:p>
        </w:tc>
        <w:tc>
          <w:tcPr>
            <w:tcW w:w="236" w:type="dxa"/>
            <w:tcBorders>
              <w:top w:val="single" w:sz="4" w:space="0" w:color="auto"/>
              <w:bottom w:val="single" w:sz="4" w:space="0" w:color="auto"/>
            </w:tcBorders>
            <w:shd w:val="clear" w:color="auto" w:fill="BFBFBF" w:themeFill="background1" w:themeFillShade="BF"/>
            <w:noWrap/>
            <w:vAlign w:val="center"/>
            <w:hideMark/>
          </w:tcPr>
          <w:p w14:paraId="4E431053" w14:textId="77777777" w:rsidR="004A3858" w:rsidRPr="004A3858" w:rsidRDefault="004A3858" w:rsidP="004A3858">
            <w:pPr>
              <w:jc w:val="center"/>
              <w:rPr>
                <w:rFonts w:ascii="Calibri" w:eastAsia="Times New Roman" w:hAnsi="Calibri" w:cs="Calibri"/>
                <w:b/>
                <w:color w:val="000000"/>
                <w:sz w:val="20"/>
                <w:szCs w:val="20"/>
              </w:rPr>
            </w:pPr>
          </w:p>
        </w:tc>
        <w:tc>
          <w:tcPr>
            <w:tcW w:w="1680" w:type="dxa"/>
            <w:tcBorders>
              <w:top w:val="single" w:sz="4" w:space="0" w:color="auto"/>
              <w:bottom w:val="single" w:sz="4" w:space="0" w:color="auto"/>
            </w:tcBorders>
            <w:shd w:val="clear" w:color="auto" w:fill="BFBFBF" w:themeFill="background1" w:themeFillShade="BF"/>
            <w:noWrap/>
            <w:vAlign w:val="center"/>
            <w:hideMark/>
          </w:tcPr>
          <w:p w14:paraId="7DD62DC5" w14:textId="77777777" w:rsidR="004A3858" w:rsidRPr="004A3858" w:rsidRDefault="004A3858" w:rsidP="004A3858">
            <w:pPr>
              <w:jc w:val="center"/>
              <w:rPr>
                <w:rFonts w:ascii="Calibri" w:eastAsia="Times New Roman" w:hAnsi="Calibri" w:cs="Calibri"/>
                <w:b/>
                <w:color w:val="000000"/>
                <w:sz w:val="20"/>
                <w:szCs w:val="20"/>
              </w:rPr>
            </w:pPr>
            <w:r w:rsidRPr="004A3858">
              <w:rPr>
                <w:rFonts w:ascii="Calibri" w:eastAsia="Times New Roman" w:hAnsi="Calibri" w:cs="Calibri"/>
                <w:b/>
                <w:color w:val="000000"/>
                <w:sz w:val="20"/>
                <w:szCs w:val="20"/>
              </w:rPr>
              <w:t>GP consultations</w:t>
            </w:r>
          </w:p>
        </w:tc>
        <w:tc>
          <w:tcPr>
            <w:tcW w:w="1554" w:type="dxa"/>
            <w:tcBorders>
              <w:top w:val="single" w:sz="4" w:space="0" w:color="auto"/>
              <w:bottom w:val="single" w:sz="4" w:space="0" w:color="auto"/>
            </w:tcBorders>
            <w:shd w:val="clear" w:color="auto" w:fill="BFBFBF" w:themeFill="background1" w:themeFillShade="BF"/>
            <w:noWrap/>
            <w:vAlign w:val="center"/>
            <w:hideMark/>
          </w:tcPr>
          <w:p w14:paraId="1CA6D4CE" w14:textId="77777777" w:rsidR="004A3858" w:rsidRPr="004A3858" w:rsidRDefault="004A3858" w:rsidP="004A3858">
            <w:pPr>
              <w:jc w:val="center"/>
              <w:rPr>
                <w:rFonts w:ascii="Calibri" w:eastAsia="Times New Roman" w:hAnsi="Calibri" w:cs="Calibri"/>
                <w:b/>
                <w:color w:val="000000"/>
                <w:sz w:val="18"/>
                <w:szCs w:val="20"/>
              </w:rPr>
            </w:pPr>
            <w:r w:rsidRPr="004A3858">
              <w:rPr>
                <w:rFonts w:ascii="Calibri" w:eastAsia="Times New Roman" w:hAnsi="Calibri" w:cs="Calibri"/>
                <w:b/>
                <w:color w:val="000000"/>
                <w:sz w:val="18"/>
                <w:szCs w:val="20"/>
              </w:rPr>
              <w:t xml:space="preserve">(95% </w:t>
            </w:r>
            <w:proofErr w:type="spellStart"/>
            <w:r w:rsidRPr="004A3858">
              <w:rPr>
                <w:rFonts w:ascii="Calibri" w:eastAsia="Times New Roman" w:hAnsi="Calibri" w:cs="Calibri"/>
                <w:b/>
                <w:color w:val="000000"/>
                <w:sz w:val="18"/>
                <w:szCs w:val="20"/>
              </w:rPr>
              <w:t>CrI</w:t>
            </w:r>
            <w:proofErr w:type="spellEnd"/>
            <w:r w:rsidRPr="004A3858">
              <w:rPr>
                <w:rFonts w:ascii="Calibri" w:eastAsia="Times New Roman" w:hAnsi="Calibri" w:cs="Calibri"/>
                <w:b/>
                <w:color w:val="000000"/>
                <w:sz w:val="18"/>
                <w:szCs w:val="20"/>
              </w:rPr>
              <w:t>)</w:t>
            </w:r>
          </w:p>
        </w:tc>
        <w:tc>
          <w:tcPr>
            <w:tcW w:w="287" w:type="dxa"/>
            <w:tcBorders>
              <w:top w:val="single" w:sz="4" w:space="0" w:color="auto"/>
              <w:bottom w:val="single" w:sz="4" w:space="0" w:color="auto"/>
            </w:tcBorders>
            <w:shd w:val="clear" w:color="auto" w:fill="BFBFBF" w:themeFill="background1" w:themeFillShade="BF"/>
            <w:noWrap/>
            <w:vAlign w:val="center"/>
            <w:hideMark/>
          </w:tcPr>
          <w:p w14:paraId="473EAE97" w14:textId="77777777" w:rsidR="004A3858" w:rsidRPr="004A3858" w:rsidRDefault="004A3858" w:rsidP="004A3858">
            <w:pPr>
              <w:jc w:val="center"/>
              <w:rPr>
                <w:rFonts w:ascii="Calibri" w:eastAsia="Times New Roman" w:hAnsi="Calibri" w:cs="Calibri"/>
                <w:b/>
                <w:color w:val="000000"/>
                <w:sz w:val="20"/>
                <w:szCs w:val="20"/>
              </w:rPr>
            </w:pPr>
          </w:p>
        </w:tc>
        <w:tc>
          <w:tcPr>
            <w:tcW w:w="2000" w:type="dxa"/>
            <w:tcBorders>
              <w:top w:val="single" w:sz="4" w:space="0" w:color="auto"/>
              <w:bottom w:val="single" w:sz="4" w:space="0" w:color="auto"/>
            </w:tcBorders>
            <w:shd w:val="clear" w:color="auto" w:fill="BFBFBF" w:themeFill="background1" w:themeFillShade="BF"/>
            <w:noWrap/>
            <w:vAlign w:val="center"/>
            <w:hideMark/>
          </w:tcPr>
          <w:p w14:paraId="4ABCA2D5" w14:textId="77777777" w:rsidR="004A3858" w:rsidRPr="004A3858" w:rsidRDefault="004A3858" w:rsidP="004A3858">
            <w:pPr>
              <w:jc w:val="center"/>
              <w:rPr>
                <w:rFonts w:ascii="Calibri" w:eastAsia="Times New Roman" w:hAnsi="Calibri" w:cs="Calibri"/>
                <w:b/>
                <w:color w:val="000000"/>
                <w:sz w:val="20"/>
                <w:szCs w:val="20"/>
              </w:rPr>
            </w:pPr>
            <w:r w:rsidRPr="004A3858">
              <w:rPr>
                <w:rFonts w:ascii="Calibri" w:eastAsia="Times New Roman" w:hAnsi="Calibri" w:cs="Calibri"/>
                <w:b/>
                <w:color w:val="000000"/>
                <w:sz w:val="20"/>
                <w:szCs w:val="20"/>
              </w:rPr>
              <w:t>Hospital admissions</w:t>
            </w:r>
          </w:p>
        </w:tc>
        <w:tc>
          <w:tcPr>
            <w:tcW w:w="1463" w:type="dxa"/>
            <w:tcBorders>
              <w:top w:val="single" w:sz="4" w:space="0" w:color="auto"/>
              <w:bottom w:val="single" w:sz="4" w:space="0" w:color="auto"/>
            </w:tcBorders>
            <w:shd w:val="clear" w:color="auto" w:fill="BFBFBF" w:themeFill="background1" w:themeFillShade="BF"/>
            <w:noWrap/>
            <w:vAlign w:val="center"/>
            <w:hideMark/>
          </w:tcPr>
          <w:p w14:paraId="41BFA643" w14:textId="77777777" w:rsidR="004A3858" w:rsidRPr="004A3858" w:rsidRDefault="004A3858" w:rsidP="004A3858">
            <w:pPr>
              <w:jc w:val="center"/>
              <w:rPr>
                <w:rFonts w:ascii="Calibri" w:eastAsia="Times New Roman" w:hAnsi="Calibri" w:cs="Calibri"/>
                <w:b/>
                <w:color w:val="000000"/>
                <w:sz w:val="18"/>
                <w:szCs w:val="20"/>
              </w:rPr>
            </w:pPr>
            <w:r w:rsidRPr="004A3858">
              <w:rPr>
                <w:rFonts w:ascii="Calibri" w:eastAsia="Times New Roman" w:hAnsi="Calibri" w:cs="Calibri"/>
                <w:b/>
                <w:color w:val="000000"/>
                <w:sz w:val="18"/>
                <w:szCs w:val="20"/>
              </w:rPr>
              <w:t xml:space="preserve">(95% </w:t>
            </w:r>
            <w:proofErr w:type="spellStart"/>
            <w:r w:rsidRPr="004A3858">
              <w:rPr>
                <w:rFonts w:ascii="Calibri" w:eastAsia="Times New Roman" w:hAnsi="Calibri" w:cs="Calibri"/>
                <w:b/>
                <w:color w:val="000000"/>
                <w:sz w:val="18"/>
                <w:szCs w:val="20"/>
              </w:rPr>
              <w:t>CrI</w:t>
            </w:r>
            <w:proofErr w:type="spellEnd"/>
            <w:r w:rsidRPr="004A3858">
              <w:rPr>
                <w:rFonts w:ascii="Calibri" w:eastAsia="Times New Roman" w:hAnsi="Calibri" w:cs="Calibri"/>
                <w:b/>
                <w:color w:val="000000"/>
                <w:sz w:val="18"/>
                <w:szCs w:val="20"/>
              </w:rPr>
              <w:t>)</w:t>
            </w:r>
          </w:p>
        </w:tc>
      </w:tr>
      <w:tr w:rsidR="004A3858" w:rsidRPr="004A3858" w14:paraId="75B2C010" w14:textId="77777777" w:rsidTr="005453FE">
        <w:trPr>
          <w:trHeight w:hRule="exact" w:val="289"/>
          <w:jc w:val="center"/>
        </w:trPr>
        <w:tc>
          <w:tcPr>
            <w:tcW w:w="1759" w:type="dxa"/>
            <w:tcBorders>
              <w:top w:val="single" w:sz="4" w:space="0" w:color="auto"/>
              <w:bottom w:val="nil"/>
            </w:tcBorders>
            <w:noWrap/>
            <w:vAlign w:val="center"/>
            <w:hideMark/>
          </w:tcPr>
          <w:p w14:paraId="4E77C990" w14:textId="77777777" w:rsidR="004A3858" w:rsidRPr="004A3858" w:rsidRDefault="004A3858" w:rsidP="004A3858">
            <w:pPr>
              <w:rPr>
                <w:rFonts w:ascii="Calibri" w:eastAsia="Times New Roman" w:hAnsi="Calibri" w:cs="Calibri"/>
                <w:iCs/>
                <w:color w:val="000000"/>
                <w:sz w:val="20"/>
                <w:szCs w:val="20"/>
              </w:rPr>
            </w:pPr>
            <w:r w:rsidRPr="004A3858">
              <w:rPr>
                <w:rFonts w:ascii="Calibri" w:eastAsia="Times New Roman" w:hAnsi="Calibri" w:cs="Calibri"/>
                <w:iCs/>
                <w:color w:val="000000"/>
                <w:sz w:val="20"/>
                <w:szCs w:val="20"/>
              </w:rPr>
              <w:t>Bacteria</w:t>
            </w:r>
          </w:p>
        </w:tc>
        <w:tc>
          <w:tcPr>
            <w:tcW w:w="882" w:type="dxa"/>
            <w:tcBorders>
              <w:top w:val="single" w:sz="4" w:space="0" w:color="auto"/>
              <w:bottom w:val="nil"/>
            </w:tcBorders>
            <w:noWrap/>
            <w:vAlign w:val="center"/>
            <w:hideMark/>
          </w:tcPr>
          <w:p w14:paraId="647C8AD4" w14:textId="77777777" w:rsidR="004A3858" w:rsidRPr="004A3858" w:rsidRDefault="004A3858" w:rsidP="004A3858">
            <w:pPr>
              <w:jc w:val="center"/>
              <w:rPr>
                <w:rFonts w:ascii="Calibri" w:eastAsia="Times New Roman" w:hAnsi="Calibri" w:cs="Calibri"/>
                <w:color w:val="000000"/>
                <w:sz w:val="20"/>
                <w:szCs w:val="20"/>
              </w:rPr>
            </w:pPr>
          </w:p>
        </w:tc>
        <w:tc>
          <w:tcPr>
            <w:tcW w:w="1736" w:type="dxa"/>
            <w:tcBorders>
              <w:top w:val="single" w:sz="4" w:space="0" w:color="auto"/>
              <w:bottom w:val="nil"/>
            </w:tcBorders>
            <w:noWrap/>
            <w:vAlign w:val="center"/>
            <w:hideMark/>
          </w:tcPr>
          <w:p w14:paraId="18E6C7FA" w14:textId="77777777" w:rsidR="004A3858" w:rsidRPr="004A3858" w:rsidRDefault="004A3858" w:rsidP="004A3858">
            <w:pPr>
              <w:jc w:val="center"/>
              <w:rPr>
                <w:rFonts w:ascii="Calibri" w:eastAsia="Times New Roman" w:hAnsi="Calibri" w:cs="Calibri"/>
                <w:color w:val="000000"/>
                <w:sz w:val="18"/>
                <w:szCs w:val="20"/>
              </w:rPr>
            </w:pPr>
          </w:p>
        </w:tc>
        <w:tc>
          <w:tcPr>
            <w:tcW w:w="236" w:type="dxa"/>
            <w:tcBorders>
              <w:top w:val="single" w:sz="4" w:space="0" w:color="auto"/>
              <w:bottom w:val="nil"/>
            </w:tcBorders>
            <w:noWrap/>
            <w:vAlign w:val="center"/>
            <w:hideMark/>
          </w:tcPr>
          <w:p w14:paraId="689276F1" w14:textId="77777777" w:rsidR="004A3858" w:rsidRPr="004A3858" w:rsidRDefault="004A3858" w:rsidP="004A3858">
            <w:pPr>
              <w:jc w:val="center"/>
              <w:rPr>
                <w:rFonts w:ascii="Calibri" w:eastAsia="Times New Roman" w:hAnsi="Calibri" w:cs="Calibri"/>
                <w:color w:val="000000"/>
                <w:sz w:val="20"/>
                <w:szCs w:val="20"/>
              </w:rPr>
            </w:pPr>
          </w:p>
        </w:tc>
        <w:tc>
          <w:tcPr>
            <w:tcW w:w="1680" w:type="dxa"/>
            <w:tcBorders>
              <w:top w:val="single" w:sz="4" w:space="0" w:color="auto"/>
              <w:bottom w:val="nil"/>
            </w:tcBorders>
            <w:noWrap/>
            <w:vAlign w:val="center"/>
            <w:hideMark/>
          </w:tcPr>
          <w:p w14:paraId="55E9F36F" w14:textId="77777777" w:rsidR="004A3858" w:rsidRPr="004A3858" w:rsidRDefault="004A3858" w:rsidP="004A3858">
            <w:pPr>
              <w:jc w:val="center"/>
              <w:rPr>
                <w:rFonts w:ascii="Calibri" w:eastAsia="Times New Roman" w:hAnsi="Calibri" w:cs="Calibri"/>
                <w:color w:val="000000"/>
                <w:sz w:val="20"/>
                <w:szCs w:val="20"/>
              </w:rPr>
            </w:pPr>
          </w:p>
        </w:tc>
        <w:tc>
          <w:tcPr>
            <w:tcW w:w="1554" w:type="dxa"/>
            <w:tcBorders>
              <w:top w:val="single" w:sz="4" w:space="0" w:color="auto"/>
              <w:bottom w:val="nil"/>
            </w:tcBorders>
            <w:noWrap/>
            <w:vAlign w:val="center"/>
            <w:hideMark/>
          </w:tcPr>
          <w:p w14:paraId="0B2CDB25" w14:textId="77777777" w:rsidR="004A3858" w:rsidRPr="004A3858" w:rsidRDefault="004A3858" w:rsidP="004A3858">
            <w:pPr>
              <w:jc w:val="center"/>
              <w:rPr>
                <w:rFonts w:ascii="Calibri" w:eastAsia="Times New Roman" w:hAnsi="Calibri" w:cs="Calibri"/>
                <w:color w:val="000000"/>
                <w:sz w:val="18"/>
                <w:szCs w:val="20"/>
              </w:rPr>
            </w:pPr>
          </w:p>
        </w:tc>
        <w:tc>
          <w:tcPr>
            <w:tcW w:w="287" w:type="dxa"/>
            <w:tcBorders>
              <w:top w:val="single" w:sz="4" w:space="0" w:color="auto"/>
              <w:bottom w:val="nil"/>
            </w:tcBorders>
            <w:noWrap/>
            <w:vAlign w:val="center"/>
            <w:hideMark/>
          </w:tcPr>
          <w:p w14:paraId="52DFCA8B" w14:textId="77777777" w:rsidR="004A3858" w:rsidRPr="004A3858" w:rsidRDefault="004A3858" w:rsidP="004A3858">
            <w:pPr>
              <w:jc w:val="center"/>
              <w:rPr>
                <w:rFonts w:ascii="Calibri" w:eastAsia="Times New Roman" w:hAnsi="Calibri" w:cs="Calibri"/>
                <w:color w:val="000000"/>
                <w:sz w:val="20"/>
                <w:szCs w:val="20"/>
              </w:rPr>
            </w:pPr>
          </w:p>
        </w:tc>
        <w:tc>
          <w:tcPr>
            <w:tcW w:w="2000" w:type="dxa"/>
            <w:tcBorders>
              <w:top w:val="single" w:sz="4" w:space="0" w:color="auto"/>
              <w:bottom w:val="nil"/>
            </w:tcBorders>
            <w:noWrap/>
            <w:vAlign w:val="center"/>
            <w:hideMark/>
          </w:tcPr>
          <w:p w14:paraId="6E6A27DC" w14:textId="77777777" w:rsidR="004A3858" w:rsidRPr="004A3858" w:rsidRDefault="004A3858" w:rsidP="004A3858">
            <w:pPr>
              <w:jc w:val="center"/>
              <w:rPr>
                <w:rFonts w:ascii="Calibri" w:eastAsia="Times New Roman" w:hAnsi="Calibri" w:cs="Calibri"/>
                <w:color w:val="000000"/>
                <w:sz w:val="20"/>
                <w:szCs w:val="20"/>
              </w:rPr>
            </w:pPr>
          </w:p>
        </w:tc>
        <w:tc>
          <w:tcPr>
            <w:tcW w:w="1463" w:type="dxa"/>
            <w:tcBorders>
              <w:top w:val="single" w:sz="4" w:space="0" w:color="auto"/>
              <w:bottom w:val="nil"/>
            </w:tcBorders>
            <w:noWrap/>
            <w:vAlign w:val="center"/>
            <w:hideMark/>
          </w:tcPr>
          <w:p w14:paraId="79881C4D" w14:textId="77777777" w:rsidR="004A3858" w:rsidRPr="004A3858" w:rsidRDefault="004A3858" w:rsidP="004A3858">
            <w:pPr>
              <w:jc w:val="center"/>
              <w:rPr>
                <w:rFonts w:ascii="Calibri" w:eastAsia="Times New Roman" w:hAnsi="Calibri" w:cs="Calibri"/>
                <w:color w:val="000000"/>
                <w:sz w:val="18"/>
                <w:szCs w:val="20"/>
              </w:rPr>
            </w:pPr>
          </w:p>
        </w:tc>
      </w:tr>
      <w:tr w:rsidR="004A3858" w:rsidRPr="004A3858" w14:paraId="0E4A3140" w14:textId="77777777" w:rsidTr="005453FE">
        <w:trPr>
          <w:trHeight w:hRule="exact" w:val="289"/>
          <w:jc w:val="center"/>
        </w:trPr>
        <w:tc>
          <w:tcPr>
            <w:tcW w:w="1759" w:type="dxa"/>
            <w:noWrap/>
            <w:vAlign w:val="center"/>
            <w:hideMark/>
          </w:tcPr>
          <w:p w14:paraId="657F1D05" w14:textId="77777777" w:rsidR="004A3858" w:rsidRPr="004A3858" w:rsidRDefault="004A3858" w:rsidP="004A3858">
            <w:pPr>
              <w:ind w:left="172"/>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 xml:space="preserve">C. </w:t>
            </w:r>
            <w:proofErr w:type="spellStart"/>
            <w:r w:rsidRPr="004A3858">
              <w:rPr>
                <w:rFonts w:ascii="Calibri" w:eastAsia="Times New Roman" w:hAnsi="Calibri" w:cs="Calibri"/>
                <w:i/>
                <w:iCs/>
                <w:color w:val="000000"/>
                <w:sz w:val="20"/>
                <w:szCs w:val="20"/>
              </w:rPr>
              <w:t>perfringens</w:t>
            </w:r>
            <w:proofErr w:type="spellEnd"/>
          </w:p>
        </w:tc>
        <w:tc>
          <w:tcPr>
            <w:tcW w:w="882" w:type="dxa"/>
            <w:noWrap/>
            <w:vAlign w:val="center"/>
            <w:hideMark/>
          </w:tcPr>
          <w:p w14:paraId="588948B8"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79,165</w:t>
            </w:r>
          </w:p>
        </w:tc>
        <w:tc>
          <w:tcPr>
            <w:tcW w:w="1736" w:type="dxa"/>
            <w:noWrap/>
            <w:vAlign w:val="center"/>
            <w:hideMark/>
          </w:tcPr>
          <w:p w14:paraId="25B79702"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(29,310 - 208,688)</w:t>
            </w:r>
          </w:p>
        </w:tc>
        <w:tc>
          <w:tcPr>
            <w:tcW w:w="236" w:type="dxa"/>
            <w:noWrap/>
            <w:vAlign w:val="center"/>
            <w:hideMark/>
          </w:tcPr>
          <w:p w14:paraId="0F28EB3E"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2FD54FE3"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12,610</w:t>
            </w:r>
          </w:p>
        </w:tc>
        <w:tc>
          <w:tcPr>
            <w:tcW w:w="1554" w:type="dxa"/>
            <w:noWrap/>
            <w:vAlign w:val="center"/>
            <w:hideMark/>
          </w:tcPr>
          <w:p w14:paraId="2566914E"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(5,707 - 27,890)</w:t>
            </w:r>
          </w:p>
        </w:tc>
        <w:tc>
          <w:tcPr>
            <w:tcW w:w="287" w:type="dxa"/>
            <w:noWrap/>
            <w:vAlign w:val="center"/>
            <w:hideMark/>
          </w:tcPr>
          <w:p w14:paraId="6AE12F01"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5BD5391D"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165</w:t>
            </w:r>
          </w:p>
        </w:tc>
        <w:tc>
          <w:tcPr>
            <w:tcW w:w="1463" w:type="dxa"/>
            <w:noWrap/>
            <w:vAlign w:val="center"/>
            <w:hideMark/>
          </w:tcPr>
          <w:p w14:paraId="1DFD0233"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(20 - 843)</w:t>
            </w:r>
          </w:p>
        </w:tc>
      </w:tr>
      <w:tr w:rsidR="004A3858" w:rsidRPr="004A3858" w14:paraId="4A579BE2" w14:textId="77777777" w:rsidTr="005453FE">
        <w:trPr>
          <w:trHeight w:hRule="exact" w:val="289"/>
          <w:jc w:val="center"/>
        </w:trPr>
        <w:tc>
          <w:tcPr>
            <w:tcW w:w="1759" w:type="dxa"/>
            <w:noWrap/>
            <w:vAlign w:val="center"/>
            <w:hideMark/>
          </w:tcPr>
          <w:p w14:paraId="4F502C1B" w14:textId="77777777" w:rsidR="004A3858" w:rsidRPr="004A3858" w:rsidRDefault="004A3858" w:rsidP="004A3858">
            <w:pPr>
              <w:ind w:left="172"/>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Campylobacter</w:t>
            </w:r>
          </w:p>
        </w:tc>
        <w:tc>
          <w:tcPr>
            <w:tcW w:w="882" w:type="dxa"/>
            <w:noWrap/>
            <w:vAlign w:val="center"/>
            <w:hideMark/>
          </w:tcPr>
          <w:p w14:paraId="51B8E911"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286,000</w:t>
            </w:r>
          </w:p>
        </w:tc>
        <w:tc>
          <w:tcPr>
            <w:tcW w:w="1736" w:type="dxa"/>
            <w:noWrap/>
            <w:vAlign w:val="center"/>
            <w:hideMark/>
          </w:tcPr>
          <w:p w14:paraId="3DD2022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(131,105 - 532,400)</w:t>
            </w:r>
          </w:p>
        </w:tc>
        <w:tc>
          <w:tcPr>
            <w:tcW w:w="236" w:type="dxa"/>
            <w:noWrap/>
            <w:vAlign w:val="center"/>
            <w:hideMark/>
          </w:tcPr>
          <w:p w14:paraId="3CAA3963"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696857EA"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39,750</w:t>
            </w:r>
          </w:p>
        </w:tc>
        <w:tc>
          <w:tcPr>
            <w:tcW w:w="1554" w:type="dxa"/>
            <w:noWrap/>
            <w:vAlign w:val="center"/>
            <w:hideMark/>
          </w:tcPr>
          <w:p w14:paraId="63019AC0"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(18,890 - 69,540)</w:t>
            </w:r>
          </w:p>
        </w:tc>
        <w:tc>
          <w:tcPr>
            <w:tcW w:w="287" w:type="dxa"/>
            <w:noWrap/>
            <w:vAlign w:val="center"/>
            <w:hideMark/>
          </w:tcPr>
          <w:p w14:paraId="4F9AA36C"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7A7C40BF"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1,376</w:t>
            </w:r>
          </w:p>
        </w:tc>
        <w:tc>
          <w:tcPr>
            <w:tcW w:w="1463" w:type="dxa"/>
            <w:noWrap/>
            <w:vAlign w:val="center"/>
            <w:hideMark/>
          </w:tcPr>
          <w:p w14:paraId="0BCCC96A"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(289 - 4,607)</w:t>
            </w:r>
          </w:p>
        </w:tc>
      </w:tr>
      <w:tr w:rsidR="004A3858" w:rsidRPr="004A3858" w14:paraId="4B1D7F2D" w14:textId="77777777" w:rsidTr="005453FE">
        <w:trPr>
          <w:trHeight w:hRule="exact" w:val="289"/>
          <w:jc w:val="center"/>
        </w:trPr>
        <w:tc>
          <w:tcPr>
            <w:tcW w:w="1759" w:type="dxa"/>
            <w:noWrap/>
            <w:vAlign w:val="center"/>
            <w:hideMark/>
          </w:tcPr>
          <w:p w14:paraId="1E0405AB" w14:textId="77777777" w:rsidR="004A3858" w:rsidRPr="004A3858" w:rsidRDefault="004A3858" w:rsidP="004A3858">
            <w:pPr>
              <w:ind w:left="172"/>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E. coli</w:t>
            </w:r>
            <w:r w:rsidRPr="004A3858">
              <w:rPr>
                <w:rFonts w:ascii="Calibri" w:eastAsia="Times New Roman" w:hAnsi="Calibri" w:cs="Calibri"/>
                <w:color w:val="000000"/>
                <w:sz w:val="20"/>
                <w:szCs w:val="20"/>
              </w:rPr>
              <w:t xml:space="preserve"> O157</w:t>
            </w:r>
          </w:p>
        </w:tc>
        <w:tc>
          <w:tcPr>
            <w:tcW w:w="882" w:type="dxa"/>
            <w:noWrap/>
            <w:vAlign w:val="center"/>
            <w:hideMark/>
          </w:tcPr>
          <w:p w14:paraId="1B5A3F6C"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9,536</w:t>
            </w:r>
          </w:p>
        </w:tc>
        <w:tc>
          <w:tcPr>
            <w:tcW w:w="1736" w:type="dxa"/>
            <w:noWrap/>
            <w:vAlign w:val="center"/>
            <w:hideMark/>
          </w:tcPr>
          <w:p w14:paraId="703FE4F4"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(644 - 146,495)</w:t>
            </w:r>
          </w:p>
        </w:tc>
        <w:tc>
          <w:tcPr>
            <w:tcW w:w="236" w:type="dxa"/>
            <w:noWrap/>
            <w:vAlign w:val="center"/>
            <w:hideMark/>
          </w:tcPr>
          <w:p w14:paraId="5E3F52DC"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3E5AA341"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324</w:t>
            </w:r>
          </w:p>
        </w:tc>
        <w:tc>
          <w:tcPr>
            <w:tcW w:w="1554" w:type="dxa"/>
            <w:noWrap/>
            <w:vAlign w:val="center"/>
            <w:hideMark/>
          </w:tcPr>
          <w:p w14:paraId="3635CC94"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(36 - 2,973)</w:t>
            </w:r>
          </w:p>
        </w:tc>
        <w:tc>
          <w:tcPr>
            <w:tcW w:w="287" w:type="dxa"/>
            <w:noWrap/>
            <w:vAlign w:val="center"/>
            <w:hideMark/>
          </w:tcPr>
          <w:p w14:paraId="48F62D0C"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272AF2B0"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2,141</w:t>
            </w:r>
          </w:p>
        </w:tc>
        <w:tc>
          <w:tcPr>
            <w:tcW w:w="1463" w:type="dxa"/>
            <w:noWrap/>
            <w:vAlign w:val="center"/>
            <w:hideMark/>
          </w:tcPr>
          <w:p w14:paraId="35AD0EC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(143 - 33,237)</w:t>
            </w:r>
          </w:p>
        </w:tc>
      </w:tr>
      <w:tr w:rsidR="004A3858" w:rsidRPr="004A3858" w14:paraId="60F36347" w14:textId="77777777" w:rsidTr="005453FE">
        <w:trPr>
          <w:trHeight w:hRule="exact" w:val="289"/>
          <w:jc w:val="center"/>
        </w:trPr>
        <w:tc>
          <w:tcPr>
            <w:tcW w:w="1759" w:type="dxa"/>
            <w:noWrap/>
            <w:vAlign w:val="center"/>
            <w:hideMark/>
          </w:tcPr>
          <w:p w14:paraId="45A4BDBC" w14:textId="77777777" w:rsidR="004A3858" w:rsidRPr="004A3858" w:rsidRDefault="004A3858" w:rsidP="004A3858">
            <w:pPr>
              <w:ind w:left="172"/>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Listeria</w:t>
            </w:r>
          </w:p>
        </w:tc>
        <w:tc>
          <w:tcPr>
            <w:tcW w:w="882" w:type="dxa"/>
            <w:noWrap/>
            <w:vAlign w:val="center"/>
            <w:hideMark/>
          </w:tcPr>
          <w:p w14:paraId="5C0FADB6"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169</w:t>
            </w:r>
          </w:p>
        </w:tc>
        <w:tc>
          <w:tcPr>
            <w:tcW w:w="1736" w:type="dxa"/>
            <w:noWrap/>
            <w:vAlign w:val="center"/>
            <w:hideMark/>
          </w:tcPr>
          <w:p w14:paraId="608805D8"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(100 – 215)</w:t>
            </w:r>
          </w:p>
        </w:tc>
        <w:tc>
          <w:tcPr>
            <w:tcW w:w="236" w:type="dxa"/>
            <w:noWrap/>
            <w:vAlign w:val="center"/>
            <w:hideMark/>
          </w:tcPr>
          <w:p w14:paraId="5D550A6E"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227E0B6F"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169</w:t>
            </w:r>
          </w:p>
        </w:tc>
        <w:tc>
          <w:tcPr>
            <w:tcW w:w="1554" w:type="dxa"/>
            <w:noWrap/>
            <w:vAlign w:val="center"/>
            <w:hideMark/>
          </w:tcPr>
          <w:p w14:paraId="58896343"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(100 – 215)</w:t>
            </w:r>
          </w:p>
        </w:tc>
        <w:tc>
          <w:tcPr>
            <w:tcW w:w="287" w:type="dxa"/>
            <w:noWrap/>
            <w:vAlign w:val="center"/>
            <w:hideMark/>
          </w:tcPr>
          <w:p w14:paraId="29B1D530"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264C4FBB"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w:t>
            </w:r>
          </w:p>
        </w:tc>
        <w:tc>
          <w:tcPr>
            <w:tcW w:w="1463" w:type="dxa"/>
            <w:noWrap/>
            <w:vAlign w:val="center"/>
            <w:hideMark/>
          </w:tcPr>
          <w:p w14:paraId="589B82BD"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w:t>
            </w:r>
          </w:p>
        </w:tc>
      </w:tr>
      <w:tr w:rsidR="004A3858" w:rsidRPr="004A3858" w14:paraId="08FC781C" w14:textId="77777777" w:rsidTr="005453FE">
        <w:trPr>
          <w:trHeight w:hRule="exact" w:val="289"/>
          <w:jc w:val="center"/>
        </w:trPr>
        <w:tc>
          <w:tcPr>
            <w:tcW w:w="1759" w:type="dxa"/>
            <w:noWrap/>
            <w:vAlign w:val="center"/>
            <w:hideMark/>
          </w:tcPr>
          <w:p w14:paraId="743473BB" w14:textId="77777777" w:rsidR="004A3858" w:rsidRPr="004A3858" w:rsidRDefault="004A3858" w:rsidP="004A3858">
            <w:pPr>
              <w:ind w:left="172"/>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Salmonella</w:t>
            </w:r>
          </w:p>
        </w:tc>
        <w:tc>
          <w:tcPr>
            <w:tcW w:w="882" w:type="dxa"/>
            <w:noWrap/>
            <w:vAlign w:val="center"/>
            <w:hideMark/>
          </w:tcPr>
          <w:p w14:paraId="1B48BE14"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33,640</w:t>
            </w:r>
          </w:p>
        </w:tc>
        <w:tc>
          <w:tcPr>
            <w:tcW w:w="1736" w:type="dxa"/>
            <w:noWrap/>
            <w:vAlign w:val="center"/>
            <w:hideMark/>
          </w:tcPr>
          <w:p w14:paraId="50B0C388"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(8,286 - 135,798)</w:t>
            </w:r>
          </w:p>
        </w:tc>
        <w:tc>
          <w:tcPr>
            <w:tcW w:w="236" w:type="dxa"/>
            <w:noWrap/>
            <w:vAlign w:val="center"/>
            <w:hideMark/>
          </w:tcPr>
          <w:p w14:paraId="284A1013"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3C57704F"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10,030</w:t>
            </w:r>
          </w:p>
        </w:tc>
        <w:tc>
          <w:tcPr>
            <w:tcW w:w="1554" w:type="dxa"/>
            <w:noWrap/>
            <w:vAlign w:val="center"/>
            <w:hideMark/>
          </w:tcPr>
          <w:p w14:paraId="017C6483"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(4,019 - 24,299)</w:t>
            </w:r>
          </w:p>
        </w:tc>
        <w:tc>
          <w:tcPr>
            <w:tcW w:w="287" w:type="dxa"/>
            <w:noWrap/>
            <w:vAlign w:val="center"/>
            <w:hideMark/>
          </w:tcPr>
          <w:p w14:paraId="1C28B8F4"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614C276E"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2,536</w:t>
            </w:r>
          </w:p>
        </w:tc>
        <w:tc>
          <w:tcPr>
            <w:tcW w:w="1463" w:type="dxa"/>
            <w:noWrap/>
            <w:vAlign w:val="center"/>
            <w:hideMark/>
          </w:tcPr>
          <w:p w14:paraId="4191948B"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(608 - 10,400)</w:t>
            </w:r>
          </w:p>
        </w:tc>
      </w:tr>
      <w:tr w:rsidR="004A3858" w:rsidRPr="004A3858" w14:paraId="17B85A63" w14:textId="77777777" w:rsidTr="005453FE">
        <w:trPr>
          <w:trHeight w:hRule="exact" w:val="289"/>
          <w:jc w:val="center"/>
        </w:trPr>
        <w:tc>
          <w:tcPr>
            <w:tcW w:w="1759" w:type="dxa"/>
            <w:noWrap/>
            <w:vAlign w:val="center"/>
            <w:hideMark/>
          </w:tcPr>
          <w:p w14:paraId="589874F4" w14:textId="77777777" w:rsidR="004A3858" w:rsidRPr="004A3858" w:rsidRDefault="004A3858" w:rsidP="004A3858">
            <w:pPr>
              <w:ind w:left="172"/>
              <w:rPr>
                <w:rFonts w:ascii="Calibri" w:eastAsia="Times New Roman" w:hAnsi="Calibri" w:cs="Calibri"/>
                <w:i/>
                <w:iCs/>
                <w:color w:val="000000"/>
                <w:sz w:val="20"/>
                <w:szCs w:val="20"/>
              </w:rPr>
            </w:pPr>
            <w:proofErr w:type="spellStart"/>
            <w:r w:rsidRPr="004A3858">
              <w:rPr>
                <w:rFonts w:ascii="Calibri" w:eastAsia="Times New Roman" w:hAnsi="Calibri" w:cs="Calibri"/>
                <w:i/>
                <w:iCs/>
                <w:color w:val="000000"/>
                <w:sz w:val="20"/>
                <w:szCs w:val="20"/>
              </w:rPr>
              <w:t>Shigella</w:t>
            </w:r>
            <w:proofErr w:type="spellEnd"/>
          </w:p>
        </w:tc>
        <w:tc>
          <w:tcPr>
            <w:tcW w:w="882" w:type="dxa"/>
            <w:noWrap/>
            <w:vAlign w:val="center"/>
            <w:hideMark/>
          </w:tcPr>
          <w:p w14:paraId="6BCBA9FA"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1,274</w:t>
            </w:r>
          </w:p>
        </w:tc>
        <w:tc>
          <w:tcPr>
            <w:tcW w:w="1736" w:type="dxa"/>
            <w:noWrap/>
            <w:vAlign w:val="center"/>
            <w:hideMark/>
          </w:tcPr>
          <w:p w14:paraId="7F44C6E4"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(90 - 11,990)</w:t>
            </w:r>
          </w:p>
        </w:tc>
        <w:tc>
          <w:tcPr>
            <w:tcW w:w="236" w:type="dxa"/>
            <w:noWrap/>
            <w:vAlign w:val="center"/>
            <w:hideMark/>
          </w:tcPr>
          <w:p w14:paraId="0C8F0866"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6641F65D"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684</w:t>
            </w:r>
          </w:p>
        </w:tc>
        <w:tc>
          <w:tcPr>
            <w:tcW w:w="1554" w:type="dxa"/>
            <w:noWrap/>
            <w:vAlign w:val="center"/>
            <w:hideMark/>
          </w:tcPr>
          <w:p w14:paraId="0B95284D"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(84 - 2,145)</w:t>
            </w:r>
          </w:p>
        </w:tc>
        <w:tc>
          <w:tcPr>
            <w:tcW w:w="287" w:type="dxa"/>
            <w:noWrap/>
            <w:vAlign w:val="center"/>
            <w:hideMark/>
          </w:tcPr>
          <w:p w14:paraId="7437D5A1"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1D0B8284"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32</w:t>
            </w:r>
          </w:p>
        </w:tc>
        <w:tc>
          <w:tcPr>
            <w:tcW w:w="1463" w:type="dxa"/>
            <w:noWrap/>
            <w:vAlign w:val="center"/>
            <w:hideMark/>
          </w:tcPr>
          <w:p w14:paraId="5D9AD3B3"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(2 - 378)</w:t>
            </w:r>
          </w:p>
        </w:tc>
      </w:tr>
      <w:tr w:rsidR="004A3858" w:rsidRPr="004A3858" w14:paraId="10DE1761" w14:textId="77777777" w:rsidTr="005453FE">
        <w:trPr>
          <w:trHeight w:hRule="exact" w:val="289"/>
          <w:jc w:val="center"/>
        </w:trPr>
        <w:tc>
          <w:tcPr>
            <w:tcW w:w="1759" w:type="dxa"/>
            <w:noWrap/>
            <w:vAlign w:val="center"/>
            <w:hideMark/>
          </w:tcPr>
          <w:p w14:paraId="16705212" w14:textId="77777777" w:rsidR="004A3858" w:rsidRPr="004A3858" w:rsidRDefault="004A3858" w:rsidP="004A3858">
            <w:pPr>
              <w:rPr>
                <w:rFonts w:ascii="Calibri" w:eastAsia="Times New Roman" w:hAnsi="Calibri" w:cs="Calibri"/>
                <w:iCs/>
                <w:color w:val="000000"/>
                <w:sz w:val="20"/>
                <w:szCs w:val="20"/>
              </w:rPr>
            </w:pPr>
            <w:r w:rsidRPr="004A3858">
              <w:rPr>
                <w:rFonts w:ascii="Calibri" w:eastAsia="Times New Roman" w:hAnsi="Calibri" w:cs="Calibri"/>
                <w:iCs/>
                <w:color w:val="000000"/>
                <w:sz w:val="20"/>
                <w:szCs w:val="20"/>
              </w:rPr>
              <w:t>Protozoa</w:t>
            </w:r>
          </w:p>
        </w:tc>
        <w:tc>
          <w:tcPr>
            <w:tcW w:w="882" w:type="dxa"/>
            <w:noWrap/>
            <w:vAlign w:val="center"/>
            <w:hideMark/>
          </w:tcPr>
          <w:p w14:paraId="6E0948AA" w14:textId="77777777" w:rsidR="004A3858" w:rsidRPr="004A3858" w:rsidRDefault="004A3858" w:rsidP="004A3858">
            <w:pPr>
              <w:jc w:val="center"/>
              <w:rPr>
                <w:rFonts w:ascii="Calibri" w:eastAsia="Times New Roman" w:hAnsi="Calibri" w:cs="Calibri"/>
                <w:color w:val="000000"/>
                <w:sz w:val="20"/>
                <w:szCs w:val="20"/>
              </w:rPr>
            </w:pPr>
          </w:p>
        </w:tc>
        <w:tc>
          <w:tcPr>
            <w:tcW w:w="1736" w:type="dxa"/>
            <w:noWrap/>
            <w:vAlign w:val="center"/>
            <w:hideMark/>
          </w:tcPr>
          <w:p w14:paraId="75359093" w14:textId="77777777" w:rsidR="004A3858" w:rsidRPr="004A3858" w:rsidRDefault="004A3858" w:rsidP="004A3858">
            <w:pPr>
              <w:jc w:val="center"/>
              <w:rPr>
                <w:rFonts w:ascii="Calibri" w:eastAsia="Times New Roman" w:hAnsi="Calibri" w:cs="Calibri"/>
                <w:color w:val="000000"/>
                <w:sz w:val="18"/>
                <w:szCs w:val="20"/>
              </w:rPr>
            </w:pPr>
          </w:p>
        </w:tc>
        <w:tc>
          <w:tcPr>
            <w:tcW w:w="236" w:type="dxa"/>
            <w:noWrap/>
            <w:vAlign w:val="center"/>
            <w:hideMark/>
          </w:tcPr>
          <w:p w14:paraId="22F84A1F"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2A403E56" w14:textId="77777777" w:rsidR="004A3858" w:rsidRPr="004A3858" w:rsidRDefault="004A3858" w:rsidP="004A3858">
            <w:pPr>
              <w:jc w:val="center"/>
              <w:rPr>
                <w:rFonts w:ascii="Calibri" w:eastAsia="Times New Roman" w:hAnsi="Calibri" w:cs="Calibri"/>
                <w:color w:val="000000"/>
                <w:sz w:val="20"/>
                <w:szCs w:val="20"/>
              </w:rPr>
            </w:pPr>
          </w:p>
        </w:tc>
        <w:tc>
          <w:tcPr>
            <w:tcW w:w="1554" w:type="dxa"/>
            <w:noWrap/>
            <w:vAlign w:val="center"/>
            <w:hideMark/>
          </w:tcPr>
          <w:p w14:paraId="7DA4301F" w14:textId="77777777" w:rsidR="004A3858" w:rsidRPr="004A3858" w:rsidRDefault="004A3858" w:rsidP="004A3858">
            <w:pPr>
              <w:jc w:val="center"/>
              <w:rPr>
                <w:rFonts w:ascii="Calibri" w:eastAsia="Times New Roman" w:hAnsi="Calibri" w:cs="Calibri"/>
                <w:color w:val="000000"/>
                <w:sz w:val="18"/>
                <w:szCs w:val="20"/>
              </w:rPr>
            </w:pPr>
          </w:p>
        </w:tc>
        <w:tc>
          <w:tcPr>
            <w:tcW w:w="287" w:type="dxa"/>
            <w:noWrap/>
            <w:vAlign w:val="center"/>
            <w:hideMark/>
          </w:tcPr>
          <w:p w14:paraId="1ED70F06"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3B68131A" w14:textId="77777777" w:rsidR="004A3858" w:rsidRPr="004A3858" w:rsidRDefault="004A3858" w:rsidP="004A3858">
            <w:pPr>
              <w:jc w:val="center"/>
              <w:rPr>
                <w:rFonts w:ascii="Calibri" w:eastAsia="Times New Roman" w:hAnsi="Calibri" w:cs="Calibri"/>
                <w:color w:val="000000"/>
                <w:sz w:val="20"/>
                <w:szCs w:val="20"/>
              </w:rPr>
            </w:pPr>
          </w:p>
        </w:tc>
        <w:tc>
          <w:tcPr>
            <w:tcW w:w="1463" w:type="dxa"/>
            <w:noWrap/>
            <w:vAlign w:val="center"/>
            <w:hideMark/>
          </w:tcPr>
          <w:p w14:paraId="22B18F95" w14:textId="77777777" w:rsidR="004A3858" w:rsidRPr="004A3858" w:rsidRDefault="004A3858" w:rsidP="004A3858">
            <w:pPr>
              <w:jc w:val="center"/>
              <w:rPr>
                <w:rFonts w:ascii="Calibri" w:eastAsia="Times New Roman" w:hAnsi="Calibri" w:cs="Calibri"/>
                <w:color w:val="000000"/>
                <w:sz w:val="18"/>
                <w:szCs w:val="20"/>
              </w:rPr>
            </w:pPr>
          </w:p>
        </w:tc>
      </w:tr>
      <w:tr w:rsidR="004A3858" w:rsidRPr="004A3858" w14:paraId="66103010" w14:textId="77777777" w:rsidTr="005453FE">
        <w:trPr>
          <w:trHeight w:hRule="exact" w:val="289"/>
          <w:jc w:val="center"/>
        </w:trPr>
        <w:tc>
          <w:tcPr>
            <w:tcW w:w="1759" w:type="dxa"/>
            <w:noWrap/>
            <w:vAlign w:val="center"/>
            <w:hideMark/>
          </w:tcPr>
          <w:p w14:paraId="3333AC52" w14:textId="77777777" w:rsidR="004A3858" w:rsidRPr="004A3858" w:rsidRDefault="004A3858" w:rsidP="004A3858">
            <w:pPr>
              <w:ind w:left="200"/>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Cryptosporidium</w:t>
            </w:r>
          </w:p>
        </w:tc>
        <w:tc>
          <w:tcPr>
            <w:tcW w:w="882" w:type="dxa"/>
            <w:noWrap/>
            <w:vAlign w:val="center"/>
            <w:hideMark/>
          </w:tcPr>
          <w:p w14:paraId="60669596"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2,035</w:t>
            </w:r>
          </w:p>
        </w:tc>
        <w:tc>
          <w:tcPr>
            <w:tcW w:w="1736" w:type="dxa"/>
            <w:noWrap/>
            <w:vAlign w:val="center"/>
            <w:hideMark/>
          </w:tcPr>
          <w:p w14:paraId="5A85867D"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(354 - 10,129)</w:t>
            </w:r>
          </w:p>
        </w:tc>
        <w:tc>
          <w:tcPr>
            <w:tcW w:w="236" w:type="dxa"/>
            <w:noWrap/>
            <w:vAlign w:val="center"/>
            <w:hideMark/>
          </w:tcPr>
          <w:p w14:paraId="4F8551EF"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48A52693"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588</w:t>
            </w:r>
          </w:p>
        </w:tc>
        <w:tc>
          <w:tcPr>
            <w:tcW w:w="1554" w:type="dxa"/>
            <w:noWrap/>
            <w:vAlign w:val="center"/>
            <w:hideMark/>
          </w:tcPr>
          <w:p w14:paraId="02C5ACB3"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(140 - 2,010)</w:t>
            </w:r>
          </w:p>
        </w:tc>
        <w:tc>
          <w:tcPr>
            <w:tcW w:w="287" w:type="dxa"/>
            <w:noWrap/>
            <w:vAlign w:val="center"/>
            <w:hideMark/>
          </w:tcPr>
          <w:p w14:paraId="747EF397"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4553DA46"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72</w:t>
            </w:r>
          </w:p>
        </w:tc>
        <w:tc>
          <w:tcPr>
            <w:tcW w:w="1463" w:type="dxa"/>
            <w:noWrap/>
            <w:vAlign w:val="center"/>
            <w:hideMark/>
          </w:tcPr>
          <w:p w14:paraId="3CE987E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(12 - 395)</w:t>
            </w:r>
          </w:p>
        </w:tc>
      </w:tr>
      <w:tr w:rsidR="004A3858" w:rsidRPr="004A3858" w14:paraId="78DE18FA" w14:textId="77777777" w:rsidTr="005453FE">
        <w:trPr>
          <w:trHeight w:hRule="exact" w:val="289"/>
          <w:jc w:val="center"/>
        </w:trPr>
        <w:tc>
          <w:tcPr>
            <w:tcW w:w="1759" w:type="dxa"/>
            <w:noWrap/>
            <w:vAlign w:val="center"/>
            <w:hideMark/>
          </w:tcPr>
          <w:p w14:paraId="1610D305" w14:textId="77777777" w:rsidR="004A3858" w:rsidRPr="004A3858" w:rsidRDefault="004A3858" w:rsidP="004A3858">
            <w:pPr>
              <w:ind w:left="200"/>
              <w:rPr>
                <w:rFonts w:ascii="Calibri" w:eastAsia="Times New Roman" w:hAnsi="Calibri" w:cs="Calibri"/>
                <w:i/>
                <w:iCs/>
                <w:color w:val="000000"/>
                <w:sz w:val="20"/>
                <w:szCs w:val="20"/>
              </w:rPr>
            </w:pPr>
            <w:r w:rsidRPr="004A3858">
              <w:rPr>
                <w:rFonts w:ascii="Calibri" w:eastAsia="Times New Roman" w:hAnsi="Calibri" w:cs="Calibri"/>
                <w:i/>
                <w:iCs/>
                <w:color w:val="000000"/>
                <w:sz w:val="20"/>
                <w:szCs w:val="20"/>
              </w:rPr>
              <w:t>Giardia</w:t>
            </w:r>
          </w:p>
        </w:tc>
        <w:tc>
          <w:tcPr>
            <w:tcW w:w="882" w:type="dxa"/>
            <w:noWrap/>
            <w:vAlign w:val="center"/>
            <w:hideMark/>
          </w:tcPr>
          <w:p w14:paraId="1E7C2E4D"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11,250</w:t>
            </w:r>
          </w:p>
        </w:tc>
        <w:tc>
          <w:tcPr>
            <w:tcW w:w="1736" w:type="dxa"/>
            <w:noWrap/>
            <w:vAlign w:val="center"/>
            <w:hideMark/>
          </w:tcPr>
          <w:p w14:paraId="1D08FE64"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(2,239 - 52,878)</w:t>
            </w:r>
          </w:p>
        </w:tc>
        <w:tc>
          <w:tcPr>
            <w:tcW w:w="236" w:type="dxa"/>
            <w:noWrap/>
            <w:vAlign w:val="center"/>
            <w:hideMark/>
          </w:tcPr>
          <w:p w14:paraId="7D140190"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038CFD35"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1,322</w:t>
            </w:r>
          </w:p>
        </w:tc>
        <w:tc>
          <w:tcPr>
            <w:tcW w:w="1554" w:type="dxa"/>
            <w:noWrap/>
            <w:vAlign w:val="center"/>
            <w:hideMark/>
          </w:tcPr>
          <w:p w14:paraId="52DA9286"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(286 - 4,960)</w:t>
            </w:r>
          </w:p>
        </w:tc>
        <w:tc>
          <w:tcPr>
            <w:tcW w:w="287" w:type="dxa"/>
            <w:noWrap/>
            <w:vAlign w:val="center"/>
            <w:hideMark/>
          </w:tcPr>
          <w:p w14:paraId="26340855"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35305CB4"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88</w:t>
            </w:r>
          </w:p>
        </w:tc>
        <w:tc>
          <w:tcPr>
            <w:tcW w:w="1463" w:type="dxa"/>
            <w:noWrap/>
            <w:vAlign w:val="center"/>
            <w:hideMark/>
          </w:tcPr>
          <w:p w14:paraId="1B61253B"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(17 - 415)</w:t>
            </w:r>
          </w:p>
        </w:tc>
      </w:tr>
      <w:tr w:rsidR="004A3858" w:rsidRPr="004A3858" w14:paraId="1B089133" w14:textId="77777777" w:rsidTr="005453FE">
        <w:trPr>
          <w:trHeight w:hRule="exact" w:val="289"/>
          <w:jc w:val="center"/>
        </w:trPr>
        <w:tc>
          <w:tcPr>
            <w:tcW w:w="1759" w:type="dxa"/>
            <w:noWrap/>
            <w:vAlign w:val="center"/>
            <w:hideMark/>
          </w:tcPr>
          <w:p w14:paraId="7B713922" w14:textId="77777777" w:rsidR="004A3858" w:rsidRPr="004A3858" w:rsidRDefault="004A3858" w:rsidP="004A3858">
            <w:pPr>
              <w:rPr>
                <w:rFonts w:ascii="Calibri" w:eastAsia="Times New Roman" w:hAnsi="Calibri" w:cs="Calibri"/>
                <w:color w:val="000000"/>
                <w:sz w:val="20"/>
                <w:szCs w:val="20"/>
              </w:rPr>
            </w:pPr>
            <w:r w:rsidRPr="004A3858">
              <w:rPr>
                <w:rFonts w:ascii="Calibri" w:eastAsia="Times New Roman" w:hAnsi="Calibri" w:cs="Calibri"/>
                <w:color w:val="000000"/>
                <w:sz w:val="20"/>
                <w:szCs w:val="20"/>
              </w:rPr>
              <w:t>Viruses</w:t>
            </w:r>
          </w:p>
        </w:tc>
        <w:tc>
          <w:tcPr>
            <w:tcW w:w="882" w:type="dxa"/>
            <w:noWrap/>
            <w:vAlign w:val="center"/>
            <w:hideMark/>
          </w:tcPr>
          <w:p w14:paraId="41A9D98B" w14:textId="77777777" w:rsidR="004A3858" w:rsidRPr="004A3858" w:rsidRDefault="004A3858" w:rsidP="004A3858">
            <w:pPr>
              <w:jc w:val="center"/>
              <w:rPr>
                <w:rFonts w:ascii="Calibri" w:eastAsia="Times New Roman" w:hAnsi="Calibri" w:cs="Calibri"/>
                <w:color w:val="000000"/>
                <w:sz w:val="20"/>
                <w:szCs w:val="20"/>
              </w:rPr>
            </w:pPr>
          </w:p>
        </w:tc>
        <w:tc>
          <w:tcPr>
            <w:tcW w:w="1736" w:type="dxa"/>
            <w:noWrap/>
            <w:vAlign w:val="center"/>
            <w:hideMark/>
          </w:tcPr>
          <w:p w14:paraId="2C0B7DA4" w14:textId="77777777" w:rsidR="004A3858" w:rsidRPr="004A3858" w:rsidRDefault="004A3858" w:rsidP="004A3858">
            <w:pPr>
              <w:jc w:val="center"/>
              <w:rPr>
                <w:rFonts w:ascii="Calibri" w:eastAsia="Times New Roman" w:hAnsi="Calibri" w:cs="Calibri"/>
                <w:color w:val="000000"/>
                <w:sz w:val="18"/>
                <w:szCs w:val="20"/>
              </w:rPr>
            </w:pPr>
          </w:p>
        </w:tc>
        <w:tc>
          <w:tcPr>
            <w:tcW w:w="236" w:type="dxa"/>
            <w:noWrap/>
            <w:vAlign w:val="center"/>
            <w:hideMark/>
          </w:tcPr>
          <w:p w14:paraId="4FDFD5BE"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5917B9B5" w14:textId="77777777" w:rsidR="004A3858" w:rsidRPr="004A3858" w:rsidRDefault="004A3858" w:rsidP="004A3858">
            <w:pPr>
              <w:jc w:val="center"/>
              <w:rPr>
                <w:rFonts w:ascii="Calibri" w:eastAsia="Times New Roman" w:hAnsi="Calibri" w:cs="Calibri"/>
                <w:color w:val="000000"/>
                <w:sz w:val="20"/>
                <w:szCs w:val="20"/>
              </w:rPr>
            </w:pPr>
          </w:p>
        </w:tc>
        <w:tc>
          <w:tcPr>
            <w:tcW w:w="1554" w:type="dxa"/>
            <w:noWrap/>
            <w:vAlign w:val="center"/>
            <w:hideMark/>
          </w:tcPr>
          <w:p w14:paraId="7E3C2CDE" w14:textId="77777777" w:rsidR="004A3858" w:rsidRPr="004A3858" w:rsidRDefault="004A3858" w:rsidP="004A3858">
            <w:pPr>
              <w:jc w:val="center"/>
              <w:rPr>
                <w:rFonts w:ascii="Calibri" w:eastAsia="Times New Roman" w:hAnsi="Calibri" w:cs="Calibri"/>
                <w:color w:val="000000"/>
                <w:sz w:val="18"/>
                <w:szCs w:val="20"/>
              </w:rPr>
            </w:pPr>
          </w:p>
        </w:tc>
        <w:tc>
          <w:tcPr>
            <w:tcW w:w="287" w:type="dxa"/>
            <w:noWrap/>
            <w:vAlign w:val="center"/>
            <w:hideMark/>
          </w:tcPr>
          <w:p w14:paraId="659231DD"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348FD6CF" w14:textId="77777777" w:rsidR="004A3858" w:rsidRPr="004A3858" w:rsidRDefault="004A3858" w:rsidP="004A3858">
            <w:pPr>
              <w:jc w:val="center"/>
              <w:rPr>
                <w:rFonts w:ascii="Calibri" w:eastAsia="Times New Roman" w:hAnsi="Calibri" w:cs="Calibri"/>
                <w:color w:val="000000"/>
                <w:sz w:val="20"/>
                <w:szCs w:val="20"/>
              </w:rPr>
            </w:pPr>
          </w:p>
        </w:tc>
        <w:tc>
          <w:tcPr>
            <w:tcW w:w="1463" w:type="dxa"/>
            <w:noWrap/>
            <w:vAlign w:val="center"/>
            <w:hideMark/>
          </w:tcPr>
          <w:p w14:paraId="0D308FC8" w14:textId="77777777" w:rsidR="004A3858" w:rsidRPr="004A3858" w:rsidRDefault="004A3858" w:rsidP="004A3858">
            <w:pPr>
              <w:jc w:val="center"/>
              <w:rPr>
                <w:rFonts w:ascii="Calibri" w:eastAsia="Times New Roman" w:hAnsi="Calibri" w:cs="Calibri"/>
                <w:color w:val="000000"/>
                <w:sz w:val="18"/>
                <w:szCs w:val="20"/>
              </w:rPr>
            </w:pPr>
          </w:p>
        </w:tc>
      </w:tr>
      <w:tr w:rsidR="004A3858" w:rsidRPr="004A3858" w14:paraId="402244EA" w14:textId="77777777" w:rsidTr="005453FE">
        <w:trPr>
          <w:trHeight w:hRule="exact" w:val="289"/>
          <w:jc w:val="center"/>
        </w:trPr>
        <w:tc>
          <w:tcPr>
            <w:tcW w:w="1759" w:type="dxa"/>
            <w:noWrap/>
            <w:vAlign w:val="center"/>
            <w:hideMark/>
          </w:tcPr>
          <w:p w14:paraId="32B70514" w14:textId="77777777" w:rsidR="004A3858" w:rsidRPr="004A3858" w:rsidRDefault="004A3858" w:rsidP="004A3858">
            <w:pPr>
              <w:ind w:left="172"/>
              <w:rPr>
                <w:rFonts w:ascii="Calibri" w:eastAsia="Times New Roman" w:hAnsi="Calibri" w:cs="Calibri"/>
                <w:color w:val="000000"/>
                <w:sz w:val="20"/>
                <w:szCs w:val="20"/>
              </w:rPr>
            </w:pPr>
            <w:r w:rsidRPr="004A3858">
              <w:rPr>
                <w:rFonts w:ascii="Calibri" w:eastAsia="Times New Roman" w:hAnsi="Calibri" w:cs="Calibri"/>
                <w:color w:val="000000"/>
                <w:sz w:val="20"/>
                <w:szCs w:val="20"/>
              </w:rPr>
              <w:t>Adenovirus</w:t>
            </w:r>
          </w:p>
        </w:tc>
        <w:tc>
          <w:tcPr>
            <w:tcW w:w="882" w:type="dxa"/>
            <w:noWrap/>
            <w:vAlign w:val="center"/>
            <w:hideMark/>
          </w:tcPr>
          <w:p w14:paraId="324AA8E8"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11,920</w:t>
            </w:r>
          </w:p>
        </w:tc>
        <w:tc>
          <w:tcPr>
            <w:tcW w:w="1736" w:type="dxa"/>
            <w:noWrap/>
            <w:vAlign w:val="center"/>
            <w:hideMark/>
          </w:tcPr>
          <w:p w14:paraId="753EA18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(3,706 - 28,909)</w:t>
            </w:r>
          </w:p>
        </w:tc>
        <w:tc>
          <w:tcPr>
            <w:tcW w:w="236" w:type="dxa"/>
            <w:noWrap/>
            <w:vAlign w:val="center"/>
            <w:hideMark/>
          </w:tcPr>
          <w:p w14:paraId="7EC86CD2"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6A03A2F5"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987</w:t>
            </w:r>
          </w:p>
        </w:tc>
        <w:tc>
          <w:tcPr>
            <w:tcW w:w="1554" w:type="dxa"/>
            <w:noWrap/>
            <w:vAlign w:val="center"/>
            <w:hideMark/>
          </w:tcPr>
          <w:p w14:paraId="288F75C9"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(293 - 2,536)</w:t>
            </w:r>
          </w:p>
        </w:tc>
        <w:tc>
          <w:tcPr>
            <w:tcW w:w="287" w:type="dxa"/>
            <w:noWrap/>
            <w:vAlign w:val="center"/>
            <w:hideMark/>
          </w:tcPr>
          <w:p w14:paraId="22A65F43"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63A14C81"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191</w:t>
            </w:r>
          </w:p>
        </w:tc>
        <w:tc>
          <w:tcPr>
            <w:tcW w:w="1463" w:type="dxa"/>
            <w:noWrap/>
            <w:vAlign w:val="center"/>
            <w:hideMark/>
          </w:tcPr>
          <w:p w14:paraId="3E00CF6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(51 - 559)</w:t>
            </w:r>
          </w:p>
        </w:tc>
      </w:tr>
      <w:tr w:rsidR="004A3858" w:rsidRPr="004A3858" w14:paraId="41CB6B6F" w14:textId="77777777" w:rsidTr="005453FE">
        <w:trPr>
          <w:trHeight w:hRule="exact" w:val="289"/>
          <w:jc w:val="center"/>
        </w:trPr>
        <w:tc>
          <w:tcPr>
            <w:tcW w:w="1759" w:type="dxa"/>
            <w:noWrap/>
            <w:vAlign w:val="center"/>
            <w:hideMark/>
          </w:tcPr>
          <w:p w14:paraId="7DBAA74F" w14:textId="77777777" w:rsidR="004A3858" w:rsidRPr="004A3858" w:rsidRDefault="004A3858" w:rsidP="004A3858">
            <w:pPr>
              <w:ind w:left="172"/>
              <w:rPr>
                <w:rFonts w:ascii="Calibri" w:eastAsia="Times New Roman" w:hAnsi="Calibri" w:cs="Calibri"/>
                <w:color w:val="000000"/>
                <w:sz w:val="20"/>
                <w:szCs w:val="20"/>
              </w:rPr>
            </w:pPr>
            <w:proofErr w:type="spellStart"/>
            <w:r w:rsidRPr="004A3858">
              <w:rPr>
                <w:rFonts w:ascii="Calibri" w:eastAsia="Times New Roman" w:hAnsi="Calibri" w:cs="Calibri"/>
                <w:color w:val="000000"/>
                <w:sz w:val="20"/>
                <w:szCs w:val="20"/>
              </w:rPr>
              <w:t>Astrovirus</w:t>
            </w:r>
            <w:proofErr w:type="spellEnd"/>
          </w:p>
        </w:tc>
        <w:tc>
          <w:tcPr>
            <w:tcW w:w="882" w:type="dxa"/>
            <w:noWrap/>
            <w:vAlign w:val="center"/>
            <w:hideMark/>
          </w:tcPr>
          <w:p w14:paraId="7CB18DE3"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2,362</w:t>
            </w:r>
          </w:p>
        </w:tc>
        <w:tc>
          <w:tcPr>
            <w:tcW w:w="1736" w:type="dxa"/>
            <w:noWrap/>
            <w:vAlign w:val="center"/>
            <w:hideMark/>
          </w:tcPr>
          <w:p w14:paraId="429D37F9"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(594 - 7,180)</w:t>
            </w:r>
          </w:p>
        </w:tc>
        <w:tc>
          <w:tcPr>
            <w:tcW w:w="236" w:type="dxa"/>
            <w:noWrap/>
            <w:vAlign w:val="center"/>
            <w:hideMark/>
          </w:tcPr>
          <w:p w14:paraId="247924B3"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5681A751"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180</w:t>
            </w:r>
          </w:p>
        </w:tc>
        <w:tc>
          <w:tcPr>
            <w:tcW w:w="1554" w:type="dxa"/>
            <w:noWrap/>
            <w:vAlign w:val="center"/>
            <w:hideMark/>
          </w:tcPr>
          <w:p w14:paraId="46FCA26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(41 - 576)</w:t>
            </w:r>
          </w:p>
        </w:tc>
        <w:tc>
          <w:tcPr>
            <w:tcW w:w="287" w:type="dxa"/>
            <w:noWrap/>
            <w:vAlign w:val="center"/>
            <w:hideMark/>
          </w:tcPr>
          <w:p w14:paraId="64EFD476"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5FB69ACB"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70</w:t>
            </w:r>
          </w:p>
        </w:tc>
        <w:tc>
          <w:tcPr>
            <w:tcW w:w="1463" w:type="dxa"/>
            <w:noWrap/>
            <w:vAlign w:val="center"/>
            <w:hideMark/>
          </w:tcPr>
          <w:p w14:paraId="7B5D351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(15 - 262)</w:t>
            </w:r>
          </w:p>
        </w:tc>
      </w:tr>
      <w:tr w:rsidR="004A3858" w:rsidRPr="004A3858" w14:paraId="7C478644" w14:textId="77777777" w:rsidTr="005453FE">
        <w:trPr>
          <w:trHeight w:hRule="exact" w:val="289"/>
          <w:jc w:val="center"/>
        </w:trPr>
        <w:tc>
          <w:tcPr>
            <w:tcW w:w="1759" w:type="dxa"/>
            <w:noWrap/>
            <w:vAlign w:val="center"/>
            <w:hideMark/>
          </w:tcPr>
          <w:p w14:paraId="33E54955" w14:textId="77777777" w:rsidR="004A3858" w:rsidRPr="004A3858" w:rsidRDefault="004A3858" w:rsidP="004A3858">
            <w:pPr>
              <w:ind w:left="172"/>
              <w:rPr>
                <w:rFonts w:ascii="Calibri" w:eastAsia="Times New Roman" w:hAnsi="Calibri" w:cs="Calibri"/>
                <w:color w:val="000000"/>
                <w:sz w:val="20"/>
                <w:szCs w:val="20"/>
              </w:rPr>
            </w:pPr>
            <w:r w:rsidRPr="004A3858">
              <w:rPr>
                <w:rFonts w:ascii="Calibri" w:eastAsia="Times New Roman" w:hAnsi="Calibri" w:cs="Calibri"/>
                <w:color w:val="000000"/>
                <w:sz w:val="20"/>
                <w:szCs w:val="20"/>
              </w:rPr>
              <w:t>Norovirus</w:t>
            </w:r>
          </w:p>
        </w:tc>
        <w:tc>
          <w:tcPr>
            <w:tcW w:w="882" w:type="dxa"/>
            <w:noWrap/>
            <w:vAlign w:val="center"/>
            <w:hideMark/>
          </w:tcPr>
          <w:p w14:paraId="7E3B0AB5"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73,420</w:t>
            </w:r>
          </w:p>
        </w:tc>
        <w:tc>
          <w:tcPr>
            <w:tcW w:w="1736" w:type="dxa"/>
            <w:noWrap/>
            <w:vAlign w:val="center"/>
            <w:hideMark/>
          </w:tcPr>
          <w:p w14:paraId="3A16B0E0"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(50,320 - 104,000)</w:t>
            </w:r>
          </w:p>
        </w:tc>
        <w:tc>
          <w:tcPr>
            <w:tcW w:w="236" w:type="dxa"/>
            <w:noWrap/>
            <w:vAlign w:val="center"/>
            <w:hideMark/>
          </w:tcPr>
          <w:p w14:paraId="138C433D"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06FC480A"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3,240</w:t>
            </w:r>
          </w:p>
        </w:tc>
        <w:tc>
          <w:tcPr>
            <w:tcW w:w="1554" w:type="dxa"/>
            <w:noWrap/>
            <w:vAlign w:val="center"/>
            <w:hideMark/>
          </w:tcPr>
          <w:p w14:paraId="1764690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(1,985 - 5,162)</w:t>
            </w:r>
          </w:p>
        </w:tc>
        <w:tc>
          <w:tcPr>
            <w:tcW w:w="287" w:type="dxa"/>
            <w:noWrap/>
            <w:vAlign w:val="center"/>
            <w:hideMark/>
          </w:tcPr>
          <w:p w14:paraId="021EBACB"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6FF0B185"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470</w:t>
            </w:r>
          </w:p>
        </w:tc>
        <w:tc>
          <w:tcPr>
            <w:tcW w:w="1463" w:type="dxa"/>
            <w:noWrap/>
            <w:vAlign w:val="center"/>
            <w:hideMark/>
          </w:tcPr>
          <w:p w14:paraId="7FD728DC"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(270 - 779)</w:t>
            </w:r>
          </w:p>
        </w:tc>
      </w:tr>
      <w:tr w:rsidR="004A3858" w:rsidRPr="004A3858" w14:paraId="6B7C93D1" w14:textId="77777777" w:rsidTr="005453FE">
        <w:trPr>
          <w:trHeight w:hRule="exact" w:val="289"/>
          <w:jc w:val="center"/>
        </w:trPr>
        <w:tc>
          <w:tcPr>
            <w:tcW w:w="1759" w:type="dxa"/>
            <w:noWrap/>
            <w:vAlign w:val="center"/>
            <w:hideMark/>
          </w:tcPr>
          <w:p w14:paraId="5EF6D2C4" w14:textId="77777777" w:rsidR="004A3858" w:rsidRPr="004A3858" w:rsidRDefault="004A3858" w:rsidP="004A3858">
            <w:pPr>
              <w:ind w:left="172"/>
              <w:rPr>
                <w:rFonts w:ascii="Calibri" w:eastAsia="Times New Roman" w:hAnsi="Calibri" w:cs="Calibri"/>
                <w:color w:val="000000"/>
                <w:sz w:val="20"/>
                <w:szCs w:val="20"/>
              </w:rPr>
            </w:pPr>
            <w:r w:rsidRPr="004A3858">
              <w:rPr>
                <w:rFonts w:ascii="Calibri" w:eastAsia="Times New Roman" w:hAnsi="Calibri" w:cs="Calibri"/>
                <w:color w:val="000000"/>
                <w:sz w:val="20"/>
                <w:szCs w:val="20"/>
              </w:rPr>
              <w:t>Rotavirus</w:t>
            </w:r>
          </w:p>
        </w:tc>
        <w:tc>
          <w:tcPr>
            <w:tcW w:w="882" w:type="dxa"/>
            <w:noWrap/>
            <w:vAlign w:val="center"/>
            <w:hideMark/>
          </w:tcPr>
          <w:p w14:paraId="3E0090FB"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14,850</w:t>
            </w:r>
          </w:p>
        </w:tc>
        <w:tc>
          <w:tcPr>
            <w:tcW w:w="1736" w:type="dxa"/>
            <w:noWrap/>
            <w:vAlign w:val="center"/>
            <w:hideMark/>
          </w:tcPr>
          <w:p w14:paraId="36C6B69D"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(4,698 - 35,330)</w:t>
            </w:r>
          </w:p>
        </w:tc>
        <w:tc>
          <w:tcPr>
            <w:tcW w:w="236" w:type="dxa"/>
            <w:noWrap/>
            <w:vAlign w:val="center"/>
            <w:hideMark/>
          </w:tcPr>
          <w:p w14:paraId="00587F2E"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5E13A887"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1,603</w:t>
            </w:r>
          </w:p>
        </w:tc>
        <w:tc>
          <w:tcPr>
            <w:tcW w:w="1554" w:type="dxa"/>
            <w:noWrap/>
            <w:vAlign w:val="center"/>
            <w:hideMark/>
          </w:tcPr>
          <w:p w14:paraId="33353250"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(494 - 3,856)</w:t>
            </w:r>
          </w:p>
        </w:tc>
        <w:tc>
          <w:tcPr>
            <w:tcW w:w="287" w:type="dxa"/>
            <w:noWrap/>
            <w:vAlign w:val="center"/>
            <w:hideMark/>
          </w:tcPr>
          <w:p w14:paraId="1AD8052D"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6C4B4837"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237</w:t>
            </w:r>
          </w:p>
        </w:tc>
        <w:tc>
          <w:tcPr>
            <w:tcW w:w="1463" w:type="dxa"/>
            <w:noWrap/>
            <w:vAlign w:val="center"/>
            <w:hideMark/>
          </w:tcPr>
          <w:p w14:paraId="1F1E6104"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(64 - 688)</w:t>
            </w:r>
          </w:p>
        </w:tc>
      </w:tr>
      <w:tr w:rsidR="004A3858" w:rsidRPr="004A3858" w14:paraId="182B57BC" w14:textId="77777777" w:rsidTr="005453FE">
        <w:trPr>
          <w:trHeight w:hRule="exact" w:val="289"/>
          <w:jc w:val="center"/>
        </w:trPr>
        <w:tc>
          <w:tcPr>
            <w:tcW w:w="1759" w:type="dxa"/>
            <w:noWrap/>
            <w:vAlign w:val="center"/>
            <w:hideMark/>
          </w:tcPr>
          <w:p w14:paraId="253FB010" w14:textId="77777777" w:rsidR="004A3858" w:rsidRPr="004A3858" w:rsidRDefault="004A3858" w:rsidP="004A3858">
            <w:pPr>
              <w:ind w:left="172"/>
              <w:rPr>
                <w:rFonts w:ascii="Calibri" w:eastAsia="Times New Roman" w:hAnsi="Calibri" w:cs="Calibri"/>
                <w:color w:val="000000"/>
                <w:sz w:val="20"/>
                <w:szCs w:val="20"/>
              </w:rPr>
            </w:pPr>
            <w:proofErr w:type="spellStart"/>
            <w:r w:rsidRPr="004A3858">
              <w:rPr>
                <w:rFonts w:ascii="Calibri" w:eastAsia="Times New Roman" w:hAnsi="Calibri" w:cs="Calibri"/>
                <w:color w:val="000000"/>
                <w:sz w:val="20"/>
                <w:szCs w:val="20"/>
              </w:rPr>
              <w:t>Sapovirus</w:t>
            </w:r>
            <w:proofErr w:type="spellEnd"/>
          </w:p>
        </w:tc>
        <w:tc>
          <w:tcPr>
            <w:tcW w:w="882" w:type="dxa"/>
            <w:noWrap/>
            <w:vAlign w:val="center"/>
            <w:hideMark/>
          </w:tcPr>
          <w:p w14:paraId="17522876"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40,770</w:t>
            </w:r>
          </w:p>
        </w:tc>
        <w:tc>
          <w:tcPr>
            <w:tcW w:w="1736" w:type="dxa"/>
            <w:noWrap/>
            <w:vAlign w:val="center"/>
            <w:hideMark/>
          </w:tcPr>
          <w:p w14:paraId="45E6F7C1"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(26,661 - 60,230)</w:t>
            </w:r>
          </w:p>
        </w:tc>
        <w:tc>
          <w:tcPr>
            <w:tcW w:w="236" w:type="dxa"/>
            <w:noWrap/>
            <w:vAlign w:val="center"/>
            <w:hideMark/>
          </w:tcPr>
          <w:p w14:paraId="48BB8C7E"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hideMark/>
          </w:tcPr>
          <w:p w14:paraId="5E098E65"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2,457</w:t>
            </w:r>
          </w:p>
        </w:tc>
        <w:tc>
          <w:tcPr>
            <w:tcW w:w="1554" w:type="dxa"/>
            <w:noWrap/>
            <w:vAlign w:val="center"/>
            <w:hideMark/>
          </w:tcPr>
          <w:p w14:paraId="2FA8A39E"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(1,496 - 3,947)</w:t>
            </w:r>
          </w:p>
        </w:tc>
        <w:tc>
          <w:tcPr>
            <w:tcW w:w="287" w:type="dxa"/>
            <w:noWrap/>
            <w:vAlign w:val="center"/>
            <w:hideMark/>
          </w:tcPr>
          <w:p w14:paraId="73999F97"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hideMark/>
          </w:tcPr>
          <w:p w14:paraId="678C50B9"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261</w:t>
            </w:r>
          </w:p>
        </w:tc>
        <w:tc>
          <w:tcPr>
            <w:tcW w:w="1463" w:type="dxa"/>
            <w:noWrap/>
            <w:vAlign w:val="center"/>
            <w:hideMark/>
          </w:tcPr>
          <w:p w14:paraId="0D01C691" w14:textId="77777777" w:rsidR="004A3858" w:rsidRPr="004A3858" w:rsidRDefault="004A3858" w:rsidP="004A3858">
            <w:pPr>
              <w:jc w:val="center"/>
              <w:rPr>
                <w:rFonts w:ascii="Calibri" w:eastAsia="Times New Roman" w:hAnsi="Calibri" w:cs="Calibri"/>
                <w:color w:val="000000"/>
                <w:sz w:val="18"/>
                <w:szCs w:val="20"/>
              </w:rPr>
            </w:pPr>
            <w:r w:rsidRPr="004A3858">
              <w:rPr>
                <w:rFonts w:ascii="Calibri" w:eastAsia="Times New Roman" w:hAnsi="Calibri" w:cs="Calibri"/>
                <w:color w:val="000000"/>
                <w:sz w:val="18"/>
                <w:szCs w:val="20"/>
              </w:rPr>
              <w:t>(145 - 445)</w:t>
            </w:r>
          </w:p>
        </w:tc>
      </w:tr>
      <w:tr w:rsidR="004A3858" w:rsidRPr="004A3858" w14:paraId="7C98A8D3" w14:textId="77777777" w:rsidTr="005453FE">
        <w:trPr>
          <w:trHeight w:hRule="exact" w:val="289"/>
          <w:jc w:val="center"/>
        </w:trPr>
        <w:tc>
          <w:tcPr>
            <w:tcW w:w="1759" w:type="dxa"/>
            <w:noWrap/>
            <w:vAlign w:val="center"/>
          </w:tcPr>
          <w:p w14:paraId="51D17D78" w14:textId="77777777" w:rsidR="004A3858" w:rsidRPr="004A3858" w:rsidRDefault="004A3858" w:rsidP="004A3858">
            <w:pPr>
              <w:ind w:left="172"/>
              <w:rPr>
                <w:rFonts w:ascii="Calibri" w:eastAsia="Times New Roman" w:hAnsi="Calibri" w:cs="Calibri"/>
                <w:color w:val="000000"/>
                <w:sz w:val="20"/>
                <w:szCs w:val="20"/>
              </w:rPr>
            </w:pPr>
          </w:p>
        </w:tc>
        <w:tc>
          <w:tcPr>
            <w:tcW w:w="882" w:type="dxa"/>
            <w:noWrap/>
            <w:vAlign w:val="center"/>
          </w:tcPr>
          <w:p w14:paraId="6CC74AF2" w14:textId="77777777" w:rsidR="004A3858" w:rsidRPr="004A3858" w:rsidRDefault="004A3858" w:rsidP="004A3858">
            <w:pPr>
              <w:jc w:val="center"/>
              <w:rPr>
                <w:rFonts w:ascii="Calibri" w:eastAsia="Times New Roman" w:hAnsi="Calibri" w:cs="Calibri"/>
                <w:color w:val="000000"/>
                <w:sz w:val="20"/>
                <w:szCs w:val="20"/>
              </w:rPr>
            </w:pPr>
          </w:p>
        </w:tc>
        <w:tc>
          <w:tcPr>
            <w:tcW w:w="1736" w:type="dxa"/>
            <w:noWrap/>
            <w:vAlign w:val="center"/>
          </w:tcPr>
          <w:p w14:paraId="34930466" w14:textId="77777777" w:rsidR="004A3858" w:rsidRPr="004A3858" w:rsidRDefault="004A3858" w:rsidP="004A3858">
            <w:pPr>
              <w:jc w:val="center"/>
              <w:rPr>
                <w:rFonts w:ascii="Calibri" w:eastAsia="Times New Roman" w:hAnsi="Calibri" w:cs="Calibri"/>
                <w:color w:val="000000"/>
                <w:sz w:val="18"/>
                <w:szCs w:val="20"/>
              </w:rPr>
            </w:pPr>
          </w:p>
        </w:tc>
        <w:tc>
          <w:tcPr>
            <w:tcW w:w="236" w:type="dxa"/>
            <w:noWrap/>
            <w:vAlign w:val="center"/>
          </w:tcPr>
          <w:p w14:paraId="071C98D8"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tcPr>
          <w:p w14:paraId="6F205D80" w14:textId="77777777" w:rsidR="004A3858" w:rsidRPr="004A3858" w:rsidRDefault="004A3858" w:rsidP="004A3858">
            <w:pPr>
              <w:jc w:val="center"/>
              <w:rPr>
                <w:rFonts w:ascii="Calibri" w:eastAsia="Times New Roman" w:hAnsi="Calibri" w:cs="Calibri"/>
                <w:color w:val="000000"/>
                <w:sz w:val="20"/>
                <w:szCs w:val="20"/>
              </w:rPr>
            </w:pPr>
          </w:p>
        </w:tc>
        <w:tc>
          <w:tcPr>
            <w:tcW w:w="1554" w:type="dxa"/>
            <w:noWrap/>
            <w:vAlign w:val="center"/>
          </w:tcPr>
          <w:p w14:paraId="47AFD8D5" w14:textId="77777777" w:rsidR="004A3858" w:rsidRPr="004A3858" w:rsidRDefault="004A3858" w:rsidP="004A3858">
            <w:pPr>
              <w:jc w:val="center"/>
              <w:rPr>
                <w:rFonts w:ascii="Calibri" w:eastAsia="Times New Roman" w:hAnsi="Calibri" w:cs="Calibri"/>
                <w:color w:val="000000"/>
                <w:sz w:val="18"/>
                <w:szCs w:val="20"/>
              </w:rPr>
            </w:pPr>
          </w:p>
        </w:tc>
        <w:tc>
          <w:tcPr>
            <w:tcW w:w="287" w:type="dxa"/>
            <w:noWrap/>
            <w:vAlign w:val="center"/>
          </w:tcPr>
          <w:p w14:paraId="401E3B6C"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tcPr>
          <w:p w14:paraId="62DA621E" w14:textId="77777777" w:rsidR="004A3858" w:rsidRPr="004A3858" w:rsidRDefault="004A3858" w:rsidP="004A3858">
            <w:pPr>
              <w:jc w:val="center"/>
              <w:rPr>
                <w:rFonts w:ascii="Calibri" w:eastAsia="Times New Roman" w:hAnsi="Calibri" w:cs="Calibri"/>
                <w:color w:val="000000"/>
                <w:sz w:val="20"/>
                <w:szCs w:val="20"/>
              </w:rPr>
            </w:pPr>
          </w:p>
        </w:tc>
        <w:tc>
          <w:tcPr>
            <w:tcW w:w="1463" w:type="dxa"/>
            <w:noWrap/>
            <w:vAlign w:val="center"/>
          </w:tcPr>
          <w:p w14:paraId="6EF30877" w14:textId="77777777" w:rsidR="004A3858" w:rsidRPr="004A3858" w:rsidRDefault="004A3858" w:rsidP="004A3858">
            <w:pPr>
              <w:jc w:val="center"/>
              <w:rPr>
                <w:rFonts w:ascii="Calibri" w:eastAsia="Times New Roman" w:hAnsi="Calibri" w:cs="Calibri"/>
                <w:color w:val="000000"/>
                <w:sz w:val="18"/>
                <w:szCs w:val="20"/>
              </w:rPr>
            </w:pPr>
          </w:p>
        </w:tc>
      </w:tr>
      <w:tr w:rsidR="004A3858" w:rsidRPr="004A3858" w14:paraId="385F23C8" w14:textId="77777777" w:rsidTr="005453FE">
        <w:trPr>
          <w:trHeight w:hRule="exact" w:val="289"/>
          <w:jc w:val="center"/>
        </w:trPr>
        <w:tc>
          <w:tcPr>
            <w:tcW w:w="1759" w:type="dxa"/>
            <w:noWrap/>
            <w:vAlign w:val="center"/>
          </w:tcPr>
          <w:p w14:paraId="0791A090" w14:textId="77777777" w:rsidR="004A3858" w:rsidRPr="004A3858" w:rsidRDefault="004A3858" w:rsidP="004A3858">
            <w:pPr>
              <w:rPr>
                <w:rFonts w:ascii="Calibri" w:eastAsia="Times New Roman" w:hAnsi="Calibri" w:cs="Calibri"/>
                <w:color w:val="000000"/>
                <w:sz w:val="20"/>
                <w:szCs w:val="20"/>
              </w:rPr>
            </w:pPr>
            <w:r w:rsidRPr="004A3858">
              <w:rPr>
                <w:rFonts w:ascii="Calibri" w:eastAsia="Times New Roman" w:hAnsi="Calibri" w:cs="Calibri"/>
                <w:color w:val="000000"/>
                <w:sz w:val="20"/>
                <w:szCs w:val="20"/>
              </w:rPr>
              <w:t>TOTAL</w:t>
            </w:r>
          </w:p>
        </w:tc>
        <w:tc>
          <w:tcPr>
            <w:tcW w:w="882" w:type="dxa"/>
            <w:noWrap/>
            <w:vAlign w:val="center"/>
          </w:tcPr>
          <w:p w14:paraId="78C97C2A"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566,391</w:t>
            </w:r>
          </w:p>
        </w:tc>
        <w:tc>
          <w:tcPr>
            <w:tcW w:w="1736" w:type="dxa"/>
            <w:noWrap/>
            <w:vAlign w:val="center"/>
          </w:tcPr>
          <w:p w14:paraId="64AD5EE0" w14:textId="77777777" w:rsidR="004A3858" w:rsidRPr="004A3858" w:rsidRDefault="004A3858" w:rsidP="004A3858">
            <w:pPr>
              <w:jc w:val="center"/>
              <w:rPr>
                <w:rFonts w:ascii="Calibri" w:eastAsia="Times New Roman" w:hAnsi="Calibri" w:cs="Calibri"/>
                <w:color w:val="000000"/>
                <w:sz w:val="18"/>
                <w:szCs w:val="20"/>
              </w:rPr>
            </w:pPr>
          </w:p>
        </w:tc>
        <w:tc>
          <w:tcPr>
            <w:tcW w:w="236" w:type="dxa"/>
            <w:noWrap/>
            <w:vAlign w:val="center"/>
          </w:tcPr>
          <w:p w14:paraId="6A1DAEE2" w14:textId="77777777" w:rsidR="004A3858" w:rsidRPr="004A3858" w:rsidRDefault="004A3858" w:rsidP="004A3858">
            <w:pPr>
              <w:jc w:val="center"/>
              <w:rPr>
                <w:rFonts w:ascii="Calibri" w:eastAsia="Times New Roman" w:hAnsi="Calibri" w:cs="Calibri"/>
                <w:color w:val="000000"/>
                <w:sz w:val="20"/>
                <w:szCs w:val="20"/>
              </w:rPr>
            </w:pPr>
          </w:p>
        </w:tc>
        <w:tc>
          <w:tcPr>
            <w:tcW w:w="1680" w:type="dxa"/>
            <w:noWrap/>
            <w:vAlign w:val="center"/>
          </w:tcPr>
          <w:p w14:paraId="0FCB0971"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73,944</w:t>
            </w:r>
          </w:p>
        </w:tc>
        <w:tc>
          <w:tcPr>
            <w:tcW w:w="1554" w:type="dxa"/>
            <w:noWrap/>
            <w:vAlign w:val="center"/>
          </w:tcPr>
          <w:p w14:paraId="7B35F8C2" w14:textId="77777777" w:rsidR="004A3858" w:rsidRPr="004A3858" w:rsidRDefault="004A3858" w:rsidP="004A3858">
            <w:pPr>
              <w:jc w:val="center"/>
              <w:rPr>
                <w:rFonts w:ascii="Calibri" w:eastAsia="Times New Roman" w:hAnsi="Calibri" w:cs="Calibri"/>
                <w:color w:val="000000"/>
                <w:sz w:val="18"/>
                <w:szCs w:val="20"/>
              </w:rPr>
            </w:pPr>
          </w:p>
        </w:tc>
        <w:tc>
          <w:tcPr>
            <w:tcW w:w="287" w:type="dxa"/>
            <w:noWrap/>
            <w:vAlign w:val="center"/>
          </w:tcPr>
          <w:p w14:paraId="609519F8" w14:textId="77777777" w:rsidR="004A3858" w:rsidRPr="004A3858" w:rsidRDefault="004A3858" w:rsidP="004A3858">
            <w:pPr>
              <w:jc w:val="center"/>
              <w:rPr>
                <w:rFonts w:ascii="Calibri" w:eastAsia="Times New Roman" w:hAnsi="Calibri" w:cs="Calibri"/>
                <w:color w:val="000000"/>
                <w:sz w:val="20"/>
                <w:szCs w:val="20"/>
              </w:rPr>
            </w:pPr>
          </w:p>
        </w:tc>
        <w:tc>
          <w:tcPr>
            <w:tcW w:w="2000" w:type="dxa"/>
            <w:noWrap/>
            <w:vAlign w:val="center"/>
          </w:tcPr>
          <w:p w14:paraId="531223B9" w14:textId="77777777" w:rsidR="004A3858" w:rsidRPr="004A3858" w:rsidRDefault="004A3858" w:rsidP="004A3858">
            <w:pPr>
              <w:jc w:val="center"/>
              <w:rPr>
                <w:rFonts w:ascii="Calibri" w:eastAsia="Times New Roman" w:hAnsi="Calibri" w:cs="Calibri"/>
                <w:color w:val="000000"/>
                <w:sz w:val="20"/>
                <w:szCs w:val="20"/>
              </w:rPr>
            </w:pPr>
            <w:r w:rsidRPr="004A3858">
              <w:rPr>
                <w:rFonts w:ascii="Calibri" w:eastAsia="Times New Roman" w:hAnsi="Calibri" w:cs="Calibri"/>
                <w:color w:val="000000"/>
                <w:sz w:val="20"/>
                <w:szCs w:val="20"/>
              </w:rPr>
              <w:t>7,639</w:t>
            </w:r>
          </w:p>
        </w:tc>
        <w:tc>
          <w:tcPr>
            <w:tcW w:w="1463" w:type="dxa"/>
            <w:noWrap/>
            <w:vAlign w:val="center"/>
          </w:tcPr>
          <w:p w14:paraId="79F147DF" w14:textId="77777777" w:rsidR="004A3858" w:rsidRPr="004A3858" w:rsidRDefault="004A3858" w:rsidP="004A3858">
            <w:pPr>
              <w:jc w:val="center"/>
              <w:rPr>
                <w:rFonts w:ascii="Calibri" w:eastAsia="Times New Roman" w:hAnsi="Calibri" w:cs="Calibri"/>
                <w:color w:val="000000"/>
                <w:sz w:val="18"/>
                <w:szCs w:val="20"/>
              </w:rPr>
            </w:pPr>
          </w:p>
        </w:tc>
      </w:tr>
    </w:tbl>
    <w:p w14:paraId="7DDA166A" w14:textId="77777777" w:rsidR="004A3858" w:rsidRDefault="004A3858" w:rsidP="00546FCD">
      <w:pPr>
        <w:spacing w:after="0" w:line="360" w:lineRule="auto"/>
        <w:sectPr w:rsidR="004A3858" w:rsidSect="004A3858">
          <w:pgSz w:w="16838" w:h="11906" w:orient="landscape"/>
          <w:pgMar w:top="1440" w:right="1440" w:bottom="1440" w:left="1440" w:header="708" w:footer="708" w:gutter="0"/>
          <w:cols w:space="708"/>
          <w:docGrid w:linePitch="360"/>
        </w:sectPr>
      </w:pPr>
    </w:p>
    <w:p w14:paraId="45FB96D4" w14:textId="77777777" w:rsidR="002864D8" w:rsidRPr="00527564" w:rsidRDefault="00006BC0" w:rsidP="00546FCD">
      <w:pPr>
        <w:pStyle w:val="Heading3"/>
        <w:numPr>
          <w:ilvl w:val="0"/>
          <w:numId w:val="0"/>
        </w:numPr>
        <w:spacing w:line="360" w:lineRule="auto"/>
        <w:rPr>
          <w:rFonts w:asciiTheme="minorHAnsi" w:hAnsiTheme="minorHAnsi"/>
          <w:i/>
          <w:color w:val="auto"/>
        </w:rPr>
      </w:pPr>
      <w:r w:rsidRPr="00527564">
        <w:rPr>
          <w:rFonts w:asciiTheme="minorHAnsi" w:hAnsiTheme="minorHAnsi"/>
          <w:color w:val="auto"/>
        </w:rPr>
        <w:lastRenderedPageBreak/>
        <w:t>C</w:t>
      </w:r>
      <w:r w:rsidR="009B75B1" w:rsidRPr="00527564">
        <w:rPr>
          <w:rFonts w:asciiTheme="minorHAnsi" w:hAnsiTheme="minorHAnsi"/>
          <w:color w:val="auto"/>
        </w:rPr>
        <w:t>ases</w:t>
      </w:r>
      <w:r w:rsidRPr="00527564">
        <w:rPr>
          <w:rFonts w:asciiTheme="minorHAnsi" w:hAnsiTheme="minorHAnsi"/>
          <w:color w:val="auto"/>
        </w:rPr>
        <w:t xml:space="preserve">, GP </w:t>
      </w:r>
      <w:r w:rsidR="009B75B1" w:rsidRPr="00527564">
        <w:rPr>
          <w:rFonts w:asciiTheme="minorHAnsi" w:hAnsiTheme="minorHAnsi"/>
          <w:color w:val="auto"/>
        </w:rPr>
        <w:t xml:space="preserve">consultations and hospital admissions attributable to foodborne transmission </w:t>
      </w:r>
      <w:r w:rsidRPr="00527564">
        <w:rPr>
          <w:rFonts w:asciiTheme="minorHAnsi" w:hAnsiTheme="minorHAnsi"/>
          <w:color w:val="auto"/>
        </w:rPr>
        <w:t>(M</w:t>
      </w:r>
      <w:r w:rsidR="009B75B1" w:rsidRPr="00527564">
        <w:rPr>
          <w:rFonts w:asciiTheme="minorHAnsi" w:hAnsiTheme="minorHAnsi"/>
          <w:color w:val="auto"/>
        </w:rPr>
        <w:t>odels</w:t>
      </w:r>
      <w:r w:rsidRPr="00527564">
        <w:rPr>
          <w:rFonts w:asciiTheme="minorHAnsi" w:hAnsiTheme="minorHAnsi"/>
          <w:color w:val="auto"/>
        </w:rPr>
        <w:t xml:space="preserve"> 2 </w:t>
      </w:r>
      <w:r w:rsidR="002268E2" w:rsidRPr="00527564">
        <w:rPr>
          <w:rFonts w:asciiTheme="minorHAnsi" w:hAnsiTheme="minorHAnsi"/>
          <w:color w:val="auto"/>
        </w:rPr>
        <w:t>and</w:t>
      </w:r>
      <w:r w:rsidRPr="00527564">
        <w:rPr>
          <w:rFonts w:asciiTheme="minorHAnsi" w:hAnsiTheme="minorHAnsi"/>
          <w:color w:val="auto"/>
        </w:rPr>
        <w:t xml:space="preserve"> 3)</w:t>
      </w:r>
    </w:p>
    <w:p w14:paraId="34830570" w14:textId="02219195" w:rsidR="002D72B7" w:rsidRDefault="00006BC0" w:rsidP="00546FCD">
      <w:pPr>
        <w:spacing w:after="0" w:line="360" w:lineRule="auto"/>
        <w:rPr>
          <w:rFonts w:cs="Arial"/>
        </w:rPr>
      </w:pPr>
      <w:r w:rsidRPr="00043121">
        <w:rPr>
          <w:rFonts w:cs="Arial"/>
        </w:rPr>
        <w:t xml:space="preserve">Estimates of food-related cases, GP consultations and hospital admissions based on the Bayesian approach used in Model 2 are presented in Table </w:t>
      </w:r>
      <w:r w:rsidR="00E667AF">
        <w:rPr>
          <w:rFonts w:cs="Arial"/>
        </w:rPr>
        <w:t>4</w:t>
      </w:r>
      <w:r w:rsidRPr="00043121">
        <w:rPr>
          <w:rFonts w:cs="Arial"/>
        </w:rPr>
        <w:t xml:space="preserve">. </w:t>
      </w:r>
      <w:r w:rsidR="00537BCF" w:rsidRPr="00537BCF">
        <w:rPr>
          <w:rFonts w:cs="Arial"/>
          <w:i/>
        </w:rPr>
        <w:t>Campylobacter</w:t>
      </w:r>
      <w:r w:rsidR="00537BCF" w:rsidRPr="00537BCF">
        <w:rPr>
          <w:rFonts w:cs="Arial"/>
        </w:rPr>
        <w:t xml:space="preserve"> </w:t>
      </w:r>
      <w:r w:rsidR="003316E5">
        <w:rPr>
          <w:rFonts w:cs="Arial"/>
        </w:rPr>
        <w:t>was</w:t>
      </w:r>
      <w:r w:rsidR="003316E5" w:rsidRPr="00537BCF">
        <w:rPr>
          <w:rFonts w:cs="Arial"/>
        </w:rPr>
        <w:t xml:space="preserve"> </w:t>
      </w:r>
      <w:r w:rsidR="00537BCF" w:rsidRPr="00537BCF">
        <w:rPr>
          <w:rFonts w:cs="Arial"/>
        </w:rPr>
        <w:t xml:space="preserve">the most common foodborne pathogen, causing 280,400 (95% </w:t>
      </w:r>
      <w:proofErr w:type="spellStart"/>
      <w:r w:rsidR="00537BCF" w:rsidRPr="00537BCF">
        <w:rPr>
          <w:rFonts w:cs="Arial"/>
        </w:rPr>
        <w:t>CrI</w:t>
      </w:r>
      <w:proofErr w:type="spellEnd"/>
      <w:r w:rsidR="00537BCF" w:rsidRPr="00537BCF">
        <w:rPr>
          <w:rFonts w:cs="Arial"/>
        </w:rPr>
        <w:t xml:space="preserve">: 182,503 – 435,693) food-related cases and 38,860 (95% </w:t>
      </w:r>
      <w:proofErr w:type="spellStart"/>
      <w:r w:rsidR="00537BCF" w:rsidRPr="00537BCF">
        <w:rPr>
          <w:rFonts w:cs="Arial"/>
        </w:rPr>
        <w:t>CrI</w:t>
      </w:r>
      <w:proofErr w:type="spellEnd"/>
      <w:r w:rsidR="00537BCF" w:rsidRPr="00537BCF">
        <w:rPr>
          <w:rFonts w:cs="Arial"/>
        </w:rPr>
        <w:t xml:space="preserve">: 27,160 – 55,610) general practice (GP) consultations annually. Despite this, there </w:t>
      </w:r>
      <w:r w:rsidR="003316E5">
        <w:rPr>
          <w:rFonts w:cs="Arial"/>
        </w:rPr>
        <w:t>were</w:t>
      </w:r>
      <w:r w:rsidR="003316E5" w:rsidRPr="00537BCF">
        <w:rPr>
          <w:rFonts w:cs="Arial"/>
        </w:rPr>
        <w:t xml:space="preserve"> </w:t>
      </w:r>
      <w:r w:rsidR="00537BCF" w:rsidRPr="00537BCF">
        <w:rPr>
          <w:rFonts w:cs="Arial"/>
        </w:rPr>
        <w:t xml:space="preserve">only 562 (95% </w:t>
      </w:r>
      <w:proofErr w:type="spellStart"/>
      <w:r w:rsidR="00537BCF" w:rsidRPr="00537BCF">
        <w:rPr>
          <w:rFonts w:cs="Arial"/>
        </w:rPr>
        <w:t>CrI</w:t>
      </w:r>
      <w:proofErr w:type="spellEnd"/>
      <w:r w:rsidR="00537BCF" w:rsidRPr="00537BCF">
        <w:rPr>
          <w:rFonts w:cs="Arial"/>
        </w:rPr>
        <w:t xml:space="preserve">: 189 – 1,330) </w:t>
      </w:r>
      <w:r w:rsidR="00537BCF" w:rsidRPr="00537BCF">
        <w:rPr>
          <w:rFonts w:cs="Arial"/>
          <w:i/>
        </w:rPr>
        <w:t>Campylobacter</w:t>
      </w:r>
      <w:r w:rsidR="00537BCF" w:rsidRPr="00537BCF">
        <w:rPr>
          <w:rFonts w:cs="Arial"/>
        </w:rPr>
        <w:t xml:space="preserve">-related hospital admissions. </w:t>
      </w:r>
      <w:r w:rsidR="00537BCF" w:rsidRPr="00537BCF">
        <w:rPr>
          <w:rFonts w:cs="Arial"/>
          <w:i/>
        </w:rPr>
        <w:t>Salmonella</w:t>
      </w:r>
      <w:r w:rsidR="00537BCF" w:rsidRPr="00537BCF">
        <w:rPr>
          <w:rFonts w:cs="Arial"/>
        </w:rPr>
        <w:t xml:space="preserve"> cause</w:t>
      </w:r>
      <w:r w:rsidR="003316E5">
        <w:rPr>
          <w:rFonts w:cs="Arial"/>
        </w:rPr>
        <w:t>d</w:t>
      </w:r>
      <w:r w:rsidR="00537BCF" w:rsidRPr="00537BCF">
        <w:rPr>
          <w:rFonts w:cs="Arial"/>
        </w:rPr>
        <w:t xml:space="preserve"> the largest number of </w:t>
      </w:r>
      <w:proofErr w:type="spellStart"/>
      <w:r w:rsidR="00537BCF" w:rsidRPr="00537BCF">
        <w:rPr>
          <w:rFonts w:cs="Arial"/>
        </w:rPr>
        <w:t>hospitalisations</w:t>
      </w:r>
      <w:proofErr w:type="spellEnd"/>
      <w:r w:rsidR="00537BCF" w:rsidRPr="00537BCF">
        <w:rPr>
          <w:rFonts w:cs="Arial"/>
        </w:rPr>
        <w:t xml:space="preserve">, an estimated 2,490 admissions (95% </w:t>
      </w:r>
      <w:proofErr w:type="spellStart"/>
      <w:r w:rsidR="00537BCF" w:rsidRPr="00537BCF">
        <w:rPr>
          <w:rFonts w:cs="Arial"/>
        </w:rPr>
        <w:t>CrI</w:t>
      </w:r>
      <w:proofErr w:type="spellEnd"/>
      <w:r w:rsidR="00537BCF" w:rsidRPr="00537BCF">
        <w:rPr>
          <w:rFonts w:cs="Arial"/>
        </w:rPr>
        <w:t xml:space="preserve">: 607 – 9,631), closely followed by </w:t>
      </w:r>
      <w:r w:rsidR="00537BCF" w:rsidRPr="00537BCF">
        <w:rPr>
          <w:rFonts w:cs="Arial"/>
          <w:i/>
        </w:rPr>
        <w:t>E. coli</w:t>
      </w:r>
      <w:r w:rsidR="00537BCF" w:rsidRPr="00537BCF">
        <w:rPr>
          <w:rFonts w:cs="Arial"/>
        </w:rPr>
        <w:t xml:space="preserve"> O157 with 2,233 admissions (95% </w:t>
      </w:r>
      <w:proofErr w:type="spellStart"/>
      <w:r w:rsidR="00537BCF" w:rsidRPr="00537BCF">
        <w:rPr>
          <w:rFonts w:cs="Arial"/>
        </w:rPr>
        <w:t>CrI</w:t>
      </w:r>
      <w:proofErr w:type="spellEnd"/>
      <w:r w:rsidR="00537BCF" w:rsidRPr="00537BCF">
        <w:rPr>
          <w:rFonts w:cs="Arial"/>
        </w:rPr>
        <w:t>: 170 – 32,159). Other common causes of foodborne disease include</w:t>
      </w:r>
      <w:r w:rsidR="003316E5">
        <w:rPr>
          <w:rFonts w:cs="Arial"/>
        </w:rPr>
        <w:t>d</w:t>
      </w:r>
      <w:r w:rsidR="00537BCF" w:rsidRPr="00537BCF">
        <w:rPr>
          <w:rFonts w:cs="Arial"/>
        </w:rPr>
        <w:t xml:space="preserve"> </w:t>
      </w:r>
      <w:r w:rsidR="00537BCF" w:rsidRPr="00537BCF">
        <w:rPr>
          <w:rFonts w:cs="Arial"/>
          <w:i/>
        </w:rPr>
        <w:t xml:space="preserve">C. </w:t>
      </w:r>
      <w:proofErr w:type="spellStart"/>
      <w:r w:rsidR="00537BCF" w:rsidRPr="00537BCF">
        <w:rPr>
          <w:rFonts w:cs="Arial"/>
          <w:i/>
        </w:rPr>
        <w:t>perfringens</w:t>
      </w:r>
      <w:proofErr w:type="spellEnd"/>
      <w:r w:rsidR="00537BCF" w:rsidRPr="00537BCF">
        <w:rPr>
          <w:rFonts w:cs="Arial"/>
        </w:rPr>
        <w:t xml:space="preserve">, with an estimated 79,570 cases annually (95% </w:t>
      </w:r>
      <w:proofErr w:type="spellStart"/>
      <w:r w:rsidR="00537BCF" w:rsidRPr="00537BCF">
        <w:rPr>
          <w:rFonts w:cs="Arial"/>
        </w:rPr>
        <w:t>CrI</w:t>
      </w:r>
      <w:proofErr w:type="spellEnd"/>
      <w:r w:rsidR="00537BCF" w:rsidRPr="00537BCF">
        <w:rPr>
          <w:rFonts w:cs="Arial"/>
        </w:rPr>
        <w:t xml:space="preserve">: 30,700 – 211,298), and norovirus with 74,100 cases (95% </w:t>
      </w:r>
      <w:proofErr w:type="spellStart"/>
      <w:r w:rsidR="00537BCF" w:rsidRPr="00537BCF">
        <w:rPr>
          <w:rFonts w:cs="Arial"/>
        </w:rPr>
        <w:t>CrI</w:t>
      </w:r>
      <w:proofErr w:type="spellEnd"/>
      <w:r w:rsidR="00537BCF" w:rsidRPr="00537BCF">
        <w:rPr>
          <w:rFonts w:cs="Arial"/>
        </w:rPr>
        <w:t>: 61,150 –89,660).</w:t>
      </w:r>
      <w:r w:rsidR="00537BCF">
        <w:rPr>
          <w:rFonts w:cs="Arial"/>
        </w:rPr>
        <w:t xml:space="preserve"> </w:t>
      </w:r>
      <w:r w:rsidRPr="00043121">
        <w:rPr>
          <w:rFonts w:cs="Arial"/>
        </w:rPr>
        <w:t xml:space="preserve">For </w:t>
      </w:r>
      <w:r w:rsidR="00537BCF">
        <w:rPr>
          <w:rFonts w:cs="Arial"/>
        </w:rPr>
        <w:t>M</w:t>
      </w:r>
      <w:r w:rsidRPr="00043121">
        <w:rPr>
          <w:rFonts w:cs="Arial"/>
        </w:rPr>
        <w:t>odel</w:t>
      </w:r>
      <w:r w:rsidR="00537BCF">
        <w:rPr>
          <w:rFonts w:cs="Arial"/>
        </w:rPr>
        <w:t xml:space="preserve"> 2</w:t>
      </w:r>
      <w:r w:rsidRPr="00043121">
        <w:rPr>
          <w:rFonts w:cs="Arial"/>
        </w:rPr>
        <w:t xml:space="preserve">, there were insufficient data from </w:t>
      </w:r>
      <w:r w:rsidR="00653C3B">
        <w:rPr>
          <w:rFonts w:cs="Arial"/>
        </w:rPr>
        <w:t>the s</w:t>
      </w:r>
      <w:r w:rsidRPr="00043121">
        <w:rPr>
          <w:rFonts w:cs="Arial"/>
        </w:rPr>
        <w:t xml:space="preserve">tudies </w:t>
      </w:r>
      <w:r w:rsidR="00653C3B">
        <w:rPr>
          <w:rFonts w:cs="Arial"/>
        </w:rPr>
        <w:t xml:space="preserve">we identified </w:t>
      </w:r>
      <w:r w:rsidRPr="00043121">
        <w:rPr>
          <w:rFonts w:cs="Arial"/>
        </w:rPr>
        <w:t xml:space="preserve">to enable estimation of </w:t>
      </w:r>
      <w:r w:rsidR="00250FC4">
        <w:rPr>
          <w:rFonts w:cs="Arial"/>
        </w:rPr>
        <w:t xml:space="preserve">foodborne </w:t>
      </w:r>
      <w:proofErr w:type="spellStart"/>
      <w:r w:rsidRPr="00043121">
        <w:rPr>
          <w:rFonts w:cs="Arial"/>
        </w:rPr>
        <w:t>sapovirus</w:t>
      </w:r>
      <w:proofErr w:type="spellEnd"/>
      <w:r w:rsidRPr="00043121">
        <w:rPr>
          <w:rFonts w:cs="Arial"/>
        </w:rPr>
        <w:t xml:space="preserve">. For </w:t>
      </w:r>
      <w:r w:rsidRPr="00043121">
        <w:rPr>
          <w:rFonts w:cs="Arial"/>
          <w:i/>
        </w:rPr>
        <w:t>Campylobacter</w:t>
      </w:r>
      <w:r w:rsidRPr="00043121">
        <w:rPr>
          <w:rFonts w:cs="Arial"/>
        </w:rPr>
        <w:t xml:space="preserve">, </w:t>
      </w:r>
      <w:r w:rsidR="00571B5B" w:rsidRPr="00C51923">
        <w:rPr>
          <w:rFonts w:cs="Arial"/>
          <w:i/>
        </w:rPr>
        <w:t>E. coli</w:t>
      </w:r>
      <w:r w:rsidR="00571B5B">
        <w:rPr>
          <w:rFonts w:cs="Arial"/>
        </w:rPr>
        <w:t xml:space="preserve"> </w:t>
      </w:r>
      <w:r w:rsidRPr="00043121">
        <w:rPr>
          <w:rFonts w:cs="Arial"/>
        </w:rPr>
        <w:t xml:space="preserve">O157, </w:t>
      </w:r>
      <w:r w:rsidRPr="00043121">
        <w:rPr>
          <w:rFonts w:cs="Arial"/>
          <w:i/>
        </w:rPr>
        <w:t>Listeria</w:t>
      </w:r>
      <w:r w:rsidRPr="00043121">
        <w:rPr>
          <w:rFonts w:cs="Arial"/>
        </w:rPr>
        <w:t xml:space="preserve"> and </w:t>
      </w:r>
      <w:r w:rsidRPr="00043121">
        <w:rPr>
          <w:rFonts w:cs="Arial"/>
          <w:i/>
        </w:rPr>
        <w:t>Salmonella</w:t>
      </w:r>
      <w:r w:rsidRPr="00043121">
        <w:rPr>
          <w:rFonts w:cs="Arial"/>
        </w:rPr>
        <w:t xml:space="preserve">, further estimates from Model 3 are presented in Table </w:t>
      </w:r>
      <w:r w:rsidR="00250FC4">
        <w:rPr>
          <w:rFonts w:cs="Arial"/>
        </w:rPr>
        <w:t>5</w:t>
      </w:r>
      <w:r w:rsidRPr="00043121">
        <w:rPr>
          <w:rFonts w:cs="Arial"/>
        </w:rPr>
        <w:t>. The estimates from the three different models are compared in Figure</w:t>
      </w:r>
      <w:r w:rsidR="00C76678">
        <w:rPr>
          <w:rFonts w:cs="Arial"/>
        </w:rPr>
        <w:t>s</w:t>
      </w:r>
      <w:r w:rsidRPr="00043121">
        <w:rPr>
          <w:rFonts w:cs="Arial"/>
        </w:rPr>
        <w:t xml:space="preserve"> </w:t>
      </w:r>
      <w:r w:rsidR="00D15A2F">
        <w:rPr>
          <w:rFonts w:cs="Arial"/>
        </w:rPr>
        <w:t>3</w:t>
      </w:r>
      <w:r w:rsidR="00C76678">
        <w:rPr>
          <w:rFonts w:cs="Arial"/>
        </w:rPr>
        <w:t>a, 3b and 3c</w:t>
      </w:r>
      <w:r w:rsidRPr="00043121">
        <w:rPr>
          <w:rFonts w:cs="Arial"/>
        </w:rPr>
        <w:t xml:space="preserve">. </w:t>
      </w:r>
    </w:p>
    <w:p w14:paraId="5167C183" w14:textId="77777777" w:rsidR="004B2234" w:rsidRDefault="004B2234" w:rsidP="00546FCD">
      <w:pPr>
        <w:spacing w:after="0" w:line="360" w:lineRule="auto"/>
        <w:rPr>
          <w:rFonts w:cs="Arial"/>
        </w:rPr>
        <w:sectPr w:rsidR="004B2234" w:rsidSect="005E7E19">
          <w:pgSz w:w="11906" w:h="16838"/>
          <w:pgMar w:top="1440" w:right="1440" w:bottom="1440" w:left="1440" w:header="708" w:footer="708" w:gutter="0"/>
          <w:cols w:space="708"/>
          <w:docGrid w:linePitch="360"/>
        </w:sectPr>
      </w:pPr>
    </w:p>
    <w:p w14:paraId="131B6B9E" w14:textId="77777777" w:rsidR="004B2234" w:rsidRPr="004B2234" w:rsidRDefault="004B2234" w:rsidP="004B2234">
      <w:pPr>
        <w:spacing w:line="360" w:lineRule="auto"/>
        <w:rPr>
          <w:rFonts w:ascii="Calibri" w:eastAsia="MS Mincho" w:hAnsi="Calibri" w:cs="Arial"/>
          <w:b/>
          <w:bCs/>
        </w:rPr>
      </w:pPr>
      <w:r w:rsidRPr="004B2234">
        <w:rPr>
          <w:rFonts w:ascii="Calibri" w:eastAsia="MS Mincho" w:hAnsi="Calibri" w:cs="Arial"/>
          <w:b/>
          <w:bCs/>
        </w:rPr>
        <w:lastRenderedPageBreak/>
        <w:t xml:space="preserve">Table 4: Estimates of food-related cases, GP consultations and </w:t>
      </w:r>
      <w:proofErr w:type="spellStart"/>
      <w:r w:rsidRPr="004B2234">
        <w:rPr>
          <w:rFonts w:ascii="Calibri" w:eastAsia="MS Mincho" w:hAnsi="Calibri" w:cs="Arial"/>
          <w:b/>
          <w:bCs/>
        </w:rPr>
        <w:t>hospitalisations</w:t>
      </w:r>
      <w:proofErr w:type="spellEnd"/>
      <w:r w:rsidRPr="004B2234">
        <w:rPr>
          <w:rFonts w:ascii="Calibri" w:eastAsia="MS Mincho" w:hAnsi="Calibri" w:cs="Arial"/>
          <w:b/>
          <w:bCs/>
        </w:rPr>
        <w:t xml:space="preserve"> by pathogen, UK 2009 (Model 2)</w:t>
      </w:r>
    </w:p>
    <w:tbl>
      <w:tblPr>
        <w:tblW w:w="1285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5"/>
        <w:gridCol w:w="1052"/>
        <w:gridCol w:w="2074"/>
        <w:gridCol w:w="282"/>
        <w:gridCol w:w="1826"/>
        <w:gridCol w:w="1851"/>
        <w:gridCol w:w="262"/>
        <w:gridCol w:w="2098"/>
        <w:gridCol w:w="1573"/>
      </w:tblGrid>
      <w:tr w:rsidR="004B2234" w:rsidRPr="004B2234" w14:paraId="2790C065" w14:textId="77777777" w:rsidTr="005453FE">
        <w:trPr>
          <w:trHeight w:hRule="exact" w:val="289"/>
          <w:jc w:val="center"/>
        </w:trPr>
        <w:tc>
          <w:tcPr>
            <w:tcW w:w="1835" w:type="dxa"/>
            <w:tcBorders>
              <w:top w:val="single" w:sz="4" w:space="0" w:color="auto"/>
              <w:bottom w:val="single" w:sz="4" w:space="0" w:color="auto"/>
            </w:tcBorders>
            <w:shd w:val="clear" w:color="auto" w:fill="BFBFBF" w:themeFill="background1" w:themeFillShade="BF"/>
            <w:noWrap/>
            <w:vAlign w:val="center"/>
            <w:hideMark/>
          </w:tcPr>
          <w:p w14:paraId="1DFC3829" w14:textId="77777777" w:rsidR="004B2234" w:rsidRPr="004B2234" w:rsidRDefault="004B2234" w:rsidP="004B2234">
            <w:pPr>
              <w:rPr>
                <w:rFonts w:ascii="Calibri" w:eastAsia="Times New Roman" w:hAnsi="Calibri" w:cs="Calibri"/>
                <w:b/>
                <w:color w:val="000000"/>
              </w:rPr>
            </w:pPr>
            <w:r w:rsidRPr="004B2234">
              <w:rPr>
                <w:rFonts w:ascii="Calibri" w:eastAsia="Times New Roman" w:hAnsi="Calibri" w:cs="Calibri"/>
                <w:b/>
                <w:color w:val="000000"/>
              </w:rPr>
              <w:t>Organism</w:t>
            </w:r>
          </w:p>
        </w:tc>
        <w:tc>
          <w:tcPr>
            <w:tcW w:w="1052" w:type="dxa"/>
            <w:tcBorders>
              <w:top w:val="single" w:sz="4" w:space="0" w:color="auto"/>
              <w:bottom w:val="single" w:sz="4" w:space="0" w:color="auto"/>
            </w:tcBorders>
            <w:shd w:val="clear" w:color="auto" w:fill="BFBFBF" w:themeFill="background1" w:themeFillShade="BF"/>
            <w:noWrap/>
            <w:vAlign w:val="center"/>
            <w:hideMark/>
          </w:tcPr>
          <w:p w14:paraId="7003335D" w14:textId="77777777" w:rsidR="004B2234" w:rsidRPr="004B2234" w:rsidRDefault="004B2234" w:rsidP="004B2234">
            <w:pPr>
              <w:jc w:val="center"/>
              <w:rPr>
                <w:rFonts w:ascii="Calibri" w:eastAsia="Times New Roman" w:hAnsi="Calibri" w:cs="Calibri"/>
                <w:b/>
                <w:color w:val="000000"/>
              </w:rPr>
            </w:pPr>
            <w:r w:rsidRPr="004B2234">
              <w:rPr>
                <w:rFonts w:ascii="Calibri" w:eastAsia="Times New Roman" w:hAnsi="Calibri" w:cs="Calibri"/>
                <w:b/>
                <w:color w:val="000000"/>
              </w:rPr>
              <w:t>Cases</w:t>
            </w:r>
          </w:p>
        </w:tc>
        <w:tc>
          <w:tcPr>
            <w:tcW w:w="2074" w:type="dxa"/>
            <w:tcBorders>
              <w:top w:val="single" w:sz="4" w:space="0" w:color="auto"/>
              <w:bottom w:val="single" w:sz="4" w:space="0" w:color="auto"/>
            </w:tcBorders>
            <w:shd w:val="clear" w:color="auto" w:fill="BFBFBF" w:themeFill="background1" w:themeFillShade="BF"/>
            <w:noWrap/>
            <w:vAlign w:val="center"/>
            <w:hideMark/>
          </w:tcPr>
          <w:p w14:paraId="45D67903" w14:textId="77777777" w:rsidR="004B2234" w:rsidRPr="004B2234" w:rsidRDefault="004B2234" w:rsidP="004B2234">
            <w:pPr>
              <w:jc w:val="center"/>
              <w:rPr>
                <w:rFonts w:ascii="Calibri" w:eastAsia="Times New Roman" w:hAnsi="Calibri" w:cs="Calibri"/>
                <w:b/>
                <w:color w:val="000000"/>
                <w:sz w:val="18"/>
              </w:rPr>
            </w:pPr>
            <w:r w:rsidRPr="004B2234">
              <w:rPr>
                <w:rFonts w:ascii="Calibri" w:eastAsia="Times New Roman" w:hAnsi="Calibri" w:cs="Calibri"/>
                <w:b/>
                <w:color w:val="000000"/>
                <w:sz w:val="18"/>
              </w:rPr>
              <w:t xml:space="preserve">(95% </w:t>
            </w:r>
            <w:proofErr w:type="spellStart"/>
            <w:r w:rsidRPr="004B2234">
              <w:rPr>
                <w:rFonts w:ascii="Calibri" w:eastAsia="Times New Roman" w:hAnsi="Calibri" w:cs="Calibri"/>
                <w:b/>
                <w:color w:val="000000"/>
                <w:sz w:val="18"/>
              </w:rPr>
              <w:t>CrI</w:t>
            </w:r>
            <w:proofErr w:type="spellEnd"/>
            <w:r w:rsidRPr="004B2234">
              <w:rPr>
                <w:rFonts w:ascii="Calibri" w:eastAsia="Times New Roman" w:hAnsi="Calibri" w:cs="Calibri"/>
                <w:b/>
                <w:color w:val="000000"/>
                <w:sz w:val="18"/>
              </w:rPr>
              <w:t>)</w:t>
            </w:r>
          </w:p>
        </w:tc>
        <w:tc>
          <w:tcPr>
            <w:tcW w:w="282" w:type="dxa"/>
            <w:tcBorders>
              <w:top w:val="single" w:sz="4" w:space="0" w:color="auto"/>
              <w:bottom w:val="single" w:sz="4" w:space="0" w:color="auto"/>
            </w:tcBorders>
            <w:shd w:val="clear" w:color="auto" w:fill="BFBFBF" w:themeFill="background1" w:themeFillShade="BF"/>
            <w:noWrap/>
            <w:vAlign w:val="center"/>
            <w:hideMark/>
          </w:tcPr>
          <w:p w14:paraId="4FED363D" w14:textId="77777777" w:rsidR="004B2234" w:rsidRPr="004B2234" w:rsidRDefault="004B2234" w:rsidP="004B2234">
            <w:pPr>
              <w:jc w:val="center"/>
              <w:rPr>
                <w:rFonts w:ascii="Calibri" w:eastAsia="Times New Roman" w:hAnsi="Calibri" w:cs="Calibri"/>
                <w:b/>
                <w:color w:val="000000"/>
              </w:rPr>
            </w:pPr>
          </w:p>
        </w:tc>
        <w:tc>
          <w:tcPr>
            <w:tcW w:w="1826" w:type="dxa"/>
            <w:tcBorders>
              <w:top w:val="single" w:sz="4" w:space="0" w:color="auto"/>
              <w:bottom w:val="single" w:sz="4" w:space="0" w:color="auto"/>
            </w:tcBorders>
            <w:shd w:val="clear" w:color="auto" w:fill="BFBFBF" w:themeFill="background1" w:themeFillShade="BF"/>
            <w:noWrap/>
            <w:vAlign w:val="center"/>
            <w:hideMark/>
          </w:tcPr>
          <w:p w14:paraId="5A46AD4E" w14:textId="77777777" w:rsidR="004B2234" w:rsidRPr="004B2234" w:rsidRDefault="004B2234" w:rsidP="004B2234">
            <w:pPr>
              <w:jc w:val="center"/>
              <w:rPr>
                <w:rFonts w:ascii="Calibri" w:eastAsia="Times New Roman" w:hAnsi="Calibri" w:cs="Calibri"/>
                <w:b/>
                <w:color w:val="000000"/>
              </w:rPr>
            </w:pPr>
            <w:r w:rsidRPr="004B2234">
              <w:rPr>
                <w:rFonts w:ascii="Calibri" w:eastAsia="Times New Roman" w:hAnsi="Calibri" w:cs="Calibri"/>
                <w:b/>
                <w:color w:val="000000"/>
              </w:rPr>
              <w:t>GP consultations</w:t>
            </w:r>
          </w:p>
        </w:tc>
        <w:tc>
          <w:tcPr>
            <w:tcW w:w="1851" w:type="dxa"/>
            <w:tcBorders>
              <w:top w:val="single" w:sz="4" w:space="0" w:color="auto"/>
              <w:bottom w:val="single" w:sz="4" w:space="0" w:color="auto"/>
            </w:tcBorders>
            <w:shd w:val="clear" w:color="auto" w:fill="BFBFBF" w:themeFill="background1" w:themeFillShade="BF"/>
            <w:noWrap/>
            <w:vAlign w:val="center"/>
            <w:hideMark/>
          </w:tcPr>
          <w:p w14:paraId="64737FCC" w14:textId="77777777" w:rsidR="004B2234" w:rsidRPr="004B2234" w:rsidRDefault="004B2234" w:rsidP="004B2234">
            <w:pPr>
              <w:jc w:val="center"/>
              <w:rPr>
                <w:rFonts w:ascii="Calibri" w:eastAsia="Times New Roman" w:hAnsi="Calibri" w:cs="Calibri"/>
                <w:b/>
                <w:color w:val="000000"/>
                <w:sz w:val="18"/>
              </w:rPr>
            </w:pPr>
            <w:r w:rsidRPr="004B2234">
              <w:rPr>
                <w:rFonts w:ascii="Calibri" w:eastAsia="Times New Roman" w:hAnsi="Calibri" w:cs="Calibri"/>
                <w:b/>
                <w:color w:val="000000"/>
                <w:sz w:val="18"/>
              </w:rPr>
              <w:t xml:space="preserve">(95% </w:t>
            </w:r>
            <w:proofErr w:type="spellStart"/>
            <w:r w:rsidRPr="004B2234">
              <w:rPr>
                <w:rFonts w:ascii="Calibri" w:eastAsia="Times New Roman" w:hAnsi="Calibri" w:cs="Calibri"/>
                <w:b/>
                <w:color w:val="000000"/>
                <w:sz w:val="18"/>
              </w:rPr>
              <w:t>CrI</w:t>
            </w:r>
            <w:proofErr w:type="spellEnd"/>
            <w:r w:rsidRPr="004B2234">
              <w:rPr>
                <w:rFonts w:ascii="Calibri" w:eastAsia="Times New Roman" w:hAnsi="Calibri" w:cs="Calibri"/>
                <w:b/>
                <w:color w:val="000000"/>
                <w:sz w:val="18"/>
              </w:rPr>
              <w:t>)</w:t>
            </w:r>
          </w:p>
        </w:tc>
        <w:tc>
          <w:tcPr>
            <w:tcW w:w="262" w:type="dxa"/>
            <w:tcBorders>
              <w:top w:val="single" w:sz="4" w:space="0" w:color="auto"/>
              <w:bottom w:val="single" w:sz="4" w:space="0" w:color="auto"/>
            </w:tcBorders>
            <w:shd w:val="clear" w:color="auto" w:fill="BFBFBF" w:themeFill="background1" w:themeFillShade="BF"/>
            <w:noWrap/>
            <w:vAlign w:val="center"/>
            <w:hideMark/>
          </w:tcPr>
          <w:p w14:paraId="3DFA959E" w14:textId="77777777" w:rsidR="004B2234" w:rsidRPr="004B2234" w:rsidRDefault="004B2234" w:rsidP="004B2234">
            <w:pPr>
              <w:jc w:val="center"/>
              <w:rPr>
                <w:rFonts w:ascii="Calibri" w:eastAsia="Times New Roman" w:hAnsi="Calibri" w:cs="Calibri"/>
                <w:b/>
                <w:color w:val="000000"/>
              </w:rPr>
            </w:pPr>
          </w:p>
        </w:tc>
        <w:tc>
          <w:tcPr>
            <w:tcW w:w="2098" w:type="dxa"/>
            <w:tcBorders>
              <w:top w:val="single" w:sz="4" w:space="0" w:color="auto"/>
              <w:bottom w:val="single" w:sz="4" w:space="0" w:color="auto"/>
            </w:tcBorders>
            <w:shd w:val="clear" w:color="auto" w:fill="BFBFBF" w:themeFill="background1" w:themeFillShade="BF"/>
            <w:noWrap/>
            <w:vAlign w:val="center"/>
            <w:hideMark/>
          </w:tcPr>
          <w:p w14:paraId="514AA670" w14:textId="77777777" w:rsidR="004B2234" w:rsidRPr="004B2234" w:rsidRDefault="004B2234" w:rsidP="004B2234">
            <w:pPr>
              <w:jc w:val="center"/>
              <w:rPr>
                <w:rFonts w:ascii="Calibri" w:eastAsia="Times New Roman" w:hAnsi="Calibri" w:cs="Calibri"/>
                <w:b/>
                <w:color w:val="000000"/>
              </w:rPr>
            </w:pPr>
            <w:r w:rsidRPr="004B2234">
              <w:rPr>
                <w:rFonts w:ascii="Calibri" w:eastAsia="Times New Roman" w:hAnsi="Calibri" w:cs="Calibri"/>
                <w:b/>
                <w:color w:val="000000"/>
              </w:rPr>
              <w:t>Hospital admissions</w:t>
            </w:r>
          </w:p>
        </w:tc>
        <w:tc>
          <w:tcPr>
            <w:tcW w:w="1573" w:type="dxa"/>
            <w:tcBorders>
              <w:top w:val="single" w:sz="4" w:space="0" w:color="auto"/>
              <w:bottom w:val="single" w:sz="4" w:space="0" w:color="auto"/>
            </w:tcBorders>
            <w:shd w:val="clear" w:color="auto" w:fill="BFBFBF" w:themeFill="background1" w:themeFillShade="BF"/>
            <w:noWrap/>
            <w:vAlign w:val="center"/>
            <w:hideMark/>
          </w:tcPr>
          <w:p w14:paraId="37E000F0" w14:textId="77777777" w:rsidR="004B2234" w:rsidRPr="004B2234" w:rsidRDefault="004B2234" w:rsidP="004B2234">
            <w:pPr>
              <w:jc w:val="center"/>
              <w:rPr>
                <w:rFonts w:ascii="Calibri" w:eastAsia="Times New Roman" w:hAnsi="Calibri" w:cs="Calibri"/>
                <w:b/>
                <w:color w:val="000000"/>
                <w:sz w:val="18"/>
              </w:rPr>
            </w:pPr>
            <w:r w:rsidRPr="004B2234">
              <w:rPr>
                <w:rFonts w:ascii="Calibri" w:eastAsia="Times New Roman" w:hAnsi="Calibri" w:cs="Calibri"/>
                <w:b/>
                <w:color w:val="000000"/>
                <w:sz w:val="18"/>
              </w:rPr>
              <w:t xml:space="preserve">(95% </w:t>
            </w:r>
            <w:proofErr w:type="spellStart"/>
            <w:r w:rsidRPr="004B2234">
              <w:rPr>
                <w:rFonts w:ascii="Calibri" w:eastAsia="Times New Roman" w:hAnsi="Calibri" w:cs="Calibri"/>
                <w:b/>
                <w:color w:val="000000"/>
                <w:sz w:val="18"/>
              </w:rPr>
              <w:t>CrI</w:t>
            </w:r>
            <w:proofErr w:type="spellEnd"/>
            <w:r w:rsidRPr="004B2234">
              <w:rPr>
                <w:rFonts w:ascii="Calibri" w:eastAsia="Times New Roman" w:hAnsi="Calibri" w:cs="Calibri"/>
                <w:b/>
                <w:color w:val="000000"/>
                <w:sz w:val="18"/>
              </w:rPr>
              <w:t>)</w:t>
            </w:r>
          </w:p>
        </w:tc>
      </w:tr>
      <w:tr w:rsidR="004B2234" w:rsidRPr="004B2234" w14:paraId="07EFAF15" w14:textId="77777777" w:rsidTr="005453FE">
        <w:trPr>
          <w:trHeight w:hRule="exact" w:val="289"/>
          <w:jc w:val="center"/>
        </w:trPr>
        <w:tc>
          <w:tcPr>
            <w:tcW w:w="1835" w:type="dxa"/>
            <w:tcBorders>
              <w:top w:val="single" w:sz="4" w:space="0" w:color="auto"/>
              <w:bottom w:val="nil"/>
            </w:tcBorders>
            <w:noWrap/>
            <w:vAlign w:val="center"/>
            <w:hideMark/>
          </w:tcPr>
          <w:p w14:paraId="7731A7EC" w14:textId="77777777" w:rsidR="004B2234" w:rsidRPr="004B2234" w:rsidRDefault="004B2234" w:rsidP="004B2234">
            <w:pPr>
              <w:rPr>
                <w:rFonts w:ascii="Calibri" w:eastAsia="Times New Roman" w:hAnsi="Calibri" w:cs="Calibri"/>
                <w:iCs/>
                <w:color w:val="000000"/>
              </w:rPr>
            </w:pPr>
            <w:r w:rsidRPr="004B2234">
              <w:rPr>
                <w:rFonts w:ascii="Calibri" w:eastAsia="Times New Roman" w:hAnsi="Calibri" w:cs="Calibri"/>
                <w:iCs/>
                <w:color w:val="000000"/>
              </w:rPr>
              <w:t>Bacteria</w:t>
            </w:r>
          </w:p>
        </w:tc>
        <w:tc>
          <w:tcPr>
            <w:tcW w:w="1052" w:type="dxa"/>
            <w:tcBorders>
              <w:top w:val="single" w:sz="4" w:space="0" w:color="auto"/>
              <w:bottom w:val="nil"/>
            </w:tcBorders>
            <w:noWrap/>
            <w:vAlign w:val="center"/>
            <w:hideMark/>
          </w:tcPr>
          <w:p w14:paraId="470402A5" w14:textId="77777777" w:rsidR="004B2234" w:rsidRPr="004B2234" w:rsidRDefault="004B2234" w:rsidP="004B2234">
            <w:pPr>
              <w:jc w:val="center"/>
              <w:rPr>
                <w:rFonts w:ascii="Calibri" w:eastAsia="Times New Roman" w:hAnsi="Calibri" w:cs="Calibri"/>
                <w:color w:val="000000"/>
              </w:rPr>
            </w:pPr>
          </w:p>
        </w:tc>
        <w:tc>
          <w:tcPr>
            <w:tcW w:w="2074" w:type="dxa"/>
            <w:tcBorders>
              <w:top w:val="single" w:sz="4" w:space="0" w:color="auto"/>
              <w:bottom w:val="nil"/>
            </w:tcBorders>
            <w:noWrap/>
            <w:vAlign w:val="center"/>
            <w:hideMark/>
          </w:tcPr>
          <w:p w14:paraId="7FE63BCB" w14:textId="77777777" w:rsidR="004B2234" w:rsidRPr="004B2234" w:rsidRDefault="004B2234" w:rsidP="004B2234">
            <w:pPr>
              <w:jc w:val="center"/>
              <w:rPr>
                <w:rFonts w:ascii="Calibri" w:eastAsia="Times New Roman" w:hAnsi="Calibri" w:cs="Calibri"/>
                <w:color w:val="000000"/>
                <w:sz w:val="18"/>
              </w:rPr>
            </w:pPr>
          </w:p>
        </w:tc>
        <w:tc>
          <w:tcPr>
            <w:tcW w:w="282" w:type="dxa"/>
            <w:tcBorders>
              <w:top w:val="single" w:sz="4" w:space="0" w:color="auto"/>
              <w:bottom w:val="nil"/>
            </w:tcBorders>
            <w:noWrap/>
            <w:vAlign w:val="center"/>
            <w:hideMark/>
          </w:tcPr>
          <w:p w14:paraId="3E90E25E" w14:textId="77777777" w:rsidR="004B2234" w:rsidRPr="004B2234" w:rsidRDefault="004B2234" w:rsidP="004B2234">
            <w:pPr>
              <w:jc w:val="center"/>
              <w:rPr>
                <w:rFonts w:ascii="Calibri" w:eastAsia="Times New Roman" w:hAnsi="Calibri" w:cs="Calibri"/>
                <w:color w:val="000000"/>
              </w:rPr>
            </w:pPr>
          </w:p>
        </w:tc>
        <w:tc>
          <w:tcPr>
            <w:tcW w:w="1826" w:type="dxa"/>
            <w:tcBorders>
              <w:top w:val="single" w:sz="4" w:space="0" w:color="auto"/>
              <w:bottom w:val="nil"/>
            </w:tcBorders>
            <w:noWrap/>
            <w:vAlign w:val="center"/>
            <w:hideMark/>
          </w:tcPr>
          <w:p w14:paraId="5749014B" w14:textId="77777777" w:rsidR="004B2234" w:rsidRPr="004B2234" w:rsidRDefault="004B2234" w:rsidP="004B2234">
            <w:pPr>
              <w:jc w:val="center"/>
              <w:rPr>
                <w:rFonts w:ascii="Calibri" w:eastAsia="Times New Roman" w:hAnsi="Calibri" w:cs="Calibri"/>
                <w:color w:val="000000"/>
              </w:rPr>
            </w:pPr>
          </w:p>
        </w:tc>
        <w:tc>
          <w:tcPr>
            <w:tcW w:w="1851" w:type="dxa"/>
            <w:tcBorders>
              <w:top w:val="single" w:sz="4" w:space="0" w:color="auto"/>
              <w:bottom w:val="nil"/>
            </w:tcBorders>
            <w:noWrap/>
            <w:vAlign w:val="center"/>
            <w:hideMark/>
          </w:tcPr>
          <w:p w14:paraId="26C38F96" w14:textId="77777777" w:rsidR="004B2234" w:rsidRPr="004B2234" w:rsidRDefault="004B2234" w:rsidP="004B2234">
            <w:pPr>
              <w:jc w:val="center"/>
              <w:rPr>
                <w:rFonts w:ascii="Calibri" w:eastAsia="Times New Roman" w:hAnsi="Calibri" w:cs="Calibri"/>
                <w:color w:val="000000"/>
                <w:sz w:val="18"/>
              </w:rPr>
            </w:pPr>
          </w:p>
        </w:tc>
        <w:tc>
          <w:tcPr>
            <w:tcW w:w="262" w:type="dxa"/>
            <w:tcBorders>
              <w:top w:val="single" w:sz="4" w:space="0" w:color="auto"/>
              <w:bottom w:val="nil"/>
            </w:tcBorders>
            <w:noWrap/>
            <w:vAlign w:val="center"/>
            <w:hideMark/>
          </w:tcPr>
          <w:p w14:paraId="37683234" w14:textId="77777777" w:rsidR="004B2234" w:rsidRPr="004B2234" w:rsidRDefault="004B2234" w:rsidP="004B2234">
            <w:pPr>
              <w:jc w:val="center"/>
              <w:rPr>
                <w:rFonts w:ascii="Calibri" w:eastAsia="Times New Roman" w:hAnsi="Calibri" w:cs="Calibri"/>
                <w:color w:val="000000"/>
              </w:rPr>
            </w:pPr>
          </w:p>
        </w:tc>
        <w:tc>
          <w:tcPr>
            <w:tcW w:w="2098" w:type="dxa"/>
            <w:tcBorders>
              <w:top w:val="single" w:sz="4" w:space="0" w:color="auto"/>
              <w:bottom w:val="nil"/>
            </w:tcBorders>
            <w:noWrap/>
            <w:vAlign w:val="center"/>
            <w:hideMark/>
          </w:tcPr>
          <w:p w14:paraId="335ABE06" w14:textId="77777777" w:rsidR="004B2234" w:rsidRPr="004B2234" w:rsidRDefault="004B2234" w:rsidP="004B2234">
            <w:pPr>
              <w:jc w:val="center"/>
              <w:rPr>
                <w:rFonts w:ascii="Calibri" w:eastAsia="Times New Roman" w:hAnsi="Calibri" w:cs="Calibri"/>
                <w:color w:val="000000"/>
              </w:rPr>
            </w:pPr>
          </w:p>
        </w:tc>
        <w:tc>
          <w:tcPr>
            <w:tcW w:w="1573" w:type="dxa"/>
            <w:tcBorders>
              <w:top w:val="single" w:sz="4" w:space="0" w:color="auto"/>
              <w:bottom w:val="nil"/>
            </w:tcBorders>
            <w:noWrap/>
            <w:vAlign w:val="center"/>
            <w:hideMark/>
          </w:tcPr>
          <w:p w14:paraId="3B38AA72" w14:textId="77777777" w:rsidR="004B2234" w:rsidRPr="004B2234" w:rsidRDefault="004B2234" w:rsidP="004B2234">
            <w:pPr>
              <w:jc w:val="center"/>
              <w:rPr>
                <w:rFonts w:ascii="Calibri" w:eastAsia="Times New Roman" w:hAnsi="Calibri" w:cs="Calibri"/>
                <w:color w:val="000000"/>
                <w:sz w:val="18"/>
              </w:rPr>
            </w:pPr>
          </w:p>
        </w:tc>
      </w:tr>
      <w:tr w:rsidR="004B2234" w:rsidRPr="004B2234" w14:paraId="67FAA7C8" w14:textId="77777777" w:rsidTr="005453FE">
        <w:trPr>
          <w:trHeight w:hRule="exact" w:val="289"/>
          <w:jc w:val="center"/>
        </w:trPr>
        <w:tc>
          <w:tcPr>
            <w:tcW w:w="1835" w:type="dxa"/>
            <w:noWrap/>
            <w:vAlign w:val="center"/>
            <w:hideMark/>
          </w:tcPr>
          <w:p w14:paraId="111C800A"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 xml:space="preserve">C. </w:t>
            </w:r>
            <w:proofErr w:type="spellStart"/>
            <w:r w:rsidRPr="004B2234">
              <w:rPr>
                <w:rFonts w:ascii="Calibri" w:eastAsia="Times New Roman" w:hAnsi="Calibri" w:cs="Calibri"/>
                <w:i/>
                <w:iCs/>
                <w:color w:val="000000"/>
              </w:rPr>
              <w:t>perfringens</w:t>
            </w:r>
            <w:proofErr w:type="spellEnd"/>
          </w:p>
        </w:tc>
        <w:tc>
          <w:tcPr>
            <w:tcW w:w="1052" w:type="dxa"/>
            <w:noWrap/>
            <w:vAlign w:val="center"/>
            <w:hideMark/>
          </w:tcPr>
          <w:p w14:paraId="0D68B715"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79,570</w:t>
            </w:r>
          </w:p>
        </w:tc>
        <w:tc>
          <w:tcPr>
            <w:tcW w:w="2074" w:type="dxa"/>
            <w:noWrap/>
            <w:vAlign w:val="center"/>
            <w:hideMark/>
          </w:tcPr>
          <w:p w14:paraId="054463FE"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(30,700 - 211,298)</w:t>
            </w:r>
          </w:p>
        </w:tc>
        <w:tc>
          <w:tcPr>
            <w:tcW w:w="282" w:type="dxa"/>
            <w:noWrap/>
            <w:vAlign w:val="center"/>
            <w:hideMark/>
          </w:tcPr>
          <w:p w14:paraId="2BBCC611"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040735E6"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12,680</w:t>
            </w:r>
          </w:p>
        </w:tc>
        <w:tc>
          <w:tcPr>
            <w:tcW w:w="1851" w:type="dxa"/>
            <w:noWrap/>
            <w:vAlign w:val="center"/>
            <w:hideMark/>
          </w:tcPr>
          <w:p w14:paraId="23AB631E"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(6,072 - 27,040)</w:t>
            </w:r>
          </w:p>
        </w:tc>
        <w:tc>
          <w:tcPr>
            <w:tcW w:w="262" w:type="dxa"/>
            <w:noWrap/>
            <w:vAlign w:val="center"/>
            <w:hideMark/>
          </w:tcPr>
          <w:p w14:paraId="01062FF9"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656B0E2A"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186</w:t>
            </w:r>
          </w:p>
        </w:tc>
        <w:tc>
          <w:tcPr>
            <w:tcW w:w="1573" w:type="dxa"/>
            <w:noWrap/>
            <w:vAlign w:val="center"/>
            <w:hideMark/>
          </w:tcPr>
          <w:p w14:paraId="570B4FA1"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(38 - 732)</w:t>
            </w:r>
          </w:p>
        </w:tc>
      </w:tr>
      <w:tr w:rsidR="004B2234" w:rsidRPr="004B2234" w14:paraId="194FB40A" w14:textId="77777777" w:rsidTr="005453FE">
        <w:trPr>
          <w:trHeight w:hRule="exact" w:val="289"/>
          <w:jc w:val="center"/>
        </w:trPr>
        <w:tc>
          <w:tcPr>
            <w:tcW w:w="1835" w:type="dxa"/>
            <w:noWrap/>
            <w:vAlign w:val="center"/>
            <w:hideMark/>
          </w:tcPr>
          <w:p w14:paraId="16038AC3"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Campylobacter</w:t>
            </w:r>
          </w:p>
        </w:tc>
        <w:tc>
          <w:tcPr>
            <w:tcW w:w="1052" w:type="dxa"/>
            <w:noWrap/>
            <w:vAlign w:val="center"/>
            <w:hideMark/>
          </w:tcPr>
          <w:p w14:paraId="20EF0BEC"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280,400</w:t>
            </w:r>
          </w:p>
        </w:tc>
        <w:tc>
          <w:tcPr>
            <w:tcW w:w="2074" w:type="dxa"/>
            <w:noWrap/>
            <w:vAlign w:val="center"/>
            <w:hideMark/>
          </w:tcPr>
          <w:p w14:paraId="0DA90F3D"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(182,503 - 435,693)</w:t>
            </w:r>
          </w:p>
        </w:tc>
        <w:tc>
          <w:tcPr>
            <w:tcW w:w="282" w:type="dxa"/>
            <w:noWrap/>
            <w:vAlign w:val="center"/>
            <w:hideMark/>
          </w:tcPr>
          <w:p w14:paraId="29BA5AF9"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6D40C4B1"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38,860</w:t>
            </w:r>
          </w:p>
        </w:tc>
        <w:tc>
          <w:tcPr>
            <w:tcW w:w="1851" w:type="dxa"/>
            <w:noWrap/>
            <w:vAlign w:val="center"/>
            <w:hideMark/>
          </w:tcPr>
          <w:p w14:paraId="68C6AA04"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(27,160 - 55,610)</w:t>
            </w:r>
          </w:p>
        </w:tc>
        <w:tc>
          <w:tcPr>
            <w:tcW w:w="262" w:type="dxa"/>
            <w:noWrap/>
            <w:vAlign w:val="center"/>
            <w:hideMark/>
          </w:tcPr>
          <w:p w14:paraId="28755510"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384D1916"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562</w:t>
            </w:r>
          </w:p>
        </w:tc>
        <w:tc>
          <w:tcPr>
            <w:tcW w:w="1573" w:type="dxa"/>
            <w:noWrap/>
            <w:vAlign w:val="center"/>
            <w:hideMark/>
          </w:tcPr>
          <w:p w14:paraId="00C82568"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(189 - 1,330)</w:t>
            </w:r>
          </w:p>
        </w:tc>
      </w:tr>
      <w:tr w:rsidR="004B2234" w:rsidRPr="004B2234" w14:paraId="249ED79F" w14:textId="77777777" w:rsidTr="005453FE">
        <w:trPr>
          <w:trHeight w:hRule="exact" w:val="289"/>
          <w:jc w:val="center"/>
        </w:trPr>
        <w:tc>
          <w:tcPr>
            <w:tcW w:w="1835" w:type="dxa"/>
            <w:noWrap/>
            <w:vAlign w:val="center"/>
            <w:hideMark/>
          </w:tcPr>
          <w:p w14:paraId="21BAB263"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E. coli</w:t>
            </w:r>
            <w:r w:rsidRPr="004B2234">
              <w:rPr>
                <w:rFonts w:ascii="Calibri" w:eastAsia="Times New Roman" w:hAnsi="Calibri" w:cs="Calibri"/>
                <w:color w:val="000000"/>
              </w:rPr>
              <w:t xml:space="preserve"> O157</w:t>
            </w:r>
          </w:p>
        </w:tc>
        <w:tc>
          <w:tcPr>
            <w:tcW w:w="1052" w:type="dxa"/>
            <w:noWrap/>
            <w:vAlign w:val="center"/>
            <w:hideMark/>
          </w:tcPr>
          <w:p w14:paraId="125A3B46"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9,886</w:t>
            </w:r>
          </w:p>
        </w:tc>
        <w:tc>
          <w:tcPr>
            <w:tcW w:w="2074" w:type="dxa"/>
            <w:noWrap/>
            <w:vAlign w:val="center"/>
            <w:hideMark/>
          </w:tcPr>
          <w:p w14:paraId="2AA0AA36"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(748 - 142,198)</w:t>
            </w:r>
          </w:p>
        </w:tc>
        <w:tc>
          <w:tcPr>
            <w:tcW w:w="282" w:type="dxa"/>
            <w:noWrap/>
            <w:vAlign w:val="center"/>
            <w:hideMark/>
          </w:tcPr>
          <w:p w14:paraId="70AE972B"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74EA41FE"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342</w:t>
            </w:r>
          </w:p>
        </w:tc>
        <w:tc>
          <w:tcPr>
            <w:tcW w:w="1851" w:type="dxa"/>
            <w:noWrap/>
            <w:vAlign w:val="center"/>
            <w:hideMark/>
          </w:tcPr>
          <w:p w14:paraId="59F2AF1F"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(37 - 3,030)</w:t>
            </w:r>
          </w:p>
        </w:tc>
        <w:tc>
          <w:tcPr>
            <w:tcW w:w="262" w:type="dxa"/>
            <w:noWrap/>
            <w:vAlign w:val="center"/>
            <w:hideMark/>
          </w:tcPr>
          <w:p w14:paraId="4E353039"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6987CD20"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2,233</w:t>
            </w:r>
          </w:p>
        </w:tc>
        <w:tc>
          <w:tcPr>
            <w:tcW w:w="1573" w:type="dxa"/>
            <w:noWrap/>
            <w:vAlign w:val="center"/>
            <w:hideMark/>
          </w:tcPr>
          <w:p w14:paraId="19D53D56"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(170 - 32,159)</w:t>
            </w:r>
          </w:p>
        </w:tc>
      </w:tr>
      <w:tr w:rsidR="004B2234" w:rsidRPr="004B2234" w14:paraId="47F77E44" w14:textId="77777777" w:rsidTr="005453FE">
        <w:trPr>
          <w:trHeight w:hRule="exact" w:val="289"/>
          <w:jc w:val="center"/>
        </w:trPr>
        <w:tc>
          <w:tcPr>
            <w:tcW w:w="1835" w:type="dxa"/>
            <w:noWrap/>
            <w:vAlign w:val="center"/>
            <w:hideMark/>
          </w:tcPr>
          <w:p w14:paraId="7CC2BE42"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Listeria</w:t>
            </w:r>
          </w:p>
        </w:tc>
        <w:tc>
          <w:tcPr>
            <w:tcW w:w="1052" w:type="dxa"/>
            <w:noWrap/>
            <w:vAlign w:val="center"/>
            <w:hideMark/>
          </w:tcPr>
          <w:p w14:paraId="5609DF77"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183</w:t>
            </w:r>
          </w:p>
        </w:tc>
        <w:tc>
          <w:tcPr>
            <w:tcW w:w="2074" w:type="dxa"/>
            <w:noWrap/>
            <w:vAlign w:val="center"/>
            <w:hideMark/>
          </w:tcPr>
          <w:p w14:paraId="53CEAAE0"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(161 – 217)</w:t>
            </w:r>
          </w:p>
        </w:tc>
        <w:tc>
          <w:tcPr>
            <w:tcW w:w="282" w:type="dxa"/>
            <w:noWrap/>
            <w:vAlign w:val="center"/>
            <w:hideMark/>
          </w:tcPr>
          <w:p w14:paraId="3A7E3AA0"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179BF181"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183</w:t>
            </w:r>
          </w:p>
        </w:tc>
        <w:tc>
          <w:tcPr>
            <w:tcW w:w="1851" w:type="dxa"/>
            <w:noWrap/>
            <w:vAlign w:val="center"/>
            <w:hideMark/>
          </w:tcPr>
          <w:p w14:paraId="548CB27C"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(161 – 217)</w:t>
            </w:r>
          </w:p>
        </w:tc>
        <w:tc>
          <w:tcPr>
            <w:tcW w:w="262" w:type="dxa"/>
            <w:noWrap/>
            <w:vAlign w:val="center"/>
            <w:hideMark/>
          </w:tcPr>
          <w:p w14:paraId="34A829F8"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325EF0A7"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w:t>
            </w:r>
          </w:p>
        </w:tc>
        <w:tc>
          <w:tcPr>
            <w:tcW w:w="1573" w:type="dxa"/>
            <w:noWrap/>
            <w:vAlign w:val="center"/>
            <w:hideMark/>
          </w:tcPr>
          <w:p w14:paraId="7F42FD2C"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w:t>
            </w:r>
          </w:p>
        </w:tc>
      </w:tr>
      <w:tr w:rsidR="004B2234" w:rsidRPr="004B2234" w14:paraId="60DB0C05" w14:textId="77777777" w:rsidTr="005453FE">
        <w:trPr>
          <w:trHeight w:hRule="exact" w:val="289"/>
          <w:jc w:val="center"/>
        </w:trPr>
        <w:tc>
          <w:tcPr>
            <w:tcW w:w="1835" w:type="dxa"/>
            <w:noWrap/>
            <w:vAlign w:val="center"/>
            <w:hideMark/>
          </w:tcPr>
          <w:p w14:paraId="7CB3C526"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Salmonella</w:t>
            </w:r>
          </w:p>
        </w:tc>
        <w:tc>
          <w:tcPr>
            <w:tcW w:w="1052" w:type="dxa"/>
            <w:noWrap/>
            <w:vAlign w:val="center"/>
            <w:hideMark/>
          </w:tcPr>
          <w:p w14:paraId="179F49D4"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33,130</w:t>
            </w:r>
          </w:p>
        </w:tc>
        <w:tc>
          <w:tcPr>
            <w:tcW w:w="2074" w:type="dxa"/>
            <w:noWrap/>
            <w:vAlign w:val="center"/>
            <w:hideMark/>
          </w:tcPr>
          <w:p w14:paraId="54E009C7"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(8,178 - 128,195)</w:t>
            </w:r>
          </w:p>
        </w:tc>
        <w:tc>
          <w:tcPr>
            <w:tcW w:w="282" w:type="dxa"/>
            <w:noWrap/>
            <w:vAlign w:val="center"/>
            <w:hideMark/>
          </w:tcPr>
          <w:p w14:paraId="31E4073D"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13F670E0"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10,060</w:t>
            </w:r>
          </w:p>
        </w:tc>
        <w:tc>
          <w:tcPr>
            <w:tcW w:w="1851" w:type="dxa"/>
            <w:noWrap/>
            <w:vAlign w:val="center"/>
            <w:hideMark/>
          </w:tcPr>
          <w:p w14:paraId="70550050"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(4,137 - 24,710)</w:t>
            </w:r>
          </w:p>
        </w:tc>
        <w:tc>
          <w:tcPr>
            <w:tcW w:w="262" w:type="dxa"/>
            <w:noWrap/>
            <w:vAlign w:val="center"/>
            <w:hideMark/>
          </w:tcPr>
          <w:p w14:paraId="07F9ED16"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1A090763"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2,490</w:t>
            </w:r>
          </w:p>
        </w:tc>
        <w:tc>
          <w:tcPr>
            <w:tcW w:w="1573" w:type="dxa"/>
            <w:noWrap/>
            <w:vAlign w:val="center"/>
            <w:hideMark/>
          </w:tcPr>
          <w:p w14:paraId="676D22C0"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(607 - 9,631)</w:t>
            </w:r>
          </w:p>
        </w:tc>
      </w:tr>
      <w:tr w:rsidR="004B2234" w:rsidRPr="004B2234" w14:paraId="3F606627" w14:textId="77777777" w:rsidTr="005453FE">
        <w:trPr>
          <w:trHeight w:hRule="exact" w:val="289"/>
          <w:jc w:val="center"/>
        </w:trPr>
        <w:tc>
          <w:tcPr>
            <w:tcW w:w="1835" w:type="dxa"/>
            <w:noWrap/>
            <w:vAlign w:val="center"/>
            <w:hideMark/>
          </w:tcPr>
          <w:p w14:paraId="4E6907B6" w14:textId="77777777" w:rsidR="004B2234" w:rsidRPr="004B2234" w:rsidRDefault="004B2234" w:rsidP="004B2234">
            <w:pPr>
              <w:ind w:left="142"/>
              <w:rPr>
                <w:rFonts w:ascii="Calibri" w:eastAsia="Times New Roman" w:hAnsi="Calibri" w:cs="Calibri"/>
                <w:i/>
                <w:iCs/>
                <w:color w:val="000000"/>
              </w:rPr>
            </w:pPr>
            <w:proofErr w:type="spellStart"/>
            <w:r w:rsidRPr="004B2234">
              <w:rPr>
                <w:rFonts w:ascii="Calibri" w:eastAsia="Times New Roman" w:hAnsi="Calibri" w:cs="Calibri"/>
                <w:i/>
                <w:iCs/>
                <w:color w:val="000000"/>
              </w:rPr>
              <w:t>Shigella</w:t>
            </w:r>
            <w:proofErr w:type="spellEnd"/>
          </w:p>
        </w:tc>
        <w:tc>
          <w:tcPr>
            <w:tcW w:w="1052" w:type="dxa"/>
            <w:noWrap/>
            <w:vAlign w:val="center"/>
            <w:hideMark/>
          </w:tcPr>
          <w:p w14:paraId="2E59C089"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1,204</w:t>
            </w:r>
          </w:p>
        </w:tc>
        <w:tc>
          <w:tcPr>
            <w:tcW w:w="2074" w:type="dxa"/>
            <w:noWrap/>
            <w:vAlign w:val="center"/>
            <w:hideMark/>
          </w:tcPr>
          <w:p w14:paraId="443C256E"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(181 - 8,142)</w:t>
            </w:r>
          </w:p>
        </w:tc>
        <w:tc>
          <w:tcPr>
            <w:tcW w:w="282" w:type="dxa"/>
            <w:noWrap/>
            <w:vAlign w:val="center"/>
            <w:hideMark/>
          </w:tcPr>
          <w:p w14:paraId="5274C8BF"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654634C8"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602</w:t>
            </w:r>
          </w:p>
        </w:tc>
        <w:tc>
          <w:tcPr>
            <w:tcW w:w="1851" w:type="dxa"/>
            <w:noWrap/>
            <w:vAlign w:val="center"/>
            <w:hideMark/>
          </w:tcPr>
          <w:p w14:paraId="5163BDFD"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(341 - 1,060)</w:t>
            </w:r>
          </w:p>
        </w:tc>
        <w:tc>
          <w:tcPr>
            <w:tcW w:w="262" w:type="dxa"/>
            <w:noWrap/>
            <w:vAlign w:val="center"/>
            <w:hideMark/>
          </w:tcPr>
          <w:p w14:paraId="7A7C6ADF"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121CF6A8"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33</w:t>
            </w:r>
          </w:p>
        </w:tc>
        <w:tc>
          <w:tcPr>
            <w:tcW w:w="1573" w:type="dxa"/>
            <w:noWrap/>
            <w:vAlign w:val="center"/>
            <w:hideMark/>
          </w:tcPr>
          <w:p w14:paraId="7C2F586E"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(4 - 270)</w:t>
            </w:r>
          </w:p>
        </w:tc>
      </w:tr>
      <w:tr w:rsidR="004B2234" w:rsidRPr="004B2234" w14:paraId="5C0423C2" w14:textId="77777777" w:rsidTr="005453FE">
        <w:trPr>
          <w:trHeight w:hRule="exact" w:val="289"/>
          <w:jc w:val="center"/>
        </w:trPr>
        <w:tc>
          <w:tcPr>
            <w:tcW w:w="1835" w:type="dxa"/>
            <w:noWrap/>
            <w:vAlign w:val="center"/>
            <w:hideMark/>
          </w:tcPr>
          <w:p w14:paraId="703BB91C" w14:textId="77777777" w:rsidR="004B2234" w:rsidRPr="004B2234" w:rsidRDefault="004B2234" w:rsidP="004B2234">
            <w:pPr>
              <w:rPr>
                <w:rFonts w:ascii="Calibri" w:eastAsia="Times New Roman" w:hAnsi="Calibri" w:cs="Calibri"/>
                <w:iCs/>
                <w:color w:val="000000"/>
              </w:rPr>
            </w:pPr>
            <w:r w:rsidRPr="004B2234">
              <w:rPr>
                <w:rFonts w:ascii="Calibri" w:eastAsia="Times New Roman" w:hAnsi="Calibri" w:cs="Calibri"/>
                <w:iCs/>
                <w:color w:val="000000"/>
              </w:rPr>
              <w:t>Protozoa</w:t>
            </w:r>
          </w:p>
        </w:tc>
        <w:tc>
          <w:tcPr>
            <w:tcW w:w="1052" w:type="dxa"/>
            <w:noWrap/>
            <w:vAlign w:val="center"/>
            <w:hideMark/>
          </w:tcPr>
          <w:p w14:paraId="3E396A4C" w14:textId="77777777" w:rsidR="004B2234" w:rsidRPr="004B2234" w:rsidRDefault="004B2234" w:rsidP="004B2234">
            <w:pPr>
              <w:jc w:val="center"/>
              <w:rPr>
                <w:rFonts w:ascii="Calibri" w:eastAsia="Times New Roman" w:hAnsi="Calibri" w:cs="Calibri"/>
                <w:bCs/>
                <w:color w:val="000000"/>
              </w:rPr>
            </w:pPr>
          </w:p>
        </w:tc>
        <w:tc>
          <w:tcPr>
            <w:tcW w:w="2074" w:type="dxa"/>
            <w:noWrap/>
            <w:vAlign w:val="center"/>
            <w:hideMark/>
          </w:tcPr>
          <w:p w14:paraId="3BAFBAA7" w14:textId="77777777" w:rsidR="004B2234" w:rsidRPr="004B2234" w:rsidRDefault="004B2234" w:rsidP="004B2234">
            <w:pPr>
              <w:jc w:val="center"/>
              <w:rPr>
                <w:rFonts w:ascii="Calibri" w:eastAsia="Times New Roman" w:hAnsi="Calibri" w:cs="Calibri"/>
                <w:color w:val="000000"/>
                <w:sz w:val="18"/>
              </w:rPr>
            </w:pPr>
          </w:p>
        </w:tc>
        <w:tc>
          <w:tcPr>
            <w:tcW w:w="282" w:type="dxa"/>
            <w:noWrap/>
            <w:vAlign w:val="center"/>
            <w:hideMark/>
          </w:tcPr>
          <w:p w14:paraId="5F9878B9"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775C4C29" w14:textId="77777777" w:rsidR="004B2234" w:rsidRPr="004B2234" w:rsidRDefault="004B2234" w:rsidP="004B2234">
            <w:pPr>
              <w:jc w:val="center"/>
              <w:rPr>
                <w:rFonts w:ascii="Calibri" w:eastAsia="Times New Roman" w:hAnsi="Calibri" w:cs="Calibri"/>
                <w:bCs/>
                <w:color w:val="000000"/>
              </w:rPr>
            </w:pPr>
          </w:p>
        </w:tc>
        <w:tc>
          <w:tcPr>
            <w:tcW w:w="1851" w:type="dxa"/>
            <w:noWrap/>
            <w:vAlign w:val="center"/>
            <w:hideMark/>
          </w:tcPr>
          <w:p w14:paraId="2AE2C3DF" w14:textId="77777777" w:rsidR="004B2234" w:rsidRPr="004B2234" w:rsidRDefault="004B2234" w:rsidP="004B2234">
            <w:pPr>
              <w:jc w:val="center"/>
              <w:rPr>
                <w:rFonts w:ascii="Calibri" w:eastAsia="Times New Roman" w:hAnsi="Calibri" w:cs="Calibri"/>
                <w:color w:val="000000"/>
                <w:sz w:val="18"/>
              </w:rPr>
            </w:pPr>
          </w:p>
        </w:tc>
        <w:tc>
          <w:tcPr>
            <w:tcW w:w="262" w:type="dxa"/>
            <w:noWrap/>
            <w:vAlign w:val="center"/>
            <w:hideMark/>
          </w:tcPr>
          <w:p w14:paraId="588108F8"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6941EC74" w14:textId="77777777" w:rsidR="004B2234" w:rsidRPr="004B2234" w:rsidRDefault="004B2234" w:rsidP="004B2234">
            <w:pPr>
              <w:jc w:val="center"/>
              <w:rPr>
                <w:rFonts w:ascii="Calibri" w:eastAsia="Times New Roman" w:hAnsi="Calibri" w:cs="Calibri"/>
                <w:bCs/>
                <w:color w:val="000000"/>
              </w:rPr>
            </w:pPr>
          </w:p>
        </w:tc>
        <w:tc>
          <w:tcPr>
            <w:tcW w:w="1573" w:type="dxa"/>
            <w:noWrap/>
            <w:vAlign w:val="center"/>
            <w:hideMark/>
          </w:tcPr>
          <w:p w14:paraId="21192098" w14:textId="77777777" w:rsidR="004B2234" w:rsidRPr="004B2234" w:rsidRDefault="004B2234" w:rsidP="004B2234">
            <w:pPr>
              <w:jc w:val="center"/>
              <w:rPr>
                <w:rFonts w:ascii="Calibri" w:eastAsia="Times New Roman" w:hAnsi="Calibri" w:cs="Calibri"/>
                <w:color w:val="000000"/>
                <w:sz w:val="18"/>
              </w:rPr>
            </w:pPr>
          </w:p>
        </w:tc>
      </w:tr>
      <w:tr w:rsidR="004B2234" w:rsidRPr="004B2234" w14:paraId="1E9E4597" w14:textId="77777777" w:rsidTr="005453FE">
        <w:trPr>
          <w:trHeight w:hRule="exact" w:val="289"/>
          <w:jc w:val="center"/>
        </w:trPr>
        <w:tc>
          <w:tcPr>
            <w:tcW w:w="1835" w:type="dxa"/>
            <w:noWrap/>
            <w:vAlign w:val="center"/>
            <w:hideMark/>
          </w:tcPr>
          <w:p w14:paraId="25DCC0B0"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Cryptosporidium</w:t>
            </w:r>
          </w:p>
        </w:tc>
        <w:tc>
          <w:tcPr>
            <w:tcW w:w="1052" w:type="dxa"/>
            <w:noWrap/>
            <w:vAlign w:val="center"/>
            <w:hideMark/>
          </w:tcPr>
          <w:p w14:paraId="20D8F967"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2,773</w:t>
            </w:r>
          </w:p>
        </w:tc>
        <w:tc>
          <w:tcPr>
            <w:tcW w:w="2074" w:type="dxa"/>
            <w:noWrap/>
            <w:vAlign w:val="center"/>
            <w:hideMark/>
          </w:tcPr>
          <w:p w14:paraId="3EE4B99D"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(562 - 12,200)</w:t>
            </w:r>
          </w:p>
        </w:tc>
        <w:tc>
          <w:tcPr>
            <w:tcW w:w="282" w:type="dxa"/>
            <w:noWrap/>
            <w:vAlign w:val="center"/>
            <w:hideMark/>
          </w:tcPr>
          <w:p w14:paraId="67B183AA"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2015037A"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800</w:t>
            </w:r>
          </w:p>
        </w:tc>
        <w:tc>
          <w:tcPr>
            <w:tcW w:w="1851" w:type="dxa"/>
            <w:noWrap/>
            <w:vAlign w:val="center"/>
            <w:hideMark/>
          </w:tcPr>
          <w:p w14:paraId="61331651"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(233 - 2,386)</w:t>
            </w:r>
          </w:p>
        </w:tc>
        <w:tc>
          <w:tcPr>
            <w:tcW w:w="262" w:type="dxa"/>
            <w:noWrap/>
            <w:vAlign w:val="center"/>
            <w:hideMark/>
          </w:tcPr>
          <w:p w14:paraId="7FEC07B3"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1CF05BE9"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94</w:t>
            </w:r>
          </w:p>
        </w:tc>
        <w:tc>
          <w:tcPr>
            <w:tcW w:w="1573" w:type="dxa"/>
            <w:noWrap/>
            <w:vAlign w:val="center"/>
            <w:hideMark/>
          </w:tcPr>
          <w:p w14:paraId="4C02B31D"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(18 - 436)</w:t>
            </w:r>
          </w:p>
        </w:tc>
      </w:tr>
      <w:tr w:rsidR="004B2234" w:rsidRPr="004B2234" w14:paraId="537D2506" w14:textId="77777777" w:rsidTr="005453FE">
        <w:trPr>
          <w:trHeight w:hRule="exact" w:val="289"/>
          <w:jc w:val="center"/>
        </w:trPr>
        <w:tc>
          <w:tcPr>
            <w:tcW w:w="1835" w:type="dxa"/>
            <w:noWrap/>
            <w:vAlign w:val="center"/>
            <w:hideMark/>
          </w:tcPr>
          <w:p w14:paraId="38E07478" w14:textId="77777777" w:rsidR="004B2234" w:rsidRPr="004B2234" w:rsidRDefault="004B2234" w:rsidP="004B2234">
            <w:pPr>
              <w:ind w:left="142"/>
              <w:rPr>
                <w:rFonts w:ascii="Calibri" w:eastAsia="Times New Roman" w:hAnsi="Calibri" w:cs="Calibri"/>
                <w:i/>
                <w:iCs/>
                <w:color w:val="000000"/>
              </w:rPr>
            </w:pPr>
            <w:r w:rsidRPr="004B2234">
              <w:rPr>
                <w:rFonts w:ascii="Calibri" w:eastAsia="Times New Roman" w:hAnsi="Calibri" w:cs="Calibri"/>
                <w:i/>
                <w:iCs/>
                <w:color w:val="000000"/>
              </w:rPr>
              <w:t>Giardia</w:t>
            </w:r>
          </w:p>
        </w:tc>
        <w:tc>
          <w:tcPr>
            <w:tcW w:w="1052" w:type="dxa"/>
            <w:noWrap/>
            <w:vAlign w:val="center"/>
            <w:hideMark/>
          </w:tcPr>
          <w:p w14:paraId="15E0E56E"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7,877</w:t>
            </w:r>
          </w:p>
        </w:tc>
        <w:tc>
          <w:tcPr>
            <w:tcW w:w="2074" w:type="dxa"/>
            <w:noWrap/>
            <w:vAlign w:val="center"/>
            <w:hideMark/>
          </w:tcPr>
          <w:p w14:paraId="6FCE6B86"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(1,467 - 36,059)</w:t>
            </w:r>
          </w:p>
        </w:tc>
        <w:tc>
          <w:tcPr>
            <w:tcW w:w="282" w:type="dxa"/>
            <w:noWrap/>
            <w:vAlign w:val="center"/>
            <w:hideMark/>
          </w:tcPr>
          <w:p w14:paraId="5CFFE738"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60562CC7"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883</w:t>
            </w:r>
          </w:p>
        </w:tc>
        <w:tc>
          <w:tcPr>
            <w:tcW w:w="1851" w:type="dxa"/>
            <w:noWrap/>
            <w:vAlign w:val="center"/>
            <w:hideMark/>
          </w:tcPr>
          <w:p w14:paraId="6500BB89"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(197 - 3,288)</w:t>
            </w:r>
          </w:p>
        </w:tc>
        <w:tc>
          <w:tcPr>
            <w:tcW w:w="262" w:type="dxa"/>
            <w:noWrap/>
            <w:vAlign w:val="center"/>
            <w:hideMark/>
          </w:tcPr>
          <w:p w14:paraId="68277087"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4C14CB40"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47</w:t>
            </w:r>
          </w:p>
        </w:tc>
        <w:tc>
          <w:tcPr>
            <w:tcW w:w="1573" w:type="dxa"/>
            <w:noWrap/>
            <w:vAlign w:val="center"/>
            <w:hideMark/>
          </w:tcPr>
          <w:p w14:paraId="54C638C8"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(4 - 332)</w:t>
            </w:r>
          </w:p>
        </w:tc>
      </w:tr>
      <w:tr w:rsidR="004B2234" w:rsidRPr="004B2234" w14:paraId="107042A9" w14:textId="77777777" w:rsidTr="005453FE">
        <w:trPr>
          <w:trHeight w:hRule="exact" w:val="289"/>
          <w:jc w:val="center"/>
        </w:trPr>
        <w:tc>
          <w:tcPr>
            <w:tcW w:w="1835" w:type="dxa"/>
            <w:noWrap/>
            <w:vAlign w:val="center"/>
            <w:hideMark/>
          </w:tcPr>
          <w:p w14:paraId="03024541" w14:textId="77777777" w:rsidR="004B2234" w:rsidRPr="004B2234" w:rsidRDefault="004B2234" w:rsidP="004B2234">
            <w:pPr>
              <w:rPr>
                <w:rFonts w:ascii="Calibri" w:eastAsia="Times New Roman" w:hAnsi="Calibri" w:cs="Calibri"/>
                <w:color w:val="000000"/>
              </w:rPr>
            </w:pPr>
            <w:r w:rsidRPr="004B2234">
              <w:rPr>
                <w:rFonts w:ascii="Calibri" w:eastAsia="Times New Roman" w:hAnsi="Calibri" w:cs="Calibri"/>
                <w:color w:val="000000"/>
              </w:rPr>
              <w:t>Viruses</w:t>
            </w:r>
          </w:p>
        </w:tc>
        <w:tc>
          <w:tcPr>
            <w:tcW w:w="1052" w:type="dxa"/>
            <w:noWrap/>
            <w:vAlign w:val="center"/>
            <w:hideMark/>
          </w:tcPr>
          <w:p w14:paraId="09277B93" w14:textId="77777777" w:rsidR="004B2234" w:rsidRPr="004B2234" w:rsidRDefault="004B2234" w:rsidP="004B2234">
            <w:pPr>
              <w:jc w:val="center"/>
              <w:rPr>
                <w:rFonts w:ascii="Calibri" w:eastAsia="Times New Roman" w:hAnsi="Calibri" w:cs="Calibri"/>
                <w:color w:val="000000"/>
              </w:rPr>
            </w:pPr>
          </w:p>
        </w:tc>
        <w:tc>
          <w:tcPr>
            <w:tcW w:w="2074" w:type="dxa"/>
            <w:noWrap/>
            <w:vAlign w:val="center"/>
            <w:hideMark/>
          </w:tcPr>
          <w:p w14:paraId="4ABC6948" w14:textId="77777777" w:rsidR="004B2234" w:rsidRPr="004B2234" w:rsidRDefault="004B2234" w:rsidP="004B2234">
            <w:pPr>
              <w:jc w:val="center"/>
              <w:rPr>
                <w:rFonts w:ascii="Calibri" w:eastAsia="Times New Roman" w:hAnsi="Calibri" w:cs="Calibri"/>
                <w:color w:val="000000"/>
                <w:sz w:val="18"/>
              </w:rPr>
            </w:pPr>
          </w:p>
        </w:tc>
        <w:tc>
          <w:tcPr>
            <w:tcW w:w="282" w:type="dxa"/>
            <w:noWrap/>
            <w:vAlign w:val="center"/>
            <w:hideMark/>
          </w:tcPr>
          <w:p w14:paraId="391FC670"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130C98B2" w14:textId="77777777" w:rsidR="004B2234" w:rsidRPr="004B2234" w:rsidRDefault="004B2234" w:rsidP="004B2234">
            <w:pPr>
              <w:jc w:val="center"/>
              <w:rPr>
                <w:rFonts w:ascii="Calibri" w:eastAsia="Times New Roman" w:hAnsi="Calibri" w:cs="Calibri"/>
                <w:color w:val="000000"/>
              </w:rPr>
            </w:pPr>
          </w:p>
        </w:tc>
        <w:tc>
          <w:tcPr>
            <w:tcW w:w="1851" w:type="dxa"/>
            <w:noWrap/>
            <w:vAlign w:val="center"/>
            <w:hideMark/>
          </w:tcPr>
          <w:p w14:paraId="654AAE9E" w14:textId="77777777" w:rsidR="004B2234" w:rsidRPr="004B2234" w:rsidRDefault="004B2234" w:rsidP="004B2234">
            <w:pPr>
              <w:jc w:val="center"/>
              <w:rPr>
                <w:rFonts w:ascii="Calibri" w:eastAsia="Times New Roman" w:hAnsi="Calibri" w:cs="Calibri"/>
                <w:color w:val="000000"/>
                <w:sz w:val="18"/>
              </w:rPr>
            </w:pPr>
          </w:p>
        </w:tc>
        <w:tc>
          <w:tcPr>
            <w:tcW w:w="262" w:type="dxa"/>
            <w:noWrap/>
            <w:vAlign w:val="center"/>
            <w:hideMark/>
          </w:tcPr>
          <w:p w14:paraId="7D19C7F3"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6118AC56" w14:textId="77777777" w:rsidR="004B2234" w:rsidRPr="004B2234" w:rsidRDefault="004B2234" w:rsidP="004B2234">
            <w:pPr>
              <w:jc w:val="center"/>
              <w:rPr>
                <w:rFonts w:ascii="Calibri" w:eastAsia="Times New Roman" w:hAnsi="Calibri" w:cs="Calibri"/>
                <w:color w:val="000000"/>
              </w:rPr>
            </w:pPr>
          </w:p>
        </w:tc>
        <w:tc>
          <w:tcPr>
            <w:tcW w:w="1573" w:type="dxa"/>
            <w:noWrap/>
            <w:vAlign w:val="center"/>
            <w:hideMark/>
          </w:tcPr>
          <w:p w14:paraId="0A985136" w14:textId="77777777" w:rsidR="004B2234" w:rsidRPr="004B2234" w:rsidRDefault="004B2234" w:rsidP="004B2234">
            <w:pPr>
              <w:jc w:val="center"/>
              <w:rPr>
                <w:rFonts w:ascii="Calibri" w:eastAsia="Times New Roman" w:hAnsi="Calibri" w:cs="Calibri"/>
                <w:color w:val="000000"/>
                <w:sz w:val="18"/>
              </w:rPr>
            </w:pPr>
          </w:p>
        </w:tc>
      </w:tr>
      <w:tr w:rsidR="004B2234" w:rsidRPr="004B2234" w14:paraId="2A54B5F3" w14:textId="77777777" w:rsidTr="005453FE">
        <w:trPr>
          <w:trHeight w:hRule="exact" w:val="289"/>
          <w:jc w:val="center"/>
        </w:trPr>
        <w:tc>
          <w:tcPr>
            <w:tcW w:w="1835" w:type="dxa"/>
            <w:noWrap/>
            <w:vAlign w:val="center"/>
            <w:hideMark/>
          </w:tcPr>
          <w:p w14:paraId="3DBA1028" w14:textId="77777777" w:rsidR="004B2234" w:rsidRPr="004B2234" w:rsidRDefault="004B2234" w:rsidP="004B2234">
            <w:pPr>
              <w:ind w:left="142"/>
              <w:rPr>
                <w:rFonts w:ascii="Calibri" w:eastAsia="Times New Roman" w:hAnsi="Calibri" w:cs="Calibri"/>
                <w:color w:val="000000"/>
              </w:rPr>
            </w:pPr>
            <w:r w:rsidRPr="004B2234">
              <w:rPr>
                <w:rFonts w:ascii="Calibri" w:eastAsia="Times New Roman" w:hAnsi="Calibri" w:cs="Calibri"/>
                <w:color w:val="000000"/>
              </w:rPr>
              <w:t>Adenovirus</w:t>
            </w:r>
          </w:p>
        </w:tc>
        <w:tc>
          <w:tcPr>
            <w:tcW w:w="1052" w:type="dxa"/>
            <w:noWrap/>
            <w:vAlign w:val="center"/>
            <w:hideMark/>
          </w:tcPr>
          <w:p w14:paraId="260AA24E"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8,253</w:t>
            </w:r>
          </w:p>
        </w:tc>
        <w:tc>
          <w:tcPr>
            <w:tcW w:w="2074" w:type="dxa"/>
            <w:noWrap/>
            <w:vAlign w:val="center"/>
            <w:hideMark/>
          </w:tcPr>
          <w:p w14:paraId="010140AA"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(4,734 – 13,780)</w:t>
            </w:r>
          </w:p>
        </w:tc>
        <w:tc>
          <w:tcPr>
            <w:tcW w:w="282" w:type="dxa"/>
            <w:noWrap/>
            <w:vAlign w:val="center"/>
            <w:hideMark/>
          </w:tcPr>
          <w:p w14:paraId="281A6152"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17145D09"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677</w:t>
            </w:r>
          </w:p>
        </w:tc>
        <w:tc>
          <w:tcPr>
            <w:tcW w:w="1851" w:type="dxa"/>
            <w:noWrap/>
            <w:vAlign w:val="center"/>
            <w:hideMark/>
          </w:tcPr>
          <w:p w14:paraId="0341E3E0"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(345 – 1,278)</w:t>
            </w:r>
          </w:p>
        </w:tc>
        <w:tc>
          <w:tcPr>
            <w:tcW w:w="262" w:type="dxa"/>
            <w:noWrap/>
            <w:vAlign w:val="center"/>
            <w:hideMark/>
          </w:tcPr>
          <w:p w14:paraId="11CFA9AF"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66AD5B3B"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62</w:t>
            </w:r>
          </w:p>
        </w:tc>
        <w:tc>
          <w:tcPr>
            <w:tcW w:w="1573" w:type="dxa"/>
            <w:noWrap/>
            <w:vAlign w:val="center"/>
            <w:hideMark/>
          </w:tcPr>
          <w:p w14:paraId="2391C58F"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(30 – 118)</w:t>
            </w:r>
          </w:p>
        </w:tc>
      </w:tr>
      <w:tr w:rsidR="004B2234" w:rsidRPr="004B2234" w14:paraId="2CE347D5" w14:textId="77777777" w:rsidTr="005453FE">
        <w:trPr>
          <w:trHeight w:hRule="exact" w:val="289"/>
          <w:jc w:val="center"/>
        </w:trPr>
        <w:tc>
          <w:tcPr>
            <w:tcW w:w="1835" w:type="dxa"/>
            <w:noWrap/>
            <w:vAlign w:val="center"/>
            <w:hideMark/>
          </w:tcPr>
          <w:p w14:paraId="0ED4EB32" w14:textId="77777777" w:rsidR="004B2234" w:rsidRPr="004B2234" w:rsidRDefault="004B2234" w:rsidP="004B2234">
            <w:pPr>
              <w:ind w:left="142"/>
              <w:rPr>
                <w:rFonts w:ascii="Calibri" w:eastAsia="Times New Roman" w:hAnsi="Calibri" w:cs="Calibri"/>
                <w:color w:val="000000"/>
              </w:rPr>
            </w:pPr>
            <w:proofErr w:type="spellStart"/>
            <w:r w:rsidRPr="004B2234">
              <w:rPr>
                <w:rFonts w:ascii="Calibri" w:eastAsia="Times New Roman" w:hAnsi="Calibri" w:cs="Calibri"/>
                <w:color w:val="000000"/>
              </w:rPr>
              <w:t>Astrovirus</w:t>
            </w:r>
            <w:proofErr w:type="spellEnd"/>
          </w:p>
        </w:tc>
        <w:tc>
          <w:tcPr>
            <w:tcW w:w="1052" w:type="dxa"/>
            <w:noWrap/>
            <w:vAlign w:val="center"/>
            <w:hideMark/>
          </w:tcPr>
          <w:p w14:paraId="194F8E52"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3,470</w:t>
            </w:r>
          </w:p>
        </w:tc>
        <w:tc>
          <w:tcPr>
            <w:tcW w:w="2074" w:type="dxa"/>
            <w:noWrap/>
            <w:vAlign w:val="center"/>
            <w:hideMark/>
          </w:tcPr>
          <w:p w14:paraId="1C139943"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(1,368 - 9,991)</w:t>
            </w:r>
          </w:p>
        </w:tc>
        <w:tc>
          <w:tcPr>
            <w:tcW w:w="282" w:type="dxa"/>
            <w:noWrap/>
            <w:vAlign w:val="center"/>
            <w:hideMark/>
          </w:tcPr>
          <w:p w14:paraId="36EB5F08"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7EA97884"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262</w:t>
            </w:r>
          </w:p>
        </w:tc>
        <w:tc>
          <w:tcPr>
            <w:tcW w:w="1851" w:type="dxa"/>
            <w:noWrap/>
            <w:vAlign w:val="center"/>
            <w:hideMark/>
          </w:tcPr>
          <w:p w14:paraId="46814C26"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(93 - 812)</w:t>
            </w:r>
          </w:p>
        </w:tc>
        <w:tc>
          <w:tcPr>
            <w:tcW w:w="262" w:type="dxa"/>
            <w:noWrap/>
            <w:vAlign w:val="center"/>
            <w:hideMark/>
          </w:tcPr>
          <w:p w14:paraId="695332BB"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37CE2379"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11</w:t>
            </w:r>
          </w:p>
        </w:tc>
        <w:tc>
          <w:tcPr>
            <w:tcW w:w="1573" w:type="dxa"/>
            <w:noWrap/>
            <w:vAlign w:val="center"/>
            <w:hideMark/>
          </w:tcPr>
          <w:p w14:paraId="7A33B63D"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(3 - 42)</w:t>
            </w:r>
          </w:p>
        </w:tc>
      </w:tr>
      <w:tr w:rsidR="004B2234" w:rsidRPr="004B2234" w14:paraId="0DB42B6F" w14:textId="77777777" w:rsidTr="005453FE">
        <w:trPr>
          <w:trHeight w:hRule="exact" w:val="289"/>
          <w:jc w:val="center"/>
        </w:trPr>
        <w:tc>
          <w:tcPr>
            <w:tcW w:w="1835" w:type="dxa"/>
            <w:noWrap/>
            <w:vAlign w:val="center"/>
            <w:hideMark/>
          </w:tcPr>
          <w:p w14:paraId="26479205" w14:textId="77777777" w:rsidR="004B2234" w:rsidRPr="004B2234" w:rsidRDefault="004B2234" w:rsidP="004B2234">
            <w:pPr>
              <w:ind w:left="142"/>
              <w:rPr>
                <w:rFonts w:ascii="Calibri" w:eastAsia="Times New Roman" w:hAnsi="Calibri" w:cs="Calibri"/>
                <w:color w:val="000000"/>
              </w:rPr>
            </w:pPr>
            <w:r w:rsidRPr="004B2234">
              <w:rPr>
                <w:rFonts w:ascii="Calibri" w:eastAsia="Times New Roman" w:hAnsi="Calibri" w:cs="Calibri"/>
                <w:color w:val="000000"/>
              </w:rPr>
              <w:t>Norovirus</w:t>
            </w:r>
          </w:p>
        </w:tc>
        <w:tc>
          <w:tcPr>
            <w:tcW w:w="1052" w:type="dxa"/>
            <w:noWrap/>
            <w:vAlign w:val="center"/>
            <w:hideMark/>
          </w:tcPr>
          <w:p w14:paraId="22B982EA"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74,100</w:t>
            </w:r>
          </w:p>
        </w:tc>
        <w:tc>
          <w:tcPr>
            <w:tcW w:w="2074" w:type="dxa"/>
            <w:noWrap/>
            <w:vAlign w:val="center"/>
            <w:hideMark/>
          </w:tcPr>
          <w:p w14:paraId="41E00E38"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(61,150 - 89,660)</w:t>
            </w:r>
          </w:p>
        </w:tc>
        <w:tc>
          <w:tcPr>
            <w:tcW w:w="282" w:type="dxa"/>
            <w:noWrap/>
            <w:vAlign w:val="center"/>
            <w:hideMark/>
          </w:tcPr>
          <w:p w14:paraId="4B8E518F"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2DDBC546"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3,276</w:t>
            </w:r>
          </w:p>
        </w:tc>
        <w:tc>
          <w:tcPr>
            <w:tcW w:w="1851" w:type="dxa"/>
            <w:noWrap/>
            <w:vAlign w:val="center"/>
            <w:hideMark/>
          </w:tcPr>
          <w:p w14:paraId="632BDE9A"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(2,240 - 4,729)</w:t>
            </w:r>
          </w:p>
        </w:tc>
        <w:tc>
          <w:tcPr>
            <w:tcW w:w="262" w:type="dxa"/>
            <w:noWrap/>
            <w:vAlign w:val="center"/>
            <w:hideMark/>
          </w:tcPr>
          <w:p w14:paraId="2507A16C"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30C88028"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332</w:t>
            </w:r>
          </w:p>
        </w:tc>
        <w:tc>
          <w:tcPr>
            <w:tcW w:w="1573" w:type="dxa"/>
            <w:noWrap/>
            <w:vAlign w:val="center"/>
            <w:hideMark/>
          </w:tcPr>
          <w:p w14:paraId="16E942CB"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(248 - 440)</w:t>
            </w:r>
          </w:p>
        </w:tc>
      </w:tr>
      <w:tr w:rsidR="004B2234" w:rsidRPr="004B2234" w14:paraId="5E083AB5" w14:textId="77777777" w:rsidTr="005453FE">
        <w:trPr>
          <w:trHeight w:hRule="exact" w:val="289"/>
          <w:jc w:val="center"/>
        </w:trPr>
        <w:tc>
          <w:tcPr>
            <w:tcW w:w="1835" w:type="dxa"/>
            <w:noWrap/>
            <w:vAlign w:val="center"/>
            <w:hideMark/>
          </w:tcPr>
          <w:p w14:paraId="53F2F1F4" w14:textId="77777777" w:rsidR="004B2234" w:rsidRPr="004B2234" w:rsidRDefault="004B2234" w:rsidP="004B2234">
            <w:pPr>
              <w:ind w:left="142"/>
              <w:rPr>
                <w:rFonts w:ascii="Calibri" w:eastAsia="Times New Roman" w:hAnsi="Calibri" w:cs="Calibri"/>
                <w:color w:val="000000"/>
              </w:rPr>
            </w:pPr>
            <w:r w:rsidRPr="004B2234">
              <w:rPr>
                <w:rFonts w:ascii="Calibri" w:eastAsia="Times New Roman" w:hAnsi="Calibri" w:cs="Calibri"/>
                <w:color w:val="000000"/>
              </w:rPr>
              <w:t>Rotavirus</w:t>
            </w:r>
          </w:p>
        </w:tc>
        <w:tc>
          <w:tcPr>
            <w:tcW w:w="1052" w:type="dxa"/>
            <w:noWrap/>
            <w:vAlign w:val="center"/>
            <w:hideMark/>
          </w:tcPr>
          <w:p w14:paraId="2A38F30F"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10,295</w:t>
            </w:r>
          </w:p>
        </w:tc>
        <w:tc>
          <w:tcPr>
            <w:tcW w:w="2074" w:type="dxa"/>
            <w:noWrap/>
            <w:vAlign w:val="center"/>
            <w:hideMark/>
          </w:tcPr>
          <w:p w14:paraId="65D162FC"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(6,049 - 16,730)</w:t>
            </w:r>
          </w:p>
        </w:tc>
        <w:tc>
          <w:tcPr>
            <w:tcW w:w="282" w:type="dxa"/>
            <w:noWrap/>
            <w:vAlign w:val="center"/>
            <w:hideMark/>
          </w:tcPr>
          <w:p w14:paraId="2CCF43E7"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266CAD0B"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1,102</w:t>
            </w:r>
          </w:p>
        </w:tc>
        <w:tc>
          <w:tcPr>
            <w:tcW w:w="1851" w:type="dxa"/>
            <w:noWrap/>
            <w:vAlign w:val="center"/>
            <w:hideMark/>
          </w:tcPr>
          <w:p w14:paraId="32373459"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(629 - 1,870)</w:t>
            </w:r>
          </w:p>
        </w:tc>
        <w:tc>
          <w:tcPr>
            <w:tcW w:w="262" w:type="dxa"/>
            <w:noWrap/>
            <w:vAlign w:val="center"/>
            <w:hideMark/>
          </w:tcPr>
          <w:p w14:paraId="0ADFFA66"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4D95DA25" w14:textId="77777777" w:rsidR="004B2234" w:rsidRPr="004B2234" w:rsidRDefault="004B2234" w:rsidP="004B2234">
            <w:pPr>
              <w:jc w:val="center"/>
              <w:rPr>
                <w:rFonts w:ascii="Calibri" w:eastAsia="Times New Roman" w:hAnsi="Calibri" w:cs="Calibri"/>
                <w:bCs/>
                <w:color w:val="000000"/>
              </w:rPr>
            </w:pPr>
            <w:r w:rsidRPr="004B2234">
              <w:rPr>
                <w:rFonts w:ascii="Calibri" w:eastAsia="Times New Roman" w:hAnsi="Calibri" w:cs="Calibri"/>
                <w:bCs/>
                <w:color w:val="000000"/>
              </w:rPr>
              <w:t>95</w:t>
            </w:r>
          </w:p>
        </w:tc>
        <w:tc>
          <w:tcPr>
            <w:tcW w:w="1573" w:type="dxa"/>
            <w:noWrap/>
            <w:vAlign w:val="center"/>
            <w:hideMark/>
          </w:tcPr>
          <w:p w14:paraId="08DE9509"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(48 - 177)</w:t>
            </w:r>
          </w:p>
        </w:tc>
      </w:tr>
      <w:tr w:rsidR="004B2234" w:rsidRPr="004B2234" w14:paraId="087160E7" w14:textId="77777777" w:rsidTr="005453FE">
        <w:trPr>
          <w:trHeight w:hRule="exact" w:val="289"/>
          <w:jc w:val="center"/>
        </w:trPr>
        <w:tc>
          <w:tcPr>
            <w:tcW w:w="1835" w:type="dxa"/>
            <w:noWrap/>
            <w:vAlign w:val="center"/>
            <w:hideMark/>
          </w:tcPr>
          <w:p w14:paraId="7CC113AF" w14:textId="77777777" w:rsidR="004B2234" w:rsidRPr="004B2234" w:rsidRDefault="004B2234" w:rsidP="004B2234">
            <w:pPr>
              <w:ind w:left="142"/>
              <w:rPr>
                <w:rFonts w:ascii="Calibri" w:eastAsia="Times New Roman" w:hAnsi="Calibri" w:cs="Calibri"/>
                <w:color w:val="000000"/>
                <w:vertAlign w:val="superscript"/>
              </w:rPr>
            </w:pPr>
            <w:r w:rsidRPr="004B2234">
              <w:rPr>
                <w:rFonts w:ascii="Calibri" w:eastAsia="Times New Roman" w:hAnsi="Calibri" w:cs="Calibri"/>
                <w:color w:val="000000"/>
              </w:rPr>
              <w:t>Sapovirus</w:t>
            </w:r>
            <w:r w:rsidRPr="004B2234">
              <w:rPr>
                <w:rFonts w:ascii="Calibri" w:eastAsia="Times New Roman" w:hAnsi="Calibri" w:cs="Calibri"/>
                <w:color w:val="000000"/>
                <w:vertAlign w:val="superscript"/>
              </w:rPr>
              <w:t>1</w:t>
            </w:r>
          </w:p>
        </w:tc>
        <w:tc>
          <w:tcPr>
            <w:tcW w:w="1052" w:type="dxa"/>
            <w:noWrap/>
            <w:vAlign w:val="center"/>
            <w:hideMark/>
          </w:tcPr>
          <w:p w14:paraId="161D09ED"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w:t>
            </w:r>
          </w:p>
        </w:tc>
        <w:tc>
          <w:tcPr>
            <w:tcW w:w="2074" w:type="dxa"/>
            <w:noWrap/>
            <w:vAlign w:val="center"/>
            <w:hideMark/>
          </w:tcPr>
          <w:p w14:paraId="73128B8E"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w:t>
            </w:r>
          </w:p>
        </w:tc>
        <w:tc>
          <w:tcPr>
            <w:tcW w:w="282" w:type="dxa"/>
            <w:noWrap/>
            <w:vAlign w:val="center"/>
            <w:hideMark/>
          </w:tcPr>
          <w:p w14:paraId="2980CB36" w14:textId="77777777" w:rsidR="004B2234" w:rsidRPr="004B2234" w:rsidRDefault="004B2234" w:rsidP="004B2234">
            <w:pPr>
              <w:jc w:val="center"/>
              <w:rPr>
                <w:rFonts w:ascii="Calibri" w:eastAsia="Times New Roman" w:hAnsi="Calibri" w:cs="Calibri"/>
                <w:color w:val="000000"/>
              </w:rPr>
            </w:pPr>
          </w:p>
        </w:tc>
        <w:tc>
          <w:tcPr>
            <w:tcW w:w="1826" w:type="dxa"/>
            <w:noWrap/>
            <w:vAlign w:val="center"/>
            <w:hideMark/>
          </w:tcPr>
          <w:p w14:paraId="4D009D93"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w:t>
            </w:r>
          </w:p>
        </w:tc>
        <w:tc>
          <w:tcPr>
            <w:tcW w:w="1851" w:type="dxa"/>
            <w:noWrap/>
            <w:vAlign w:val="center"/>
            <w:hideMark/>
          </w:tcPr>
          <w:p w14:paraId="2BA9EAC4"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w:t>
            </w:r>
          </w:p>
        </w:tc>
        <w:tc>
          <w:tcPr>
            <w:tcW w:w="262" w:type="dxa"/>
            <w:noWrap/>
            <w:vAlign w:val="center"/>
            <w:hideMark/>
          </w:tcPr>
          <w:p w14:paraId="30A03D4B" w14:textId="77777777" w:rsidR="004B2234" w:rsidRPr="004B2234" w:rsidRDefault="004B2234" w:rsidP="004B2234">
            <w:pPr>
              <w:jc w:val="center"/>
              <w:rPr>
                <w:rFonts w:ascii="Calibri" w:eastAsia="Times New Roman" w:hAnsi="Calibri" w:cs="Calibri"/>
                <w:color w:val="000000"/>
              </w:rPr>
            </w:pPr>
          </w:p>
        </w:tc>
        <w:tc>
          <w:tcPr>
            <w:tcW w:w="2098" w:type="dxa"/>
            <w:noWrap/>
            <w:vAlign w:val="center"/>
            <w:hideMark/>
          </w:tcPr>
          <w:p w14:paraId="0E5C22CB"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w:t>
            </w:r>
          </w:p>
        </w:tc>
        <w:tc>
          <w:tcPr>
            <w:tcW w:w="1573" w:type="dxa"/>
            <w:noWrap/>
            <w:vAlign w:val="center"/>
            <w:hideMark/>
          </w:tcPr>
          <w:p w14:paraId="7FAF703A" w14:textId="77777777" w:rsidR="004B2234" w:rsidRPr="004B2234" w:rsidRDefault="004B2234" w:rsidP="004B2234">
            <w:pPr>
              <w:jc w:val="center"/>
              <w:rPr>
                <w:rFonts w:ascii="Calibri" w:eastAsia="Times New Roman" w:hAnsi="Calibri" w:cs="Calibri"/>
                <w:color w:val="000000"/>
                <w:sz w:val="18"/>
              </w:rPr>
            </w:pPr>
            <w:r w:rsidRPr="004B2234">
              <w:rPr>
                <w:rFonts w:ascii="Calibri" w:eastAsia="Times New Roman" w:hAnsi="Calibri" w:cs="Calibri"/>
                <w:color w:val="000000"/>
                <w:sz w:val="18"/>
              </w:rPr>
              <w:t>--</w:t>
            </w:r>
          </w:p>
        </w:tc>
      </w:tr>
      <w:tr w:rsidR="004B2234" w:rsidRPr="004B2234" w14:paraId="4A9D269C" w14:textId="77777777" w:rsidTr="005453FE">
        <w:trPr>
          <w:trHeight w:hRule="exact" w:val="289"/>
          <w:jc w:val="center"/>
        </w:trPr>
        <w:tc>
          <w:tcPr>
            <w:tcW w:w="1835" w:type="dxa"/>
            <w:noWrap/>
            <w:vAlign w:val="center"/>
          </w:tcPr>
          <w:p w14:paraId="009F2CE7" w14:textId="77777777" w:rsidR="004B2234" w:rsidRPr="004B2234" w:rsidRDefault="004B2234" w:rsidP="004B2234">
            <w:pPr>
              <w:ind w:left="142"/>
              <w:rPr>
                <w:rFonts w:ascii="Calibri" w:eastAsia="Times New Roman" w:hAnsi="Calibri" w:cs="Calibri"/>
                <w:color w:val="000000"/>
              </w:rPr>
            </w:pPr>
          </w:p>
        </w:tc>
        <w:tc>
          <w:tcPr>
            <w:tcW w:w="1052" w:type="dxa"/>
            <w:noWrap/>
            <w:vAlign w:val="center"/>
          </w:tcPr>
          <w:p w14:paraId="758A491F" w14:textId="77777777" w:rsidR="004B2234" w:rsidRPr="004B2234" w:rsidRDefault="004B2234" w:rsidP="004B2234">
            <w:pPr>
              <w:jc w:val="center"/>
              <w:rPr>
                <w:rFonts w:ascii="Calibri" w:eastAsia="Times New Roman" w:hAnsi="Calibri" w:cs="Calibri"/>
                <w:color w:val="000000"/>
              </w:rPr>
            </w:pPr>
          </w:p>
        </w:tc>
        <w:tc>
          <w:tcPr>
            <w:tcW w:w="2074" w:type="dxa"/>
            <w:noWrap/>
            <w:vAlign w:val="center"/>
          </w:tcPr>
          <w:p w14:paraId="552414BC" w14:textId="77777777" w:rsidR="004B2234" w:rsidRPr="004B2234" w:rsidRDefault="004B2234" w:rsidP="004B2234">
            <w:pPr>
              <w:jc w:val="center"/>
              <w:rPr>
                <w:rFonts w:ascii="Calibri" w:eastAsia="Times New Roman" w:hAnsi="Calibri" w:cs="Calibri"/>
                <w:color w:val="000000"/>
                <w:sz w:val="18"/>
              </w:rPr>
            </w:pPr>
          </w:p>
        </w:tc>
        <w:tc>
          <w:tcPr>
            <w:tcW w:w="282" w:type="dxa"/>
            <w:noWrap/>
            <w:vAlign w:val="center"/>
          </w:tcPr>
          <w:p w14:paraId="643C5A05" w14:textId="77777777" w:rsidR="004B2234" w:rsidRPr="004B2234" w:rsidRDefault="004B2234" w:rsidP="004B2234">
            <w:pPr>
              <w:jc w:val="center"/>
              <w:rPr>
                <w:rFonts w:ascii="Calibri" w:eastAsia="Times New Roman" w:hAnsi="Calibri" w:cs="Calibri"/>
                <w:color w:val="000000"/>
              </w:rPr>
            </w:pPr>
          </w:p>
        </w:tc>
        <w:tc>
          <w:tcPr>
            <w:tcW w:w="1826" w:type="dxa"/>
            <w:noWrap/>
            <w:vAlign w:val="center"/>
          </w:tcPr>
          <w:p w14:paraId="7A5656F7" w14:textId="77777777" w:rsidR="004B2234" w:rsidRPr="004B2234" w:rsidRDefault="004B2234" w:rsidP="004B2234">
            <w:pPr>
              <w:jc w:val="center"/>
              <w:rPr>
                <w:rFonts w:ascii="Calibri" w:eastAsia="Times New Roman" w:hAnsi="Calibri" w:cs="Calibri"/>
                <w:color w:val="000000"/>
              </w:rPr>
            </w:pPr>
          </w:p>
        </w:tc>
        <w:tc>
          <w:tcPr>
            <w:tcW w:w="1851" w:type="dxa"/>
            <w:noWrap/>
            <w:vAlign w:val="center"/>
          </w:tcPr>
          <w:p w14:paraId="5D534A2C" w14:textId="77777777" w:rsidR="004B2234" w:rsidRPr="004B2234" w:rsidRDefault="004B2234" w:rsidP="004B2234">
            <w:pPr>
              <w:jc w:val="center"/>
              <w:rPr>
                <w:rFonts w:ascii="Calibri" w:eastAsia="Times New Roman" w:hAnsi="Calibri" w:cs="Calibri"/>
                <w:color w:val="000000"/>
                <w:sz w:val="18"/>
              </w:rPr>
            </w:pPr>
          </w:p>
        </w:tc>
        <w:tc>
          <w:tcPr>
            <w:tcW w:w="262" w:type="dxa"/>
            <w:noWrap/>
            <w:vAlign w:val="center"/>
          </w:tcPr>
          <w:p w14:paraId="5F517158" w14:textId="77777777" w:rsidR="004B2234" w:rsidRPr="004B2234" w:rsidRDefault="004B2234" w:rsidP="004B2234">
            <w:pPr>
              <w:jc w:val="center"/>
              <w:rPr>
                <w:rFonts w:ascii="Calibri" w:eastAsia="Times New Roman" w:hAnsi="Calibri" w:cs="Calibri"/>
                <w:color w:val="000000"/>
              </w:rPr>
            </w:pPr>
          </w:p>
        </w:tc>
        <w:tc>
          <w:tcPr>
            <w:tcW w:w="2098" w:type="dxa"/>
            <w:noWrap/>
            <w:vAlign w:val="center"/>
          </w:tcPr>
          <w:p w14:paraId="5276245E" w14:textId="77777777" w:rsidR="004B2234" w:rsidRPr="004B2234" w:rsidRDefault="004B2234" w:rsidP="004B2234">
            <w:pPr>
              <w:jc w:val="center"/>
              <w:rPr>
                <w:rFonts w:ascii="Calibri" w:eastAsia="Times New Roman" w:hAnsi="Calibri" w:cs="Calibri"/>
                <w:color w:val="000000"/>
              </w:rPr>
            </w:pPr>
          </w:p>
        </w:tc>
        <w:tc>
          <w:tcPr>
            <w:tcW w:w="1573" w:type="dxa"/>
            <w:noWrap/>
            <w:vAlign w:val="center"/>
          </w:tcPr>
          <w:p w14:paraId="195E1D77" w14:textId="77777777" w:rsidR="004B2234" w:rsidRPr="004B2234" w:rsidRDefault="004B2234" w:rsidP="004B2234">
            <w:pPr>
              <w:jc w:val="center"/>
              <w:rPr>
                <w:rFonts w:ascii="Calibri" w:eastAsia="Times New Roman" w:hAnsi="Calibri" w:cs="Calibri"/>
                <w:color w:val="000000"/>
                <w:sz w:val="18"/>
              </w:rPr>
            </w:pPr>
          </w:p>
        </w:tc>
      </w:tr>
      <w:tr w:rsidR="004B2234" w:rsidRPr="004B2234" w14:paraId="34ED354F" w14:textId="77777777" w:rsidTr="005453FE">
        <w:trPr>
          <w:trHeight w:hRule="exact" w:val="289"/>
          <w:jc w:val="center"/>
        </w:trPr>
        <w:tc>
          <w:tcPr>
            <w:tcW w:w="1835" w:type="dxa"/>
            <w:noWrap/>
            <w:vAlign w:val="center"/>
          </w:tcPr>
          <w:p w14:paraId="09DF1A59" w14:textId="77777777" w:rsidR="004B2234" w:rsidRPr="004B2234" w:rsidRDefault="004B2234" w:rsidP="004B2234">
            <w:pPr>
              <w:rPr>
                <w:rFonts w:ascii="Calibri" w:eastAsia="Times New Roman" w:hAnsi="Calibri" w:cs="Calibri"/>
                <w:color w:val="000000"/>
              </w:rPr>
            </w:pPr>
            <w:r w:rsidRPr="004B2234">
              <w:rPr>
                <w:rFonts w:ascii="Calibri" w:eastAsia="Times New Roman" w:hAnsi="Calibri" w:cs="Calibri"/>
                <w:color w:val="000000"/>
              </w:rPr>
              <w:t>TOTAL</w:t>
            </w:r>
          </w:p>
        </w:tc>
        <w:tc>
          <w:tcPr>
            <w:tcW w:w="1052" w:type="dxa"/>
            <w:noWrap/>
            <w:vAlign w:val="center"/>
          </w:tcPr>
          <w:p w14:paraId="4F027C7B"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511,141</w:t>
            </w:r>
          </w:p>
        </w:tc>
        <w:tc>
          <w:tcPr>
            <w:tcW w:w="2074" w:type="dxa"/>
            <w:noWrap/>
            <w:vAlign w:val="center"/>
          </w:tcPr>
          <w:p w14:paraId="2D6E64B5" w14:textId="77777777" w:rsidR="004B2234" w:rsidRPr="004B2234" w:rsidRDefault="004B2234" w:rsidP="004B2234">
            <w:pPr>
              <w:jc w:val="center"/>
              <w:rPr>
                <w:rFonts w:ascii="Calibri" w:eastAsia="Times New Roman" w:hAnsi="Calibri" w:cs="Calibri"/>
                <w:color w:val="000000"/>
                <w:sz w:val="18"/>
              </w:rPr>
            </w:pPr>
          </w:p>
        </w:tc>
        <w:tc>
          <w:tcPr>
            <w:tcW w:w="282" w:type="dxa"/>
            <w:noWrap/>
            <w:vAlign w:val="center"/>
          </w:tcPr>
          <w:p w14:paraId="7F1A4E6A" w14:textId="77777777" w:rsidR="004B2234" w:rsidRPr="004B2234" w:rsidRDefault="004B2234" w:rsidP="004B2234">
            <w:pPr>
              <w:jc w:val="center"/>
              <w:rPr>
                <w:rFonts w:ascii="Calibri" w:eastAsia="Times New Roman" w:hAnsi="Calibri" w:cs="Calibri"/>
                <w:color w:val="000000"/>
              </w:rPr>
            </w:pPr>
          </w:p>
        </w:tc>
        <w:tc>
          <w:tcPr>
            <w:tcW w:w="1826" w:type="dxa"/>
            <w:noWrap/>
            <w:vAlign w:val="center"/>
          </w:tcPr>
          <w:p w14:paraId="2F3F3078"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69,727</w:t>
            </w:r>
          </w:p>
        </w:tc>
        <w:tc>
          <w:tcPr>
            <w:tcW w:w="1851" w:type="dxa"/>
            <w:noWrap/>
            <w:vAlign w:val="center"/>
          </w:tcPr>
          <w:p w14:paraId="26333E17" w14:textId="77777777" w:rsidR="004B2234" w:rsidRPr="004B2234" w:rsidRDefault="004B2234" w:rsidP="004B2234">
            <w:pPr>
              <w:jc w:val="center"/>
              <w:rPr>
                <w:rFonts w:ascii="Calibri" w:eastAsia="Times New Roman" w:hAnsi="Calibri" w:cs="Calibri"/>
                <w:color w:val="000000"/>
                <w:sz w:val="18"/>
              </w:rPr>
            </w:pPr>
          </w:p>
        </w:tc>
        <w:tc>
          <w:tcPr>
            <w:tcW w:w="262" w:type="dxa"/>
            <w:noWrap/>
            <w:vAlign w:val="center"/>
          </w:tcPr>
          <w:p w14:paraId="16E1D1AC" w14:textId="77777777" w:rsidR="004B2234" w:rsidRPr="004B2234" w:rsidRDefault="004B2234" w:rsidP="004B2234">
            <w:pPr>
              <w:jc w:val="center"/>
              <w:rPr>
                <w:rFonts w:ascii="Calibri" w:eastAsia="Times New Roman" w:hAnsi="Calibri" w:cs="Calibri"/>
                <w:color w:val="000000"/>
              </w:rPr>
            </w:pPr>
          </w:p>
        </w:tc>
        <w:tc>
          <w:tcPr>
            <w:tcW w:w="2098" w:type="dxa"/>
            <w:noWrap/>
            <w:vAlign w:val="center"/>
          </w:tcPr>
          <w:p w14:paraId="70357ABD" w14:textId="77777777" w:rsidR="004B2234" w:rsidRPr="004B2234" w:rsidRDefault="004B2234" w:rsidP="004B2234">
            <w:pPr>
              <w:jc w:val="center"/>
              <w:rPr>
                <w:rFonts w:ascii="Calibri" w:eastAsia="Times New Roman" w:hAnsi="Calibri" w:cs="Calibri"/>
                <w:color w:val="000000"/>
              </w:rPr>
            </w:pPr>
            <w:r w:rsidRPr="004B2234">
              <w:rPr>
                <w:rFonts w:ascii="Calibri" w:eastAsia="Times New Roman" w:hAnsi="Calibri" w:cs="Calibri"/>
                <w:color w:val="000000"/>
              </w:rPr>
              <w:t>6,145</w:t>
            </w:r>
          </w:p>
        </w:tc>
        <w:tc>
          <w:tcPr>
            <w:tcW w:w="1573" w:type="dxa"/>
            <w:noWrap/>
            <w:vAlign w:val="center"/>
          </w:tcPr>
          <w:p w14:paraId="4EB29AE5" w14:textId="77777777" w:rsidR="004B2234" w:rsidRPr="004B2234" w:rsidRDefault="004B2234" w:rsidP="004B2234">
            <w:pPr>
              <w:jc w:val="center"/>
              <w:rPr>
                <w:rFonts w:ascii="Calibri" w:eastAsia="Times New Roman" w:hAnsi="Calibri" w:cs="Calibri"/>
                <w:color w:val="000000"/>
                <w:sz w:val="18"/>
              </w:rPr>
            </w:pPr>
          </w:p>
        </w:tc>
      </w:tr>
    </w:tbl>
    <w:p w14:paraId="43D94C4B" w14:textId="77777777" w:rsidR="004B2234" w:rsidRDefault="004B2234" w:rsidP="004B2234">
      <w:pPr>
        <w:jc w:val="center"/>
        <w:rPr>
          <w:rFonts w:ascii="Calibri" w:eastAsia="MS Mincho" w:hAnsi="Calibri" w:cs="Times New Roman"/>
          <w:vertAlign w:val="superscript"/>
        </w:rPr>
      </w:pPr>
    </w:p>
    <w:p w14:paraId="0B22E3AE" w14:textId="77777777" w:rsidR="004B2234" w:rsidRPr="004B2234" w:rsidRDefault="004B2234" w:rsidP="004B2234">
      <w:pPr>
        <w:jc w:val="center"/>
        <w:rPr>
          <w:rFonts w:ascii="Calibri" w:eastAsia="MS Mincho" w:hAnsi="Calibri" w:cs="Times New Roman"/>
        </w:rPr>
      </w:pPr>
      <w:r w:rsidRPr="004B2234">
        <w:rPr>
          <w:rFonts w:ascii="Calibri" w:eastAsia="MS Mincho" w:hAnsi="Calibri" w:cs="Times New Roman"/>
          <w:vertAlign w:val="superscript"/>
        </w:rPr>
        <w:t>1</w:t>
      </w:r>
      <w:r w:rsidRPr="004B2234">
        <w:rPr>
          <w:rFonts w:ascii="Calibri" w:eastAsia="MS Mincho" w:hAnsi="Calibri" w:cs="Times New Roman"/>
        </w:rPr>
        <w:t xml:space="preserve">For </w:t>
      </w:r>
      <w:proofErr w:type="spellStart"/>
      <w:r w:rsidRPr="004B2234">
        <w:rPr>
          <w:rFonts w:ascii="Calibri" w:eastAsia="MS Mincho" w:hAnsi="Calibri" w:cs="Times New Roman"/>
        </w:rPr>
        <w:t>sapovirus</w:t>
      </w:r>
      <w:proofErr w:type="spellEnd"/>
      <w:r w:rsidRPr="004B2234">
        <w:rPr>
          <w:rFonts w:ascii="Calibri" w:eastAsia="MS Mincho" w:hAnsi="Calibri" w:cs="Times New Roman"/>
        </w:rPr>
        <w:t>, no data were identified in the literature review on the proportion of cases attributable to food, so this model could not be applied</w:t>
      </w:r>
    </w:p>
    <w:p w14:paraId="548544BB" w14:textId="77777777" w:rsidR="004B2234" w:rsidRPr="004B2234" w:rsidRDefault="004B2234" w:rsidP="004B2234">
      <w:pPr>
        <w:rPr>
          <w:rFonts w:ascii="Cambria" w:eastAsia="MS Mincho" w:hAnsi="Cambria" w:cs="Times New Roman"/>
        </w:rPr>
      </w:pPr>
      <w:r w:rsidRPr="004B2234">
        <w:rPr>
          <w:rFonts w:ascii="Cambria" w:eastAsia="MS Mincho" w:hAnsi="Cambria" w:cs="Times New Roman"/>
        </w:rPr>
        <w:br w:type="page"/>
      </w:r>
    </w:p>
    <w:tbl>
      <w:tblPr>
        <w:tblpPr w:leftFromText="180" w:rightFromText="180" w:vertAnchor="page" w:tblpXSpec="center" w:tblpY="2600"/>
        <w:tblW w:w="114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2"/>
        <w:gridCol w:w="974"/>
        <w:gridCol w:w="1736"/>
        <w:gridCol w:w="360"/>
        <w:gridCol w:w="1680"/>
        <w:gridCol w:w="1554"/>
        <w:gridCol w:w="360"/>
        <w:gridCol w:w="1927"/>
        <w:gridCol w:w="1327"/>
      </w:tblGrid>
      <w:tr w:rsidR="004B2234" w:rsidRPr="004B2234" w14:paraId="56353679" w14:textId="77777777" w:rsidTr="005453FE">
        <w:trPr>
          <w:trHeight w:hRule="exact" w:val="289"/>
        </w:trPr>
        <w:tc>
          <w:tcPr>
            <w:tcW w:w="1542" w:type="dxa"/>
            <w:tcBorders>
              <w:top w:val="single" w:sz="4" w:space="0" w:color="auto"/>
              <w:bottom w:val="single" w:sz="4" w:space="0" w:color="auto"/>
            </w:tcBorders>
            <w:shd w:val="clear" w:color="auto" w:fill="BFBFBF" w:themeFill="background1" w:themeFillShade="BF"/>
            <w:noWrap/>
            <w:vAlign w:val="center"/>
            <w:hideMark/>
          </w:tcPr>
          <w:p w14:paraId="17AA8E75" w14:textId="77777777" w:rsidR="004B2234" w:rsidRPr="004B2234" w:rsidRDefault="004B2234" w:rsidP="004B2234">
            <w:pPr>
              <w:rPr>
                <w:rFonts w:ascii="Calibri" w:eastAsia="Times New Roman" w:hAnsi="Calibri" w:cs="Calibri"/>
                <w:b/>
                <w:color w:val="000000"/>
                <w:sz w:val="20"/>
                <w:szCs w:val="20"/>
              </w:rPr>
            </w:pPr>
            <w:r w:rsidRPr="004B2234">
              <w:rPr>
                <w:rFonts w:ascii="Calibri" w:eastAsia="Times New Roman" w:hAnsi="Calibri" w:cs="Calibri"/>
                <w:b/>
                <w:color w:val="000000"/>
                <w:sz w:val="20"/>
                <w:szCs w:val="20"/>
              </w:rPr>
              <w:lastRenderedPageBreak/>
              <w:t>Organism</w:t>
            </w:r>
          </w:p>
        </w:tc>
        <w:tc>
          <w:tcPr>
            <w:tcW w:w="974" w:type="dxa"/>
            <w:tcBorders>
              <w:top w:val="single" w:sz="4" w:space="0" w:color="auto"/>
              <w:bottom w:val="single" w:sz="4" w:space="0" w:color="auto"/>
            </w:tcBorders>
            <w:shd w:val="clear" w:color="auto" w:fill="BFBFBF" w:themeFill="background1" w:themeFillShade="BF"/>
            <w:noWrap/>
            <w:vAlign w:val="center"/>
            <w:hideMark/>
          </w:tcPr>
          <w:p w14:paraId="0527CDCA" w14:textId="77777777" w:rsidR="004B2234" w:rsidRPr="004B2234" w:rsidRDefault="004B2234" w:rsidP="004B2234">
            <w:pPr>
              <w:jc w:val="center"/>
              <w:rPr>
                <w:rFonts w:ascii="Calibri" w:eastAsia="Times New Roman" w:hAnsi="Calibri" w:cs="Calibri"/>
                <w:b/>
                <w:color w:val="000000"/>
                <w:sz w:val="20"/>
                <w:szCs w:val="20"/>
              </w:rPr>
            </w:pPr>
            <w:r w:rsidRPr="004B2234">
              <w:rPr>
                <w:rFonts w:ascii="Calibri" w:eastAsia="Times New Roman" w:hAnsi="Calibri" w:cs="Calibri"/>
                <w:b/>
                <w:color w:val="000000"/>
                <w:sz w:val="20"/>
                <w:szCs w:val="20"/>
              </w:rPr>
              <w:t>Cases</w:t>
            </w:r>
          </w:p>
        </w:tc>
        <w:tc>
          <w:tcPr>
            <w:tcW w:w="1736" w:type="dxa"/>
            <w:tcBorders>
              <w:top w:val="single" w:sz="4" w:space="0" w:color="auto"/>
              <w:bottom w:val="single" w:sz="4" w:space="0" w:color="auto"/>
            </w:tcBorders>
            <w:shd w:val="clear" w:color="auto" w:fill="BFBFBF" w:themeFill="background1" w:themeFillShade="BF"/>
            <w:noWrap/>
            <w:vAlign w:val="center"/>
            <w:hideMark/>
          </w:tcPr>
          <w:p w14:paraId="630E6319" w14:textId="77777777" w:rsidR="004B2234" w:rsidRPr="004B2234" w:rsidRDefault="004B2234" w:rsidP="004B2234">
            <w:pPr>
              <w:jc w:val="center"/>
              <w:rPr>
                <w:rFonts w:ascii="Calibri" w:eastAsia="Times New Roman" w:hAnsi="Calibri" w:cs="Calibri"/>
                <w:b/>
                <w:color w:val="000000"/>
                <w:sz w:val="18"/>
                <w:szCs w:val="20"/>
              </w:rPr>
            </w:pPr>
            <w:r w:rsidRPr="004B2234">
              <w:rPr>
                <w:rFonts w:ascii="Calibri" w:eastAsia="Times New Roman" w:hAnsi="Calibri" w:cs="Calibri"/>
                <w:b/>
                <w:color w:val="000000"/>
                <w:sz w:val="18"/>
                <w:szCs w:val="20"/>
              </w:rPr>
              <w:t xml:space="preserve">(95% </w:t>
            </w:r>
            <w:proofErr w:type="spellStart"/>
            <w:r w:rsidRPr="004B2234">
              <w:rPr>
                <w:rFonts w:ascii="Calibri" w:eastAsia="Times New Roman" w:hAnsi="Calibri" w:cs="Calibri"/>
                <w:b/>
                <w:color w:val="000000"/>
                <w:sz w:val="18"/>
                <w:szCs w:val="20"/>
              </w:rPr>
              <w:t>CrI</w:t>
            </w:r>
            <w:proofErr w:type="spellEnd"/>
            <w:r w:rsidRPr="004B2234">
              <w:rPr>
                <w:rFonts w:ascii="Calibri" w:eastAsia="Times New Roman" w:hAnsi="Calibri" w:cs="Calibri"/>
                <w:b/>
                <w:color w:val="000000"/>
                <w:sz w:val="18"/>
                <w:szCs w:val="20"/>
              </w:rPr>
              <w:t>)</w:t>
            </w:r>
          </w:p>
        </w:tc>
        <w:tc>
          <w:tcPr>
            <w:tcW w:w="360" w:type="dxa"/>
            <w:tcBorders>
              <w:top w:val="single" w:sz="4" w:space="0" w:color="auto"/>
              <w:bottom w:val="single" w:sz="4" w:space="0" w:color="auto"/>
            </w:tcBorders>
            <w:shd w:val="clear" w:color="auto" w:fill="BFBFBF" w:themeFill="background1" w:themeFillShade="BF"/>
            <w:noWrap/>
            <w:vAlign w:val="center"/>
            <w:hideMark/>
          </w:tcPr>
          <w:p w14:paraId="39FC9012" w14:textId="77777777" w:rsidR="004B2234" w:rsidRPr="004B2234" w:rsidRDefault="004B2234" w:rsidP="004B2234">
            <w:pPr>
              <w:jc w:val="center"/>
              <w:rPr>
                <w:rFonts w:ascii="Calibri" w:eastAsia="Times New Roman" w:hAnsi="Calibri" w:cs="Calibri"/>
                <w:b/>
                <w:color w:val="000000"/>
                <w:sz w:val="20"/>
                <w:szCs w:val="20"/>
              </w:rPr>
            </w:pPr>
          </w:p>
        </w:tc>
        <w:tc>
          <w:tcPr>
            <w:tcW w:w="1680" w:type="dxa"/>
            <w:tcBorders>
              <w:top w:val="single" w:sz="4" w:space="0" w:color="auto"/>
              <w:bottom w:val="single" w:sz="4" w:space="0" w:color="auto"/>
            </w:tcBorders>
            <w:shd w:val="clear" w:color="auto" w:fill="BFBFBF" w:themeFill="background1" w:themeFillShade="BF"/>
            <w:noWrap/>
            <w:vAlign w:val="center"/>
            <w:hideMark/>
          </w:tcPr>
          <w:p w14:paraId="292FE226" w14:textId="77777777" w:rsidR="004B2234" w:rsidRPr="004B2234" w:rsidRDefault="004B2234" w:rsidP="004B2234">
            <w:pPr>
              <w:jc w:val="center"/>
              <w:rPr>
                <w:rFonts w:ascii="Calibri" w:eastAsia="Times New Roman" w:hAnsi="Calibri" w:cs="Calibri"/>
                <w:b/>
                <w:color w:val="000000"/>
                <w:sz w:val="20"/>
                <w:szCs w:val="20"/>
              </w:rPr>
            </w:pPr>
            <w:r w:rsidRPr="004B2234">
              <w:rPr>
                <w:rFonts w:ascii="Calibri" w:eastAsia="Times New Roman" w:hAnsi="Calibri" w:cs="Calibri"/>
                <w:b/>
                <w:color w:val="000000"/>
                <w:sz w:val="20"/>
                <w:szCs w:val="20"/>
              </w:rPr>
              <w:t>GP consultations</w:t>
            </w:r>
          </w:p>
        </w:tc>
        <w:tc>
          <w:tcPr>
            <w:tcW w:w="1554" w:type="dxa"/>
            <w:tcBorders>
              <w:top w:val="single" w:sz="4" w:space="0" w:color="auto"/>
              <w:bottom w:val="single" w:sz="4" w:space="0" w:color="auto"/>
            </w:tcBorders>
            <w:shd w:val="clear" w:color="auto" w:fill="BFBFBF" w:themeFill="background1" w:themeFillShade="BF"/>
            <w:noWrap/>
            <w:vAlign w:val="center"/>
            <w:hideMark/>
          </w:tcPr>
          <w:p w14:paraId="2D039CF4" w14:textId="77777777" w:rsidR="004B2234" w:rsidRPr="004B2234" w:rsidRDefault="004B2234" w:rsidP="004B2234">
            <w:pPr>
              <w:jc w:val="center"/>
              <w:rPr>
                <w:rFonts w:ascii="Calibri" w:eastAsia="Times New Roman" w:hAnsi="Calibri" w:cs="Calibri"/>
                <w:b/>
                <w:color w:val="000000"/>
                <w:sz w:val="18"/>
                <w:szCs w:val="20"/>
              </w:rPr>
            </w:pPr>
            <w:r w:rsidRPr="004B2234">
              <w:rPr>
                <w:rFonts w:ascii="Calibri" w:eastAsia="Times New Roman" w:hAnsi="Calibri" w:cs="Calibri"/>
                <w:b/>
                <w:color w:val="000000"/>
                <w:sz w:val="18"/>
                <w:szCs w:val="20"/>
              </w:rPr>
              <w:t xml:space="preserve">(95% </w:t>
            </w:r>
            <w:proofErr w:type="spellStart"/>
            <w:r w:rsidRPr="004B2234">
              <w:rPr>
                <w:rFonts w:ascii="Calibri" w:eastAsia="Times New Roman" w:hAnsi="Calibri" w:cs="Calibri"/>
                <w:b/>
                <w:color w:val="000000"/>
                <w:sz w:val="18"/>
                <w:szCs w:val="20"/>
              </w:rPr>
              <w:t>CrI</w:t>
            </w:r>
            <w:proofErr w:type="spellEnd"/>
            <w:r w:rsidRPr="004B2234">
              <w:rPr>
                <w:rFonts w:ascii="Calibri" w:eastAsia="Times New Roman" w:hAnsi="Calibri" w:cs="Calibri"/>
                <w:b/>
                <w:color w:val="000000"/>
                <w:sz w:val="18"/>
                <w:szCs w:val="20"/>
              </w:rPr>
              <w:t>)</w:t>
            </w:r>
          </w:p>
        </w:tc>
        <w:tc>
          <w:tcPr>
            <w:tcW w:w="360" w:type="dxa"/>
            <w:tcBorders>
              <w:top w:val="single" w:sz="4" w:space="0" w:color="auto"/>
              <w:bottom w:val="single" w:sz="4" w:space="0" w:color="auto"/>
            </w:tcBorders>
            <w:shd w:val="clear" w:color="auto" w:fill="BFBFBF" w:themeFill="background1" w:themeFillShade="BF"/>
            <w:noWrap/>
            <w:vAlign w:val="center"/>
            <w:hideMark/>
          </w:tcPr>
          <w:p w14:paraId="7EA90B9D" w14:textId="77777777" w:rsidR="004B2234" w:rsidRPr="004B2234" w:rsidRDefault="004B2234" w:rsidP="004B2234">
            <w:pPr>
              <w:jc w:val="center"/>
              <w:rPr>
                <w:rFonts w:ascii="Calibri" w:eastAsia="Times New Roman" w:hAnsi="Calibri" w:cs="Calibri"/>
                <w:b/>
                <w:color w:val="000000"/>
                <w:sz w:val="20"/>
                <w:szCs w:val="20"/>
              </w:rPr>
            </w:pPr>
          </w:p>
        </w:tc>
        <w:tc>
          <w:tcPr>
            <w:tcW w:w="1927" w:type="dxa"/>
            <w:tcBorders>
              <w:top w:val="single" w:sz="4" w:space="0" w:color="auto"/>
              <w:bottom w:val="single" w:sz="4" w:space="0" w:color="auto"/>
            </w:tcBorders>
            <w:shd w:val="clear" w:color="auto" w:fill="BFBFBF" w:themeFill="background1" w:themeFillShade="BF"/>
            <w:noWrap/>
            <w:vAlign w:val="center"/>
            <w:hideMark/>
          </w:tcPr>
          <w:p w14:paraId="362F711C" w14:textId="77777777" w:rsidR="004B2234" w:rsidRPr="004B2234" w:rsidRDefault="004B2234" w:rsidP="004B2234">
            <w:pPr>
              <w:jc w:val="center"/>
              <w:rPr>
                <w:rFonts w:ascii="Calibri" w:eastAsia="Times New Roman" w:hAnsi="Calibri" w:cs="Calibri"/>
                <w:b/>
                <w:color w:val="000000"/>
                <w:sz w:val="20"/>
                <w:szCs w:val="20"/>
              </w:rPr>
            </w:pPr>
            <w:r w:rsidRPr="004B2234">
              <w:rPr>
                <w:rFonts w:ascii="Calibri" w:eastAsia="Times New Roman" w:hAnsi="Calibri" w:cs="Calibri"/>
                <w:b/>
                <w:color w:val="000000"/>
                <w:sz w:val="20"/>
                <w:szCs w:val="20"/>
              </w:rPr>
              <w:t>Hospital admissions</w:t>
            </w:r>
          </w:p>
        </w:tc>
        <w:tc>
          <w:tcPr>
            <w:tcW w:w="1327" w:type="dxa"/>
            <w:tcBorders>
              <w:top w:val="single" w:sz="4" w:space="0" w:color="auto"/>
              <w:bottom w:val="single" w:sz="4" w:space="0" w:color="auto"/>
            </w:tcBorders>
            <w:shd w:val="clear" w:color="auto" w:fill="BFBFBF" w:themeFill="background1" w:themeFillShade="BF"/>
            <w:noWrap/>
            <w:vAlign w:val="center"/>
            <w:hideMark/>
          </w:tcPr>
          <w:p w14:paraId="55130860" w14:textId="77777777" w:rsidR="004B2234" w:rsidRPr="004B2234" w:rsidRDefault="004B2234" w:rsidP="004B2234">
            <w:pPr>
              <w:jc w:val="center"/>
              <w:rPr>
                <w:rFonts w:ascii="Calibri" w:eastAsia="Times New Roman" w:hAnsi="Calibri" w:cs="Calibri"/>
                <w:b/>
                <w:color w:val="000000"/>
                <w:sz w:val="18"/>
                <w:szCs w:val="20"/>
              </w:rPr>
            </w:pPr>
            <w:r w:rsidRPr="004B2234">
              <w:rPr>
                <w:rFonts w:ascii="Calibri" w:eastAsia="Times New Roman" w:hAnsi="Calibri" w:cs="Calibri"/>
                <w:b/>
                <w:color w:val="000000"/>
                <w:sz w:val="18"/>
                <w:szCs w:val="20"/>
              </w:rPr>
              <w:t xml:space="preserve">(95% </w:t>
            </w:r>
            <w:proofErr w:type="spellStart"/>
            <w:r w:rsidRPr="004B2234">
              <w:rPr>
                <w:rFonts w:ascii="Calibri" w:eastAsia="Times New Roman" w:hAnsi="Calibri" w:cs="Calibri"/>
                <w:b/>
                <w:color w:val="000000"/>
                <w:sz w:val="18"/>
                <w:szCs w:val="20"/>
              </w:rPr>
              <w:t>CrI</w:t>
            </w:r>
            <w:proofErr w:type="spellEnd"/>
            <w:r w:rsidRPr="004B2234">
              <w:rPr>
                <w:rFonts w:ascii="Calibri" w:eastAsia="Times New Roman" w:hAnsi="Calibri" w:cs="Calibri"/>
                <w:b/>
                <w:color w:val="000000"/>
                <w:sz w:val="18"/>
                <w:szCs w:val="20"/>
              </w:rPr>
              <w:t>)</w:t>
            </w:r>
          </w:p>
        </w:tc>
      </w:tr>
      <w:tr w:rsidR="004B2234" w:rsidRPr="004B2234" w14:paraId="127A756E" w14:textId="77777777" w:rsidTr="005453FE">
        <w:trPr>
          <w:trHeight w:hRule="exact" w:val="289"/>
        </w:trPr>
        <w:tc>
          <w:tcPr>
            <w:tcW w:w="1542" w:type="dxa"/>
            <w:tcBorders>
              <w:top w:val="single" w:sz="4" w:space="0" w:color="auto"/>
            </w:tcBorders>
            <w:noWrap/>
            <w:vAlign w:val="center"/>
            <w:hideMark/>
          </w:tcPr>
          <w:p w14:paraId="52779380" w14:textId="77777777" w:rsidR="004B2234" w:rsidRPr="004B2234" w:rsidRDefault="004B2234" w:rsidP="004B2234">
            <w:pPr>
              <w:rPr>
                <w:rFonts w:ascii="Calibri" w:eastAsia="Times New Roman" w:hAnsi="Calibri" w:cs="Calibri"/>
                <w:i/>
                <w:iCs/>
                <w:color w:val="000000"/>
                <w:sz w:val="20"/>
                <w:szCs w:val="20"/>
              </w:rPr>
            </w:pPr>
            <w:r w:rsidRPr="004B2234">
              <w:rPr>
                <w:rFonts w:ascii="Calibri" w:eastAsia="Times New Roman" w:hAnsi="Calibri" w:cs="Calibri"/>
                <w:i/>
                <w:iCs/>
                <w:color w:val="000000"/>
                <w:sz w:val="20"/>
                <w:szCs w:val="20"/>
              </w:rPr>
              <w:t>Campylobacter</w:t>
            </w:r>
          </w:p>
        </w:tc>
        <w:tc>
          <w:tcPr>
            <w:tcW w:w="974" w:type="dxa"/>
            <w:tcBorders>
              <w:top w:val="single" w:sz="4" w:space="0" w:color="auto"/>
            </w:tcBorders>
            <w:noWrap/>
            <w:vAlign w:val="center"/>
            <w:hideMark/>
          </w:tcPr>
          <w:p w14:paraId="506283A5"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279,900</w:t>
            </w:r>
          </w:p>
        </w:tc>
        <w:tc>
          <w:tcPr>
            <w:tcW w:w="1736" w:type="dxa"/>
            <w:tcBorders>
              <w:top w:val="single" w:sz="4" w:space="0" w:color="auto"/>
            </w:tcBorders>
            <w:noWrap/>
            <w:vAlign w:val="center"/>
            <w:hideMark/>
          </w:tcPr>
          <w:p w14:paraId="6E612B3A"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(183,100 - 433,098)</w:t>
            </w:r>
          </w:p>
        </w:tc>
        <w:tc>
          <w:tcPr>
            <w:tcW w:w="360" w:type="dxa"/>
            <w:tcBorders>
              <w:top w:val="single" w:sz="4" w:space="0" w:color="auto"/>
            </w:tcBorders>
            <w:noWrap/>
            <w:vAlign w:val="center"/>
            <w:hideMark/>
          </w:tcPr>
          <w:p w14:paraId="20C44B8E" w14:textId="77777777" w:rsidR="004B2234" w:rsidRPr="004B2234" w:rsidRDefault="004B2234" w:rsidP="004B2234">
            <w:pPr>
              <w:jc w:val="center"/>
              <w:rPr>
                <w:rFonts w:ascii="Calibri" w:eastAsia="Times New Roman" w:hAnsi="Calibri" w:cs="Calibri"/>
                <w:color w:val="000000"/>
                <w:sz w:val="20"/>
                <w:szCs w:val="20"/>
              </w:rPr>
            </w:pPr>
          </w:p>
        </w:tc>
        <w:tc>
          <w:tcPr>
            <w:tcW w:w="1680" w:type="dxa"/>
            <w:tcBorders>
              <w:top w:val="single" w:sz="4" w:space="0" w:color="auto"/>
            </w:tcBorders>
            <w:noWrap/>
            <w:vAlign w:val="center"/>
            <w:hideMark/>
          </w:tcPr>
          <w:p w14:paraId="25934740"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38,820</w:t>
            </w:r>
          </w:p>
        </w:tc>
        <w:tc>
          <w:tcPr>
            <w:tcW w:w="1554" w:type="dxa"/>
            <w:tcBorders>
              <w:top w:val="single" w:sz="4" w:space="0" w:color="auto"/>
            </w:tcBorders>
            <w:noWrap/>
            <w:vAlign w:val="center"/>
            <w:hideMark/>
          </w:tcPr>
          <w:p w14:paraId="1E2132BA"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(27,010 - 55,580)</w:t>
            </w:r>
          </w:p>
        </w:tc>
        <w:tc>
          <w:tcPr>
            <w:tcW w:w="360" w:type="dxa"/>
            <w:tcBorders>
              <w:top w:val="single" w:sz="4" w:space="0" w:color="auto"/>
            </w:tcBorders>
            <w:noWrap/>
            <w:vAlign w:val="center"/>
            <w:hideMark/>
          </w:tcPr>
          <w:p w14:paraId="7AA3C031" w14:textId="77777777" w:rsidR="004B2234" w:rsidRPr="004B2234" w:rsidRDefault="004B2234" w:rsidP="004B2234">
            <w:pPr>
              <w:jc w:val="center"/>
              <w:rPr>
                <w:rFonts w:ascii="Calibri" w:eastAsia="Times New Roman" w:hAnsi="Calibri" w:cs="Calibri"/>
                <w:color w:val="000000"/>
                <w:sz w:val="20"/>
                <w:szCs w:val="20"/>
              </w:rPr>
            </w:pPr>
          </w:p>
        </w:tc>
        <w:tc>
          <w:tcPr>
            <w:tcW w:w="1927" w:type="dxa"/>
            <w:tcBorders>
              <w:top w:val="single" w:sz="4" w:space="0" w:color="auto"/>
            </w:tcBorders>
            <w:noWrap/>
            <w:vAlign w:val="center"/>
            <w:hideMark/>
          </w:tcPr>
          <w:p w14:paraId="77110199"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561</w:t>
            </w:r>
          </w:p>
        </w:tc>
        <w:tc>
          <w:tcPr>
            <w:tcW w:w="1327" w:type="dxa"/>
            <w:tcBorders>
              <w:top w:val="single" w:sz="4" w:space="0" w:color="auto"/>
            </w:tcBorders>
            <w:noWrap/>
            <w:vAlign w:val="center"/>
            <w:hideMark/>
          </w:tcPr>
          <w:p w14:paraId="627736B4"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(189 - 1,343)</w:t>
            </w:r>
          </w:p>
        </w:tc>
      </w:tr>
      <w:tr w:rsidR="004B2234" w:rsidRPr="004B2234" w14:paraId="6BBEA275" w14:textId="77777777" w:rsidTr="005453FE">
        <w:trPr>
          <w:trHeight w:hRule="exact" w:val="289"/>
        </w:trPr>
        <w:tc>
          <w:tcPr>
            <w:tcW w:w="1542" w:type="dxa"/>
            <w:noWrap/>
            <w:vAlign w:val="center"/>
            <w:hideMark/>
          </w:tcPr>
          <w:p w14:paraId="7EF7AEDC" w14:textId="77777777" w:rsidR="004B2234" w:rsidRPr="004B2234" w:rsidRDefault="004B2234" w:rsidP="004B2234">
            <w:pPr>
              <w:rPr>
                <w:rFonts w:ascii="Calibri" w:eastAsia="Times New Roman" w:hAnsi="Calibri" w:cs="Calibri"/>
                <w:color w:val="000000"/>
                <w:sz w:val="20"/>
                <w:szCs w:val="20"/>
              </w:rPr>
            </w:pPr>
            <w:r w:rsidRPr="004B2234">
              <w:rPr>
                <w:rFonts w:ascii="Calibri" w:eastAsia="Times New Roman" w:hAnsi="Calibri" w:cs="Calibri"/>
                <w:i/>
                <w:iCs/>
                <w:color w:val="000000"/>
                <w:sz w:val="20"/>
                <w:szCs w:val="20"/>
              </w:rPr>
              <w:t xml:space="preserve">E. coli </w:t>
            </w:r>
            <w:r w:rsidRPr="004B2234">
              <w:rPr>
                <w:rFonts w:ascii="Calibri" w:eastAsia="Times New Roman" w:hAnsi="Calibri" w:cs="Calibri"/>
                <w:color w:val="000000"/>
                <w:sz w:val="20"/>
                <w:szCs w:val="20"/>
              </w:rPr>
              <w:t>O157</w:t>
            </w:r>
          </w:p>
        </w:tc>
        <w:tc>
          <w:tcPr>
            <w:tcW w:w="974" w:type="dxa"/>
            <w:noWrap/>
            <w:vAlign w:val="center"/>
            <w:hideMark/>
          </w:tcPr>
          <w:p w14:paraId="7EFC2D12"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9,536</w:t>
            </w:r>
          </w:p>
        </w:tc>
        <w:tc>
          <w:tcPr>
            <w:tcW w:w="1736" w:type="dxa"/>
            <w:noWrap/>
            <w:vAlign w:val="center"/>
            <w:hideMark/>
          </w:tcPr>
          <w:p w14:paraId="2B5A152F"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(644 - 146,495)</w:t>
            </w:r>
          </w:p>
        </w:tc>
        <w:tc>
          <w:tcPr>
            <w:tcW w:w="360" w:type="dxa"/>
            <w:noWrap/>
            <w:vAlign w:val="center"/>
            <w:hideMark/>
          </w:tcPr>
          <w:p w14:paraId="39EB797A" w14:textId="77777777" w:rsidR="004B2234" w:rsidRPr="004B2234" w:rsidRDefault="004B2234" w:rsidP="004B2234">
            <w:pPr>
              <w:jc w:val="center"/>
              <w:rPr>
                <w:rFonts w:ascii="Calibri" w:eastAsia="Times New Roman" w:hAnsi="Calibri" w:cs="Calibri"/>
                <w:color w:val="000000"/>
                <w:sz w:val="20"/>
                <w:szCs w:val="20"/>
              </w:rPr>
            </w:pPr>
          </w:p>
        </w:tc>
        <w:tc>
          <w:tcPr>
            <w:tcW w:w="1680" w:type="dxa"/>
            <w:noWrap/>
            <w:vAlign w:val="center"/>
            <w:hideMark/>
          </w:tcPr>
          <w:p w14:paraId="19A00927"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324</w:t>
            </w:r>
          </w:p>
        </w:tc>
        <w:tc>
          <w:tcPr>
            <w:tcW w:w="1554" w:type="dxa"/>
            <w:noWrap/>
            <w:vAlign w:val="center"/>
            <w:hideMark/>
          </w:tcPr>
          <w:p w14:paraId="2B8BC9C0"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(36 - 2,973)</w:t>
            </w:r>
          </w:p>
        </w:tc>
        <w:tc>
          <w:tcPr>
            <w:tcW w:w="360" w:type="dxa"/>
            <w:noWrap/>
            <w:vAlign w:val="center"/>
            <w:hideMark/>
          </w:tcPr>
          <w:p w14:paraId="2CC7A783" w14:textId="77777777" w:rsidR="004B2234" w:rsidRPr="004B2234" w:rsidRDefault="004B2234" w:rsidP="004B2234">
            <w:pPr>
              <w:jc w:val="center"/>
              <w:rPr>
                <w:rFonts w:ascii="Calibri" w:eastAsia="Times New Roman" w:hAnsi="Calibri" w:cs="Calibri"/>
                <w:color w:val="000000"/>
                <w:sz w:val="20"/>
                <w:szCs w:val="20"/>
              </w:rPr>
            </w:pPr>
          </w:p>
        </w:tc>
        <w:tc>
          <w:tcPr>
            <w:tcW w:w="1927" w:type="dxa"/>
            <w:noWrap/>
            <w:vAlign w:val="center"/>
            <w:hideMark/>
          </w:tcPr>
          <w:p w14:paraId="0272217D"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2,141</w:t>
            </w:r>
          </w:p>
        </w:tc>
        <w:tc>
          <w:tcPr>
            <w:tcW w:w="1327" w:type="dxa"/>
            <w:noWrap/>
            <w:vAlign w:val="center"/>
            <w:hideMark/>
          </w:tcPr>
          <w:p w14:paraId="6F7B642A"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(143 - 33,237)</w:t>
            </w:r>
          </w:p>
        </w:tc>
      </w:tr>
      <w:tr w:rsidR="004B2234" w:rsidRPr="004B2234" w14:paraId="4D7A66F8" w14:textId="77777777" w:rsidTr="005453FE">
        <w:trPr>
          <w:trHeight w:hRule="exact" w:val="289"/>
        </w:trPr>
        <w:tc>
          <w:tcPr>
            <w:tcW w:w="1542" w:type="dxa"/>
            <w:noWrap/>
            <w:vAlign w:val="center"/>
            <w:hideMark/>
          </w:tcPr>
          <w:p w14:paraId="0B6B555F" w14:textId="77777777" w:rsidR="004B2234" w:rsidRPr="004B2234" w:rsidRDefault="004B2234" w:rsidP="004B2234">
            <w:pPr>
              <w:rPr>
                <w:rFonts w:ascii="Calibri" w:eastAsia="Times New Roman" w:hAnsi="Calibri" w:cs="Calibri"/>
                <w:i/>
                <w:iCs/>
                <w:color w:val="000000"/>
                <w:sz w:val="20"/>
                <w:szCs w:val="20"/>
              </w:rPr>
            </w:pPr>
            <w:r w:rsidRPr="004B2234">
              <w:rPr>
                <w:rFonts w:ascii="Calibri" w:eastAsia="Times New Roman" w:hAnsi="Calibri" w:cs="Calibri"/>
                <w:i/>
                <w:iCs/>
                <w:color w:val="000000"/>
                <w:sz w:val="20"/>
                <w:szCs w:val="20"/>
              </w:rPr>
              <w:t>Listeria</w:t>
            </w:r>
          </w:p>
        </w:tc>
        <w:tc>
          <w:tcPr>
            <w:tcW w:w="974" w:type="dxa"/>
            <w:noWrap/>
            <w:vAlign w:val="center"/>
            <w:hideMark/>
          </w:tcPr>
          <w:p w14:paraId="2FB6E286"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166</w:t>
            </w:r>
          </w:p>
        </w:tc>
        <w:tc>
          <w:tcPr>
            <w:tcW w:w="1736" w:type="dxa"/>
            <w:noWrap/>
            <w:vAlign w:val="center"/>
            <w:hideMark/>
          </w:tcPr>
          <w:p w14:paraId="161CED53"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(92 - 214)</w:t>
            </w:r>
          </w:p>
        </w:tc>
        <w:tc>
          <w:tcPr>
            <w:tcW w:w="360" w:type="dxa"/>
            <w:noWrap/>
            <w:vAlign w:val="center"/>
            <w:hideMark/>
          </w:tcPr>
          <w:p w14:paraId="6EC936EE" w14:textId="77777777" w:rsidR="004B2234" w:rsidRPr="004B2234" w:rsidRDefault="004B2234" w:rsidP="004B2234">
            <w:pPr>
              <w:jc w:val="center"/>
              <w:rPr>
                <w:rFonts w:ascii="Calibri" w:eastAsia="Times New Roman" w:hAnsi="Calibri" w:cs="Calibri"/>
                <w:color w:val="000000"/>
                <w:sz w:val="20"/>
                <w:szCs w:val="20"/>
              </w:rPr>
            </w:pPr>
          </w:p>
        </w:tc>
        <w:tc>
          <w:tcPr>
            <w:tcW w:w="1680" w:type="dxa"/>
            <w:noWrap/>
            <w:vAlign w:val="center"/>
            <w:hideMark/>
          </w:tcPr>
          <w:p w14:paraId="384D47FD"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166</w:t>
            </w:r>
          </w:p>
        </w:tc>
        <w:tc>
          <w:tcPr>
            <w:tcW w:w="1554" w:type="dxa"/>
            <w:noWrap/>
            <w:vAlign w:val="center"/>
            <w:hideMark/>
          </w:tcPr>
          <w:p w14:paraId="07CF94BF"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(92 - 214)</w:t>
            </w:r>
          </w:p>
        </w:tc>
        <w:tc>
          <w:tcPr>
            <w:tcW w:w="360" w:type="dxa"/>
            <w:noWrap/>
            <w:vAlign w:val="center"/>
            <w:hideMark/>
          </w:tcPr>
          <w:p w14:paraId="418A2313" w14:textId="77777777" w:rsidR="004B2234" w:rsidRPr="004B2234" w:rsidRDefault="004B2234" w:rsidP="004B2234">
            <w:pPr>
              <w:jc w:val="center"/>
              <w:rPr>
                <w:rFonts w:ascii="Calibri" w:eastAsia="Times New Roman" w:hAnsi="Calibri" w:cs="Calibri"/>
                <w:color w:val="000000"/>
                <w:sz w:val="20"/>
                <w:szCs w:val="20"/>
              </w:rPr>
            </w:pPr>
          </w:p>
        </w:tc>
        <w:tc>
          <w:tcPr>
            <w:tcW w:w="1927" w:type="dxa"/>
            <w:noWrap/>
            <w:vAlign w:val="center"/>
            <w:hideMark/>
          </w:tcPr>
          <w:p w14:paraId="6B7078E0" w14:textId="77777777" w:rsidR="004B2234" w:rsidRPr="004B2234" w:rsidRDefault="004B2234" w:rsidP="004B2234">
            <w:pPr>
              <w:jc w:val="center"/>
              <w:rPr>
                <w:rFonts w:ascii="Calibri" w:eastAsia="Times New Roman" w:hAnsi="Calibri" w:cs="Calibri"/>
                <w:color w:val="000000"/>
                <w:sz w:val="20"/>
                <w:szCs w:val="20"/>
                <w:vertAlign w:val="superscript"/>
              </w:rPr>
            </w:pPr>
            <w:r w:rsidRPr="004B2234">
              <w:rPr>
                <w:rFonts w:ascii="Calibri" w:eastAsia="Times New Roman" w:hAnsi="Calibri" w:cs="Calibri"/>
                <w:color w:val="000000"/>
                <w:sz w:val="20"/>
                <w:szCs w:val="20"/>
              </w:rPr>
              <w:t>--</w:t>
            </w:r>
            <w:r w:rsidRPr="004B2234">
              <w:rPr>
                <w:rFonts w:ascii="Calibri" w:eastAsia="Times New Roman" w:hAnsi="Calibri" w:cs="Calibri"/>
                <w:color w:val="000000"/>
                <w:sz w:val="20"/>
                <w:szCs w:val="20"/>
                <w:vertAlign w:val="superscript"/>
              </w:rPr>
              <w:t>1</w:t>
            </w:r>
          </w:p>
        </w:tc>
        <w:tc>
          <w:tcPr>
            <w:tcW w:w="1327" w:type="dxa"/>
            <w:noWrap/>
            <w:vAlign w:val="center"/>
            <w:hideMark/>
          </w:tcPr>
          <w:p w14:paraId="54DA1592"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w:t>
            </w:r>
          </w:p>
        </w:tc>
      </w:tr>
      <w:tr w:rsidR="004B2234" w:rsidRPr="004B2234" w14:paraId="29018653" w14:textId="77777777" w:rsidTr="005453FE">
        <w:trPr>
          <w:trHeight w:hRule="exact" w:val="289"/>
        </w:trPr>
        <w:tc>
          <w:tcPr>
            <w:tcW w:w="1542" w:type="dxa"/>
            <w:noWrap/>
            <w:vAlign w:val="center"/>
            <w:hideMark/>
          </w:tcPr>
          <w:p w14:paraId="6BCD0544" w14:textId="77777777" w:rsidR="004B2234" w:rsidRPr="004B2234" w:rsidRDefault="004B2234" w:rsidP="004B2234">
            <w:pPr>
              <w:rPr>
                <w:rFonts w:ascii="Calibri" w:eastAsia="Times New Roman" w:hAnsi="Calibri" w:cs="Calibri"/>
                <w:i/>
                <w:iCs/>
                <w:color w:val="000000"/>
                <w:sz w:val="20"/>
                <w:szCs w:val="20"/>
              </w:rPr>
            </w:pPr>
            <w:r w:rsidRPr="004B2234">
              <w:rPr>
                <w:rFonts w:ascii="Calibri" w:eastAsia="Times New Roman" w:hAnsi="Calibri" w:cs="Calibri"/>
                <w:i/>
                <w:iCs/>
                <w:color w:val="000000"/>
                <w:sz w:val="20"/>
                <w:szCs w:val="20"/>
              </w:rPr>
              <w:t>Salmonella</w:t>
            </w:r>
          </w:p>
        </w:tc>
        <w:tc>
          <w:tcPr>
            <w:tcW w:w="974" w:type="dxa"/>
            <w:noWrap/>
            <w:vAlign w:val="center"/>
            <w:hideMark/>
          </w:tcPr>
          <w:p w14:paraId="3350055A"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33,130</w:t>
            </w:r>
          </w:p>
        </w:tc>
        <w:tc>
          <w:tcPr>
            <w:tcW w:w="1736" w:type="dxa"/>
            <w:noWrap/>
            <w:vAlign w:val="center"/>
            <w:hideMark/>
          </w:tcPr>
          <w:p w14:paraId="1FEA2D15"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(8,178 - 128,195)</w:t>
            </w:r>
          </w:p>
        </w:tc>
        <w:tc>
          <w:tcPr>
            <w:tcW w:w="360" w:type="dxa"/>
            <w:noWrap/>
            <w:vAlign w:val="center"/>
            <w:hideMark/>
          </w:tcPr>
          <w:p w14:paraId="75D03ADE" w14:textId="77777777" w:rsidR="004B2234" w:rsidRPr="004B2234" w:rsidRDefault="004B2234" w:rsidP="004B2234">
            <w:pPr>
              <w:jc w:val="center"/>
              <w:rPr>
                <w:rFonts w:ascii="Calibri" w:eastAsia="Times New Roman" w:hAnsi="Calibri" w:cs="Calibri"/>
                <w:color w:val="000000"/>
                <w:sz w:val="20"/>
                <w:szCs w:val="20"/>
              </w:rPr>
            </w:pPr>
          </w:p>
        </w:tc>
        <w:tc>
          <w:tcPr>
            <w:tcW w:w="1680" w:type="dxa"/>
            <w:noWrap/>
            <w:vAlign w:val="center"/>
            <w:hideMark/>
          </w:tcPr>
          <w:p w14:paraId="506F5859"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10,060</w:t>
            </w:r>
          </w:p>
        </w:tc>
        <w:tc>
          <w:tcPr>
            <w:tcW w:w="1554" w:type="dxa"/>
            <w:noWrap/>
            <w:vAlign w:val="center"/>
            <w:hideMark/>
          </w:tcPr>
          <w:p w14:paraId="5A9D385B"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(4,137 - 24,710)</w:t>
            </w:r>
          </w:p>
        </w:tc>
        <w:tc>
          <w:tcPr>
            <w:tcW w:w="360" w:type="dxa"/>
            <w:noWrap/>
            <w:vAlign w:val="center"/>
            <w:hideMark/>
          </w:tcPr>
          <w:p w14:paraId="5C87D5B8" w14:textId="77777777" w:rsidR="004B2234" w:rsidRPr="004B2234" w:rsidRDefault="004B2234" w:rsidP="004B2234">
            <w:pPr>
              <w:jc w:val="center"/>
              <w:rPr>
                <w:rFonts w:ascii="Calibri" w:eastAsia="Times New Roman" w:hAnsi="Calibri" w:cs="Calibri"/>
                <w:color w:val="000000"/>
                <w:sz w:val="20"/>
                <w:szCs w:val="20"/>
              </w:rPr>
            </w:pPr>
          </w:p>
        </w:tc>
        <w:tc>
          <w:tcPr>
            <w:tcW w:w="1927" w:type="dxa"/>
            <w:noWrap/>
            <w:vAlign w:val="center"/>
            <w:hideMark/>
          </w:tcPr>
          <w:p w14:paraId="621EEBCD"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2,490</w:t>
            </w:r>
          </w:p>
        </w:tc>
        <w:tc>
          <w:tcPr>
            <w:tcW w:w="1327" w:type="dxa"/>
            <w:noWrap/>
            <w:vAlign w:val="center"/>
            <w:hideMark/>
          </w:tcPr>
          <w:p w14:paraId="57491042" w14:textId="77777777" w:rsidR="004B2234" w:rsidRPr="004B2234" w:rsidRDefault="004B2234" w:rsidP="004B2234">
            <w:pPr>
              <w:jc w:val="center"/>
              <w:rPr>
                <w:rFonts w:ascii="Calibri" w:eastAsia="Times New Roman" w:hAnsi="Calibri" w:cs="Calibri"/>
                <w:color w:val="000000"/>
                <w:sz w:val="18"/>
                <w:szCs w:val="20"/>
              </w:rPr>
            </w:pPr>
            <w:r w:rsidRPr="004B2234">
              <w:rPr>
                <w:rFonts w:ascii="Calibri" w:eastAsia="Times New Roman" w:hAnsi="Calibri" w:cs="Calibri"/>
                <w:color w:val="000000"/>
                <w:sz w:val="18"/>
                <w:szCs w:val="20"/>
              </w:rPr>
              <w:t>(607 - 9,631)</w:t>
            </w:r>
          </w:p>
        </w:tc>
      </w:tr>
      <w:tr w:rsidR="004B2234" w:rsidRPr="004B2234" w14:paraId="72ED13F1" w14:textId="77777777" w:rsidTr="005453FE">
        <w:trPr>
          <w:trHeight w:hRule="exact" w:val="289"/>
        </w:trPr>
        <w:tc>
          <w:tcPr>
            <w:tcW w:w="1542" w:type="dxa"/>
            <w:noWrap/>
            <w:vAlign w:val="center"/>
          </w:tcPr>
          <w:p w14:paraId="3A8AE988" w14:textId="77777777" w:rsidR="004B2234" w:rsidRPr="004B2234" w:rsidRDefault="004B2234" w:rsidP="004B2234">
            <w:pPr>
              <w:rPr>
                <w:rFonts w:ascii="Calibri" w:eastAsia="Times New Roman" w:hAnsi="Calibri" w:cs="Calibri"/>
                <w:i/>
                <w:iCs/>
                <w:color w:val="000000"/>
                <w:sz w:val="20"/>
                <w:szCs w:val="20"/>
              </w:rPr>
            </w:pPr>
          </w:p>
        </w:tc>
        <w:tc>
          <w:tcPr>
            <w:tcW w:w="974" w:type="dxa"/>
            <w:noWrap/>
            <w:vAlign w:val="center"/>
          </w:tcPr>
          <w:p w14:paraId="7E2DD5E7" w14:textId="77777777" w:rsidR="004B2234" w:rsidRPr="004B2234" w:rsidRDefault="004B2234" w:rsidP="004B2234">
            <w:pPr>
              <w:jc w:val="center"/>
              <w:rPr>
                <w:rFonts w:ascii="Calibri" w:eastAsia="Times New Roman" w:hAnsi="Calibri" w:cs="Calibri"/>
                <w:color w:val="000000"/>
                <w:sz w:val="20"/>
                <w:szCs w:val="20"/>
              </w:rPr>
            </w:pPr>
          </w:p>
        </w:tc>
        <w:tc>
          <w:tcPr>
            <w:tcW w:w="1736" w:type="dxa"/>
            <w:noWrap/>
            <w:vAlign w:val="center"/>
          </w:tcPr>
          <w:p w14:paraId="3F73F468" w14:textId="77777777" w:rsidR="004B2234" w:rsidRPr="004B2234" w:rsidRDefault="004B2234" w:rsidP="004B2234">
            <w:pPr>
              <w:jc w:val="center"/>
              <w:rPr>
                <w:rFonts w:ascii="Calibri" w:eastAsia="Times New Roman" w:hAnsi="Calibri" w:cs="Calibri"/>
                <w:color w:val="000000"/>
                <w:sz w:val="18"/>
                <w:szCs w:val="20"/>
              </w:rPr>
            </w:pPr>
          </w:p>
        </w:tc>
        <w:tc>
          <w:tcPr>
            <w:tcW w:w="360" w:type="dxa"/>
            <w:noWrap/>
            <w:vAlign w:val="center"/>
          </w:tcPr>
          <w:p w14:paraId="5E740C6D" w14:textId="77777777" w:rsidR="004B2234" w:rsidRPr="004B2234" w:rsidRDefault="004B2234" w:rsidP="004B2234">
            <w:pPr>
              <w:jc w:val="center"/>
              <w:rPr>
                <w:rFonts w:ascii="Calibri" w:eastAsia="Times New Roman" w:hAnsi="Calibri" w:cs="Calibri"/>
                <w:color w:val="000000"/>
                <w:sz w:val="20"/>
                <w:szCs w:val="20"/>
              </w:rPr>
            </w:pPr>
          </w:p>
        </w:tc>
        <w:tc>
          <w:tcPr>
            <w:tcW w:w="1680" w:type="dxa"/>
            <w:noWrap/>
            <w:vAlign w:val="center"/>
          </w:tcPr>
          <w:p w14:paraId="250D98DA" w14:textId="77777777" w:rsidR="004B2234" w:rsidRPr="004B2234" w:rsidRDefault="004B2234" w:rsidP="004B2234">
            <w:pPr>
              <w:jc w:val="center"/>
              <w:rPr>
                <w:rFonts w:ascii="Calibri" w:eastAsia="Times New Roman" w:hAnsi="Calibri" w:cs="Calibri"/>
                <w:color w:val="000000"/>
                <w:sz w:val="20"/>
                <w:szCs w:val="20"/>
              </w:rPr>
            </w:pPr>
          </w:p>
        </w:tc>
        <w:tc>
          <w:tcPr>
            <w:tcW w:w="1554" w:type="dxa"/>
            <w:noWrap/>
            <w:vAlign w:val="center"/>
          </w:tcPr>
          <w:p w14:paraId="15ADA237" w14:textId="77777777" w:rsidR="004B2234" w:rsidRPr="004B2234" w:rsidRDefault="004B2234" w:rsidP="004B2234">
            <w:pPr>
              <w:jc w:val="center"/>
              <w:rPr>
                <w:rFonts w:ascii="Calibri" w:eastAsia="Times New Roman" w:hAnsi="Calibri" w:cs="Calibri"/>
                <w:color w:val="000000"/>
                <w:sz w:val="18"/>
                <w:szCs w:val="20"/>
              </w:rPr>
            </w:pPr>
          </w:p>
        </w:tc>
        <w:tc>
          <w:tcPr>
            <w:tcW w:w="360" w:type="dxa"/>
            <w:noWrap/>
            <w:vAlign w:val="center"/>
          </w:tcPr>
          <w:p w14:paraId="4134C23E" w14:textId="77777777" w:rsidR="004B2234" w:rsidRPr="004B2234" w:rsidRDefault="004B2234" w:rsidP="004B2234">
            <w:pPr>
              <w:jc w:val="center"/>
              <w:rPr>
                <w:rFonts w:ascii="Calibri" w:eastAsia="Times New Roman" w:hAnsi="Calibri" w:cs="Calibri"/>
                <w:color w:val="000000"/>
                <w:sz w:val="20"/>
                <w:szCs w:val="20"/>
              </w:rPr>
            </w:pPr>
          </w:p>
        </w:tc>
        <w:tc>
          <w:tcPr>
            <w:tcW w:w="1927" w:type="dxa"/>
            <w:noWrap/>
            <w:vAlign w:val="center"/>
          </w:tcPr>
          <w:p w14:paraId="200C8916" w14:textId="77777777" w:rsidR="004B2234" w:rsidRPr="004B2234" w:rsidRDefault="004B2234" w:rsidP="004B2234">
            <w:pPr>
              <w:jc w:val="center"/>
              <w:rPr>
                <w:rFonts w:ascii="Calibri" w:eastAsia="Times New Roman" w:hAnsi="Calibri" w:cs="Calibri"/>
                <w:color w:val="000000"/>
                <w:sz w:val="20"/>
                <w:szCs w:val="20"/>
              </w:rPr>
            </w:pPr>
          </w:p>
        </w:tc>
        <w:tc>
          <w:tcPr>
            <w:tcW w:w="1327" w:type="dxa"/>
            <w:noWrap/>
            <w:vAlign w:val="center"/>
          </w:tcPr>
          <w:p w14:paraId="1BF3CC30" w14:textId="77777777" w:rsidR="004B2234" w:rsidRPr="004B2234" w:rsidRDefault="004B2234" w:rsidP="004B2234">
            <w:pPr>
              <w:jc w:val="center"/>
              <w:rPr>
                <w:rFonts w:ascii="Calibri" w:eastAsia="Times New Roman" w:hAnsi="Calibri" w:cs="Calibri"/>
                <w:color w:val="000000"/>
                <w:sz w:val="18"/>
                <w:szCs w:val="20"/>
              </w:rPr>
            </w:pPr>
          </w:p>
        </w:tc>
      </w:tr>
      <w:tr w:rsidR="004B2234" w:rsidRPr="004B2234" w14:paraId="2D991860" w14:textId="77777777" w:rsidTr="005453FE">
        <w:trPr>
          <w:trHeight w:hRule="exact" w:val="289"/>
        </w:trPr>
        <w:tc>
          <w:tcPr>
            <w:tcW w:w="1542" w:type="dxa"/>
            <w:noWrap/>
            <w:vAlign w:val="center"/>
          </w:tcPr>
          <w:p w14:paraId="0C2301D6" w14:textId="77777777" w:rsidR="004B2234" w:rsidRPr="004B2234" w:rsidRDefault="004B2234" w:rsidP="004B2234">
            <w:pPr>
              <w:rPr>
                <w:rFonts w:ascii="Calibri" w:eastAsia="Times New Roman" w:hAnsi="Calibri" w:cs="Calibri"/>
                <w:iCs/>
                <w:color w:val="000000"/>
                <w:sz w:val="20"/>
                <w:szCs w:val="20"/>
              </w:rPr>
            </w:pPr>
            <w:r w:rsidRPr="004B2234">
              <w:rPr>
                <w:rFonts w:ascii="Calibri" w:eastAsia="Times New Roman" w:hAnsi="Calibri" w:cs="Calibri"/>
                <w:iCs/>
                <w:color w:val="000000"/>
                <w:sz w:val="20"/>
                <w:szCs w:val="20"/>
              </w:rPr>
              <w:t>TOTAL</w:t>
            </w:r>
          </w:p>
        </w:tc>
        <w:tc>
          <w:tcPr>
            <w:tcW w:w="974" w:type="dxa"/>
            <w:noWrap/>
            <w:vAlign w:val="center"/>
          </w:tcPr>
          <w:p w14:paraId="360A16D4"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322,732</w:t>
            </w:r>
          </w:p>
        </w:tc>
        <w:tc>
          <w:tcPr>
            <w:tcW w:w="1736" w:type="dxa"/>
            <w:noWrap/>
            <w:vAlign w:val="center"/>
          </w:tcPr>
          <w:p w14:paraId="3C1AA3AC" w14:textId="77777777" w:rsidR="004B2234" w:rsidRPr="004B2234" w:rsidRDefault="004B2234" w:rsidP="004B2234">
            <w:pPr>
              <w:jc w:val="center"/>
              <w:rPr>
                <w:rFonts w:ascii="Calibri" w:eastAsia="Times New Roman" w:hAnsi="Calibri" w:cs="Calibri"/>
                <w:color w:val="000000"/>
                <w:sz w:val="18"/>
                <w:szCs w:val="20"/>
              </w:rPr>
            </w:pPr>
          </w:p>
        </w:tc>
        <w:tc>
          <w:tcPr>
            <w:tcW w:w="360" w:type="dxa"/>
            <w:noWrap/>
            <w:vAlign w:val="center"/>
          </w:tcPr>
          <w:p w14:paraId="6505E376" w14:textId="77777777" w:rsidR="004B2234" w:rsidRPr="004B2234" w:rsidRDefault="004B2234" w:rsidP="004B2234">
            <w:pPr>
              <w:jc w:val="center"/>
              <w:rPr>
                <w:rFonts w:ascii="Calibri" w:eastAsia="Times New Roman" w:hAnsi="Calibri" w:cs="Calibri"/>
                <w:color w:val="000000"/>
                <w:sz w:val="20"/>
                <w:szCs w:val="20"/>
              </w:rPr>
            </w:pPr>
          </w:p>
        </w:tc>
        <w:tc>
          <w:tcPr>
            <w:tcW w:w="1680" w:type="dxa"/>
            <w:noWrap/>
            <w:vAlign w:val="center"/>
          </w:tcPr>
          <w:p w14:paraId="2DF407E0"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49,370</w:t>
            </w:r>
          </w:p>
        </w:tc>
        <w:tc>
          <w:tcPr>
            <w:tcW w:w="1554" w:type="dxa"/>
            <w:noWrap/>
            <w:vAlign w:val="center"/>
          </w:tcPr>
          <w:p w14:paraId="05DEE655" w14:textId="77777777" w:rsidR="004B2234" w:rsidRPr="004B2234" w:rsidRDefault="004B2234" w:rsidP="004B2234">
            <w:pPr>
              <w:jc w:val="center"/>
              <w:rPr>
                <w:rFonts w:ascii="Calibri" w:eastAsia="Times New Roman" w:hAnsi="Calibri" w:cs="Calibri"/>
                <w:color w:val="000000"/>
                <w:sz w:val="18"/>
                <w:szCs w:val="20"/>
              </w:rPr>
            </w:pPr>
          </w:p>
        </w:tc>
        <w:tc>
          <w:tcPr>
            <w:tcW w:w="360" w:type="dxa"/>
            <w:noWrap/>
            <w:vAlign w:val="center"/>
          </w:tcPr>
          <w:p w14:paraId="53370912" w14:textId="77777777" w:rsidR="004B2234" w:rsidRPr="004B2234" w:rsidRDefault="004B2234" w:rsidP="004B2234">
            <w:pPr>
              <w:jc w:val="center"/>
              <w:rPr>
                <w:rFonts w:ascii="Calibri" w:eastAsia="Times New Roman" w:hAnsi="Calibri" w:cs="Calibri"/>
                <w:color w:val="000000"/>
                <w:sz w:val="20"/>
                <w:szCs w:val="20"/>
              </w:rPr>
            </w:pPr>
          </w:p>
        </w:tc>
        <w:tc>
          <w:tcPr>
            <w:tcW w:w="1927" w:type="dxa"/>
            <w:noWrap/>
            <w:vAlign w:val="center"/>
          </w:tcPr>
          <w:p w14:paraId="0163C83E" w14:textId="77777777" w:rsidR="004B2234" w:rsidRPr="004B2234" w:rsidRDefault="004B2234" w:rsidP="004B2234">
            <w:pPr>
              <w:jc w:val="center"/>
              <w:rPr>
                <w:rFonts w:ascii="Calibri" w:eastAsia="Times New Roman" w:hAnsi="Calibri" w:cs="Calibri"/>
                <w:color w:val="000000"/>
                <w:sz w:val="20"/>
                <w:szCs w:val="20"/>
              </w:rPr>
            </w:pPr>
            <w:r w:rsidRPr="004B2234">
              <w:rPr>
                <w:rFonts w:ascii="Calibri" w:eastAsia="Times New Roman" w:hAnsi="Calibri" w:cs="Calibri"/>
                <w:color w:val="000000"/>
                <w:sz w:val="20"/>
                <w:szCs w:val="20"/>
              </w:rPr>
              <w:t>5,192</w:t>
            </w:r>
          </w:p>
        </w:tc>
        <w:tc>
          <w:tcPr>
            <w:tcW w:w="1327" w:type="dxa"/>
            <w:noWrap/>
            <w:vAlign w:val="center"/>
          </w:tcPr>
          <w:p w14:paraId="6C0597AF" w14:textId="77777777" w:rsidR="004B2234" w:rsidRPr="004B2234" w:rsidRDefault="004B2234" w:rsidP="004B2234">
            <w:pPr>
              <w:jc w:val="center"/>
              <w:rPr>
                <w:rFonts w:ascii="Calibri" w:eastAsia="Times New Roman" w:hAnsi="Calibri" w:cs="Calibri"/>
                <w:color w:val="000000"/>
                <w:sz w:val="18"/>
                <w:szCs w:val="20"/>
              </w:rPr>
            </w:pPr>
          </w:p>
        </w:tc>
      </w:tr>
    </w:tbl>
    <w:p w14:paraId="6548ED5E" w14:textId="77777777" w:rsidR="004B2234" w:rsidRPr="004B2234" w:rsidRDefault="004B2234" w:rsidP="004B2234">
      <w:pPr>
        <w:spacing w:line="360" w:lineRule="auto"/>
        <w:rPr>
          <w:rFonts w:ascii="Calibri" w:eastAsia="MS Mincho" w:hAnsi="Calibri" w:cs="Arial"/>
          <w:b/>
        </w:rPr>
      </w:pPr>
      <w:r w:rsidRPr="004B2234">
        <w:rPr>
          <w:rFonts w:ascii="Calibri" w:eastAsia="MS Mincho" w:hAnsi="Calibri" w:cs="Arial"/>
          <w:b/>
        </w:rPr>
        <w:t xml:space="preserve">Table 5: Estimates of food-related cases, GP consultations and </w:t>
      </w:r>
      <w:proofErr w:type="spellStart"/>
      <w:r w:rsidRPr="004B2234">
        <w:rPr>
          <w:rFonts w:ascii="Calibri" w:eastAsia="MS Mincho" w:hAnsi="Calibri" w:cs="Arial"/>
          <w:b/>
        </w:rPr>
        <w:t>hospitalisations</w:t>
      </w:r>
      <w:proofErr w:type="spellEnd"/>
      <w:r w:rsidRPr="004B2234">
        <w:rPr>
          <w:rFonts w:ascii="Calibri" w:eastAsia="MS Mincho" w:hAnsi="Calibri" w:cs="Arial"/>
          <w:b/>
        </w:rPr>
        <w:t xml:space="preserve"> by pathogen, UK 2009 (Model 3)</w:t>
      </w:r>
    </w:p>
    <w:p w14:paraId="39C72ED4" w14:textId="77777777" w:rsidR="004B2234" w:rsidRPr="004B2234" w:rsidRDefault="004B2234" w:rsidP="004B2234">
      <w:pPr>
        <w:rPr>
          <w:rFonts w:ascii="Cambria" w:eastAsia="MS Mincho" w:hAnsi="Cambria" w:cs="Times New Roman"/>
        </w:rPr>
      </w:pPr>
    </w:p>
    <w:p w14:paraId="295C4246" w14:textId="77777777" w:rsidR="004B2234" w:rsidRPr="004B2234" w:rsidRDefault="004B2234" w:rsidP="004B2234">
      <w:pPr>
        <w:rPr>
          <w:rFonts w:ascii="Cambria" w:eastAsia="MS Mincho" w:hAnsi="Cambria" w:cs="Times New Roman"/>
        </w:rPr>
      </w:pPr>
    </w:p>
    <w:p w14:paraId="5367474D" w14:textId="77777777" w:rsidR="004B2234" w:rsidRPr="004B2234" w:rsidRDefault="004B2234" w:rsidP="004B2234">
      <w:pPr>
        <w:rPr>
          <w:rFonts w:ascii="Cambria" w:eastAsia="MS Mincho" w:hAnsi="Cambria" w:cs="Times New Roman"/>
        </w:rPr>
      </w:pPr>
    </w:p>
    <w:p w14:paraId="3C2746F0" w14:textId="77777777" w:rsidR="004B2234" w:rsidRPr="004B2234" w:rsidRDefault="004B2234" w:rsidP="004B2234">
      <w:pPr>
        <w:rPr>
          <w:rFonts w:ascii="Cambria" w:eastAsia="MS Mincho" w:hAnsi="Cambria" w:cs="Times New Roman"/>
        </w:rPr>
      </w:pPr>
    </w:p>
    <w:p w14:paraId="49D94997" w14:textId="77777777" w:rsidR="004B2234" w:rsidRPr="004B2234" w:rsidRDefault="004B2234" w:rsidP="004B2234">
      <w:pPr>
        <w:rPr>
          <w:rFonts w:ascii="Cambria" w:eastAsia="MS Mincho" w:hAnsi="Cambria" w:cs="Times New Roman"/>
        </w:rPr>
      </w:pPr>
    </w:p>
    <w:p w14:paraId="06033372" w14:textId="77777777" w:rsidR="004B2234" w:rsidRDefault="004B2234" w:rsidP="004B2234">
      <w:pPr>
        <w:jc w:val="center"/>
        <w:rPr>
          <w:rFonts w:ascii="Calibri" w:eastAsia="MS Mincho" w:hAnsi="Calibri" w:cs="Times New Roman"/>
          <w:vertAlign w:val="superscript"/>
        </w:rPr>
      </w:pPr>
    </w:p>
    <w:p w14:paraId="2FE90EFB" w14:textId="77777777" w:rsidR="004B2234" w:rsidRPr="004B2234" w:rsidRDefault="004B2234" w:rsidP="004B2234">
      <w:pPr>
        <w:jc w:val="center"/>
        <w:rPr>
          <w:rFonts w:ascii="Cambria" w:eastAsia="MS Mincho" w:hAnsi="Cambria" w:cs="Times New Roman"/>
        </w:rPr>
      </w:pPr>
      <w:r w:rsidRPr="004B2234">
        <w:rPr>
          <w:rFonts w:ascii="Calibri" w:eastAsia="MS Mincho" w:hAnsi="Calibri" w:cs="Times New Roman"/>
          <w:vertAlign w:val="superscript"/>
        </w:rPr>
        <w:t>1</w:t>
      </w:r>
      <w:r w:rsidRPr="004B2234">
        <w:rPr>
          <w:rFonts w:ascii="Calibri" w:eastAsia="MS Mincho" w:hAnsi="Calibri" w:cs="Times New Roman"/>
        </w:rPr>
        <w:t>For</w:t>
      </w:r>
      <w:r w:rsidRPr="004B2234">
        <w:rPr>
          <w:rFonts w:ascii="Cambria" w:eastAsia="MS Mincho" w:hAnsi="Cambria" w:cs="Times New Roman"/>
        </w:rPr>
        <w:t xml:space="preserve"> </w:t>
      </w:r>
      <w:r w:rsidRPr="004B2234">
        <w:rPr>
          <w:rFonts w:ascii="Calibri" w:eastAsia="MS Mincho" w:hAnsi="Calibri" w:cs="Times New Roman"/>
        </w:rPr>
        <w:t>Listeria, the number of hospital admissions could not be calculated, as all reported outbreaks occurred in hospitals</w:t>
      </w:r>
    </w:p>
    <w:p w14:paraId="4EAEBCA3" w14:textId="77777777" w:rsidR="004B2234" w:rsidRDefault="004B2234" w:rsidP="00546FCD">
      <w:pPr>
        <w:spacing w:after="0" w:line="360" w:lineRule="auto"/>
        <w:rPr>
          <w:rFonts w:cs="Arial"/>
        </w:rPr>
        <w:sectPr w:rsidR="004B2234" w:rsidSect="004B2234">
          <w:pgSz w:w="16838" w:h="11906" w:orient="landscape"/>
          <w:pgMar w:top="1440" w:right="1440" w:bottom="1440" w:left="1440" w:header="708" w:footer="708" w:gutter="0"/>
          <w:cols w:space="708"/>
          <w:docGrid w:linePitch="360"/>
        </w:sectPr>
      </w:pPr>
    </w:p>
    <w:p w14:paraId="0ADFDAF6" w14:textId="1477B02F" w:rsidR="002D72B7" w:rsidRDefault="002D72B7" w:rsidP="00546FCD">
      <w:pPr>
        <w:spacing w:after="0" w:line="360" w:lineRule="auto"/>
        <w:rPr>
          <w:rFonts w:cs="Arial"/>
        </w:rPr>
      </w:pPr>
    </w:p>
    <w:p w14:paraId="48DFC2FE" w14:textId="4B4869E2" w:rsidR="002D72B7" w:rsidRPr="00C51923" w:rsidRDefault="002D72B7" w:rsidP="00546FCD">
      <w:pPr>
        <w:spacing w:after="0" w:line="360" w:lineRule="auto"/>
        <w:rPr>
          <w:rFonts w:cs="Arial"/>
          <w:b/>
        </w:rPr>
      </w:pPr>
      <w:r w:rsidRPr="00C51923">
        <w:rPr>
          <w:rFonts w:cs="Arial"/>
          <w:b/>
        </w:rPr>
        <w:t>Comparing the models</w:t>
      </w:r>
    </w:p>
    <w:p w14:paraId="5FD61A28" w14:textId="21746F55" w:rsidR="002864D8" w:rsidRDefault="00006BC0" w:rsidP="00546FCD">
      <w:pPr>
        <w:spacing w:after="0" w:line="360" w:lineRule="auto"/>
        <w:rPr>
          <w:rFonts w:cs="Arial"/>
        </w:rPr>
      </w:pPr>
      <w:r w:rsidRPr="00C51923">
        <w:rPr>
          <w:rFonts w:cs="Arial"/>
        </w:rPr>
        <w:t>In general,</w:t>
      </w:r>
      <w:r w:rsidRPr="00043121">
        <w:rPr>
          <w:rFonts w:cs="Arial"/>
        </w:rPr>
        <w:t xml:space="preserve"> the results from all three approaches were similar for food-related cases and GP consultations. For most organisms, the Bayesian estimates from Model 2 benefit</w:t>
      </w:r>
      <w:r w:rsidR="003316E5">
        <w:rPr>
          <w:rFonts w:cs="Arial"/>
        </w:rPr>
        <w:t>ed</w:t>
      </w:r>
      <w:r w:rsidRPr="00043121">
        <w:rPr>
          <w:rFonts w:cs="Arial"/>
        </w:rPr>
        <w:t xml:space="preserve"> from greater precision. There were differences in the number of food-related hospital admissions estimated by the Monte Carlo and Bayesian approaches for some organisms, notably </w:t>
      </w:r>
      <w:r w:rsidRPr="00043121">
        <w:rPr>
          <w:rFonts w:cs="Arial"/>
          <w:i/>
        </w:rPr>
        <w:t>Campylobacter</w:t>
      </w:r>
      <w:r w:rsidRPr="00043121">
        <w:rPr>
          <w:rFonts w:cs="Arial"/>
        </w:rPr>
        <w:t xml:space="preserve">, rotavirus, adenovirus and </w:t>
      </w:r>
      <w:proofErr w:type="spellStart"/>
      <w:r w:rsidRPr="00043121">
        <w:rPr>
          <w:rFonts w:cs="Arial"/>
        </w:rPr>
        <w:t>astrovirus</w:t>
      </w:r>
      <w:proofErr w:type="spellEnd"/>
      <w:r w:rsidRPr="00043121">
        <w:rPr>
          <w:rFonts w:cs="Arial"/>
        </w:rPr>
        <w:t xml:space="preserve">. The differences reflect discordance between outbreak data and data from the IID studies in terms of the </w:t>
      </w:r>
      <w:proofErr w:type="spellStart"/>
      <w:r w:rsidRPr="00043121">
        <w:rPr>
          <w:rFonts w:cs="Arial"/>
        </w:rPr>
        <w:t>hospitalisation</w:t>
      </w:r>
      <w:proofErr w:type="spellEnd"/>
      <w:r w:rsidRPr="00043121">
        <w:rPr>
          <w:rFonts w:cs="Arial"/>
        </w:rPr>
        <w:t xml:space="preserve"> rate for these organisms. Where differences were observed, the Bayesian approach gave </w:t>
      </w:r>
      <w:r w:rsidR="00A918E8">
        <w:rPr>
          <w:rFonts w:cs="Arial"/>
        </w:rPr>
        <w:t>more conservative</w:t>
      </w:r>
      <w:r w:rsidR="00A918E8" w:rsidRPr="00043121">
        <w:rPr>
          <w:rFonts w:cs="Arial"/>
        </w:rPr>
        <w:t xml:space="preserve"> </w:t>
      </w:r>
      <w:r w:rsidRPr="00043121">
        <w:rPr>
          <w:rFonts w:cs="Arial"/>
        </w:rPr>
        <w:t xml:space="preserve">estimates of the number of food-related hospital admissions. </w:t>
      </w:r>
    </w:p>
    <w:p w14:paraId="33B653E3" w14:textId="27B6F259" w:rsidR="002864D8" w:rsidRDefault="005C35EE" w:rsidP="00546FCD">
      <w:pPr>
        <w:spacing w:before="240" w:after="0" w:line="360" w:lineRule="auto"/>
        <w:rPr>
          <w:rFonts w:cs="Arial"/>
        </w:rPr>
      </w:pPr>
      <w:r>
        <w:rPr>
          <w:rFonts w:cs="Arial"/>
        </w:rPr>
        <w:t xml:space="preserve">For the </w:t>
      </w:r>
      <w:r w:rsidR="004149DC">
        <w:rPr>
          <w:rFonts w:cs="Arial"/>
        </w:rPr>
        <w:t xml:space="preserve">four pathogens </w:t>
      </w:r>
      <w:r>
        <w:rPr>
          <w:rFonts w:cs="Arial"/>
        </w:rPr>
        <w:t xml:space="preserve">with </w:t>
      </w:r>
      <w:r w:rsidR="004149DC">
        <w:rPr>
          <w:rFonts w:cs="Arial"/>
        </w:rPr>
        <w:t>sufficient data from the literature review to generate estimates from Model 3</w:t>
      </w:r>
      <w:r>
        <w:rPr>
          <w:rFonts w:cs="Arial"/>
        </w:rPr>
        <w:t xml:space="preserve"> (</w:t>
      </w:r>
      <w:r w:rsidR="002864D8" w:rsidRPr="002864D8">
        <w:rPr>
          <w:rFonts w:cs="Arial"/>
          <w:i/>
        </w:rPr>
        <w:t>Campylobacter</w:t>
      </w:r>
      <w:r w:rsidR="004149DC">
        <w:rPr>
          <w:rFonts w:cs="Arial"/>
        </w:rPr>
        <w:t xml:space="preserve">, </w:t>
      </w:r>
      <w:r w:rsidR="00C51923" w:rsidRPr="00C51923">
        <w:rPr>
          <w:rFonts w:cs="Arial"/>
          <w:i/>
        </w:rPr>
        <w:t>E. coli</w:t>
      </w:r>
      <w:r w:rsidR="004149DC">
        <w:rPr>
          <w:rFonts w:cs="Arial"/>
          <w:i/>
        </w:rPr>
        <w:t xml:space="preserve"> </w:t>
      </w:r>
      <w:r w:rsidR="004149DC">
        <w:rPr>
          <w:rFonts w:cs="Arial"/>
        </w:rPr>
        <w:t>O157</w:t>
      </w:r>
      <w:r>
        <w:rPr>
          <w:rFonts w:cs="Arial"/>
        </w:rPr>
        <w:t>,</w:t>
      </w:r>
      <w:r w:rsidR="004149DC">
        <w:rPr>
          <w:rFonts w:cs="Arial"/>
        </w:rPr>
        <w:t xml:space="preserve"> </w:t>
      </w:r>
      <w:r w:rsidR="004149DC">
        <w:rPr>
          <w:rFonts w:cs="Arial"/>
          <w:i/>
        </w:rPr>
        <w:t>Listeria</w:t>
      </w:r>
      <w:r>
        <w:rPr>
          <w:rFonts w:cs="Arial"/>
        </w:rPr>
        <w:t xml:space="preserve"> and</w:t>
      </w:r>
      <w:r w:rsidRPr="005C35EE">
        <w:rPr>
          <w:rFonts w:cs="Arial"/>
          <w:i/>
        </w:rPr>
        <w:t xml:space="preserve"> </w:t>
      </w:r>
      <w:r w:rsidRPr="002864D8">
        <w:rPr>
          <w:rFonts w:cs="Arial"/>
          <w:i/>
        </w:rPr>
        <w:t>Salmonella</w:t>
      </w:r>
      <w:r>
        <w:rPr>
          <w:rFonts w:cs="Arial"/>
        </w:rPr>
        <w:t>)</w:t>
      </w:r>
      <w:r w:rsidR="00B25668">
        <w:rPr>
          <w:rFonts w:cs="Arial"/>
        </w:rPr>
        <w:t xml:space="preserve">, </w:t>
      </w:r>
      <w:r w:rsidR="004149DC">
        <w:rPr>
          <w:rFonts w:cs="Arial"/>
        </w:rPr>
        <w:t xml:space="preserve">estimates were similar to those from Model 2; however, </w:t>
      </w:r>
      <w:r w:rsidR="004149DC">
        <w:rPr>
          <w:rFonts w:cs="Arial"/>
          <w:i/>
        </w:rPr>
        <w:t xml:space="preserve">Listeria </w:t>
      </w:r>
      <w:r w:rsidR="004149DC">
        <w:rPr>
          <w:rFonts w:cs="Arial"/>
        </w:rPr>
        <w:t>estimates carried greater uncertainty, because of wide disagreement between the two identified studies regarding the proportion of</w:t>
      </w:r>
      <w:r w:rsidR="001A05B2">
        <w:rPr>
          <w:rFonts w:cs="Arial"/>
        </w:rPr>
        <w:t xml:space="preserve"> </w:t>
      </w:r>
      <w:proofErr w:type="spellStart"/>
      <w:r w:rsidR="001A05B2">
        <w:rPr>
          <w:rFonts w:cs="Arial"/>
        </w:rPr>
        <w:t>listeriosis</w:t>
      </w:r>
      <w:proofErr w:type="spellEnd"/>
      <w:r w:rsidR="001A05B2">
        <w:rPr>
          <w:rFonts w:cs="Arial"/>
        </w:rPr>
        <w:t xml:space="preserve"> attributable to foodborne transmission. It was </w:t>
      </w:r>
      <w:r w:rsidR="003F529B">
        <w:rPr>
          <w:rFonts w:cs="Arial"/>
        </w:rPr>
        <w:t>im</w:t>
      </w:r>
      <w:r w:rsidR="001A05B2">
        <w:rPr>
          <w:rFonts w:cs="Arial"/>
        </w:rPr>
        <w:t xml:space="preserve">possible to calculate </w:t>
      </w:r>
      <w:proofErr w:type="spellStart"/>
      <w:r w:rsidR="001A05B2">
        <w:rPr>
          <w:rFonts w:cs="Arial"/>
        </w:rPr>
        <w:t>listeriosis</w:t>
      </w:r>
      <w:proofErr w:type="spellEnd"/>
      <w:r w:rsidR="001A05B2">
        <w:rPr>
          <w:rFonts w:cs="Arial"/>
        </w:rPr>
        <w:t xml:space="preserve"> </w:t>
      </w:r>
      <w:proofErr w:type="spellStart"/>
      <w:r w:rsidR="001A05B2">
        <w:rPr>
          <w:rFonts w:cs="Arial"/>
        </w:rPr>
        <w:t>hospitalisations</w:t>
      </w:r>
      <w:proofErr w:type="spellEnd"/>
      <w:r w:rsidR="001A05B2">
        <w:rPr>
          <w:rFonts w:cs="Arial"/>
        </w:rPr>
        <w:t xml:space="preserve"> because all reported </w:t>
      </w:r>
      <w:r w:rsidR="001A05B2">
        <w:rPr>
          <w:rFonts w:cs="Arial"/>
          <w:i/>
        </w:rPr>
        <w:t xml:space="preserve">Listeria </w:t>
      </w:r>
      <w:r w:rsidR="001A05B2">
        <w:rPr>
          <w:rFonts w:cs="Arial"/>
        </w:rPr>
        <w:t>outbreaks occurred in hospitals.</w:t>
      </w:r>
    </w:p>
    <w:p w14:paraId="74BCFFC2" w14:textId="77777777" w:rsidR="002864D8" w:rsidRPr="000B3D8F" w:rsidRDefault="003A751B" w:rsidP="00546FCD">
      <w:pPr>
        <w:pStyle w:val="Heading2"/>
        <w:numPr>
          <w:ilvl w:val="0"/>
          <w:numId w:val="0"/>
        </w:numPr>
        <w:spacing w:line="360" w:lineRule="auto"/>
        <w:rPr>
          <w:rFonts w:asciiTheme="minorHAnsi" w:hAnsiTheme="minorHAnsi"/>
          <w:color w:val="auto"/>
          <w:sz w:val="22"/>
          <w:szCs w:val="22"/>
        </w:rPr>
      </w:pPr>
      <w:r>
        <w:br w:type="page"/>
      </w:r>
      <w:r w:rsidR="000B3D8F" w:rsidRPr="000B3D8F">
        <w:rPr>
          <w:rFonts w:asciiTheme="minorHAnsi" w:hAnsiTheme="minorHAnsi"/>
          <w:color w:val="auto"/>
          <w:sz w:val="22"/>
          <w:szCs w:val="22"/>
        </w:rPr>
        <w:lastRenderedPageBreak/>
        <w:t>DISCUSSION</w:t>
      </w:r>
      <w:r w:rsidRPr="000B3D8F">
        <w:rPr>
          <w:rFonts w:asciiTheme="minorHAnsi" w:hAnsiTheme="minorHAnsi"/>
          <w:color w:val="auto"/>
          <w:sz w:val="22"/>
          <w:szCs w:val="22"/>
        </w:rPr>
        <w:t xml:space="preserve"> </w:t>
      </w:r>
    </w:p>
    <w:p w14:paraId="11AC9C95" w14:textId="1055FF64" w:rsidR="002864D8" w:rsidRDefault="007C459C" w:rsidP="00546FCD">
      <w:pPr>
        <w:spacing w:after="0" w:line="360" w:lineRule="auto"/>
      </w:pPr>
      <w:r w:rsidRPr="007C459C">
        <w:t xml:space="preserve">To our knowledge </w:t>
      </w:r>
      <w:r w:rsidR="00DF6914">
        <w:t>this</w:t>
      </w:r>
      <w:r w:rsidRPr="007C459C">
        <w:t xml:space="preserve"> is the first</w:t>
      </w:r>
      <w:r>
        <w:t xml:space="preserve"> study to incorporate both</w:t>
      </w:r>
      <w:r w:rsidR="00223C8A">
        <w:t xml:space="preserve"> empirical data and prior information from a</w:t>
      </w:r>
      <w:r>
        <w:t xml:space="preserve"> systematic review </w:t>
      </w:r>
      <w:r w:rsidR="00223C8A">
        <w:t xml:space="preserve">using </w:t>
      </w:r>
      <w:r>
        <w:t>Bayesian methodology</w:t>
      </w:r>
      <w:r w:rsidR="000C5CA3">
        <w:t xml:space="preserve"> for estimating the proportion of IID that is transmitted through contaminated food.</w:t>
      </w:r>
      <w:r>
        <w:rPr>
          <w:b/>
        </w:rPr>
        <w:t xml:space="preserve"> </w:t>
      </w:r>
      <w:r w:rsidR="0092382E" w:rsidRPr="00DB5DC1">
        <w:rPr>
          <w:i/>
        </w:rPr>
        <w:t>Campylobacter</w:t>
      </w:r>
      <w:r w:rsidR="0092382E">
        <w:t xml:space="preserve"> </w:t>
      </w:r>
      <w:r w:rsidR="00456E91">
        <w:t>is</w:t>
      </w:r>
      <w:r w:rsidR="0092382E">
        <w:t xml:space="preserve"> the most common foodborne pathogen in the UK</w:t>
      </w:r>
      <w:r w:rsidR="00985700">
        <w:t>, causing between</w:t>
      </w:r>
      <w:r w:rsidR="0092382E">
        <w:t xml:space="preserve"> </w:t>
      </w:r>
      <w:r w:rsidR="00775E32">
        <w:t>182,503</w:t>
      </w:r>
      <w:r w:rsidR="00985700">
        <w:t xml:space="preserve"> and </w:t>
      </w:r>
      <w:r w:rsidR="00775E32">
        <w:t>435,693</w:t>
      </w:r>
      <w:r w:rsidR="00985700">
        <w:t xml:space="preserve"> food-related </w:t>
      </w:r>
      <w:r w:rsidR="0092382E">
        <w:t xml:space="preserve">cases and </w:t>
      </w:r>
      <w:r w:rsidR="00985700">
        <w:t xml:space="preserve">between </w:t>
      </w:r>
      <w:r w:rsidR="00775E32">
        <w:t>27,160</w:t>
      </w:r>
      <w:r w:rsidR="00985700">
        <w:t xml:space="preserve"> and </w:t>
      </w:r>
      <w:r w:rsidR="00775E32">
        <w:t>55,610</w:t>
      </w:r>
      <w:r w:rsidR="00985700">
        <w:t xml:space="preserve"> </w:t>
      </w:r>
      <w:r w:rsidR="0092382E">
        <w:t>GP consultations</w:t>
      </w:r>
      <w:r w:rsidR="00985700">
        <w:t xml:space="preserve"> annually</w:t>
      </w:r>
      <w:r w:rsidR="00775E32">
        <w:t xml:space="preserve"> (based on Model 2 results)</w:t>
      </w:r>
      <w:r w:rsidR="0092382E">
        <w:t xml:space="preserve">. Despite this, </w:t>
      </w:r>
      <w:r w:rsidR="00456E91">
        <w:t xml:space="preserve">the </w:t>
      </w:r>
      <w:r w:rsidR="0092382E">
        <w:t xml:space="preserve">number of </w:t>
      </w:r>
      <w:r w:rsidR="00456E91" w:rsidRPr="00DB5DC1">
        <w:rPr>
          <w:i/>
        </w:rPr>
        <w:t>Campylobacter</w:t>
      </w:r>
      <w:r w:rsidR="00456E91">
        <w:t xml:space="preserve">-related </w:t>
      </w:r>
      <w:r w:rsidR="0092382E">
        <w:t>hospital admissions</w:t>
      </w:r>
      <w:r w:rsidR="003316E5">
        <w:t xml:space="preserve"> is comparatively small</w:t>
      </w:r>
      <w:r w:rsidR="0092382E">
        <w:t xml:space="preserve">, reflecting a generally lower level of </w:t>
      </w:r>
      <w:r w:rsidR="00A53F8A">
        <w:t xml:space="preserve">acute </w:t>
      </w:r>
      <w:r w:rsidR="0092382E">
        <w:t xml:space="preserve">disease severity compared with other pathogens. </w:t>
      </w:r>
      <w:r w:rsidR="00985700">
        <w:t xml:space="preserve">By contrast, </w:t>
      </w:r>
      <w:r w:rsidR="00985700" w:rsidRPr="00A53F8A">
        <w:rPr>
          <w:i/>
        </w:rPr>
        <w:t>Salmonella</w:t>
      </w:r>
      <w:r w:rsidR="00985700">
        <w:t xml:space="preserve"> </w:t>
      </w:r>
      <w:r w:rsidR="00A918E8">
        <w:t xml:space="preserve">and </w:t>
      </w:r>
      <w:r w:rsidR="00A918E8" w:rsidRPr="00A920D5">
        <w:rPr>
          <w:i/>
        </w:rPr>
        <w:t>E. coli</w:t>
      </w:r>
      <w:r w:rsidR="00A918E8">
        <w:t xml:space="preserve"> O157</w:t>
      </w:r>
      <w:r w:rsidR="003316E5">
        <w:t xml:space="preserve"> </w:t>
      </w:r>
      <w:r w:rsidR="00985700">
        <w:t xml:space="preserve">cause the largest number of </w:t>
      </w:r>
      <w:proofErr w:type="spellStart"/>
      <w:r w:rsidR="00985700">
        <w:t>hospital</w:t>
      </w:r>
      <w:r w:rsidR="00775E32">
        <w:t>isations</w:t>
      </w:r>
      <w:proofErr w:type="spellEnd"/>
      <w:r w:rsidR="000D436D">
        <w:t xml:space="preserve">, </w:t>
      </w:r>
      <w:r w:rsidR="00775E32">
        <w:t>an estimated 2</w:t>
      </w:r>
      <w:r w:rsidR="00A918E8">
        <w:t>,</w:t>
      </w:r>
      <w:r w:rsidR="00775E32">
        <w:t xml:space="preserve">490 </w:t>
      </w:r>
      <w:r w:rsidR="00A918E8">
        <w:t xml:space="preserve">and 2,233 </w:t>
      </w:r>
      <w:r w:rsidR="00775E32">
        <w:t>admissions</w:t>
      </w:r>
      <w:r w:rsidR="00A918E8">
        <w:t xml:space="preserve"> respectively</w:t>
      </w:r>
      <w:r w:rsidR="00FE6E55">
        <w:t xml:space="preserve"> (</w:t>
      </w:r>
      <w:r w:rsidR="00FE6E55" w:rsidRPr="000A4AE5">
        <w:t>Model 2</w:t>
      </w:r>
      <w:r w:rsidR="00FE6E55">
        <w:t>)</w:t>
      </w:r>
      <w:r w:rsidR="00775E32">
        <w:t xml:space="preserve">, </w:t>
      </w:r>
      <w:r w:rsidR="000D436D">
        <w:t xml:space="preserve">although uncertainty around these estimates </w:t>
      </w:r>
      <w:r w:rsidR="003316E5">
        <w:t xml:space="preserve">is </w:t>
      </w:r>
      <w:r w:rsidR="000D436D">
        <w:t>high.</w:t>
      </w:r>
      <w:r w:rsidR="00985700">
        <w:t xml:space="preserve"> </w:t>
      </w:r>
      <w:r w:rsidR="0092382E">
        <w:t xml:space="preserve">Other common </w:t>
      </w:r>
      <w:r w:rsidR="000D436D">
        <w:t xml:space="preserve">causes of </w:t>
      </w:r>
      <w:r w:rsidR="0092382E">
        <w:t xml:space="preserve">foodborne </w:t>
      </w:r>
      <w:r w:rsidR="000D436D">
        <w:t xml:space="preserve">illness </w:t>
      </w:r>
      <w:r w:rsidR="0092382E">
        <w:t xml:space="preserve">include </w:t>
      </w:r>
      <w:r w:rsidR="0092382E" w:rsidRPr="00DB5DC1">
        <w:rPr>
          <w:i/>
        </w:rPr>
        <w:t xml:space="preserve">C. </w:t>
      </w:r>
      <w:proofErr w:type="spellStart"/>
      <w:r w:rsidR="0092382E" w:rsidRPr="00DB5DC1">
        <w:rPr>
          <w:i/>
        </w:rPr>
        <w:t>perfringens</w:t>
      </w:r>
      <w:proofErr w:type="spellEnd"/>
      <w:r w:rsidR="000930AC">
        <w:t xml:space="preserve">, responsible for nearly 80,000 cases annually </w:t>
      </w:r>
      <w:r w:rsidR="00A918E8">
        <w:t>and</w:t>
      </w:r>
      <w:r w:rsidR="000930AC">
        <w:t xml:space="preserve"> </w:t>
      </w:r>
      <w:r w:rsidR="00A918E8">
        <w:t>n</w:t>
      </w:r>
      <w:r w:rsidR="000930AC">
        <w:t>orovirus</w:t>
      </w:r>
      <w:r w:rsidR="000D436D">
        <w:t xml:space="preserve">, </w:t>
      </w:r>
      <w:r w:rsidR="00A918E8">
        <w:t>responsible for nearly 75,000 cases</w:t>
      </w:r>
      <w:r w:rsidR="000D436D">
        <w:t>. Other</w:t>
      </w:r>
      <w:r w:rsidR="0092382E">
        <w:t xml:space="preserve"> </w:t>
      </w:r>
      <w:r w:rsidR="000D436D">
        <w:t>v</w:t>
      </w:r>
      <w:r w:rsidR="0092382E">
        <w:t>iral agents</w:t>
      </w:r>
      <w:r w:rsidR="00A53F8A">
        <w:t xml:space="preserve"> </w:t>
      </w:r>
      <w:r w:rsidR="0092382E">
        <w:t>rank lower as causes of foodborne illness.</w:t>
      </w:r>
    </w:p>
    <w:p w14:paraId="25FFB135" w14:textId="0E4F8BFB" w:rsidR="002864D8" w:rsidRDefault="00644206" w:rsidP="00546FCD">
      <w:pPr>
        <w:spacing w:after="0" w:line="360" w:lineRule="auto"/>
        <w:ind w:firstLine="720"/>
      </w:pPr>
      <w:r>
        <w:t>Our</w:t>
      </w:r>
      <w:r w:rsidR="0092382E">
        <w:t xml:space="preserve"> analysis updates </w:t>
      </w:r>
      <w:r>
        <w:t xml:space="preserve">previous estimates </w:t>
      </w:r>
      <w:r w:rsidR="004951E0">
        <w:t>for</w:t>
      </w:r>
      <w:r w:rsidR="007D6B5E">
        <w:t xml:space="preserve"> </w:t>
      </w:r>
      <w:r w:rsidR="00D20273">
        <w:t xml:space="preserve">England and Wales in </w:t>
      </w:r>
      <w:r w:rsidR="007D6B5E">
        <w:t xml:space="preserve">2000 </w:t>
      </w:r>
      <w:r>
        <w:t xml:space="preserve">and </w:t>
      </w:r>
      <w:r w:rsidR="0092382E">
        <w:t xml:space="preserve">expands upon </w:t>
      </w:r>
      <w:r>
        <w:t>them</w:t>
      </w:r>
      <w:r w:rsidR="0092382E">
        <w:t xml:space="preserve"> by account</w:t>
      </w:r>
      <w:r w:rsidR="00F45C0F">
        <w:t>ing for</w:t>
      </w:r>
      <w:r w:rsidR="0092382E">
        <w:t xml:space="preserve"> uncertainty</w:t>
      </w:r>
      <w:proofErr w:type="gramStart"/>
      <w:r w:rsidR="0092382E">
        <w:t>.</w:t>
      </w:r>
      <w:r w:rsidR="00BE4B85">
        <w:t>[</w:t>
      </w:r>
      <w:proofErr w:type="gramEnd"/>
      <w:r w:rsidR="00BE4B85">
        <w:t>5]</w:t>
      </w:r>
      <w:r w:rsidR="0092382E">
        <w:t xml:space="preserve"> Because of </w:t>
      </w:r>
      <w:r w:rsidR="007B3FBA">
        <w:t xml:space="preserve">substantial </w:t>
      </w:r>
      <w:r w:rsidR="0092382E">
        <w:t xml:space="preserve">differences in the </w:t>
      </w:r>
      <w:r w:rsidR="007B3FBA">
        <w:t>analyses</w:t>
      </w:r>
      <w:r w:rsidR="0092382E">
        <w:t xml:space="preserve">, the two </w:t>
      </w:r>
      <w:r w:rsidR="007B3FBA">
        <w:t>sets of estimate</w:t>
      </w:r>
      <w:r w:rsidR="00A864D6">
        <w:t>s</w:t>
      </w:r>
      <w:r w:rsidR="0092382E">
        <w:t xml:space="preserve"> are not directly comparable. Other studies investigating the burden of foodborne illness caused by a wide range of pathogens have been carried out in Australia</w:t>
      </w:r>
      <w:r w:rsidR="00B425A1">
        <w:t>,</w:t>
      </w:r>
      <w:r w:rsidR="00072978">
        <w:t xml:space="preserve"> </w:t>
      </w:r>
      <w:r w:rsidR="0092382E">
        <w:t>the United States</w:t>
      </w:r>
      <w:r w:rsidR="00AE68BB">
        <w:t xml:space="preserve"> (US)</w:t>
      </w:r>
      <w:r w:rsidR="00635C68">
        <w:t xml:space="preserve"> </w:t>
      </w:r>
      <w:r w:rsidR="00B425A1">
        <w:t>and the Netherlands</w:t>
      </w:r>
      <w:proofErr w:type="gramStart"/>
      <w:r w:rsidR="0092382E">
        <w:t>.</w:t>
      </w:r>
      <w:r w:rsidR="004A5626">
        <w:t>[</w:t>
      </w:r>
      <w:proofErr w:type="gramEnd"/>
      <w:r w:rsidR="004A5626">
        <w:t>1,2,6,1</w:t>
      </w:r>
      <w:r w:rsidR="00202681">
        <w:t>7</w:t>
      </w:r>
      <w:r w:rsidR="004A5626">
        <w:t>]</w:t>
      </w:r>
      <w:r w:rsidR="0092382E">
        <w:t xml:space="preserve"> </w:t>
      </w:r>
      <w:r w:rsidR="004F0EC0">
        <w:t xml:space="preserve">In </w:t>
      </w:r>
      <w:r w:rsidR="00B425A1">
        <w:t>the US and Australian</w:t>
      </w:r>
      <w:r w:rsidR="004F0EC0">
        <w:t xml:space="preserve"> studies </w:t>
      </w:r>
      <w:r w:rsidR="0092382E">
        <w:t>norovirus</w:t>
      </w:r>
      <w:r w:rsidR="004F0EC0">
        <w:t xml:space="preserve"> </w:t>
      </w:r>
      <w:r w:rsidR="0092382E">
        <w:t xml:space="preserve">was </w:t>
      </w:r>
      <w:r w:rsidR="00B425A1">
        <w:t>one of the</w:t>
      </w:r>
      <w:r w:rsidR="0092382E">
        <w:t xml:space="preserve"> common</w:t>
      </w:r>
      <w:r w:rsidR="00B425A1">
        <w:t>est causes of</w:t>
      </w:r>
      <w:r w:rsidR="0092382E">
        <w:t xml:space="preserve"> foodborne disease. In the US study, it was also the second most common cause of food-related hospital admissions. </w:t>
      </w:r>
      <w:r w:rsidR="00B425A1">
        <w:t>A</w:t>
      </w:r>
      <w:r w:rsidR="0092382E">
        <w:t xml:space="preserve">pproximately </w:t>
      </w:r>
      <w:r w:rsidR="00FF2E9D">
        <w:t xml:space="preserve">one </w:t>
      </w:r>
      <w:r w:rsidR="0092382E">
        <w:t>quarter of norovirus IID cases in those two studies were attributed to foodborne transmission, whereas our estimate for the UK is less than 5%.</w:t>
      </w:r>
      <w:r w:rsidR="004D365E">
        <w:t xml:space="preserve"> </w:t>
      </w:r>
      <w:r w:rsidR="004D365E" w:rsidRPr="000A4AE5">
        <w:t xml:space="preserve">A likely reason for this discrepancy is the </w:t>
      </w:r>
      <w:r w:rsidR="00E616D9" w:rsidRPr="000A4AE5">
        <w:t>definitions of</w:t>
      </w:r>
      <w:r w:rsidR="004D365E" w:rsidRPr="000A4AE5">
        <w:t xml:space="preserve"> outbreak</w:t>
      </w:r>
      <w:r w:rsidR="00E616D9" w:rsidRPr="000A4AE5">
        <w:t>s that</w:t>
      </w:r>
      <w:r w:rsidR="004D365E" w:rsidRPr="000A4AE5">
        <w:t xml:space="preserve"> are </w:t>
      </w:r>
      <w:r w:rsidR="00E616D9" w:rsidRPr="000A4AE5">
        <w:t>incorporate</w:t>
      </w:r>
      <w:r w:rsidR="004D365E" w:rsidRPr="000A4AE5">
        <w:t xml:space="preserve">d in the various modelling studies. </w:t>
      </w:r>
      <w:r w:rsidR="00E616D9" w:rsidRPr="000A4AE5">
        <w:t>Some datasets contain only outbreaks transmitted through food whilst others, like ours (until 2009), contained all outbreaks of IID</w:t>
      </w:r>
      <w:r w:rsidR="00EF6054" w:rsidRPr="000A4AE5">
        <w:t xml:space="preserve"> no matter what the route of transmission</w:t>
      </w:r>
      <w:r w:rsidR="00E616D9" w:rsidRPr="000A4AE5">
        <w:t xml:space="preserve">. </w:t>
      </w:r>
      <w:r w:rsidR="004D365E" w:rsidRPr="000A4AE5">
        <w:t>This means that the proportion of norovirus</w:t>
      </w:r>
      <w:r w:rsidR="00A11676" w:rsidRPr="000A4AE5">
        <w:t xml:space="preserve"> cases</w:t>
      </w:r>
      <w:r w:rsidR="004D365E" w:rsidRPr="000A4AE5">
        <w:t xml:space="preserve"> transmitted through food is likely to be overestimated in datasets that contain only outbreaks transmitted through food.</w:t>
      </w:r>
    </w:p>
    <w:p w14:paraId="5D3E171E" w14:textId="356A5F16" w:rsidR="00EB6C3A" w:rsidRDefault="0092382E" w:rsidP="007C1F99">
      <w:pPr>
        <w:spacing w:after="0" w:line="360" w:lineRule="auto"/>
        <w:ind w:firstLine="576"/>
      </w:pPr>
      <w:r>
        <w:t xml:space="preserve"> A major strength of </w:t>
      </w:r>
      <w:r w:rsidR="009D697E">
        <w:t>our</w:t>
      </w:r>
      <w:r>
        <w:t xml:space="preserve"> analysis is the availability of directly observed, pathogen-specific incidence data </w:t>
      </w:r>
      <w:r w:rsidR="00BD368E">
        <w:t xml:space="preserve">from the recent </w:t>
      </w:r>
      <w:r>
        <w:t>IID2</w:t>
      </w:r>
      <w:r w:rsidR="007F5B0E">
        <w:t xml:space="preserve"> </w:t>
      </w:r>
      <w:r w:rsidR="00BD368E">
        <w:t>Study in the UK</w:t>
      </w:r>
      <w:proofErr w:type="gramStart"/>
      <w:r w:rsidR="00BD368E">
        <w:t>,</w:t>
      </w:r>
      <w:r w:rsidR="0040132A">
        <w:t>[</w:t>
      </w:r>
      <w:proofErr w:type="gramEnd"/>
      <w:r w:rsidR="0040132A">
        <w:t>10]</w:t>
      </w:r>
      <w:r w:rsidR="00BD368E">
        <w:t xml:space="preserve"> which precludes the need to </w:t>
      </w:r>
      <w:r w:rsidR="007816F7">
        <w:t>adjust for under-</w:t>
      </w:r>
      <w:r w:rsidR="00BD368E">
        <w:t xml:space="preserve">ascertainment </w:t>
      </w:r>
      <w:r>
        <w:t xml:space="preserve">and </w:t>
      </w:r>
      <w:r w:rsidR="00BD368E">
        <w:t xml:space="preserve">requires </w:t>
      </w:r>
      <w:r>
        <w:t>fewer assumptions about health</w:t>
      </w:r>
      <w:r w:rsidR="00A918E8">
        <w:t xml:space="preserve"> </w:t>
      </w:r>
      <w:r>
        <w:t>care usage.</w:t>
      </w:r>
      <w:r w:rsidR="00EB6C3A">
        <w:t xml:space="preserve"> The use of methods to account </w:t>
      </w:r>
      <w:r w:rsidR="005E6191">
        <w:t xml:space="preserve">fully </w:t>
      </w:r>
      <w:r w:rsidR="00EB6C3A">
        <w:t xml:space="preserve">for parameter uncertainties is an additional strength, and is useful for highlighting areas </w:t>
      </w:r>
      <w:r w:rsidR="00DA5076" w:rsidRPr="000A4AE5">
        <w:t>where</w:t>
      </w:r>
      <w:r w:rsidR="00EB6C3A">
        <w:t xml:space="preserve"> data are sparse. This is particularly true for </w:t>
      </w:r>
      <w:proofErr w:type="spellStart"/>
      <w:r w:rsidR="00EB6C3A">
        <w:t>hospitalisation</w:t>
      </w:r>
      <w:proofErr w:type="spellEnd"/>
      <w:r w:rsidR="00EB6C3A">
        <w:t xml:space="preserve"> estimates, for which there is a dearth of reliable data. We investigated other sources of </w:t>
      </w:r>
      <w:proofErr w:type="spellStart"/>
      <w:r w:rsidR="00EB6C3A">
        <w:t>hospitalisation</w:t>
      </w:r>
      <w:proofErr w:type="spellEnd"/>
      <w:r w:rsidR="00EB6C3A">
        <w:t xml:space="preserve"> data, such as electronic records of in-patient admissions. However, these data lack specific diagnostic codes for certain key pathogens, </w:t>
      </w:r>
      <w:r w:rsidR="00C7486B">
        <w:t xml:space="preserve">including </w:t>
      </w:r>
      <w:r w:rsidR="000A4AE5" w:rsidRPr="000A4AE5">
        <w:rPr>
          <w:i/>
        </w:rPr>
        <w:t>E. coli</w:t>
      </w:r>
      <w:r w:rsidR="00EB6C3A">
        <w:t xml:space="preserve"> O157, and a large fraction of admissions are classified under non-specific diagnostic codes. We therefore used outbreak data to estimate </w:t>
      </w:r>
      <w:proofErr w:type="spellStart"/>
      <w:r w:rsidR="00EB6C3A">
        <w:t>hospitalisation</w:t>
      </w:r>
      <w:proofErr w:type="spellEnd"/>
      <w:r w:rsidR="00EB6C3A">
        <w:t xml:space="preserve">. A potential limitation </w:t>
      </w:r>
      <w:r w:rsidR="00EB6C3A">
        <w:lastRenderedPageBreak/>
        <w:t xml:space="preserve">is that severe cases requiring </w:t>
      </w:r>
      <w:proofErr w:type="spellStart"/>
      <w:r w:rsidR="00EB6C3A">
        <w:t>hospitalisation</w:t>
      </w:r>
      <w:proofErr w:type="spellEnd"/>
      <w:r w:rsidR="00EB6C3A">
        <w:t xml:space="preserve"> might be more reliably recorded in outbreak reports, whereas milder cases might be missed. </w:t>
      </w:r>
      <w:r w:rsidR="00AE4717">
        <w:t xml:space="preserve">There might genuinely be higher </w:t>
      </w:r>
      <w:proofErr w:type="spellStart"/>
      <w:r w:rsidR="00AE4717">
        <w:t>hospitalisation</w:t>
      </w:r>
      <w:proofErr w:type="spellEnd"/>
      <w:r w:rsidR="00AE4717">
        <w:t xml:space="preserve"> rates in outbreaks than sporadic </w:t>
      </w:r>
      <w:r w:rsidR="003F0472">
        <w:t xml:space="preserve">cases </w:t>
      </w:r>
      <w:r w:rsidR="00AE4717">
        <w:t>because of higher dose exposures</w:t>
      </w:r>
      <w:r w:rsidR="00791928">
        <w:t xml:space="preserve"> or different populations might be affected in outbreaks</w:t>
      </w:r>
      <w:r w:rsidR="00AE4717">
        <w:t xml:space="preserve">. </w:t>
      </w:r>
      <w:r w:rsidR="00EB6C3A">
        <w:t xml:space="preserve">Alternatively, outbreaks with more </w:t>
      </w:r>
      <w:proofErr w:type="spellStart"/>
      <w:r w:rsidR="00EB6C3A">
        <w:t>hospitalised</w:t>
      </w:r>
      <w:proofErr w:type="spellEnd"/>
      <w:r w:rsidR="00EB6C3A">
        <w:t xml:space="preserve"> cases might be more likely to be investigated and reported. </w:t>
      </w:r>
      <w:r w:rsidR="00C7486B">
        <w:t xml:space="preserve">This would tend to overestimate </w:t>
      </w:r>
      <w:proofErr w:type="spellStart"/>
      <w:r w:rsidR="00C7486B">
        <w:t>hospitalisation</w:t>
      </w:r>
      <w:proofErr w:type="spellEnd"/>
      <w:r w:rsidR="00C7486B">
        <w:t xml:space="preserve"> rates. Such a bias is possible in the </w:t>
      </w:r>
      <w:r w:rsidR="00CB48D8" w:rsidRPr="00CB48D8">
        <w:rPr>
          <w:i/>
        </w:rPr>
        <w:t>E. coli</w:t>
      </w:r>
      <w:r w:rsidR="00CB48D8">
        <w:t xml:space="preserve"> </w:t>
      </w:r>
      <w:r w:rsidR="00C7486B">
        <w:t>O157 data</w:t>
      </w:r>
      <w:r w:rsidR="00C7486B" w:rsidRPr="000A4AE5">
        <w:t xml:space="preserve">, </w:t>
      </w:r>
      <w:r w:rsidR="00744459" w:rsidRPr="000A4AE5">
        <w:t>where</w:t>
      </w:r>
      <w:r w:rsidR="00744459">
        <w:t xml:space="preserve"> </w:t>
      </w:r>
      <w:r w:rsidR="00C7486B">
        <w:t xml:space="preserve">estimates for </w:t>
      </w:r>
      <w:proofErr w:type="spellStart"/>
      <w:r w:rsidR="00C7486B">
        <w:t>hospitalisations</w:t>
      </w:r>
      <w:proofErr w:type="spellEnd"/>
      <w:r w:rsidR="00C7486B">
        <w:t xml:space="preserve"> were considerably higher than for GP consultations. Alternatively, the severity of this disease could mean that cases are admitted directly to hospital without first </w:t>
      </w:r>
      <w:r w:rsidR="00C7486B" w:rsidRPr="000A4AE5">
        <w:t xml:space="preserve">consulting </w:t>
      </w:r>
      <w:r w:rsidR="0035049D" w:rsidRPr="000A4AE5">
        <w:t>a</w:t>
      </w:r>
      <w:r w:rsidR="0035049D">
        <w:t xml:space="preserve"> </w:t>
      </w:r>
      <w:r w:rsidR="00C7486B">
        <w:t>GP. O</w:t>
      </w:r>
      <w:r w:rsidR="00EB6C3A">
        <w:t xml:space="preserve">ur Bayesian models additionally incorporated prior information on </w:t>
      </w:r>
      <w:proofErr w:type="spellStart"/>
      <w:r w:rsidR="00EB6C3A">
        <w:t>hospitalisation</w:t>
      </w:r>
      <w:proofErr w:type="spellEnd"/>
      <w:r w:rsidR="00EB6C3A">
        <w:t xml:space="preserve"> rates from IID1 and IID2. For most pathogens, the two types of model</w:t>
      </w:r>
      <w:r w:rsidR="00FF2E9D">
        <w:t>s</w:t>
      </w:r>
      <w:r w:rsidR="00EB6C3A">
        <w:t xml:space="preserve"> gave similar results. However, the number of </w:t>
      </w:r>
      <w:proofErr w:type="spellStart"/>
      <w:r w:rsidR="00EB6C3A">
        <w:t>hospitalisations</w:t>
      </w:r>
      <w:proofErr w:type="spellEnd"/>
      <w:r w:rsidR="00EB6C3A">
        <w:t xml:space="preserve"> in both sets of data was small, reflected in the large degree of uncertainty in the estimates. For rotavirus and </w:t>
      </w:r>
      <w:proofErr w:type="spellStart"/>
      <w:r w:rsidR="00EB6C3A">
        <w:t>astrovirus</w:t>
      </w:r>
      <w:proofErr w:type="spellEnd"/>
      <w:r w:rsidR="00EB6C3A">
        <w:t xml:space="preserve">, the Bayesian model gave somewhat lower estimates of hospital admissions, which might indicate that </w:t>
      </w:r>
      <w:proofErr w:type="spellStart"/>
      <w:r w:rsidR="00EB6C3A">
        <w:t>hospitalisation</w:t>
      </w:r>
      <w:r w:rsidR="00E563A0">
        <w:t>s</w:t>
      </w:r>
      <w:proofErr w:type="spellEnd"/>
      <w:r w:rsidR="00EB6C3A">
        <w:t xml:space="preserve"> for these two pathogens are over-reported in outbreak data</w:t>
      </w:r>
      <w:r w:rsidR="003F0472">
        <w:t xml:space="preserve"> or</w:t>
      </w:r>
      <w:r w:rsidR="002D15E1">
        <w:t xml:space="preserve"> that they </w:t>
      </w:r>
      <w:r w:rsidR="00E563A0">
        <w:t xml:space="preserve">were </w:t>
      </w:r>
      <w:r w:rsidR="003F0472">
        <w:t>under-</w:t>
      </w:r>
      <w:r w:rsidR="00E563A0">
        <w:t xml:space="preserve">ascertained </w:t>
      </w:r>
      <w:r w:rsidR="003F0472">
        <w:t>in the IID studies</w:t>
      </w:r>
      <w:r w:rsidR="00EB6C3A">
        <w:t xml:space="preserve">. </w:t>
      </w:r>
      <w:r w:rsidR="00AB7E3E">
        <w:t>Additionally</w:t>
      </w:r>
      <w:r w:rsidR="00EB6C3A">
        <w:t>, outbreaks might occur in specific age groups or individuals with underlying conditions</w:t>
      </w:r>
      <w:r w:rsidR="00083370">
        <w:t>, or be due to high dose exposure</w:t>
      </w:r>
      <w:r w:rsidR="00EB6C3A">
        <w:t xml:space="preserve">. Outbreak reports, however, </w:t>
      </w:r>
      <w:r w:rsidR="00AB7E3E">
        <w:t xml:space="preserve">contain limited </w:t>
      </w:r>
      <w:r w:rsidR="00EB6C3A">
        <w:t>information</w:t>
      </w:r>
      <w:r w:rsidR="00AB7E3E">
        <w:t xml:space="preserve"> on the populations affected</w:t>
      </w:r>
      <w:r w:rsidR="00EB6C3A">
        <w:t xml:space="preserve">. </w:t>
      </w:r>
    </w:p>
    <w:p w14:paraId="3209C413" w14:textId="77777777" w:rsidR="008564E7" w:rsidRDefault="0092382E" w:rsidP="00546FCD">
      <w:pPr>
        <w:spacing w:after="0" w:line="360" w:lineRule="auto"/>
        <w:ind w:firstLine="576"/>
      </w:pPr>
      <w:r>
        <w:t xml:space="preserve"> </w:t>
      </w:r>
      <w:r w:rsidR="00531850">
        <w:t>Using</w:t>
      </w:r>
      <w:r>
        <w:t xml:space="preserve"> outbreak data to attribute cases of IID to foodborne transmission relies on certain assumptions</w:t>
      </w:r>
      <w:r w:rsidR="00531850">
        <w:t xml:space="preserve">, principally </w:t>
      </w:r>
      <w:r>
        <w:t xml:space="preserve">that outbreak cases reflect the epidemiology in the wider community. Another potential limitation is that there might be a bias towards investigation </w:t>
      </w:r>
      <w:r w:rsidR="007C1F99">
        <w:t xml:space="preserve">or reporting </w:t>
      </w:r>
      <w:r>
        <w:t>of foodborne outbreaks</w:t>
      </w:r>
      <w:r w:rsidR="00D1773A">
        <w:t xml:space="preserve"> compared with outbreaks transmitted through other routes, like person-to-person transmission</w:t>
      </w:r>
      <w:r>
        <w:t xml:space="preserve">. This, however, does not seem to be the case: there has been a gradual decrease in the proportion of reported outbreaks involving foodborne transmission, which reflects both a reduction in incidence of certain foodborne pathogens, particularly </w:t>
      </w:r>
      <w:r w:rsidRPr="00F43AC8">
        <w:rPr>
          <w:i/>
        </w:rPr>
        <w:t>Salmonella</w:t>
      </w:r>
      <w:r>
        <w:t>, and greater investigation of outbreaks in other settings, particularly viral outbreaks in hospitals and residential institutions.</w:t>
      </w:r>
      <w:r w:rsidR="004F3235">
        <w:t>[1</w:t>
      </w:r>
      <w:r w:rsidR="00202681">
        <w:t>8</w:t>
      </w:r>
      <w:r w:rsidR="000A0E83">
        <w:t>,1</w:t>
      </w:r>
      <w:r w:rsidR="00202681">
        <w:t>9</w:t>
      </w:r>
      <w:r w:rsidR="004F3235">
        <w:t>]</w:t>
      </w:r>
      <w:r>
        <w:t xml:space="preserve"> </w:t>
      </w:r>
    </w:p>
    <w:p w14:paraId="3BB3CF24" w14:textId="77777777" w:rsidR="002864D8" w:rsidRDefault="008564E7" w:rsidP="00546FCD">
      <w:pPr>
        <w:spacing w:after="0" w:line="360" w:lineRule="auto"/>
        <w:ind w:firstLine="576"/>
      </w:pPr>
      <w:r>
        <w:t xml:space="preserve">Our study focused on foodborne illness burden in the general UK population. Some pathogens, however, are a particular problem among certain high-risk groups, such as </w:t>
      </w:r>
      <w:r>
        <w:rPr>
          <w:i/>
        </w:rPr>
        <w:t xml:space="preserve">Listeria </w:t>
      </w:r>
      <w:r>
        <w:t xml:space="preserve">among immunocompromised patients and pregnant women, and rotavirus among children under five years. Our analysis was not designed to estimate burden in these subgroups, </w:t>
      </w:r>
      <w:r w:rsidR="00B46AA8">
        <w:t xml:space="preserve">because our data sources contain limited information on these groups, and the size of </w:t>
      </w:r>
      <w:r w:rsidR="00D1773A">
        <w:t xml:space="preserve">some of </w:t>
      </w:r>
      <w:r w:rsidR="00B46AA8">
        <w:t xml:space="preserve">these high-risk populations is </w:t>
      </w:r>
      <w:r w:rsidR="00D1773A">
        <w:t>uncertain</w:t>
      </w:r>
      <w:r w:rsidR="00B46AA8">
        <w:t>. However, further studies to estimate burden in these groups is warranted.</w:t>
      </w:r>
      <w:r w:rsidR="0092382E">
        <w:t xml:space="preserve"> </w:t>
      </w:r>
    </w:p>
    <w:p w14:paraId="7C1E616E" w14:textId="4CCE9AF8" w:rsidR="002864D8" w:rsidRDefault="000D436D" w:rsidP="00546FCD">
      <w:pPr>
        <w:spacing w:after="0" w:line="360" w:lineRule="auto"/>
        <w:ind w:firstLine="576"/>
      </w:pPr>
      <w:r>
        <w:t>We were unable to include other relevant pathogens</w:t>
      </w:r>
      <w:r w:rsidR="00E563A0">
        <w:t xml:space="preserve"> such as</w:t>
      </w:r>
      <w:r w:rsidR="000521A3">
        <w:t xml:space="preserve"> </w:t>
      </w:r>
      <w:r w:rsidR="00AA1C35" w:rsidRPr="000A4AE5">
        <w:t>toxoplasmosis</w:t>
      </w:r>
      <w:r w:rsidR="00AA1C35">
        <w:t xml:space="preserve">, </w:t>
      </w:r>
      <w:r w:rsidR="000521A3">
        <w:t>hepatitis A, hepatitis E and</w:t>
      </w:r>
      <w:r w:rsidR="00D306F7">
        <w:t xml:space="preserve"> non-O157 STEC</w:t>
      </w:r>
      <w:r>
        <w:t xml:space="preserve"> in our analysis, due to a lack of </w:t>
      </w:r>
      <w:r w:rsidR="00247B58">
        <w:t xml:space="preserve">relevant </w:t>
      </w:r>
      <w:r>
        <w:t xml:space="preserve">data in the UK. </w:t>
      </w:r>
      <w:r w:rsidR="00AA1C35">
        <w:t>I</w:t>
      </w:r>
      <w:r w:rsidR="00662584">
        <w:t xml:space="preserve">n </w:t>
      </w:r>
      <w:r>
        <w:t xml:space="preserve">a Dutch </w:t>
      </w:r>
      <w:r>
        <w:lastRenderedPageBreak/>
        <w:t xml:space="preserve">study </w:t>
      </w:r>
      <w:r>
        <w:rPr>
          <w:i/>
        </w:rPr>
        <w:t>T</w:t>
      </w:r>
      <w:r w:rsidRPr="00F44F56">
        <w:rPr>
          <w:i/>
        </w:rPr>
        <w:t xml:space="preserve">oxoplasma </w:t>
      </w:r>
      <w:proofErr w:type="spellStart"/>
      <w:r w:rsidRPr="00F44F56">
        <w:rPr>
          <w:i/>
        </w:rPr>
        <w:t>gondii</w:t>
      </w:r>
      <w:proofErr w:type="spellEnd"/>
      <w:r w:rsidRPr="00F44F56">
        <w:rPr>
          <w:i/>
        </w:rPr>
        <w:t xml:space="preserve"> </w:t>
      </w:r>
      <w:r>
        <w:t>caused the highest foodborne disease burden as measured by disability-adjusted life years, reflecting the importance of congenital toxoplasmosis</w:t>
      </w:r>
      <w:proofErr w:type="gramStart"/>
      <w:r>
        <w:t>.</w:t>
      </w:r>
      <w:r w:rsidR="00681F03">
        <w:t>[</w:t>
      </w:r>
      <w:proofErr w:type="gramEnd"/>
      <w:r w:rsidR="00681F03">
        <w:t>1</w:t>
      </w:r>
      <w:r w:rsidR="001870AC">
        <w:t>6</w:t>
      </w:r>
      <w:r w:rsidR="00681F03">
        <w:t>]</w:t>
      </w:r>
    </w:p>
    <w:p w14:paraId="348CB27F" w14:textId="277C4004" w:rsidR="002864D8" w:rsidRDefault="0092382E" w:rsidP="00546FCD">
      <w:pPr>
        <w:spacing w:after="0" w:line="360" w:lineRule="auto"/>
        <w:ind w:firstLine="576"/>
      </w:pPr>
      <w:r>
        <w:t xml:space="preserve">Our modelling approach </w:t>
      </w:r>
      <w:r w:rsidR="00FE40BA">
        <w:t>meant we could use data</w:t>
      </w:r>
      <w:r>
        <w:t xml:space="preserve"> from various sources to incorporate the best available information from</w:t>
      </w:r>
      <w:r w:rsidR="00251253">
        <w:t xml:space="preserve"> the</w:t>
      </w:r>
      <w:r>
        <w:t xml:space="preserve"> UK</w:t>
      </w:r>
      <w:r w:rsidR="00251253">
        <w:t xml:space="preserve"> and elsewhere</w:t>
      </w:r>
      <w:r>
        <w:t xml:space="preserve">. </w:t>
      </w:r>
      <w:r w:rsidR="004520C7">
        <w:t>Comparing</w:t>
      </w:r>
      <w:r>
        <w:t xml:space="preserve"> models with and without prior information indicates where there is disagreement between data sources</w:t>
      </w:r>
      <w:r w:rsidR="00AE1583">
        <w:t xml:space="preserve"> and</w:t>
      </w:r>
      <w:r>
        <w:t xml:space="preserve"> enables uncertainty in all the relevant parameters to be accounted for. Uncertainty in these models reflects not simply statistical uncertainty in individual parameters, but disagreement between data sources and availability of information from previous studies. Information from previous studies on the proportion of IID </w:t>
      </w:r>
      <w:r w:rsidR="00AE1583">
        <w:t>transmitted through food</w:t>
      </w:r>
      <w:r>
        <w:t xml:space="preserve"> was captured using Bayesian uniform priors. This is </w:t>
      </w:r>
      <w:r w:rsidR="00501E03">
        <w:t>probably</w:t>
      </w:r>
      <w:r>
        <w:t xml:space="preserve"> conservative, as it presupposes that every value within the specified limits is equally likely. For most pathogens, however, the number of available studies was small and </w:t>
      </w:r>
      <w:r w:rsidR="00F733E1">
        <w:t>using</w:t>
      </w:r>
      <w:r>
        <w:t xml:space="preserve"> more informative priors was </w:t>
      </w:r>
      <w:r w:rsidR="000930AC">
        <w:t>difficult to justify</w:t>
      </w:r>
      <w:r>
        <w:t xml:space="preserve">. The exception was </w:t>
      </w:r>
      <w:r w:rsidRPr="00D5777A">
        <w:rPr>
          <w:i/>
        </w:rPr>
        <w:t>Campylobacter</w:t>
      </w:r>
      <w:r>
        <w:t xml:space="preserve">, for which 14 studies </w:t>
      </w:r>
      <w:r w:rsidR="00C26B8A">
        <w:t>containe</w:t>
      </w:r>
      <w:r>
        <w:t>d relevant data.</w:t>
      </w:r>
      <w:r w:rsidR="00EF0CF8">
        <w:t xml:space="preserve"> Even so, u</w:t>
      </w:r>
      <w:r w:rsidR="009E4367">
        <w:t>sing</w:t>
      </w:r>
      <w:r>
        <w:t xml:space="preserve"> data from risk factor studies</w:t>
      </w:r>
      <w:r w:rsidR="00F733E1">
        <w:t xml:space="preserve"> </w:t>
      </w:r>
      <w:r>
        <w:t>presents problems in interpretation. Stud</w:t>
      </w:r>
      <w:r w:rsidR="00F733E1">
        <w:t>y design, methods and risk factors investigated</w:t>
      </w:r>
      <w:r>
        <w:t xml:space="preserve"> </w:t>
      </w:r>
      <w:r w:rsidR="00FF2E9D">
        <w:t xml:space="preserve">varied </w:t>
      </w:r>
      <w:r>
        <w:t xml:space="preserve">widely. Consequently, variability between studies in the importance of food-related risk factors is high. </w:t>
      </w:r>
      <w:r w:rsidR="000930AC">
        <w:t>The choice of Bayesian priors in estimation is necessarily a subjective process, as it depends on analysts’ confidence in the available information. Establishment of a process to develop greater international consensus on the choice of priors for individual pathogens could help to refine future estimates.</w:t>
      </w:r>
      <w:r w:rsidR="00F837A1">
        <w:t xml:space="preserve"> </w:t>
      </w:r>
      <w:r w:rsidR="00F837A1" w:rsidRPr="00F837A1">
        <w:t>Better baseline estimates would also inform predictions of the likely increase in foodborne disease due to climate change</w:t>
      </w:r>
      <w:proofErr w:type="gramStart"/>
      <w:r w:rsidR="00F837A1">
        <w:t>.[</w:t>
      </w:r>
      <w:proofErr w:type="gramEnd"/>
      <w:r w:rsidR="00F837A1">
        <w:t>20]</w:t>
      </w:r>
    </w:p>
    <w:p w14:paraId="14A87D98" w14:textId="77777777" w:rsidR="002864D8" w:rsidRDefault="0092382E" w:rsidP="00546FCD">
      <w:pPr>
        <w:spacing w:after="0" w:line="360" w:lineRule="auto"/>
        <w:ind w:firstLine="576"/>
      </w:pPr>
      <w:r>
        <w:t xml:space="preserve">We did not estimate deaths attributable to foodborne illness, due to the lack of reliable data sources on pathogen-specific mortality rates. Death certificates rarely provide information on specific gastrointestinal pathogens, while deaths in outbreaks are rare and may not be recorded if they occur </w:t>
      </w:r>
      <w:r w:rsidR="00FE40BA">
        <w:t>sometime</w:t>
      </w:r>
      <w:r>
        <w:t xml:space="preserve"> after the </w:t>
      </w:r>
      <w:r w:rsidR="00D91C49">
        <w:t>event</w:t>
      </w:r>
      <w:r>
        <w:t>. More generally, mortality estimates would be difficult to interpret. Deaths attributed to foodborne disease are</w:t>
      </w:r>
      <w:r w:rsidR="00263C5E">
        <w:t xml:space="preserve"> </w:t>
      </w:r>
      <w:r>
        <w:t xml:space="preserve">not </w:t>
      </w:r>
      <w:r w:rsidR="00263C5E">
        <w:t xml:space="preserve">necessarily </w:t>
      </w:r>
      <w:r>
        <w:t xml:space="preserve">the same as preventable deaths. More focused epidemiological studies on mortality following IID </w:t>
      </w:r>
      <w:r w:rsidR="00FD3D88">
        <w:t>would be helpful</w:t>
      </w:r>
      <w:r>
        <w:t>.</w:t>
      </w:r>
    </w:p>
    <w:p w14:paraId="1EE6E053" w14:textId="38BF1FFD" w:rsidR="002864D8" w:rsidRDefault="0092382E" w:rsidP="00546FCD">
      <w:pPr>
        <w:spacing w:after="0" w:line="360" w:lineRule="auto"/>
        <w:ind w:firstLine="576"/>
      </w:pPr>
      <w:r>
        <w:t xml:space="preserve">Our estimates measure foodborne disease burden only in the acute phase of illness. For some pathogens, the long-term consequences of illness can add considerably to their burden, </w:t>
      </w:r>
      <w:r w:rsidR="001B0877">
        <w:t xml:space="preserve">for example </w:t>
      </w:r>
      <w:r w:rsidR="00CF75A9" w:rsidRPr="000A4AE5">
        <w:rPr>
          <w:i/>
        </w:rPr>
        <w:t>E. coli</w:t>
      </w:r>
      <w:r w:rsidR="00CF75A9" w:rsidRPr="000A4AE5">
        <w:t xml:space="preserve"> O157</w:t>
      </w:r>
      <w:r>
        <w:t xml:space="preserve">-associated </w:t>
      </w:r>
      <w:proofErr w:type="spellStart"/>
      <w:r>
        <w:t>haemolytic</w:t>
      </w:r>
      <w:proofErr w:type="spellEnd"/>
      <w:r>
        <w:t xml:space="preserve"> </w:t>
      </w:r>
      <w:proofErr w:type="spellStart"/>
      <w:r>
        <w:t>uraemic</w:t>
      </w:r>
      <w:proofErr w:type="spellEnd"/>
      <w:r>
        <w:t xml:space="preserve"> syndrome (HUS)</w:t>
      </w:r>
      <w:r w:rsidR="00C06921">
        <w:t xml:space="preserve"> </w:t>
      </w:r>
      <w:r>
        <w:t xml:space="preserve">and </w:t>
      </w:r>
      <w:r>
        <w:rPr>
          <w:i/>
        </w:rPr>
        <w:t>Campylobacter</w:t>
      </w:r>
      <w:r>
        <w:t xml:space="preserve">-associated </w:t>
      </w:r>
      <w:proofErr w:type="spellStart"/>
      <w:r>
        <w:t>Guillain-Barré</w:t>
      </w:r>
      <w:proofErr w:type="spellEnd"/>
      <w:r>
        <w:t xml:space="preserve"> syndrome (GBS).</w:t>
      </w:r>
      <w:r w:rsidR="00061032">
        <w:t>[</w:t>
      </w:r>
      <w:r w:rsidR="00202681">
        <w:t>2</w:t>
      </w:r>
      <w:r w:rsidR="00F837A1">
        <w:t>1</w:t>
      </w:r>
      <w:r w:rsidR="000A0E83">
        <w:t>,</w:t>
      </w:r>
      <w:r w:rsidR="001870AC">
        <w:t>2</w:t>
      </w:r>
      <w:r w:rsidR="00F837A1">
        <w:t>2</w:t>
      </w:r>
      <w:r w:rsidR="00061032">
        <w:t>]</w:t>
      </w:r>
      <w:r>
        <w:t xml:space="preserve"> Moreover, our estimates are based only on the number of cases of illness, and take no account of the consequences of illness in different sectors of the population. Further studies using additional measures of disease burden and taking into account long-term health consequences are therefore required.</w:t>
      </w:r>
      <w:r w:rsidR="00F837A1">
        <w:t xml:space="preserve"> </w:t>
      </w:r>
    </w:p>
    <w:p w14:paraId="1A389B28" w14:textId="59AC204F" w:rsidR="004E29DB" w:rsidRDefault="004E29DB" w:rsidP="00546FCD">
      <w:pPr>
        <w:spacing w:after="0" w:line="360" w:lineRule="auto"/>
        <w:ind w:firstLine="576"/>
      </w:pPr>
      <w:r>
        <w:lastRenderedPageBreak/>
        <w:t>Modeling is not necessarily a substitute for acquiring good quality primary data but it is very useful for pointing to important data gaps and major areas of uncertainty where primary data collection might be focused.</w:t>
      </w:r>
      <w:r w:rsidR="00F837A1">
        <w:t xml:space="preserve"> </w:t>
      </w:r>
    </w:p>
    <w:p w14:paraId="08A5208E" w14:textId="30F5D3F6" w:rsidR="00EF77DA" w:rsidRDefault="00EF0CF8" w:rsidP="00001572">
      <w:pPr>
        <w:spacing w:line="360" w:lineRule="auto"/>
      </w:pPr>
      <w:r>
        <w:tab/>
      </w:r>
      <w:r w:rsidR="00FD3D88">
        <w:t>C</w:t>
      </w:r>
      <w:r w:rsidR="00001572">
        <w:t xml:space="preserve">ontrolling foodborne disease is an important policy issue. Given the burden of illness caused, there needs to be a continued focus on reducing illness due </w:t>
      </w:r>
      <w:r w:rsidR="00823505">
        <w:t xml:space="preserve">to </w:t>
      </w:r>
      <w:r w:rsidR="00001572" w:rsidRPr="00001572">
        <w:rPr>
          <w:i/>
        </w:rPr>
        <w:t>Campylobacter</w:t>
      </w:r>
      <w:r w:rsidR="00001572">
        <w:t xml:space="preserve">, </w:t>
      </w:r>
      <w:r w:rsidR="00001572" w:rsidRPr="00001572">
        <w:rPr>
          <w:i/>
        </w:rPr>
        <w:t>Salmonella</w:t>
      </w:r>
      <w:r w:rsidR="00001572">
        <w:t xml:space="preserve">, </w:t>
      </w:r>
      <w:r w:rsidR="00001572" w:rsidRPr="00001572">
        <w:rPr>
          <w:i/>
        </w:rPr>
        <w:t xml:space="preserve">C. </w:t>
      </w:r>
      <w:proofErr w:type="spellStart"/>
      <w:r w:rsidR="00001572" w:rsidRPr="00001572">
        <w:rPr>
          <w:i/>
        </w:rPr>
        <w:t>perfringens</w:t>
      </w:r>
      <w:proofErr w:type="spellEnd"/>
      <w:r w:rsidR="00001572">
        <w:t xml:space="preserve"> and norovirus.</w:t>
      </w:r>
      <w:r w:rsidR="00F837A1" w:rsidRPr="00F837A1">
        <w:t xml:space="preserve"> </w:t>
      </w:r>
      <w:r w:rsidR="00F837A1">
        <w:t xml:space="preserve"> </w:t>
      </w:r>
      <w:r w:rsidR="00EF77DA">
        <w:br w:type="page"/>
      </w:r>
    </w:p>
    <w:p w14:paraId="41DEA4F4" w14:textId="77777777" w:rsidR="000930AC" w:rsidRDefault="003F5B0D" w:rsidP="00546FCD">
      <w:pPr>
        <w:spacing w:after="0" w:line="360" w:lineRule="auto"/>
        <w:rPr>
          <w:b/>
        </w:rPr>
      </w:pPr>
      <w:r w:rsidRPr="003F5B0D">
        <w:rPr>
          <w:b/>
        </w:rPr>
        <w:lastRenderedPageBreak/>
        <w:t>References</w:t>
      </w:r>
    </w:p>
    <w:p w14:paraId="156AF56B" w14:textId="77777777" w:rsidR="003117F9" w:rsidRPr="003117F9" w:rsidRDefault="003117F9" w:rsidP="003117F9">
      <w:pPr>
        <w:pStyle w:val="ListParagraph"/>
        <w:numPr>
          <w:ilvl w:val="0"/>
          <w:numId w:val="20"/>
        </w:numPr>
        <w:spacing w:after="0" w:line="360" w:lineRule="auto"/>
        <w:rPr>
          <w:lang w:val="nb-NO"/>
        </w:rPr>
      </w:pPr>
      <w:r w:rsidRPr="003117F9">
        <w:rPr>
          <w:lang w:val="nb-NO"/>
        </w:rPr>
        <w:t>Kuchenmüller T, Abela-Ridder B, Corrigan T, Tritscher A. World Health Organization initiative to estimate the global burden of foodborne diseases.</w:t>
      </w:r>
      <w:r>
        <w:rPr>
          <w:lang w:val="nb-NO"/>
        </w:rPr>
        <w:t xml:space="preserve"> </w:t>
      </w:r>
      <w:r w:rsidRPr="003117F9">
        <w:rPr>
          <w:lang w:val="nb-NO"/>
        </w:rPr>
        <w:t>Rev Sci Tech. 2013;32(2):459-67.</w:t>
      </w:r>
    </w:p>
    <w:p w14:paraId="4355B601" w14:textId="77777777" w:rsidR="00B0539F" w:rsidRDefault="001B52F3" w:rsidP="00546FCD">
      <w:pPr>
        <w:pStyle w:val="ListParagraph"/>
        <w:numPr>
          <w:ilvl w:val="0"/>
          <w:numId w:val="20"/>
        </w:numPr>
        <w:spacing w:after="0" w:line="360" w:lineRule="auto"/>
      </w:pPr>
      <w:r w:rsidRPr="00557F5A">
        <w:rPr>
          <w:lang w:val="nb-NO"/>
        </w:rPr>
        <w:t xml:space="preserve">Scallan E, Hoekstra RM, Angulo FJ </w:t>
      </w:r>
      <w:r w:rsidRPr="00557F5A">
        <w:rPr>
          <w:i/>
          <w:lang w:val="nb-NO"/>
        </w:rPr>
        <w:t>et al</w:t>
      </w:r>
      <w:r w:rsidRPr="00557F5A">
        <w:rPr>
          <w:lang w:val="nb-NO"/>
        </w:rPr>
        <w:t xml:space="preserve">. </w:t>
      </w:r>
      <w:r w:rsidR="00B0539F">
        <w:t xml:space="preserve">Foodborne illness acquired in the United States--major pathogens. </w:t>
      </w:r>
      <w:proofErr w:type="spellStart"/>
      <w:r w:rsidR="00B0539F">
        <w:t>Emerg</w:t>
      </w:r>
      <w:proofErr w:type="spellEnd"/>
      <w:r w:rsidR="00B0539F">
        <w:t xml:space="preserve"> Infect Dis. 2011</w:t>
      </w:r>
      <w:proofErr w:type="gramStart"/>
      <w:r w:rsidR="00B0539F">
        <w:t>;17</w:t>
      </w:r>
      <w:proofErr w:type="gramEnd"/>
      <w:r w:rsidR="00B0539F">
        <w:t>(1):7-15.</w:t>
      </w:r>
    </w:p>
    <w:p w14:paraId="4A341DAD" w14:textId="77777777" w:rsidR="00B0539F" w:rsidRDefault="00B0539F" w:rsidP="00557F5A">
      <w:pPr>
        <w:pStyle w:val="ListParagraph"/>
        <w:numPr>
          <w:ilvl w:val="0"/>
          <w:numId w:val="20"/>
        </w:numPr>
        <w:spacing w:after="0" w:line="360" w:lineRule="auto"/>
      </w:pPr>
      <w:proofErr w:type="spellStart"/>
      <w:r>
        <w:t>Scallan</w:t>
      </w:r>
      <w:proofErr w:type="spellEnd"/>
      <w:r>
        <w:t xml:space="preserve"> E, Griffin PM, Angulo FJ et al. Foodborne illness acquired in the United States--unspecified agents. </w:t>
      </w:r>
      <w:proofErr w:type="spellStart"/>
      <w:r>
        <w:t>Emerg</w:t>
      </w:r>
      <w:proofErr w:type="spellEnd"/>
      <w:r>
        <w:t xml:space="preserve"> Infect Dis. 2011</w:t>
      </w:r>
      <w:proofErr w:type="gramStart"/>
      <w:r>
        <w:t>;17</w:t>
      </w:r>
      <w:proofErr w:type="gramEnd"/>
      <w:r>
        <w:t>(1):16-22.</w:t>
      </w:r>
    </w:p>
    <w:p w14:paraId="4C636378" w14:textId="77777777" w:rsidR="00AC2B7E" w:rsidRDefault="001B52F3" w:rsidP="00AC2B7E">
      <w:pPr>
        <w:pStyle w:val="ListParagraph"/>
        <w:numPr>
          <w:ilvl w:val="0"/>
          <w:numId w:val="20"/>
        </w:numPr>
        <w:spacing w:after="0" w:line="360" w:lineRule="auto"/>
      </w:pPr>
      <w:r w:rsidRPr="00557F5A">
        <w:rPr>
          <w:lang w:val="nb-NO"/>
        </w:rPr>
        <w:t xml:space="preserve">Mead PS, Slutsker L, Dietz V </w:t>
      </w:r>
      <w:r w:rsidRPr="00557F5A">
        <w:rPr>
          <w:i/>
          <w:lang w:val="nb-NO"/>
        </w:rPr>
        <w:t>et al</w:t>
      </w:r>
      <w:r w:rsidRPr="00557F5A">
        <w:rPr>
          <w:lang w:val="nb-NO"/>
        </w:rPr>
        <w:t xml:space="preserve">. </w:t>
      </w:r>
      <w:r w:rsidR="00AC2B7E">
        <w:t xml:space="preserve">Food-related illness and death in the United States. </w:t>
      </w:r>
      <w:proofErr w:type="spellStart"/>
      <w:r w:rsidR="00AC2B7E">
        <w:t>Emerg</w:t>
      </w:r>
      <w:proofErr w:type="spellEnd"/>
      <w:r w:rsidR="00AC2B7E">
        <w:t xml:space="preserve"> Infect Dis. 1999</w:t>
      </w:r>
      <w:proofErr w:type="gramStart"/>
      <w:r w:rsidR="00AC2B7E">
        <w:t>;5</w:t>
      </w:r>
      <w:proofErr w:type="gramEnd"/>
      <w:r w:rsidR="00AC2B7E">
        <w:t>(5):607-25.</w:t>
      </w:r>
    </w:p>
    <w:p w14:paraId="1BEBC278" w14:textId="77777777" w:rsidR="00A67A0C" w:rsidRDefault="001B52F3" w:rsidP="00A67A0C">
      <w:pPr>
        <w:pStyle w:val="ListParagraph"/>
        <w:numPr>
          <w:ilvl w:val="0"/>
          <w:numId w:val="20"/>
        </w:numPr>
        <w:spacing w:after="0" w:line="360" w:lineRule="auto"/>
      </w:pPr>
      <w:r w:rsidRPr="00557F5A">
        <w:rPr>
          <w:lang w:val="nb-NO"/>
        </w:rPr>
        <w:t xml:space="preserve">Adak GK, Long SM, O'Brien SJ. </w:t>
      </w:r>
      <w:r w:rsidR="00A67A0C">
        <w:t>Trends in indigenous foodborne disease and deaths, England and Wales: 1992 to 2000. Gut. 2002</w:t>
      </w:r>
      <w:proofErr w:type="gramStart"/>
      <w:r w:rsidR="00A67A0C">
        <w:t>;51</w:t>
      </w:r>
      <w:proofErr w:type="gramEnd"/>
      <w:r w:rsidR="00A67A0C">
        <w:t>(6):832-41.</w:t>
      </w:r>
    </w:p>
    <w:p w14:paraId="3E904132" w14:textId="77777777" w:rsidR="002E39BE" w:rsidRDefault="001B52F3" w:rsidP="002E39BE">
      <w:pPr>
        <w:pStyle w:val="ListParagraph"/>
        <w:numPr>
          <w:ilvl w:val="0"/>
          <w:numId w:val="20"/>
        </w:numPr>
        <w:spacing w:after="0" w:line="360" w:lineRule="auto"/>
      </w:pPr>
      <w:r w:rsidRPr="00557F5A">
        <w:rPr>
          <w:lang w:val="nb-NO"/>
        </w:rPr>
        <w:t xml:space="preserve">Hall G, Kirk MD, Becker N </w:t>
      </w:r>
      <w:r w:rsidRPr="00557F5A">
        <w:rPr>
          <w:i/>
          <w:lang w:val="nb-NO"/>
        </w:rPr>
        <w:t>et al</w:t>
      </w:r>
      <w:r w:rsidRPr="00557F5A">
        <w:rPr>
          <w:lang w:val="nb-NO"/>
        </w:rPr>
        <w:t xml:space="preserve">. </w:t>
      </w:r>
      <w:r w:rsidR="002E39BE">
        <w:t xml:space="preserve">Estimating foodborne gastroenteritis, Australia. </w:t>
      </w:r>
      <w:proofErr w:type="spellStart"/>
      <w:r w:rsidR="002E39BE">
        <w:t>Emerg</w:t>
      </w:r>
      <w:proofErr w:type="spellEnd"/>
      <w:r w:rsidR="002E39BE">
        <w:t xml:space="preserve"> Infect Dis. 2005</w:t>
      </w:r>
      <w:proofErr w:type="gramStart"/>
      <w:r w:rsidR="002E39BE">
        <w:t>;11</w:t>
      </w:r>
      <w:proofErr w:type="gramEnd"/>
      <w:r w:rsidR="002E39BE">
        <w:t>(8):1257-64.</w:t>
      </w:r>
    </w:p>
    <w:p w14:paraId="3F21FF91" w14:textId="77777777" w:rsidR="00777199" w:rsidRDefault="001B52F3" w:rsidP="00777199">
      <w:pPr>
        <w:pStyle w:val="ListParagraph"/>
        <w:numPr>
          <w:ilvl w:val="0"/>
          <w:numId w:val="20"/>
        </w:numPr>
        <w:spacing w:after="0" w:line="360" w:lineRule="auto"/>
      </w:pPr>
      <w:r w:rsidRPr="00557F5A">
        <w:rPr>
          <w:lang w:val="nb-NO"/>
        </w:rPr>
        <w:t xml:space="preserve">Vaillant V, de Valk H, Baron E </w:t>
      </w:r>
      <w:r w:rsidRPr="00557F5A">
        <w:rPr>
          <w:i/>
          <w:lang w:val="nb-NO"/>
        </w:rPr>
        <w:t>et al</w:t>
      </w:r>
      <w:r w:rsidRPr="00557F5A">
        <w:rPr>
          <w:lang w:val="nb-NO"/>
        </w:rPr>
        <w:t xml:space="preserve">. </w:t>
      </w:r>
      <w:r w:rsidR="00777199">
        <w:t xml:space="preserve">Foodborne infections in France. Foodborne </w:t>
      </w:r>
      <w:proofErr w:type="spellStart"/>
      <w:r w:rsidR="00777199">
        <w:t>Pathog</w:t>
      </w:r>
      <w:proofErr w:type="spellEnd"/>
      <w:r w:rsidR="00777199">
        <w:t xml:space="preserve"> Dis</w:t>
      </w:r>
      <w:proofErr w:type="gramStart"/>
      <w:r w:rsidR="00777199">
        <w:t>;2</w:t>
      </w:r>
      <w:proofErr w:type="gramEnd"/>
      <w:r w:rsidR="00777199">
        <w:t>(3):221-32.</w:t>
      </w:r>
    </w:p>
    <w:p w14:paraId="165646CE" w14:textId="77777777" w:rsidR="000002A9" w:rsidRDefault="001B52F3" w:rsidP="00557F5A">
      <w:pPr>
        <w:pStyle w:val="ListParagraph"/>
        <w:numPr>
          <w:ilvl w:val="0"/>
          <w:numId w:val="20"/>
        </w:numPr>
        <w:spacing w:after="0" w:line="360" w:lineRule="auto"/>
      </w:pPr>
      <w:r w:rsidRPr="00557F5A">
        <w:rPr>
          <w:lang w:val="nb-NO"/>
        </w:rPr>
        <w:t xml:space="preserve">Flint JA, Van Duynhoven YT, Angulo FJ </w:t>
      </w:r>
      <w:r w:rsidRPr="00557F5A">
        <w:rPr>
          <w:i/>
          <w:lang w:val="nb-NO"/>
        </w:rPr>
        <w:t>et al</w:t>
      </w:r>
      <w:r w:rsidRPr="00557F5A">
        <w:rPr>
          <w:lang w:val="nb-NO"/>
        </w:rPr>
        <w:t xml:space="preserve">. </w:t>
      </w:r>
      <w:r w:rsidR="003A3139" w:rsidRPr="000002A9">
        <w:t xml:space="preserve">Estimating the burden of acute gastroenteritis, foodborne disease, and pathogens commonly transmitted by food: an international review. </w:t>
      </w:r>
      <w:proofErr w:type="spellStart"/>
      <w:r w:rsidR="003A3139" w:rsidRPr="000002A9">
        <w:t>Clin</w:t>
      </w:r>
      <w:proofErr w:type="spellEnd"/>
      <w:r w:rsidR="003A3139" w:rsidRPr="000002A9">
        <w:t xml:space="preserve"> Infect Dis. 2005</w:t>
      </w:r>
      <w:proofErr w:type="gramStart"/>
      <w:r w:rsidR="003A3139" w:rsidRPr="000002A9">
        <w:t>;41:698</w:t>
      </w:r>
      <w:proofErr w:type="gramEnd"/>
      <w:r w:rsidR="003A3139" w:rsidRPr="000002A9">
        <w:t>–704.</w:t>
      </w:r>
    </w:p>
    <w:p w14:paraId="06E6FA3F" w14:textId="77777777" w:rsidR="003F5B0D" w:rsidRDefault="003F5B0D" w:rsidP="00546FCD">
      <w:pPr>
        <w:pStyle w:val="ListParagraph"/>
        <w:numPr>
          <w:ilvl w:val="0"/>
          <w:numId w:val="20"/>
        </w:numPr>
        <w:spacing w:after="0" w:line="360" w:lineRule="auto"/>
      </w:pPr>
      <w:r>
        <w:t xml:space="preserve">Tam CC, Rodrigues LC, </w:t>
      </w:r>
      <w:proofErr w:type="spellStart"/>
      <w:r>
        <w:t>Viviani</w:t>
      </w:r>
      <w:proofErr w:type="spellEnd"/>
      <w:r>
        <w:t xml:space="preserve"> L</w:t>
      </w:r>
      <w:r w:rsidR="00546FCD">
        <w:t xml:space="preserve"> </w:t>
      </w:r>
      <w:r w:rsidR="00546FCD" w:rsidRPr="00546FCD">
        <w:rPr>
          <w:i/>
        </w:rPr>
        <w:t>et al</w:t>
      </w:r>
      <w:r>
        <w:t>; IID2 Study Executive Committee. Longitudinal study of infectious intestinal disease in the UK (IID2 study): incidence in the community and presenting to general practice. Gut. 2012</w:t>
      </w:r>
      <w:proofErr w:type="gramStart"/>
      <w:r>
        <w:t>;61</w:t>
      </w:r>
      <w:proofErr w:type="gramEnd"/>
      <w:r>
        <w:t>(1):69-77.</w:t>
      </w:r>
    </w:p>
    <w:p w14:paraId="661AF935" w14:textId="77777777" w:rsidR="002223C1" w:rsidRDefault="001B52F3" w:rsidP="002223C1">
      <w:pPr>
        <w:pStyle w:val="ListParagraph"/>
        <w:numPr>
          <w:ilvl w:val="0"/>
          <w:numId w:val="20"/>
        </w:numPr>
        <w:spacing w:after="0" w:line="360" w:lineRule="auto"/>
      </w:pPr>
      <w:r w:rsidRPr="009A631D">
        <w:rPr>
          <w:lang w:val="nb-NO"/>
        </w:rPr>
        <w:t xml:space="preserve">Wheeler JG, Sethi D, Cowden JM </w:t>
      </w:r>
      <w:r w:rsidRPr="009A631D">
        <w:rPr>
          <w:i/>
          <w:lang w:val="nb-NO"/>
        </w:rPr>
        <w:t>et al</w:t>
      </w:r>
      <w:r w:rsidRPr="009A631D">
        <w:rPr>
          <w:lang w:val="nb-NO"/>
        </w:rPr>
        <w:t xml:space="preserve">. </w:t>
      </w:r>
      <w:r w:rsidR="002223C1">
        <w:t>Study of infectious intestinal disease in England: rates in the community, presenting to general practice, and reported to national surveillance. The Infectious Intestinal Disease Study Executive. BMJ. 1999</w:t>
      </w:r>
      <w:proofErr w:type="gramStart"/>
      <w:r w:rsidR="002223C1">
        <w:t>;318</w:t>
      </w:r>
      <w:proofErr w:type="gramEnd"/>
      <w:r w:rsidR="002223C1">
        <w:t>(7190):1046-50.</w:t>
      </w:r>
    </w:p>
    <w:p w14:paraId="33D75A8B" w14:textId="77777777" w:rsidR="002223C1" w:rsidRPr="003F5B0D" w:rsidRDefault="001B52F3" w:rsidP="002223C1">
      <w:pPr>
        <w:pStyle w:val="ListParagraph"/>
        <w:numPr>
          <w:ilvl w:val="0"/>
          <w:numId w:val="20"/>
        </w:numPr>
        <w:spacing w:after="0" w:line="360" w:lineRule="auto"/>
      </w:pPr>
      <w:r w:rsidRPr="009A631D">
        <w:rPr>
          <w:lang w:val="nb-NO"/>
        </w:rPr>
        <w:t xml:space="preserve">O'Brien SJ, Rait G, Hunter PR </w:t>
      </w:r>
      <w:r w:rsidRPr="009A631D">
        <w:rPr>
          <w:i/>
          <w:lang w:val="nb-NO"/>
        </w:rPr>
        <w:t>et al</w:t>
      </w:r>
      <w:r w:rsidRPr="009A631D">
        <w:rPr>
          <w:lang w:val="nb-NO"/>
        </w:rPr>
        <w:t xml:space="preserve">. </w:t>
      </w:r>
      <w:r w:rsidR="002223C1">
        <w:t xml:space="preserve">Methods for determining disease burden and calibrating national surveillance data in the United Kingdom: the second study of infectious intestinal disease in the community (IID2 study). BMC Med Res </w:t>
      </w:r>
      <w:proofErr w:type="spellStart"/>
      <w:r w:rsidR="002223C1">
        <w:t>Methodol</w:t>
      </w:r>
      <w:proofErr w:type="spellEnd"/>
      <w:r w:rsidR="002223C1">
        <w:t>. 2010</w:t>
      </w:r>
      <w:proofErr w:type="gramStart"/>
      <w:r w:rsidR="002223C1">
        <w:t>;10:39</w:t>
      </w:r>
      <w:proofErr w:type="gramEnd"/>
      <w:r w:rsidR="002223C1">
        <w:t xml:space="preserve">. </w:t>
      </w:r>
      <w:proofErr w:type="spellStart"/>
      <w:proofErr w:type="gramStart"/>
      <w:r w:rsidR="002223C1">
        <w:t>doi</w:t>
      </w:r>
      <w:proofErr w:type="spellEnd"/>
      <w:proofErr w:type="gramEnd"/>
      <w:r w:rsidR="002223C1">
        <w:t>: 10.1186/1471-2288-10-39.</w:t>
      </w:r>
    </w:p>
    <w:p w14:paraId="67B95CBD" w14:textId="77777777" w:rsidR="00546FCD" w:rsidRDefault="001B52F3" w:rsidP="004E2FC4">
      <w:pPr>
        <w:pStyle w:val="ListParagraph"/>
        <w:numPr>
          <w:ilvl w:val="0"/>
          <w:numId w:val="20"/>
        </w:numPr>
        <w:spacing w:after="0" w:line="360" w:lineRule="auto"/>
      </w:pPr>
      <w:r w:rsidRPr="009A631D">
        <w:rPr>
          <w:lang w:val="nb-NO"/>
        </w:rPr>
        <w:t xml:space="preserve">Tompkins DS, Hudson MJ, Smith HR </w:t>
      </w:r>
      <w:r w:rsidRPr="009A631D">
        <w:rPr>
          <w:i/>
          <w:lang w:val="nb-NO"/>
        </w:rPr>
        <w:t>et al</w:t>
      </w:r>
      <w:r w:rsidRPr="009A631D">
        <w:rPr>
          <w:lang w:val="nb-NO"/>
        </w:rPr>
        <w:t xml:space="preserve">. </w:t>
      </w:r>
      <w:r w:rsidR="004E2FC4">
        <w:t xml:space="preserve">A study of infectious intestinal disease in England: microbiological findings in cases and controls. </w:t>
      </w:r>
      <w:proofErr w:type="spellStart"/>
      <w:r w:rsidR="004E2FC4">
        <w:t>Commun</w:t>
      </w:r>
      <w:proofErr w:type="spellEnd"/>
      <w:r w:rsidR="004E2FC4">
        <w:t xml:space="preserve"> Dis Public Health. 1999</w:t>
      </w:r>
      <w:proofErr w:type="gramStart"/>
      <w:r w:rsidR="004E2FC4">
        <w:t>;2</w:t>
      </w:r>
      <w:proofErr w:type="gramEnd"/>
      <w:r w:rsidR="004E2FC4">
        <w:t>(2):108-13.</w:t>
      </w:r>
    </w:p>
    <w:p w14:paraId="4D279B1F" w14:textId="77777777" w:rsidR="00BD1C12" w:rsidRDefault="00BD1C12" w:rsidP="00BD1C12">
      <w:pPr>
        <w:pStyle w:val="ListParagraph"/>
        <w:numPr>
          <w:ilvl w:val="0"/>
          <w:numId w:val="20"/>
        </w:numPr>
        <w:spacing w:after="0" w:line="360" w:lineRule="auto"/>
      </w:pPr>
      <w:proofErr w:type="spellStart"/>
      <w:r w:rsidRPr="00BD1C12">
        <w:t>Liberati</w:t>
      </w:r>
      <w:proofErr w:type="spellEnd"/>
      <w:r w:rsidRPr="00BD1C12">
        <w:t xml:space="preserve"> A, Altman DG, </w:t>
      </w:r>
      <w:proofErr w:type="spellStart"/>
      <w:r w:rsidRPr="00BD1C12">
        <w:t>Tetzlaff</w:t>
      </w:r>
      <w:proofErr w:type="spellEnd"/>
      <w:r w:rsidRPr="00BD1C12">
        <w:t xml:space="preserve"> J</w:t>
      </w:r>
      <w:r>
        <w:t xml:space="preserve"> </w:t>
      </w:r>
      <w:r w:rsidRPr="00BD1C12">
        <w:rPr>
          <w:i/>
        </w:rPr>
        <w:t>et al</w:t>
      </w:r>
      <w:r w:rsidRPr="00BD1C12">
        <w:t>. The PRISMA statement for reporting systematic reviews and meta-analyses of studies that evaluate health care interventions: explanation and elaboration. Journal of clinical epidemiology. 2009</w:t>
      </w:r>
      <w:proofErr w:type="gramStart"/>
      <w:r w:rsidRPr="00BD1C12">
        <w:t>;62</w:t>
      </w:r>
      <w:proofErr w:type="gramEnd"/>
      <w:r w:rsidRPr="00BD1C12">
        <w:t>(10):e1-34.</w:t>
      </w:r>
    </w:p>
    <w:p w14:paraId="0376D3A6" w14:textId="77777777" w:rsidR="001870AC" w:rsidRDefault="00AB2559" w:rsidP="00AB2559">
      <w:pPr>
        <w:pStyle w:val="ListParagraph"/>
        <w:numPr>
          <w:ilvl w:val="0"/>
          <w:numId w:val="20"/>
        </w:numPr>
        <w:spacing w:after="0" w:line="360" w:lineRule="auto"/>
      </w:pPr>
      <w:r w:rsidRPr="00AB2559">
        <w:lastRenderedPageBreak/>
        <w:t>Tam C</w:t>
      </w:r>
      <w:r>
        <w:t>C</w:t>
      </w:r>
      <w:r w:rsidRPr="00AB2559">
        <w:t>, Larose T, O'Brien S</w:t>
      </w:r>
      <w:r>
        <w:t>J</w:t>
      </w:r>
      <w:r w:rsidRPr="00AB2559">
        <w:t xml:space="preserve">. </w:t>
      </w:r>
      <w:proofErr w:type="spellStart"/>
      <w:r w:rsidRPr="00AB2559">
        <w:t>Costed</w:t>
      </w:r>
      <w:proofErr w:type="spellEnd"/>
      <w:r w:rsidRPr="00AB2559">
        <w:t xml:space="preserve"> extension to the second study of infectious intestinal disease in the community: Identifying the proportion of foodborne disease in the UK and attributing foodborne disease by food commodity. UK: Food Standards Agency; 2014. Report No.: Project B18021 (FS231043).</w:t>
      </w:r>
      <w:r>
        <w:t xml:space="preserve"> Available at &lt;</w:t>
      </w:r>
      <w:r w:rsidRPr="00AB2559">
        <w:t xml:space="preserve"> http://www.food.gov.uk/sites/default/files/IID2%20extension%20report%20-%20FINAL%2025%20March%202014_0.pdf</w:t>
      </w:r>
      <w:r>
        <w:t>&gt; Dated accessed 31 July 2015.</w:t>
      </w:r>
    </w:p>
    <w:p w14:paraId="00A2438D" w14:textId="77777777" w:rsidR="00892AA9" w:rsidRPr="00CF1615" w:rsidRDefault="00CF1615" w:rsidP="00CF1615">
      <w:pPr>
        <w:pStyle w:val="ListParagraph"/>
        <w:numPr>
          <w:ilvl w:val="0"/>
          <w:numId w:val="20"/>
        </w:numPr>
        <w:spacing w:after="0" w:line="360" w:lineRule="auto"/>
      </w:pPr>
      <w:r>
        <w:t xml:space="preserve">Fullerton KE, </w:t>
      </w:r>
      <w:proofErr w:type="spellStart"/>
      <w:r>
        <w:t>Scallan</w:t>
      </w:r>
      <w:proofErr w:type="spellEnd"/>
      <w:r>
        <w:t xml:space="preserve"> E, Kirk MD </w:t>
      </w:r>
      <w:r w:rsidRPr="00CF1615">
        <w:rPr>
          <w:i/>
        </w:rPr>
        <w:t>et al</w:t>
      </w:r>
      <w:r>
        <w:t xml:space="preserve">. Case-control studies of sporadic enteric infections: a review and discussion of studies conducted internationally from 1990 to 2009. Foodborne </w:t>
      </w:r>
      <w:proofErr w:type="spellStart"/>
      <w:r>
        <w:t>Pathog</w:t>
      </w:r>
      <w:proofErr w:type="spellEnd"/>
      <w:r>
        <w:t xml:space="preserve"> Dis. 2012</w:t>
      </w:r>
      <w:proofErr w:type="gramStart"/>
      <w:r>
        <w:t>;9</w:t>
      </w:r>
      <w:proofErr w:type="gramEnd"/>
      <w:r>
        <w:t xml:space="preserve">(4):281-92. </w:t>
      </w:r>
      <w:proofErr w:type="spellStart"/>
      <w:proofErr w:type="gramStart"/>
      <w:r>
        <w:t>doi</w:t>
      </w:r>
      <w:proofErr w:type="spellEnd"/>
      <w:proofErr w:type="gramEnd"/>
      <w:r>
        <w:t>: 10.1089/fpd.2011.1065.</w:t>
      </w:r>
    </w:p>
    <w:p w14:paraId="6C062D32" w14:textId="77777777" w:rsidR="009D14B3" w:rsidRPr="009D14B3" w:rsidRDefault="00F15479" w:rsidP="004B4534">
      <w:pPr>
        <w:pStyle w:val="ListParagraph"/>
        <w:numPr>
          <w:ilvl w:val="0"/>
          <w:numId w:val="20"/>
        </w:numPr>
        <w:spacing w:after="0" w:line="360" w:lineRule="auto"/>
      </w:pPr>
      <w:r w:rsidRPr="00CF1615">
        <w:t xml:space="preserve">Thompson JR, Palmer TM, Moreno S. Bayesian analysis in Stata using </w:t>
      </w:r>
      <w:proofErr w:type="spellStart"/>
      <w:r w:rsidRPr="00CF1615">
        <w:t>WinBUGS</w:t>
      </w:r>
      <w:proofErr w:type="spellEnd"/>
      <w:r w:rsidRPr="00CF1615">
        <w:t>. The Stata</w:t>
      </w:r>
      <w:r>
        <w:t xml:space="preserve"> Journal 2006</w:t>
      </w:r>
      <w:proofErr w:type="gramStart"/>
      <w:r>
        <w:t>;6</w:t>
      </w:r>
      <w:proofErr w:type="gramEnd"/>
      <w:r>
        <w:t>(4):530-549.</w:t>
      </w:r>
    </w:p>
    <w:p w14:paraId="4400C11D" w14:textId="77777777" w:rsidR="00BF789D" w:rsidRDefault="001B52F3" w:rsidP="00BF789D">
      <w:pPr>
        <w:pStyle w:val="ListParagraph"/>
        <w:numPr>
          <w:ilvl w:val="0"/>
          <w:numId w:val="20"/>
        </w:numPr>
        <w:spacing w:after="0" w:line="360" w:lineRule="auto"/>
      </w:pPr>
      <w:r w:rsidRPr="00EC2DCE">
        <w:rPr>
          <w:lang w:val="nb-NO"/>
        </w:rPr>
        <w:t xml:space="preserve">Havelaar AH, Haagsma JA, Mangen MJ </w:t>
      </w:r>
      <w:r w:rsidRPr="00EC2DCE">
        <w:rPr>
          <w:i/>
          <w:lang w:val="nb-NO"/>
        </w:rPr>
        <w:t>et al</w:t>
      </w:r>
      <w:r w:rsidRPr="00EC2DCE">
        <w:rPr>
          <w:lang w:val="nb-NO"/>
        </w:rPr>
        <w:t xml:space="preserve">. </w:t>
      </w:r>
      <w:r w:rsidR="00BF789D">
        <w:t xml:space="preserve">Disease burden of foodborne pathogens in the Netherlands, 2009. </w:t>
      </w:r>
      <w:proofErr w:type="spellStart"/>
      <w:r w:rsidR="00BF789D">
        <w:t>Int</w:t>
      </w:r>
      <w:proofErr w:type="spellEnd"/>
      <w:r w:rsidR="00BF789D">
        <w:t xml:space="preserve"> J Food </w:t>
      </w:r>
      <w:proofErr w:type="spellStart"/>
      <w:r w:rsidR="00BF789D">
        <w:t>Microbiol</w:t>
      </w:r>
      <w:proofErr w:type="spellEnd"/>
      <w:r w:rsidR="00BF789D">
        <w:t>. 2012</w:t>
      </w:r>
      <w:proofErr w:type="gramStart"/>
      <w:r w:rsidR="00BF789D">
        <w:t>;156</w:t>
      </w:r>
      <w:proofErr w:type="gramEnd"/>
      <w:r w:rsidR="00BF789D">
        <w:t xml:space="preserve">(3):231-8. </w:t>
      </w:r>
      <w:proofErr w:type="spellStart"/>
      <w:proofErr w:type="gramStart"/>
      <w:r w:rsidR="00BF789D">
        <w:t>doi</w:t>
      </w:r>
      <w:proofErr w:type="spellEnd"/>
      <w:proofErr w:type="gramEnd"/>
      <w:r w:rsidR="00BF789D">
        <w:t>: 10.1016/j.ijfoodmicro.2012.03.029.</w:t>
      </w:r>
    </w:p>
    <w:p w14:paraId="6BFD54C4" w14:textId="77777777" w:rsidR="00836DFB" w:rsidRDefault="001B52F3" w:rsidP="00836DFB">
      <w:pPr>
        <w:pStyle w:val="ListParagraph"/>
        <w:numPr>
          <w:ilvl w:val="0"/>
          <w:numId w:val="20"/>
        </w:numPr>
        <w:spacing w:after="0" w:line="360" w:lineRule="auto"/>
      </w:pPr>
      <w:r w:rsidRPr="00EC2DCE">
        <w:rPr>
          <w:lang w:val="nb-NO"/>
        </w:rPr>
        <w:t xml:space="preserve">Tam CC, O'Brien SJ, Tompkins DS </w:t>
      </w:r>
      <w:r w:rsidRPr="00EC2DCE">
        <w:rPr>
          <w:i/>
          <w:lang w:val="nb-NO"/>
        </w:rPr>
        <w:t>et al</w:t>
      </w:r>
      <w:r w:rsidRPr="00EC2DCE">
        <w:rPr>
          <w:lang w:val="nb-NO"/>
        </w:rPr>
        <w:t xml:space="preserve">. </w:t>
      </w:r>
      <w:r w:rsidR="00836DFB">
        <w:t xml:space="preserve">Changes in causes of acute gastroenteritis in the United Kingdom over 15 years: microbiologic findings from 2 prospective, population-based studies of infectious intestinal disease. </w:t>
      </w:r>
      <w:proofErr w:type="spellStart"/>
      <w:r w:rsidR="00836DFB">
        <w:t>Clin</w:t>
      </w:r>
      <w:proofErr w:type="spellEnd"/>
      <w:r w:rsidR="00836DFB">
        <w:t xml:space="preserve"> Infect Dis. 2012</w:t>
      </w:r>
      <w:proofErr w:type="gramStart"/>
      <w:r w:rsidR="00836DFB">
        <w:t>;54</w:t>
      </w:r>
      <w:proofErr w:type="gramEnd"/>
      <w:r w:rsidR="00836DFB">
        <w:t xml:space="preserve">(9):1275-86. </w:t>
      </w:r>
      <w:proofErr w:type="spellStart"/>
      <w:proofErr w:type="gramStart"/>
      <w:r w:rsidR="00836DFB">
        <w:t>doi</w:t>
      </w:r>
      <w:proofErr w:type="spellEnd"/>
      <w:proofErr w:type="gramEnd"/>
      <w:r w:rsidR="00836DFB">
        <w:t>: 10.1093/</w:t>
      </w:r>
      <w:proofErr w:type="spellStart"/>
      <w:r w:rsidR="00836DFB">
        <w:t>cid</w:t>
      </w:r>
      <w:proofErr w:type="spellEnd"/>
      <w:r w:rsidR="00836DFB">
        <w:t>/cis028.</w:t>
      </w:r>
    </w:p>
    <w:p w14:paraId="70A9DE3C" w14:textId="77777777" w:rsidR="00FA6AAC" w:rsidRDefault="00FA6AAC" w:rsidP="00FA6AAC">
      <w:pPr>
        <w:pStyle w:val="ListParagraph"/>
        <w:numPr>
          <w:ilvl w:val="0"/>
          <w:numId w:val="20"/>
        </w:numPr>
        <w:spacing w:after="0" w:line="360" w:lineRule="auto"/>
      </w:pPr>
      <w:proofErr w:type="spellStart"/>
      <w:r>
        <w:t>Gormley</w:t>
      </w:r>
      <w:proofErr w:type="spellEnd"/>
      <w:r>
        <w:t xml:space="preserve"> FJ, Little CL, </w:t>
      </w:r>
      <w:proofErr w:type="spellStart"/>
      <w:r>
        <w:t>Rawal</w:t>
      </w:r>
      <w:proofErr w:type="spellEnd"/>
      <w:r>
        <w:t xml:space="preserve"> N </w:t>
      </w:r>
      <w:r w:rsidRPr="00FA6AAC">
        <w:rPr>
          <w:i/>
        </w:rPr>
        <w:t>et al</w:t>
      </w:r>
      <w:r>
        <w:t xml:space="preserve">. A 17-year review of foodborne outbreaks: describing the continuing decline in England and Wales (1992-2008). </w:t>
      </w:r>
      <w:proofErr w:type="spellStart"/>
      <w:r>
        <w:t>Epidemiol</w:t>
      </w:r>
      <w:proofErr w:type="spellEnd"/>
      <w:r>
        <w:t xml:space="preserve"> Infect. 2011</w:t>
      </w:r>
      <w:proofErr w:type="gramStart"/>
      <w:r>
        <w:t>;139</w:t>
      </w:r>
      <w:proofErr w:type="gramEnd"/>
      <w:r>
        <w:t xml:space="preserve">(5):688-99. </w:t>
      </w:r>
      <w:proofErr w:type="spellStart"/>
      <w:proofErr w:type="gramStart"/>
      <w:r>
        <w:t>doi</w:t>
      </w:r>
      <w:proofErr w:type="spellEnd"/>
      <w:proofErr w:type="gramEnd"/>
      <w:r>
        <w:t>: 10.1017/S0950268810001858.</w:t>
      </w:r>
    </w:p>
    <w:p w14:paraId="64B0B40A" w14:textId="688ABC57" w:rsidR="00F837A1" w:rsidRDefault="0009271B" w:rsidP="0009271B">
      <w:pPr>
        <w:pStyle w:val="ListParagraph"/>
        <w:numPr>
          <w:ilvl w:val="0"/>
          <w:numId w:val="20"/>
        </w:numPr>
        <w:spacing w:after="0" w:line="360" w:lineRule="auto"/>
      </w:pPr>
      <w:r>
        <w:t xml:space="preserve">Stephen DM, Barnett AG. Effect of temperature and precipitation on salmonellosis cases in South-East Queensland, Australia: an observational study. </w:t>
      </w:r>
      <w:r w:rsidR="00F837A1" w:rsidRPr="00F837A1">
        <w:t>BMJ Open 2016;</w:t>
      </w:r>
      <w:r w:rsidR="00F837A1">
        <w:t xml:space="preserve"> </w:t>
      </w:r>
      <w:r w:rsidR="00F837A1" w:rsidRPr="00F837A1">
        <w:t>6:e010204</w:t>
      </w:r>
      <w:r w:rsidR="00F837A1">
        <w:t>.</w:t>
      </w:r>
      <w:r w:rsidR="00F837A1" w:rsidRPr="00F837A1">
        <w:t xml:space="preserve"> </w:t>
      </w:r>
      <w:proofErr w:type="spellStart"/>
      <w:proofErr w:type="gramStart"/>
      <w:r w:rsidR="00F837A1" w:rsidRPr="00F837A1">
        <w:t>doi</w:t>
      </w:r>
      <w:proofErr w:type="spellEnd"/>
      <w:proofErr w:type="gramEnd"/>
      <w:r w:rsidR="00F837A1" w:rsidRPr="00F837A1">
        <w:t>:</w:t>
      </w:r>
      <w:r w:rsidR="00F837A1">
        <w:t xml:space="preserve"> </w:t>
      </w:r>
      <w:r w:rsidR="00F837A1" w:rsidRPr="00F837A1">
        <w:t>10.1136/bmjopen-2015-010204</w:t>
      </w:r>
      <w:r w:rsidR="00F837A1">
        <w:t>.</w:t>
      </w:r>
    </w:p>
    <w:p w14:paraId="3FBF8787" w14:textId="77777777" w:rsidR="00EF5C7B" w:rsidRDefault="00EF5C7B" w:rsidP="00EF5C7B">
      <w:pPr>
        <w:pStyle w:val="ListParagraph"/>
        <w:numPr>
          <w:ilvl w:val="0"/>
          <w:numId w:val="20"/>
        </w:numPr>
        <w:spacing w:after="0" w:line="360" w:lineRule="auto"/>
      </w:pPr>
      <w:r>
        <w:t xml:space="preserve">Tariq L, </w:t>
      </w:r>
      <w:proofErr w:type="spellStart"/>
      <w:r>
        <w:t>Haagsma</w:t>
      </w:r>
      <w:proofErr w:type="spellEnd"/>
      <w:r>
        <w:t xml:space="preserve"> J, </w:t>
      </w:r>
      <w:proofErr w:type="spellStart"/>
      <w:r>
        <w:t>Havelaar</w:t>
      </w:r>
      <w:proofErr w:type="spellEnd"/>
      <w:r>
        <w:t xml:space="preserve"> A.</w:t>
      </w:r>
      <w:r w:rsidRPr="00EF5C7B">
        <w:t xml:space="preserve"> </w:t>
      </w:r>
      <w:r>
        <w:t xml:space="preserve">Cost of illness and disease burden in The Netherlands due to infections with Shiga toxin-producing </w:t>
      </w:r>
      <w:r w:rsidRPr="00EF5C7B">
        <w:rPr>
          <w:i/>
        </w:rPr>
        <w:t>Escherichia coli</w:t>
      </w:r>
      <w:r>
        <w:t xml:space="preserve"> O157. J Food Prot. 2011</w:t>
      </w:r>
      <w:proofErr w:type="gramStart"/>
      <w:r>
        <w:t>;74</w:t>
      </w:r>
      <w:proofErr w:type="gramEnd"/>
      <w:r>
        <w:t xml:space="preserve">(4):545-52. </w:t>
      </w:r>
      <w:proofErr w:type="spellStart"/>
      <w:proofErr w:type="gramStart"/>
      <w:r>
        <w:t>doi</w:t>
      </w:r>
      <w:proofErr w:type="spellEnd"/>
      <w:proofErr w:type="gramEnd"/>
      <w:r>
        <w:t>: 10.4315/0362-028X.JFP-10-252.</w:t>
      </w:r>
    </w:p>
    <w:p w14:paraId="31BF16E4" w14:textId="77777777" w:rsidR="00EF5C7B" w:rsidRDefault="001B52F3" w:rsidP="0093378A">
      <w:pPr>
        <w:pStyle w:val="ListParagraph"/>
        <w:numPr>
          <w:ilvl w:val="0"/>
          <w:numId w:val="20"/>
        </w:numPr>
        <w:spacing w:after="0" w:line="360" w:lineRule="auto"/>
      </w:pPr>
      <w:r w:rsidRPr="00EC2DCE">
        <w:rPr>
          <w:lang w:val="nb-NO"/>
        </w:rPr>
        <w:t xml:space="preserve">Havelaar AH, de Wit MA, van Koningsveld R </w:t>
      </w:r>
      <w:r w:rsidRPr="00EC2DCE">
        <w:rPr>
          <w:i/>
          <w:lang w:val="nb-NO"/>
        </w:rPr>
        <w:t>et al</w:t>
      </w:r>
      <w:r w:rsidRPr="00EC2DCE">
        <w:rPr>
          <w:lang w:val="nb-NO"/>
        </w:rPr>
        <w:t xml:space="preserve">. </w:t>
      </w:r>
      <w:r w:rsidR="0093378A">
        <w:t xml:space="preserve">Health burden in the Netherlands due to infection with </w:t>
      </w:r>
      <w:proofErr w:type="spellStart"/>
      <w:r w:rsidR="0093378A">
        <w:t>thermophilic</w:t>
      </w:r>
      <w:proofErr w:type="spellEnd"/>
      <w:r w:rsidR="0093378A">
        <w:t xml:space="preserve"> </w:t>
      </w:r>
      <w:r w:rsidR="0093378A" w:rsidRPr="0093378A">
        <w:rPr>
          <w:i/>
        </w:rPr>
        <w:t>Campylobacter</w:t>
      </w:r>
      <w:r w:rsidR="0093378A">
        <w:t xml:space="preserve"> spp. </w:t>
      </w:r>
      <w:proofErr w:type="spellStart"/>
      <w:r w:rsidR="0093378A">
        <w:t>Epidemiol</w:t>
      </w:r>
      <w:proofErr w:type="spellEnd"/>
      <w:r w:rsidR="0093378A">
        <w:t xml:space="preserve"> Infect. 2000</w:t>
      </w:r>
      <w:proofErr w:type="gramStart"/>
      <w:r w:rsidR="0093378A">
        <w:t>;125</w:t>
      </w:r>
      <w:proofErr w:type="gramEnd"/>
      <w:r w:rsidR="0093378A">
        <w:t>(3):505-22.</w:t>
      </w:r>
    </w:p>
    <w:p w14:paraId="0ADE024C" w14:textId="77777777" w:rsidR="0097484C" w:rsidRDefault="0097484C">
      <w:r>
        <w:br w:type="page"/>
      </w:r>
    </w:p>
    <w:p w14:paraId="020ACC72" w14:textId="77777777" w:rsidR="0097484C" w:rsidRPr="0007523A" w:rsidRDefault="0097484C" w:rsidP="0097484C">
      <w:pPr>
        <w:spacing w:after="0" w:line="360" w:lineRule="auto"/>
        <w:rPr>
          <w:b/>
        </w:rPr>
      </w:pPr>
      <w:r w:rsidRPr="0007523A">
        <w:rPr>
          <w:b/>
        </w:rPr>
        <w:lastRenderedPageBreak/>
        <w:t xml:space="preserve">Authors' contributions </w:t>
      </w:r>
    </w:p>
    <w:p w14:paraId="7351D2AE" w14:textId="69D28564" w:rsidR="0097484C" w:rsidRDefault="006B0ADA" w:rsidP="0097484C">
      <w:pPr>
        <w:spacing w:after="0" w:line="360" w:lineRule="auto"/>
      </w:pPr>
      <w:r w:rsidRPr="006B0ADA">
        <w:t>The study was conceived by CCT and SJO’B</w:t>
      </w:r>
      <w:r w:rsidR="0072043A">
        <w:t xml:space="preserve">; </w:t>
      </w:r>
      <w:r w:rsidRPr="006B0ADA">
        <w:t>T</w:t>
      </w:r>
      <w:r w:rsidR="00875592">
        <w:t>L</w:t>
      </w:r>
      <w:r w:rsidRPr="006B0ADA">
        <w:t>L conducted the systematic literature review</w:t>
      </w:r>
      <w:r w:rsidR="00544E89">
        <w:t>;</w:t>
      </w:r>
      <w:r w:rsidRPr="006B0ADA">
        <w:t xml:space="preserve"> GKA</w:t>
      </w:r>
      <w:r w:rsidR="00240F0B">
        <w:t xml:space="preserve"> and</w:t>
      </w:r>
      <w:r w:rsidRPr="006B0ADA">
        <w:t xml:space="preserve"> MRE provided expert interpretation of the outbreak surveillance data used in the analysis; CCT conducted the analysis</w:t>
      </w:r>
      <w:r w:rsidR="006D7055">
        <w:t>;</w:t>
      </w:r>
      <w:r w:rsidRPr="006B0ADA">
        <w:t xml:space="preserve"> </w:t>
      </w:r>
      <w:r w:rsidR="006D7055">
        <w:t xml:space="preserve">SJO’B and </w:t>
      </w:r>
      <w:r>
        <w:t xml:space="preserve">CCT </w:t>
      </w:r>
      <w:r w:rsidRPr="006B0ADA">
        <w:t>wrote the</w:t>
      </w:r>
      <w:r w:rsidR="0072043A">
        <w:t xml:space="preserve"> initial draft</w:t>
      </w:r>
      <w:r w:rsidRPr="006B0ADA">
        <w:t xml:space="preserve"> manuscript; </w:t>
      </w:r>
      <w:r w:rsidR="0072043A">
        <w:t>SJO’B, TLL, GKA, MRE and CCT</w:t>
      </w:r>
      <w:r w:rsidRPr="006B0ADA">
        <w:t xml:space="preserve"> interpret</w:t>
      </w:r>
      <w:r w:rsidR="0072043A">
        <w:t xml:space="preserve">ed the </w:t>
      </w:r>
      <w:r w:rsidRPr="006B0ADA">
        <w:t>results and</w:t>
      </w:r>
      <w:r w:rsidR="00AA05B7">
        <w:t xml:space="preserve"> made substantial</w:t>
      </w:r>
      <w:r w:rsidR="0072043A">
        <w:t xml:space="preserve"> contribut</w:t>
      </w:r>
      <w:r w:rsidR="00AA05B7">
        <w:t>ions</w:t>
      </w:r>
      <w:r w:rsidR="0072043A">
        <w:t xml:space="preserve"> to revising the</w:t>
      </w:r>
      <w:r w:rsidRPr="006B0ADA">
        <w:t xml:space="preserve"> manuscript</w:t>
      </w:r>
      <w:r>
        <w:t>.</w:t>
      </w:r>
    </w:p>
    <w:p w14:paraId="250C4FEE" w14:textId="18901E73" w:rsidR="00B74FF7" w:rsidRDefault="00B74FF7" w:rsidP="0097484C">
      <w:pPr>
        <w:spacing w:after="0" w:line="360" w:lineRule="auto"/>
      </w:pPr>
    </w:p>
    <w:p w14:paraId="64632B76" w14:textId="77777777" w:rsidR="00B74FF7" w:rsidRPr="00B74FF7" w:rsidRDefault="00B74FF7" w:rsidP="00B74FF7">
      <w:pPr>
        <w:spacing w:after="0" w:line="360" w:lineRule="auto"/>
        <w:rPr>
          <w:b/>
        </w:rPr>
      </w:pPr>
      <w:r w:rsidRPr="00B74FF7">
        <w:rPr>
          <w:b/>
        </w:rPr>
        <w:t>Acknowledgements</w:t>
      </w:r>
    </w:p>
    <w:p w14:paraId="4B872B14" w14:textId="77777777" w:rsidR="00B74FF7" w:rsidRDefault="00B74FF7" w:rsidP="00B74FF7">
      <w:pPr>
        <w:spacing w:after="0" w:line="360" w:lineRule="auto"/>
      </w:pPr>
      <w:r>
        <w:t xml:space="preserve">The authors would like to thank </w:t>
      </w:r>
      <w:r w:rsidR="00240F0B" w:rsidRPr="006B0ADA">
        <w:t>J</w:t>
      </w:r>
      <w:r w:rsidR="00240F0B">
        <w:t>ohn Cowden</w:t>
      </w:r>
      <w:r w:rsidR="00240F0B" w:rsidRPr="006B0ADA">
        <w:t xml:space="preserve"> and B</w:t>
      </w:r>
      <w:r w:rsidR="00240F0B">
        <w:t xml:space="preserve">rian </w:t>
      </w:r>
      <w:r w:rsidR="00240F0B" w:rsidRPr="006B0ADA">
        <w:t>S</w:t>
      </w:r>
      <w:r w:rsidR="00240F0B">
        <w:t xml:space="preserve">myth for expert interpretation of outbreak data and </w:t>
      </w:r>
      <w:r>
        <w:t xml:space="preserve">the information scientists at the four UK national surveillance </w:t>
      </w:r>
      <w:proofErr w:type="spellStart"/>
      <w:r>
        <w:t>centres</w:t>
      </w:r>
      <w:proofErr w:type="spellEnd"/>
      <w:r>
        <w:t xml:space="preserve"> for providing the outbreak data on which some of the analyses are based</w:t>
      </w:r>
      <w:r w:rsidR="00240F0B">
        <w:t>.</w:t>
      </w:r>
    </w:p>
    <w:p w14:paraId="1B8C769C" w14:textId="77777777" w:rsidR="002565F6" w:rsidRDefault="002565F6" w:rsidP="0097484C">
      <w:pPr>
        <w:spacing w:after="0" w:line="360" w:lineRule="auto"/>
        <w:rPr>
          <w:b/>
        </w:rPr>
      </w:pPr>
    </w:p>
    <w:p w14:paraId="76AEF810" w14:textId="77777777" w:rsidR="0007523A" w:rsidRDefault="0097484C" w:rsidP="0097484C">
      <w:pPr>
        <w:spacing w:after="0" w:line="360" w:lineRule="auto"/>
      </w:pPr>
      <w:r w:rsidRPr="0007523A">
        <w:rPr>
          <w:b/>
        </w:rPr>
        <w:t>Funding statement</w:t>
      </w:r>
    </w:p>
    <w:p w14:paraId="316F8343" w14:textId="6DB7BD1C" w:rsidR="007C42DF" w:rsidRDefault="0097484C" w:rsidP="0097484C">
      <w:pPr>
        <w:spacing w:after="0" w:line="360" w:lineRule="auto"/>
      </w:pPr>
      <w:r>
        <w:t xml:space="preserve">This work was </w:t>
      </w:r>
      <w:r w:rsidR="0003181C">
        <w:t>fund</w:t>
      </w:r>
      <w:r>
        <w:t xml:space="preserve">ed by the Food Standards Agency grant number </w:t>
      </w:r>
      <w:r w:rsidR="0007523A" w:rsidRPr="0007523A">
        <w:t>FS231043</w:t>
      </w:r>
      <w:r w:rsidR="00A35857">
        <w:t>, awarded to SJO’B as Project Lead Contractor</w:t>
      </w:r>
      <w:r w:rsidR="0007523A">
        <w:t>.</w:t>
      </w:r>
      <w:r w:rsidR="005829C9">
        <w:t xml:space="preserve"> </w:t>
      </w:r>
      <w:r w:rsidR="0003181C">
        <w:t>SJO</w:t>
      </w:r>
      <w:r w:rsidR="00A35857">
        <w:t>’</w:t>
      </w:r>
      <w:r w:rsidR="0003181C">
        <w:t>B is also supported by</w:t>
      </w:r>
      <w:r w:rsidR="0003181C" w:rsidRPr="0003181C">
        <w:t xml:space="preserve"> the National Institute for Health Research Health Protection Research Unit in Gastrointestinal Infections at the University of Liverpool [Grant number NIHR HPRU 2012-10038].</w:t>
      </w:r>
    </w:p>
    <w:p w14:paraId="1E0B6826" w14:textId="77777777" w:rsidR="00BD64F3" w:rsidRDefault="00BD64F3" w:rsidP="0097484C">
      <w:pPr>
        <w:spacing w:after="0" w:line="360" w:lineRule="auto"/>
      </w:pPr>
    </w:p>
    <w:p w14:paraId="36A7463C" w14:textId="77777777" w:rsidR="0003181C" w:rsidRPr="0003181C" w:rsidRDefault="0003181C" w:rsidP="0003181C">
      <w:pPr>
        <w:spacing w:after="0" w:line="360" w:lineRule="auto"/>
        <w:rPr>
          <w:b/>
        </w:rPr>
      </w:pPr>
      <w:r w:rsidRPr="0003181C">
        <w:rPr>
          <w:b/>
        </w:rPr>
        <w:t>Disclaimer</w:t>
      </w:r>
    </w:p>
    <w:p w14:paraId="4A3E29C3" w14:textId="77777777" w:rsidR="0003181C" w:rsidRDefault="0003181C" w:rsidP="0003181C">
      <w:pPr>
        <w:spacing w:after="0" w:line="360" w:lineRule="auto"/>
      </w:pPr>
      <w:r>
        <w:t>The research was part-funded by the National Institute for Health Research Health Protection Research Unit (NIHR HPRU) in Gastrointestinal Infections at the University of Liverpool in partnership with Public Health England (PHE), University of East Anglia, University of Oxford and the Institute of Food Research. The views expressed are those of the authors and not necessarily those of the NHS, the NIHR, the Department of Health or Public Health England.</w:t>
      </w:r>
    </w:p>
    <w:p w14:paraId="5322D79B" w14:textId="77777777" w:rsidR="00B76F47" w:rsidRDefault="00B76F47" w:rsidP="0003181C">
      <w:pPr>
        <w:spacing w:after="0" w:line="360" w:lineRule="auto"/>
      </w:pPr>
    </w:p>
    <w:p w14:paraId="7AB63FA1" w14:textId="3CB3FA06" w:rsidR="00B76F47" w:rsidRPr="00B76F47" w:rsidRDefault="00B76F47" w:rsidP="0003181C">
      <w:pPr>
        <w:spacing w:after="0" w:line="360" w:lineRule="auto"/>
        <w:rPr>
          <w:b/>
        </w:rPr>
      </w:pPr>
      <w:r w:rsidRPr="00B76F47">
        <w:rPr>
          <w:b/>
        </w:rPr>
        <w:t>Data Sharing</w:t>
      </w:r>
    </w:p>
    <w:p w14:paraId="4DD4FFFF" w14:textId="69604843" w:rsidR="0003181C" w:rsidRDefault="00C1549A" w:rsidP="0003181C">
      <w:pPr>
        <w:spacing w:after="0" w:line="360" w:lineRule="auto"/>
      </w:pPr>
      <w:r w:rsidRPr="00C1549A">
        <w:t>Data from the IID1 study are available from the UK Data Service (http://ukdataservice.ac.uk/; DOI: 10.5255/UKDA-SN-4092-1). Data from the IID2 study are available from the UK Data Service (http://dx.doi.org/10.5255/UKDA-SN-7820-1). Anonymous outbreak surveillance data are available on request from Public Health England (</w:t>
      </w:r>
      <w:proofErr w:type="spellStart"/>
      <w:r w:rsidRPr="00C1549A">
        <w:t>eFOSS</w:t>
      </w:r>
      <w:proofErr w:type="spellEnd"/>
      <w:r w:rsidRPr="00C1549A">
        <w:t>, https://bioinfosecure.phe.org.uk/efoss), Health Protection Scotland and the Public Health Agency of Northern Ireland. Data from the literature review are in the public domain and available as cited in the main manuscript and/or Technical Appendix.</w:t>
      </w:r>
    </w:p>
    <w:p w14:paraId="6027A3F2" w14:textId="77777777" w:rsidR="00E87B5B" w:rsidRDefault="00E87B5B" w:rsidP="0003181C">
      <w:pPr>
        <w:spacing w:after="0" w:line="360" w:lineRule="auto"/>
      </w:pPr>
    </w:p>
    <w:p w14:paraId="7F6DB186" w14:textId="77777777" w:rsidR="00BD64F3" w:rsidRPr="00BD64F3" w:rsidRDefault="00BD64F3" w:rsidP="0097484C">
      <w:pPr>
        <w:spacing w:after="0" w:line="360" w:lineRule="auto"/>
        <w:rPr>
          <w:b/>
        </w:rPr>
      </w:pPr>
      <w:r w:rsidRPr="00BD64F3">
        <w:rPr>
          <w:b/>
        </w:rPr>
        <w:t>Competing interests</w:t>
      </w:r>
    </w:p>
    <w:p w14:paraId="2E40645B" w14:textId="77777777" w:rsidR="00BD64F3" w:rsidRPr="003F5B0D" w:rsidRDefault="00BD64F3" w:rsidP="0097484C">
      <w:pPr>
        <w:spacing w:after="0" w:line="360" w:lineRule="auto"/>
      </w:pPr>
      <w:r>
        <w:lastRenderedPageBreak/>
        <w:t>None</w:t>
      </w:r>
    </w:p>
    <w:sectPr w:rsidR="00BD64F3" w:rsidRPr="003F5B0D" w:rsidSect="005E7E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0E5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9356" w14:textId="77777777" w:rsidR="00B73075" w:rsidRDefault="00B73075" w:rsidP="00C51287">
      <w:r>
        <w:separator/>
      </w:r>
    </w:p>
  </w:endnote>
  <w:endnote w:type="continuationSeparator" w:id="0">
    <w:p w14:paraId="3964CC14" w14:textId="77777777" w:rsidR="00B73075" w:rsidRDefault="00B73075" w:rsidP="00C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2875" w14:textId="77777777" w:rsidR="00A918E8" w:rsidRPr="005C1E1E" w:rsidRDefault="00A918E8" w:rsidP="005C1E1E">
    <w:pPr>
      <w:rPr>
        <w:sz w:val="20"/>
      </w:rPr>
    </w:pPr>
    <w:r w:rsidRPr="005C1E1E">
      <w:rPr>
        <w:sz w:val="20"/>
      </w:rPr>
      <w:ptab w:relativeTo="margin" w:alignment="center" w:leader="none"/>
    </w:r>
    <w:sdt>
      <w:sdtPr>
        <w:rPr>
          <w:sz w:val="20"/>
        </w:rPr>
        <w:id w:val="250395305"/>
        <w:docPartObj>
          <w:docPartGallery w:val="Page Numbers (Top of Page)"/>
          <w:docPartUnique/>
        </w:docPartObj>
      </w:sdtPr>
      <w:sdtEndPr/>
      <w:sdtContent>
        <w:r w:rsidRPr="005C1E1E">
          <w:rPr>
            <w:sz w:val="20"/>
          </w:rPr>
          <w:t xml:space="preserve">Page </w:t>
        </w:r>
        <w:r w:rsidRPr="005C1E1E">
          <w:rPr>
            <w:sz w:val="20"/>
          </w:rPr>
          <w:fldChar w:fldCharType="begin"/>
        </w:r>
        <w:r w:rsidRPr="005C1E1E">
          <w:rPr>
            <w:sz w:val="20"/>
          </w:rPr>
          <w:instrText xml:space="preserve"> PAGE </w:instrText>
        </w:r>
        <w:r w:rsidRPr="005C1E1E">
          <w:rPr>
            <w:sz w:val="20"/>
          </w:rPr>
          <w:fldChar w:fldCharType="separate"/>
        </w:r>
        <w:r w:rsidR="00EB7CAB">
          <w:rPr>
            <w:noProof/>
            <w:sz w:val="20"/>
          </w:rPr>
          <w:t>10</w:t>
        </w:r>
        <w:r w:rsidRPr="005C1E1E">
          <w:rPr>
            <w:sz w:val="20"/>
          </w:rPr>
          <w:fldChar w:fldCharType="end"/>
        </w:r>
        <w:r w:rsidRPr="005C1E1E">
          <w:rPr>
            <w:sz w:val="20"/>
          </w:rPr>
          <w:t xml:space="preserve"> of </w:t>
        </w:r>
        <w:r w:rsidRPr="005C1E1E">
          <w:rPr>
            <w:sz w:val="20"/>
          </w:rPr>
          <w:fldChar w:fldCharType="begin"/>
        </w:r>
        <w:r w:rsidRPr="005C1E1E">
          <w:rPr>
            <w:sz w:val="20"/>
          </w:rPr>
          <w:instrText xml:space="preserve"> NUMPAGES  </w:instrText>
        </w:r>
        <w:r w:rsidRPr="005C1E1E">
          <w:rPr>
            <w:sz w:val="20"/>
          </w:rPr>
          <w:fldChar w:fldCharType="separate"/>
        </w:r>
        <w:r w:rsidR="00EB7CAB">
          <w:rPr>
            <w:noProof/>
            <w:sz w:val="20"/>
          </w:rPr>
          <w:t>28</w:t>
        </w:r>
        <w:r w:rsidRPr="005C1E1E">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5F16" w14:textId="77777777" w:rsidR="00B73075" w:rsidRDefault="00B73075" w:rsidP="00C51287">
      <w:r>
        <w:separator/>
      </w:r>
    </w:p>
  </w:footnote>
  <w:footnote w:type="continuationSeparator" w:id="0">
    <w:p w14:paraId="17752B98" w14:textId="77777777" w:rsidR="00B73075" w:rsidRDefault="00B73075" w:rsidP="00C5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Numbered"/>
      <w:lvlText w:val="%1."/>
      <w:lvlJc w:val="left"/>
      <w:pPr>
        <w:tabs>
          <w:tab w:val="num" w:pos="360"/>
        </w:tabs>
        <w:ind w:left="360" w:firstLine="0"/>
      </w:pPr>
      <w:rPr>
        <w:rFonts w:ascii="Helvetica" w:eastAsia="Arial Unicode MS" w:hAnsi="Helvetica" w:hint="default"/>
        <w:color w:val="000000"/>
        <w:position w:val="0"/>
        <w:sz w:val="24"/>
        <w:rtl w:val="0"/>
      </w:rPr>
    </w:lvl>
    <w:lvl w:ilvl="1">
      <w:start w:val="1"/>
      <w:numFmt w:val="decimal"/>
      <w:lvlText w:val="%2."/>
      <w:lvlJc w:val="left"/>
      <w:pPr>
        <w:tabs>
          <w:tab w:val="num" w:pos="360"/>
        </w:tabs>
        <w:ind w:left="360" w:firstLine="360"/>
      </w:pPr>
      <w:rPr>
        <w:rFonts w:ascii="Helvetica" w:eastAsia="Arial Unicode MS" w:hAnsi="Helvetica" w:cstheme="minorHAnsi" w:hint="default"/>
        <w:color w:val="000000"/>
        <w:position w:val="0"/>
        <w:sz w:val="24"/>
        <w:rtl w:val="0"/>
      </w:rPr>
    </w:lvl>
    <w:lvl w:ilvl="2">
      <w:start w:val="1"/>
      <w:numFmt w:val="decimal"/>
      <w:lvlText w:val="%3."/>
      <w:lvlJc w:val="left"/>
      <w:pPr>
        <w:tabs>
          <w:tab w:val="num" w:pos="360"/>
        </w:tabs>
        <w:ind w:left="360" w:firstLine="720"/>
      </w:pPr>
      <w:rPr>
        <w:rFonts w:ascii="Helvetica" w:eastAsia="Arial Unicode MS" w:hAnsi="Helvetica" w:hint="default"/>
        <w:color w:val="000000"/>
        <w:position w:val="0"/>
        <w:sz w:val="24"/>
        <w:rtl w:val="0"/>
      </w:rPr>
    </w:lvl>
    <w:lvl w:ilvl="3">
      <w:start w:val="1"/>
      <w:numFmt w:val="decimal"/>
      <w:lvlText w:val="%4."/>
      <w:lvlJc w:val="left"/>
      <w:pPr>
        <w:tabs>
          <w:tab w:val="num" w:pos="360"/>
        </w:tabs>
        <w:ind w:left="360" w:firstLine="1080"/>
      </w:pPr>
      <w:rPr>
        <w:rFonts w:ascii="Helvetica" w:eastAsia="Arial Unicode MS" w:hAnsi="Helvetica" w:hint="default"/>
        <w:color w:val="000000"/>
        <w:position w:val="0"/>
        <w:sz w:val="24"/>
        <w:rtl w:val="0"/>
      </w:rPr>
    </w:lvl>
    <w:lvl w:ilvl="4">
      <w:start w:val="1"/>
      <w:numFmt w:val="decimal"/>
      <w:lvlText w:val="%5."/>
      <w:lvlJc w:val="left"/>
      <w:pPr>
        <w:tabs>
          <w:tab w:val="num" w:pos="360"/>
        </w:tabs>
        <w:ind w:left="360" w:firstLine="1440"/>
      </w:pPr>
      <w:rPr>
        <w:rFonts w:ascii="Helvetica" w:eastAsia="Arial Unicode MS" w:hAnsi="Helvetica" w:hint="default"/>
        <w:color w:val="000000"/>
        <w:position w:val="0"/>
        <w:sz w:val="24"/>
        <w:rtl w:val="0"/>
      </w:rPr>
    </w:lvl>
    <w:lvl w:ilvl="5">
      <w:start w:val="1"/>
      <w:numFmt w:val="decimal"/>
      <w:lvlText w:val="%6."/>
      <w:lvlJc w:val="left"/>
      <w:pPr>
        <w:tabs>
          <w:tab w:val="num" w:pos="360"/>
        </w:tabs>
        <w:ind w:left="360" w:firstLine="1800"/>
      </w:pPr>
      <w:rPr>
        <w:rFonts w:ascii="Helvetica" w:eastAsia="Arial Unicode MS" w:hAnsi="Helvetica" w:hint="default"/>
        <w:color w:val="000000"/>
        <w:position w:val="0"/>
        <w:sz w:val="24"/>
        <w:rtl w:val="0"/>
      </w:rPr>
    </w:lvl>
    <w:lvl w:ilvl="6">
      <w:start w:val="1"/>
      <w:numFmt w:val="decimal"/>
      <w:lvlText w:val="%7."/>
      <w:lvlJc w:val="left"/>
      <w:pPr>
        <w:tabs>
          <w:tab w:val="num" w:pos="360"/>
        </w:tabs>
        <w:ind w:left="360" w:firstLine="2160"/>
      </w:pPr>
      <w:rPr>
        <w:rFonts w:ascii="Helvetica" w:eastAsia="Arial Unicode MS" w:hAnsi="Helvetica" w:hint="default"/>
        <w:color w:val="000000"/>
        <w:position w:val="0"/>
        <w:sz w:val="24"/>
        <w:rtl w:val="0"/>
      </w:rPr>
    </w:lvl>
    <w:lvl w:ilvl="7">
      <w:start w:val="1"/>
      <w:numFmt w:val="decimal"/>
      <w:lvlText w:val="%8."/>
      <w:lvlJc w:val="left"/>
      <w:pPr>
        <w:tabs>
          <w:tab w:val="num" w:pos="360"/>
        </w:tabs>
        <w:ind w:left="360" w:firstLine="2520"/>
      </w:pPr>
      <w:rPr>
        <w:rFonts w:ascii="Helvetica" w:eastAsia="Arial Unicode MS" w:hAnsi="Helvetica" w:hint="default"/>
        <w:color w:val="000000"/>
        <w:position w:val="0"/>
        <w:sz w:val="24"/>
        <w:rtl w:val="0"/>
      </w:rPr>
    </w:lvl>
    <w:lvl w:ilvl="8">
      <w:start w:val="1"/>
      <w:numFmt w:val="decimal"/>
      <w:lvlText w:val="%9."/>
      <w:lvlJc w:val="left"/>
      <w:pPr>
        <w:tabs>
          <w:tab w:val="num" w:pos="360"/>
        </w:tabs>
        <w:ind w:left="360" w:firstLine="2880"/>
      </w:pPr>
      <w:rPr>
        <w:rFonts w:ascii="Helvetica" w:eastAsia="Arial Unicode MS" w:hAnsi="Helvetica" w:hint="default"/>
        <w:color w:val="000000"/>
        <w:position w:val="0"/>
        <w:sz w:val="24"/>
        <w:rtl w:val="0"/>
      </w:rPr>
    </w:lvl>
  </w:abstractNum>
  <w:abstractNum w:abstractNumId="4">
    <w:nsid w:val="00000005"/>
    <w:multiLevelType w:val="multilevel"/>
    <w:tmpl w:val="777656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01628F"/>
    <w:multiLevelType w:val="hybridMultilevel"/>
    <w:tmpl w:val="97E2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8E1A3D"/>
    <w:multiLevelType w:val="multilevel"/>
    <w:tmpl w:val="895283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3142259"/>
    <w:multiLevelType w:val="hybridMultilevel"/>
    <w:tmpl w:val="CE5673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112E6E"/>
    <w:multiLevelType w:val="hybridMultilevel"/>
    <w:tmpl w:val="F942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3B2F5D"/>
    <w:multiLevelType w:val="hybridMultilevel"/>
    <w:tmpl w:val="CE8A1E00"/>
    <w:lvl w:ilvl="0" w:tplc="47B43DD6">
      <w:start w:val="1"/>
      <w:numFmt w:val="lowerLetter"/>
      <w:lvlText w:val="%1)"/>
      <w:lvlJc w:val="left"/>
      <w:pPr>
        <w:ind w:left="1080" w:hanging="360"/>
      </w:pPr>
      <w:rPr>
        <w:rFonts w:ascii="Arial" w:eastAsia="Times New Roman" w:hAnsi="Arial" w:cs="Arial" w:hint="default"/>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EA76CC"/>
    <w:multiLevelType w:val="hybridMultilevel"/>
    <w:tmpl w:val="A3F2E760"/>
    <w:lvl w:ilvl="0" w:tplc="658C33A4">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11B02"/>
    <w:multiLevelType w:val="hybridMultilevel"/>
    <w:tmpl w:val="C5608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F8098C"/>
    <w:multiLevelType w:val="hybridMultilevel"/>
    <w:tmpl w:val="FD1CD5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nsid w:val="3168225D"/>
    <w:multiLevelType w:val="hybridMultilevel"/>
    <w:tmpl w:val="2CC6F95C"/>
    <w:lvl w:ilvl="0" w:tplc="CE4AA9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1A2B7E"/>
    <w:multiLevelType w:val="hybridMultilevel"/>
    <w:tmpl w:val="5278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05636"/>
    <w:multiLevelType w:val="multilevel"/>
    <w:tmpl w:val="503A34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ED2CB1"/>
    <w:multiLevelType w:val="hybridMultilevel"/>
    <w:tmpl w:val="5C2A0B16"/>
    <w:lvl w:ilvl="0" w:tplc="50B8174A">
      <w:start w:val="1"/>
      <w:numFmt w:val="bullet"/>
      <w:lvlText w:val=""/>
      <w:lvlJc w:val="left"/>
      <w:pPr>
        <w:tabs>
          <w:tab w:val="num" w:pos="720"/>
        </w:tabs>
        <w:ind w:left="720" w:hanging="360"/>
      </w:pPr>
      <w:rPr>
        <w:rFonts w:ascii="Symbol" w:hAnsi="Symbol" w:hint="default"/>
        <w:sz w:val="24"/>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032C63"/>
    <w:multiLevelType w:val="hybridMultilevel"/>
    <w:tmpl w:val="9D623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308A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19">
    <w:nsid w:val="5DA377F6"/>
    <w:multiLevelType w:val="hybridMultilevel"/>
    <w:tmpl w:val="D6FE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34268"/>
    <w:multiLevelType w:val="hybridMultilevel"/>
    <w:tmpl w:val="9A40EE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77224DD"/>
    <w:multiLevelType w:val="hybridMultilevel"/>
    <w:tmpl w:val="D646C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7A4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6"/>
  </w:num>
  <w:num w:numId="8">
    <w:abstractNumId w:val="22"/>
  </w:num>
  <w:num w:numId="9">
    <w:abstractNumId w:val="18"/>
  </w:num>
  <w:num w:numId="10">
    <w:abstractNumId w:val="14"/>
  </w:num>
  <w:num w:numId="11">
    <w:abstractNumId w:val="13"/>
  </w:num>
  <w:num w:numId="12">
    <w:abstractNumId w:val="9"/>
  </w:num>
  <w:num w:numId="13">
    <w:abstractNumId w:val="7"/>
  </w:num>
  <w:num w:numId="14">
    <w:abstractNumId w:val="17"/>
  </w:num>
  <w:num w:numId="15">
    <w:abstractNumId w:val="10"/>
  </w:num>
  <w:num w:numId="16">
    <w:abstractNumId w:val="12"/>
  </w:num>
  <w:num w:numId="17">
    <w:abstractNumId w:val="15"/>
  </w:num>
  <w:num w:numId="18">
    <w:abstractNumId w:val="16"/>
  </w:num>
  <w:num w:numId="19">
    <w:abstractNumId w:val="19"/>
  </w:num>
  <w:num w:numId="20">
    <w:abstractNumId w:val="21"/>
  </w:num>
  <w:num w:numId="21">
    <w:abstractNumId w:val="5"/>
  </w:num>
  <w:num w:numId="22">
    <w:abstractNumId w:val="11"/>
  </w:num>
  <w:num w:numId="2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9A"/>
    <w:rsid w:val="000002A9"/>
    <w:rsid w:val="00001572"/>
    <w:rsid w:val="0000282A"/>
    <w:rsid w:val="00006BC0"/>
    <w:rsid w:val="00012A55"/>
    <w:rsid w:val="0001601C"/>
    <w:rsid w:val="000174EE"/>
    <w:rsid w:val="00017D4F"/>
    <w:rsid w:val="00017EDF"/>
    <w:rsid w:val="00020E6E"/>
    <w:rsid w:val="00022223"/>
    <w:rsid w:val="00024743"/>
    <w:rsid w:val="00025585"/>
    <w:rsid w:val="00025D47"/>
    <w:rsid w:val="00026AC3"/>
    <w:rsid w:val="00026C0B"/>
    <w:rsid w:val="00030B0F"/>
    <w:rsid w:val="00030E54"/>
    <w:rsid w:val="0003181C"/>
    <w:rsid w:val="00032B11"/>
    <w:rsid w:val="00033317"/>
    <w:rsid w:val="0003352B"/>
    <w:rsid w:val="000347CA"/>
    <w:rsid w:val="00036FAD"/>
    <w:rsid w:val="00037628"/>
    <w:rsid w:val="00041AE6"/>
    <w:rsid w:val="00043121"/>
    <w:rsid w:val="0004387F"/>
    <w:rsid w:val="00047E74"/>
    <w:rsid w:val="00051FF2"/>
    <w:rsid w:val="000521A3"/>
    <w:rsid w:val="00054BB1"/>
    <w:rsid w:val="00061032"/>
    <w:rsid w:val="000639B5"/>
    <w:rsid w:val="0006490A"/>
    <w:rsid w:val="00067FDA"/>
    <w:rsid w:val="00072978"/>
    <w:rsid w:val="00073722"/>
    <w:rsid w:val="00073DDD"/>
    <w:rsid w:val="00074D44"/>
    <w:rsid w:val="0007523A"/>
    <w:rsid w:val="0007646D"/>
    <w:rsid w:val="00076CE2"/>
    <w:rsid w:val="00076D09"/>
    <w:rsid w:val="0007755A"/>
    <w:rsid w:val="0008031E"/>
    <w:rsid w:val="00082E91"/>
    <w:rsid w:val="00083370"/>
    <w:rsid w:val="000847EF"/>
    <w:rsid w:val="00090A6A"/>
    <w:rsid w:val="00092151"/>
    <w:rsid w:val="000926A2"/>
    <w:rsid w:val="0009271B"/>
    <w:rsid w:val="000930AC"/>
    <w:rsid w:val="000936D1"/>
    <w:rsid w:val="00096AB4"/>
    <w:rsid w:val="00097649"/>
    <w:rsid w:val="000A0E83"/>
    <w:rsid w:val="000A2977"/>
    <w:rsid w:val="000A2A7D"/>
    <w:rsid w:val="000A43F1"/>
    <w:rsid w:val="000A4AE5"/>
    <w:rsid w:val="000A57E9"/>
    <w:rsid w:val="000A60F6"/>
    <w:rsid w:val="000B2578"/>
    <w:rsid w:val="000B3D8F"/>
    <w:rsid w:val="000B459D"/>
    <w:rsid w:val="000B712B"/>
    <w:rsid w:val="000C112D"/>
    <w:rsid w:val="000C2B7F"/>
    <w:rsid w:val="000C2D23"/>
    <w:rsid w:val="000C37CB"/>
    <w:rsid w:val="000C52D1"/>
    <w:rsid w:val="000C5CA3"/>
    <w:rsid w:val="000C672B"/>
    <w:rsid w:val="000C7DE9"/>
    <w:rsid w:val="000D28FE"/>
    <w:rsid w:val="000D436D"/>
    <w:rsid w:val="000D4ED4"/>
    <w:rsid w:val="000D78AB"/>
    <w:rsid w:val="000E0F75"/>
    <w:rsid w:val="000E245A"/>
    <w:rsid w:val="000E3E9A"/>
    <w:rsid w:val="000E4CF1"/>
    <w:rsid w:val="000E4F68"/>
    <w:rsid w:val="000F14F4"/>
    <w:rsid w:val="000F4388"/>
    <w:rsid w:val="000F529F"/>
    <w:rsid w:val="000F5EEB"/>
    <w:rsid w:val="000F6DD9"/>
    <w:rsid w:val="0010051A"/>
    <w:rsid w:val="00102789"/>
    <w:rsid w:val="00102997"/>
    <w:rsid w:val="00102CE4"/>
    <w:rsid w:val="00103940"/>
    <w:rsid w:val="00103D4E"/>
    <w:rsid w:val="001070B3"/>
    <w:rsid w:val="00110546"/>
    <w:rsid w:val="00115B3C"/>
    <w:rsid w:val="00116B5E"/>
    <w:rsid w:val="001179E8"/>
    <w:rsid w:val="00121B60"/>
    <w:rsid w:val="00123EB7"/>
    <w:rsid w:val="00127237"/>
    <w:rsid w:val="00127F39"/>
    <w:rsid w:val="0013522D"/>
    <w:rsid w:val="00136112"/>
    <w:rsid w:val="0013633D"/>
    <w:rsid w:val="001433C1"/>
    <w:rsid w:val="0014451F"/>
    <w:rsid w:val="0014718E"/>
    <w:rsid w:val="001474B5"/>
    <w:rsid w:val="00147AA9"/>
    <w:rsid w:val="001521B6"/>
    <w:rsid w:val="00154119"/>
    <w:rsid w:val="0016262D"/>
    <w:rsid w:val="00164025"/>
    <w:rsid w:val="00165D43"/>
    <w:rsid w:val="00165EC1"/>
    <w:rsid w:val="00166886"/>
    <w:rsid w:val="00170CC3"/>
    <w:rsid w:val="001712CD"/>
    <w:rsid w:val="001722E8"/>
    <w:rsid w:val="00172AAC"/>
    <w:rsid w:val="00172C9D"/>
    <w:rsid w:val="001734CE"/>
    <w:rsid w:val="001740BC"/>
    <w:rsid w:val="00176C40"/>
    <w:rsid w:val="00180CD6"/>
    <w:rsid w:val="00181A67"/>
    <w:rsid w:val="00183BC3"/>
    <w:rsid w:val="0018452C"/>
    <w:rsid w:val="00186EB9"/>
    <w:rsid w:val="001870AC"/>
    <w:rsid w:val="001877E5"/>
    <w:rsid w:val="00190DE2"/>
    <w:rsid w:val="00193B00"/>
    <w:rsid w:val="00194753"/>
    <w:rsid w:val="001A05B2"/>
    <w:rsid w:val="001A4A09"/>
    <w:rsid w:val="001B0877"/>
    <w:rsid w:val="001B2ECB"/>
    <w:rsid w:val="001B302A"/>
    <w:rsid w:val="001B386D"/>
    <w:rsid w:val="001B52F3"/>
    <w:rsid w:val="001B6493"/>
    <w:rsid w:val="001C24A0"/>
    <w:rsid w:val="001C3F06"/>
    <w:rsid w:val="001D001D"/>
    <w:rsid w:val="001D0BB7"/>
    <w:rsid w:val="001D3C39"/>
    <w:rsid w:val="001D468A"/>
    <w:rsid w:val="001D6C9B"/>
    <w:rsid w:val="001E098D"/>
    <w:rsid w:val="001E0B1E"/>
    <w:rsid w:val="001E30ED"/>
    <w:rsid w:val="001E35C3"/>
    <w:rsid w:val="001E39A8"/>
    <w:rsid w:val="001E458D"/>
    <w:rsid w:val="001E53CB"/>
    <w:rsid w:val="001F007B"/>
    <w:rsid w:val="001F513F"/>
    <w:rsid w:val="001F727C"/>
    <w:rsid w:val="00201AC2"/>
    <w:rsid w:val="00202681"/>
    <w:rsid w:val="002035AC"/>
    <w:rsid w:val="0020421B"/>
    <w:rsid w:val="002061B2"/>
    <w:rsid w:val="0020772B"/>
    <w:rsid w:val="00207D5C"/>
    <w:rsid w:val="00210760"/>
    <w:rsid w:val="00211602"/>
    <w:rsid w:val="00211EDC"/>
    <w:rsid w:val="0021255F"/>
    <w:rsid w:val="0021372A"/>
    <w:rsid w:val="00215DAB"/>
    <w:rsid w:val="0021631F"/>
    <w:rsid w:val="002172C3"/>
    <w:rsid w:val="002223C1"/>
    <w:rsid w:val="00223C8A"/>
    <w:rsid w:val="002240A3"/>
    <w:rsid w:val="002268E2"/>
    <w:rsid w:val="0023412E"/>
    <w:rsid w:val="00235197"/>
    <w:rsid w:val="002352AE"/>
    <w:rsid w:val="00235CEE"/>
    <w:rsid w:val="00235E06"/>
    <w:rsid w:val="00240F0B"/>
    <w:rsid w:val="00242459"/>
    <w:rsid w:val="00247B58"/>
    <w:rsid w:val="00250FC4"/>
    <w:rsid w:val="00251253"/>
    <w:rsid w:val="00253162"/>
    <w:rsid w:val="002565F6"/>
    <w:rsid w:val="00256C86"/>
    <w:rsid w:val="0026112F"/>
    <w:rsid w:val="00262163"/>
    <w:rsid w:val="00263103"/>
    <w:rsid w:val="00263C5E"/>
    <w:rsid w:val="00265B6F"/>
    <w:rsid w:val="00265BB8"/>
    <w:rsid w:val="002669CE"/>
    <w:rsid w:val="00270083"/>
    <w:rsid w:val="00271846"/>
    <w:rsid w:val="00271C98"/>
    <w:rsid w:val="00272C0E"/>
    <w:rsid w:val="00276BD3"/>
    <w:rsid w:val="00276E9F"/>
    <w:rsid w:val="002776D6"/>
    <w:rsid w:val="00281CE4"/>
    <w:rsid w:val="00283843"/>
    <w:rsid w:val="0028391E"/>
    <w:rsid w:val="002864D8"/>
    <w:rsid w:val="002868B9"/>
    <w:rsid w:val="002871E2"/>
    <w:rsid w:val="00292ECD"/>
    <w:rsid w:val="002943DB"/>
    <w:rsid w:val="002A2792"/>
    <w:rsid w:val="002A3096"/>
    <w:rsid w:val="002A3282"/>
    <w:rsid w:val="002A36DC"/>
    <w:rsid w:val="002B10A8"/>
    <w:rsid w:val="002B4121"/>
    <w:rsid w:val="002C28E9"/>
    <w:rsid w:val="002C51A5"/>
    <w:rsid w:val="002C5387"/>
    <w:rsid w:val="002C5B61"/>
    <w:rsid w:val="002C70CF"/>
    <w:rsid w:val="002C754B"/>
    <w:rsid w:val="002D15E1"/>
    <w:rsid w:val="002D23A5"/>
    <w:rsid w:val="002D3341"/>
    <w:rsid w:val="002D51F6"/>
    <w:rsid w:val="002D65CC"/>
    <w:rsid w:val="002D72B7"/>
    <w:rsid w:val="002D7F7E"/>
    <w:rsid w:val="002E01B0"/>
    <w:rsid w:val="002E0F79"/>
    <w:rsid w:val="002E1F1B"/>
    <w:rsid w:val="002E39BE"/>
    <w:rsid w:val="002E4C92"/>
    <w:rsid w:val="002E7B70"/>
    <w:rsid w:val="002E7BB8"/>
    <w:rsid w:val="002E7E1B"/>
    <w:rsid w:val="002F0F8C"/>
    <w:rsid w:val="002F1F4A"/>
    <w:rsid w:val="002F3F07"/>
    <w:rsid w:val="002F4CF3"/>
    <w:rsid w:val="002F63B1"/>
    <w:rsid w:val="00301AE5"/>
    <w:rsid w:val="003069C1"/>
    <w:rsid w:val="003117F9"/>
    <w:rsid w:val="00312DEE"/>
    <w:rsid w:val="00313046"/>
    <w:rsid w:val="00313ED2"/>
    <w:rsid w:val="00317DD7"/>
    <w:rsid w:val="003207BA"/>
    <w:rsid w:val="00321137"/>
    <w:rsid w:val="00323FA5"/>
    <w:rsid w:val="0033141D"/>
    <w:rsid w:val="003316E5"/>
    <w:rsid w:val="00331E54"/>
    <w:rsid w:val="00332F87"/>
    <w:rsid w:val="00333AD1"/>
    <w:rsid w:val="00334212"/>
    <w:rsid w:val="00340D33"/>
    <w:rsid w:val="003439F6"/>
    <w:rsid w:val="00344DCA"/>
    <w:rsid w:val="00346271"/>
    <w:rsid w:val="003466C9"/>
    <w:rsid w:val="0035049D"/>
    <w:rsid w:val="00351CF4"/>
    <w:rsid w:val="0035341C"/>
    <w:rsid w:val="00355529"/>
    <w:rsid w:val="00355AD8"/>
    <w:rsid w:val="0035628D"/>
    <w:rsid w:val="003568C0"/>
    <w:rsid w:val="00356D29"/>
    <w:rsid w:val="003572CD"/>
    <w:rsid w:val="00362987"/>
    <w:rsid w:val="003700C3"/>
    <w:rsid w:val="00374AE9"/>
    <w:rsid w:val="00374F16"/>
    <w:rsid w:val="00377094"/>
    <w:rsid w:val="003827EC"/>
    <w:rsid w:val="00383CDD"/>
    <w:rsid w:val="00387293"/>
    <w:rsid w:val="00391526"/>
    <w:rsid w:val="00392211"/>
    <w:rsid w:val="00394D4B"/>
    <w:rsid w:val="00397E05"/>
    <w:rsid w:val="003A0282"/>
    <w:rsid w:val="003A3139"/>
    <w:rsid w:val="003A31ED"/>
    <w:rsid w:val="003A751B"/>
    <w:rsid w:val="003B0276"/>
    <w:rsid w:val="003B6692"/>
    <w:rsid w:val="003C27F5"/>
    <w:rsid w:val="003C2F2A"/>
    <w:rsid w:val="003C3EAE"/>
    <w:rsid w:val="003C547C"/>
    <w:rsid w:val="003D2E53"/>
    <w:rsid w:val="003D2E98"/>
    <w:rsid w:val="003D39B3"/>
    <w:rsid w:val="003E0CC4"/>
    <w:rsid w:val="003E191A"/>
    <w:rsid w:val="003E5791"/>
    <w:rsid w:val="003E6277"/>
    <w:rsid w:val="003E65E3"/>
    <w:rsid w:val="003F0472"/>
    <w:rsid w:val="003F0ED4"/>
    <w:rsid w:val="003F529B"/>
    <w:rsid w:val="003F5B0D"/>
    <w:rsid w:val="0040132A"/>
    <w:rsid w:val="00402DA7"/>
    <w:rsid w:val="00405680"/>
    <w:rsid w:val="0040659F"/>
    <w:rsid w:val="004071DF"/>
    <w:rsid w:val="0040724B"/>
    <w:rsid w:val="004149DC"/>
    <w:rsid w:val="004163E6"/>
    <w:rsid w:val="00422931"/>
    <w:rsid w:val="00422E4D"/>
    <w:rsid w:val="00425945"/>
    <w:rsid w:val="00430136"/>
    <w:rsid w:val="004328A7"/>
    <w:rsid w:val="00440902"/>
    <w:rsid w:val="0044293C"/>
    <w:rsid w:val="00443165"/>
    <w:rsid w:val="00443B40"/>
    <w:rsid w:val="00450D1B"/>
    <w:rsid w:val="00451E43"/>
    <w:rsid w:val="004520C7"/>
    <w:rsid w:val="00453AB8"/>
    <w:rsid w:val="00456E91"/>
    <w:rsid w:val="004628A0"/>
    <w:rsid w:val="00462FC9"/>
    <w:rsid w:val="00465316"/>
    <w:rsid w:val="004655D8"/>
    <w:rsid w:val="0046754E"/>
    <w:rsid w:val="00470B0E"/>
    <w:rsid w:val="004726B0"/>
    <w:rsid w:val="0047281A"/>
    <w:rsid w:val="004735E6"/>
    <w:rsid w:val="00481148"/>
    <w:rsid w:val="0048710E"/>
    <w:rsid w:val="004951E0"/>
    <w:rsid w:val="00496166"/>
    <w:rsid w:val="004973C8"/>
    <w:rsid w:val="004A2614"/>
    <w:rsid w:val="004A316E"/>
    <w:rsid w:val="004A3858"/>
    <w:rsid w:val="004A47E7"/>
    <w:rsid w:val="004A55C9"/>
    <w:rsid w:val="004A5626"/>
    <w:rsid w:val="004A6112"/>
    <w:rsid w:val="004A70BD"/>
    <w:rsid w:val="004A7A91"/>
    <w:rsid w:val="004B2234"/>
    <w:rsid w:val="004B2704"/>
    <w:rsid w:val="004B2EE9"/>
    <w:rsid w:val="004B3608"/>
    <w:rsid w:val="004B4534"/>
    <w:rsid w:val="004B4B90"/>
    <w:rsid w:val="004B4DDF"/>
    <w:rsid w:val="004B7B69"/>
    <w:rsid w:val="004C5279"/>
    <w:rsid w:val="004C726B"/>
    <w:rsid w:val="004D1200"/>
    <w:rsid w:val="004D253A"/>
    <w:rsid w:val="004D365E"/>
    <w:rsid w:val="004D56F2"/>
    <w:rsid w:val="004D65BE"/>
    <w:rsid w:val="004E29DB"/>
    <w:rsid w:val="004E2FC4"/>
    <w:rsid w:val="004E6ACC"/>
    <w:rsid w:val="004E6E84"/>
    <w:rsid w:val="004E6F54"/>
    <w:rsid w:val="004F0EC0"/>
    <w:rsid w:val="004F26F1"/>
    <w:rsid w:val="004F3235"/>
    <w:rsid w:val="004F4F68"/>
    <w:rsid w:val="004F5420"/>
    <w:rsid w:val="004F7859"/>
    <w:rsid w:val="00501E03"/>
    <w:rsid w:val="00505621"/>
    <w:rsid w:val="00505D00"/>
    <w:rsid w:val="005078C3"/>
    <w:rsid w:val="00514E1F"/>
    <w:rsid w:val="0052143E"/>
    <w:rsid w:val="005221EE"/>
    <w:rsid w:val="00527564"/>
    <w:rsid w:val="0053073F"/>
    <w:rsid w:val="00531850"/>
    <w:rsid w:val="005319B9"/>
    <w:rsid w:val="00533A30"/>
    <w:rsid w:val="00537552"/>
    <w:rsid w:val="00537BCF"/>
    <w:rsid w:val="005427F4"/>
    <w:rsid w:val="0054375F"/>
    <w:rsid w:val="00543ADC"/>
    <w:rsid w:val="0054400F"/>
    <w:rsid w:val="00544E89"/>
    <w:rsid w:val="005464D7"/>
    <w:rsid w:val="00546FCD"/>
    <w:rsid w:val="005520F5"/>
    <w:rsid w:val="005526A6"/>
    <w:rsid w:val="005529EE"/>
    <w:rsid w:val="00552C30"/>
    <w:rsid w:val="005570C2"/>
    <w:rsid w:val="00557F5A"/>
    <w:rsid w:val="005605AF"/>
    <w:rsid w:val="00563CE7"/>
    <w:rsid w:val="0056402F"/>
    <w:rsid w:val="005642E9"/>
    <w:rsid w:val="00566D81"/>
    <w:rsid w:val="00570711"/>
    <w:rsid w:val="00571886"/>
    <w:rsid w:val="00571B5B"/>
    <w:rsid w:val="00572939"/>
    <w:rsid w:val="00573DA7"/>
    <w:rsid w:val="00574DD0"/>
    <w:rsid w:val="00576EFC"/>
    <w:rsid w:val="005829C9"/>
    <w:rsid w:val="00584C10"/>
    <w:rsid w:val="005909C6"/>
    <w:rsid w:val="00590D82"/>
    <w:rsid w:val="005911B6"/>
    <w:rsid w:val="00592FC7"/>
    <w:rsid w:val="0059472E"/>
    <w:rsid w:val="005A3A88"/>
    <w:rsid w:val="005A43F2"/>
    <w:rsid w:val="005A6E85"/>
    <w:rsid w:val="005B21A3"/>
    <w:rsid w:val="005B21DA"/>
    <w:rsid w:val="005B4C3E"/>
    <w:rsid w:val="005C1E1E"/>
    <w:rsid w:val="005C35EE"/>
    <w:rsid w:val="005C411C"/>
    <w:rsid w:val="005C60B0"/>
    <w:rsid w:val="005C79B9"/>
    <w:rsid w:val="005D014F"/>
    <w:rsid w:val="005D0628"/>
    <w:rsid w:val="005D2725"/>
    <w:rsid w:val="005D39FA"/>
    <w:rsid w:val="005D6DB4"/>
    <w:rsid w:val="005D6F3F"/>
    <w:rsid w:val="005D73C5"/>
    <w:rsid w:val="005E5D8F"/>
    <w:rsid w:val="005E6191"/>
    <w:rsid w:val="005E68EC"/>
    <w:rsid w:val="005E73BC"/>
    <w:rsid w:val="005E7E19"/>
    <w:rsid w:val="005F58D9"/>
    <w:rsid w:val="005F6983"/>
    <w:rsid w:val="005F69E6"/>
    <w:rsid w:val="005F6AEA"/>
    <w:rsid w:val="006014ED"/>
    <w:rsid w:val="00601C5A"/>
    <w:rsid w:val="00604370"/>
    <w:rsid w:val="00606EB7"/>
    <w:rsid w:val="0060771C"/>
    <w:rsid w:val="0061000D"/>
    <w:rsid w:val="0061289E"/>
    <w:rsid w:val="00614A09"/>
    <w:rsid w:val="00617BE4"/>
    <w:rsid w:val="00623F1C"/>
    <w:rsid w:val="00632B5F"/>
    <w:rsid w:val="00634CEF"/>
    <w:rsid w:val="00634F2A"/>
    <w:rsid w:val="00635C68"/>
    <w:rsid w:val="00636D0A"/>
    <w:rsid w:val="00637792"/>
    <w:rsid w:val="00640494"/>
    <w:rsid w:val="0064217D"/>
    <w:rsid w:val="00644206"/>
    <w:rsid w:val="0064468F"/>
    <w:rsid w:val="00645D34"/>
    <w:rsid w:val="00650839"/>
    <w:rsid w:val="00653C3B"/>
    <w:rsid w:val="00653D36"/>
    <w:rsid w:val="0065616A"/>
    <w:rsid w:val="00660C6E"/>
    <w:rsid w:val="00660D3A"/>
    <w:rsid w:val="00662584"/>
    <w:rsid w:val="00662A77"/>
    <w:rsid w:val="006638EE"/>
    <w:rsid w:val="00667956"/>
    <w:rsid w:val="00670D37"/>
    <w:rsid w:val="00676A16"/>
    <w:rsid w:val="00676FF5"/>
    <w:rsid w:val="00681F03"/>
    <w:rsid w:val="00682C48"/>
    <w:rsid w:val="0068660A"/>
    <w:rsid w:val="006931EE"/>
    <w:rsid w:val="0069529A"/>
    <w:rsid w:val="006A2077"/>
    <w:rsid w:val="006A3AAE"/>
    <w:rsid w:val="006A63A1"/>
    <w:rsid w:val="006B047C"/>
    <w:rsid w:val="006B0ADA"/>
    <w:rsid w:val="006B53EE"/>
    <w:rsid w:val="006B5BD5"/>
    <w:rsid w:val="006C26E4"/>
    <w:rsid w:val="006C36DE"/>
    <w:rsid w:val="006C572D"/>
    <w:rsid w:val="006C7C86"/>
    <w:rsid w:val="006D10BF"/>
    <w:rsid w:val="006D2647"/>
    <w:rsid w:val="006D280E"/>
    <w:rsid w:val="006D3C06"/>
    <w:rsid w:val="006D5756"/>
    <w:rsid w:val="006D5BF7"/>
    <w:rsid w:val="006D6EB1"/>
    <w:rsid w:val="006D7055"/>
    <w:rsid w:val="006E0430"/>
    <w:rsid w:val="006E203A"/>
    <w:rsid w:val="006E3E5C"/>
    <w:rsid w:val="006E3F4E"/>
    <w:rsid w:val="006E4FF5"/>
    <w:rsid w:val="006F09D7"/>
    <w:rsid w:val="006F1940"/>
    <w:rsid w:val="006F19CA"/>
    <w:rsid w:val="006F2FA3"/>
    <w:rsid w:val="0070317B"/>
    <w:rsid w:val="0070349C"/>
    <w:rsid w:val="00703643"/>
    <w:rsid w:val="0070427D"/>
    <w:rsid w:val="00705C1D"/>
    <w:rsid w:val="00710781"/>
    <w:rsid w:val="00711046"/>
    <w:rsid w:val="00716CDD"/>
    <w:rsid w:val="0072043A"/>
    <w:rsid w:val="00720751"/>
    <w:rsid w:val="00721E74"/>
    <w:rsid w:val="007231E8"/>
    <w:rsid w:val="00723747"/>
    <w:rsid w:val="0072544A"/>
    <w:rsid w:val="007268FE"/>
    <w:rsid w:val="007303B3"/>
    <w:rsid w:val="007367C5"/>
    <w:rsid w:val="0074031C"/>
    <w:rsid w:val="007407A0"/>
    <w:rsid w:val="00741027"/>
    <w:rsid w:val="00741A8B"/>
    <w:rsid w:val="00742258"/>
    <w:rsid w:val="00742611"/>
    <w:rsid w:val="00743F39"/>
    <w:rsid w:val="00744459"/>
    <w:rsid w:val="00745109"/>
    <w:rsid w:val="00750438"/>
    <w:rsid w:val="00750991"/>
    <w:rsid w:val="00751A74"/>
    <w:rsid w:val="0075345D"/>
    <w:rsid w:val="00753BD6"/>
    <w:rsid w:val="007615FA"/>
    <w:rsid w:val="00762A8B"/>
    <w:rsid w:val="007649BE"/>
    <w:rsid w:val="00766113"/>
    <w:rsid w:val="007667EE"/>
    <w:rsid w:val="00767635"/>
    <w:rsid w:val="007723E4"/>
    <w:rsid w:val="00773357"/>
    <w:rsid w:val="007739E8"/>
    <w:rsid w:val="00775E32"/>
    <w:rsid w:val="00777199"/>
    <w:rsid w:val="007816F7"/>
    <w:rsid w:val="0078458C"/>
    <w:rsid w:val="007860F0"/>
    <w:rsid w:val="00786160"/>
    <w:rsid w:val="007910D0"/>
    <w:rsid w:val="00791928"/>
    <w:rsid w:val="00792BAB"/>
    <w:rsid w:val="00795220"/>
    <w:rsid w:val="00795B01"/>
    <w:rsid w:val="007967A8"/>
    <w:rsid w:val="007976C6"/>
    <w:rsid w:val="007A26AB"/>
    <w:rsid w:val="007A3255"/>
    <w:rsid w:val="007A4C88"/>
    <w:rsid w:val="007A5EAE"/>
    <w:rsid w:val="007B0B84"/>
    <w:rsid w:val="007B3FBA"/>
    <w:rsid w:val="007B720C"/>
    <w:rsid w:val="007C0965"/>
    <w:rsid w:val="007C1F99"/>
    <w:rsid w:val="007C3212"/>
    <w:rsid w:val="007C42DF"/>
    <w:rsid w:val="007C459C"/>
    <w:rsid w:val="007C479D"/>
    <w:rsid w:val="007D00A0"/>
    <w:rsid w:val="007D08DC"/>
    <w:rsid w:val="007D107F"/>
    <w:rsid w:val="007D2618"/>
    <w:rsid w:val="007D2A10"/>
    <w:rsid w:val="007D3107"/>
    <w:rsid w:val="007D6B5E"/>
    <w:rsid w:val="007E155B"/>
    <w:rsid w:val="007E16B6"/>
    <w:rsid w:val="007E2BA2"/>
    <w:rsid w:val="007E353D"/>
    <w:rsid w:val="007E4083"/>
    <w:rsid w:val="007E6D23"/>
    <w:rsid w:val="007F03CA"/>
    <w:rsid w:val="007F3F4C"/>
    <w:rsid w:val="007F4A91"/>
    <w:rsid w:val="007F5B0E"/>
    <w:rsid w:val="007F7349"/>
    <w:rsid w:val="008001E1"/>
    <w:rsid w:val="00801880"/>
    <w:rsid w:val="00802DB1"/>
    <w:rsid w:val="00803884"/>
    <w:rsid w:val="008045FA"/>
    <w:rsid w:val="00805E99"/>
    <w:rsid w:val="0081078F"/>
    <w:rsid w:val="00814BCE"/>
    <w:rsid w:val="00814C34"/>
    <w:rsid w:val="008163BA"/>
    <w:rsid w:val="00816573"/>
    <w:rsid w:val="00820021"/>
    <w:rsid w:val="00820984"/>
    <w:rsid w:val="00822C35"/>
    <w:rsid w:val="00822DF8"/>
    <w:rsid w:val="00823505"/>
    <w:rsid w:val="0082406A"/>
    <w:rsid w:val="008240D3"/>
    <w:rsid w:val="00826C05"/>
    <w:rsid w:val="00830337"/>
    <w:rsid w:val="00832CA6"/>
    <w:rsid w:val="00833C7E"/>
    <w:rsid w:val="00836DFB"/>
    <w:rsid w:val="00840DEA"/>
    <w:rsid w:val="008564E7"/>
    <w:rsid w:val="00857697"/>
    <w:rsid w:val="00861647"/>
    <w:rsid w:val="00863575"/>
    <w:rsid w:val="008647D7"/>
    <w:rsid w:val="00866CCF"/>
    <w:rsid w:val="008674D0"/>
    <w:rsid w:val="0087097C"/>
    <w:rsid w:val="00870B58"/>
    <w:rsid w:val="00875592"/>
    <w:rsid w:val="00876B4B"/>
    <w:rsid w:val="0088203F"/>
    <w:rsid w:val="008833CE"/>
    <w:rsid w:val="00891ACB"/>
    <w:rsid w:val="00892AA9"/>
    <w:rsid w:val="00893118"/>
    <w:rsid w:val="0089333F"/>
    <w:rsid w:val="00893AD0"/>
    <w:rsid w:val="008944EA"/>
    <w:rsid w:val="00897DBE"/>
    <w:rsid w:val="008A293F"/>
    <w:rsid w:val="008A355A"/>
    <w:rsid w:val="008A3ECD"/>
    <w:rsid w:val="008B09FA"/>
    <w:rsid w:val="008B3995"/>
    <w:rsid w:val="008B41BB"/>
    <w:rsid w:val="008B55B9"/>
    <w:rsid w:val="008B5C9D"/>
    <w:rsid w:val="008B5F94"/>
    <w:rsid w:val="008C0AAD"/>
    <w:rsid w:val="008C0D7A"/>
    <w:rsid w:val="008C4425"/>
    <w:rsid w:val="008D4B06"/>
    <w:rsid w:val="008D6237"/>
    <w:rsid w:val="008E1AA0"/>
    <w:rsid w:val="008E32F3"/>
    <w:rsid w:val="008E4A26"/>
    <w:rsid w:val="008E535C"/>
    <w:rsid w:val="008F1BA2"/>
    <w:rsid w:val="008F234F"/>
    <w:rsid w:val="008F4A73"/>
    <w:rsid w:val="008F5035"/>
    <w:rsid w:val="008F5629"/>
    <w:rsid w:val="008F6220"/>
    <w:rsid w:val="00901A54"/>
    <w:rsid w:val="009023D8"/>
    <w:rsid w:val="009065AD"/>
    <w:rsid w:val="00907DAC"/>
    <w:rsid w:val="0091385F"/>
    <w:rsid w:val="009155A3"/>
    <w:rsid w:val="009165EE"/>
    <w:rsid w:val="00920848"/>
    <w:rsid w:val="009209EF"/>
    <w:rsid w:val="0092382E"/>
    <w:rsid w:val="00925A59"/>
    <w:rsid w:val="00927F3D"/>
    <w:rsid w:val="00931988"/>
    <w:rsid w:val="0093378A"/>
    <w:rsid w:val="0093439A"/>
    <w:rsid w:val="009361D3"/>
    <w:rsid w:val="00940F35"/>
    <w:rsid w:val="009435EE"/>
    <w:rsid w:val="009444F3"/>
    <w:rsid w:val="00951F0B"/>
    <w:rsid w:val="009530B4"/>
    <w:rsid w:val="00954B58"/>
    <w:rsid w:val="00960052"/>
    <w:rsid w:val="00961014"/>
    <w:rsid w:val="00961B4D"/>
    <w:rsid w:val="00964949"/>
    <w:rsid w:val="0096502E"/>
    <w:rsid w:val="009714ED"/>
    <w:rsid w:val="0097306D"/>
    <w:rsid w:val="009739A6"/>
    <w:rsid w:val="00973C46"/>
    <w:rsid w:val="00974226"/>
    <w:rsid w:val="00974722"/>
    <w:rsid w:val="0097484C"/>
    <w:rsid w:val="00974A3C"/>
    <w:rsid w:val="00974AB4"/>
    <w:rsid w:val="0097610C"/>
    <w:rsid w:val="00977769"/>
    <w:rsid w:val="00977919"/>
    <w:rsid w:val="00981FBA"/>
    <w:rsid w:val="00983F24"/>
    <w:rsid w:val="00985687"/>
    <w:rsid w:val="00985700"/>
    <w:rsid w:val="009865DE"/>
    <w:rsid w:val="00992641"/>
    <w:rsid w:val="00993924"/>
    <w:rsid w:val="00996043"/>
    <w:rsid w:val="009A631D"/>
    <w:rsid w:val="009B1289"/>
    <w:rsid w:val="009B2397"/>
    <w:rsid w:val="009B386E"/>
    <w:rsid w:val="009B5D35"/>
    <w:rsid w:val="009B65F5"/>
    <w:rsid w:val="009B75B1"/>
    <w:rsid w:val="009B7DBA"/>
    <w:rsid w:val="009C4720"/>
    <w:rsid w:val="009C7E47"/>
    <w:rsid w:val="009C7EAE"/>
    <w:rsid w:val="009D14B3"/>
    <w:rsid w:val="009D2617"/>
    <w:rsid w:val="009D412F"/>
    <w:rsid w:val="009D47B9"/>
    <w:rsid w:val="009D697E"/>
    <w:rsid w:val="009E1492"/>
    <w:rsid w:val="009E3549"/>
    <w:rsid w:val="009E4367"/>
    <w:rsid w:val="009F0036"/>
    <w:rsid w:val="009F00E2"/>
    <w:rsid w:val="009F2EB6"/>
    <w:rsid w:val="009F51D1"/>
    <w:rsid w:val="009F650C"/>
    <w:rsid w:val="009F6715"/>
    <w:rsid w:val="00A057FC"/>
    <w:rsid w:val="00A06C5E"/>
    <w:rsid w:val="00A11676"/>
    <w:rsid w:val="00A12F87"/>
    <w:rsid w:val="00A1583F"/>
    <w:rsid w:val="00A16520"/>
    <w:rsid w:val="00A20103"/>
    <w:rsid w:val="00A22683"/>
    <w:rsid w:val="00A22914"/>
    <w:rsid w:val="00A23188"/>
    <w:rsid w:val="00A26AB0"/>
    <w:rsid w:val="00A31F0B"/>
    <w:rsid w:val="00A32FAA"/>
    <w:rsid w:val="00A35857"/>
    <w:rsid w:val="00A3697F"/>
    <w:rsid w:val="00A40D42"/>
    <w:rsid w:val="00A415E7"/>
    <w:rsid w:val="00A46EC3"/>
    <w:rsid w:val="00A47535"/>
    <w:rsid w:val="00A51253"/>
    <w:rsid w:val="00A53F8A"/>
    <w:rsid w:val="00A56A13"/>
    <w:rsid w:val="00A627C2"/>
    <w:rsid w:val="00A64E15"/>
    <w:rsid w:val="00A65128"/>
    <w:rsid w:val="00A6790F"/>
    <w:rsid w:val="00A67A0C"/>
    <w:rsid w:val="00A721AD"/>
    <w:rsid w:val="00A72FF3"/>
    <w:rsid w:val="00A74746"/>
    <w:rsid w:val="00A756E6"/>
    <w:rsid w:val="00A7574B"/>
    <w:rsid w:val="00A77554"/>
    <w:rsid w:val="00A8151E"/>
    <w:rsid w:val="00A82268"/>
    <w:rsid w:val="00A84844"/>
    <w:rsid w:val="00A864D6"/>
    <w:rsid w:val="00A87F35"/>
    <w:rsid w:val="00A91121"/>
    <w:rsid w:val="00A918E8"/>
    <w:rsid w:val="00A920D5"/>
    <w:rsid w:val="00A923FC"/>
    <w:rsid w:val="00A94B7B"/>
    <w:rsid w:val="00A95D0D"/>
    <w:rsid w:val="00A97B65"/>
    <w:rsid w:val="00AA05B7"/>
    <w:rsid w:val="00AA06C9"/>
    <w:rsid w:val="00AA0DA1"/>
    <w:rsid w:val="00AA1C35"/>
    <w:rsid w:val="00AA1CC1"/>
    <w:rsid w:val="00AA2171"/>
    <w:rsid w:val="00AA4C03"/>
    <w:rsid w:val="00AA4C7C"/>
    <w:rsid w:val="00AA5B06"/>
    <w:rsid w:val="00AA5FFD"/>
    <w:rsid w:val="00AA6DEE"/>
    <w:rsid w:val="00AB2559"/>
    <w:rsid w:val="00AB5922"/>
    <w:rsid w:val="00AB6797"/>
    <w:rsid w:val="00AB69D9"/>
    <w:rsid w:val="00AB6FCA"/>
    <w:rsid w:val="00AB7E3E"/>
    <w:rsid w:val="00AC2B7E"/>
    <w:rsid w:val="00AC46E0"/>
    <w:rsid w:val="00AC6AED"/>
    <w:rsid w:val="00AC77F8"/>
    <w:rsid w:val="00AD1652"/>
    <w:rsid w:val="00AD321A"/>
    <w:rsid w:val="00AD5EE6"/>
    <w:rsid w:val="00AE0B4E"/>
    <w:rsid w:val="00AE1583"/>
    <w:rsid w:val="00AE24C5"/>
    <w:rsid w:val="00AE3F76"/>
    <w:rsid w:val="00AE468E"/>
    <w:rsid w:val="00AE4717"/>
    <w:rsid w:val="00AE51AC"/>
    <w:rsid w:val="00AE54E8"/>
    <w:rsid w:val="00AE5CA2"/>
    <w:rsid w:val="00AE68BB"/>
    <w:rsid w:val="00AE71A8"/>
    <w:rsid w:val="00AE7514"/>
    <w:rsid w:val="00AF0EEF"/>
    <w:rsid w:val="00AF131C"/>
    <w:rsid w:val="00AF64F9"/>
    <w:rsid w:val="00B0212E"/>
    <w:rsid w:val="00B0539F"/>
    <w:rsid w:val="00B072C9"/>
    <w:rsid w:val="00B0793F"/>
    <w:rsid w:val="00B11194"/>
    <w:rsid w:val="00B13AFF"/>
    <w:rsid w:val="00B15DA5"/>
    <w:rsid w:val="00B161BF"/>
    <w:rsid w:val="00B16C55"/>
    <w:rsid w:val="00B20715"/>
    <w:rsid w:val="00B2317B"/>
    <w:rsid w:val="00B254AE"/>
    <w:rsid w:val="00B25668"/>
    <w:rsid w:val="00B2573A"/>
    <w:rsid w:val="00B30C86"/>
    <w:rsid w:val="00B33D28"/>
    <w:rsid w:val="00B36994"/>
    <w:rsid w:val="00B425A1"/>
    <w:rsid w:val="00B46482"/>
    <w:rsid w:val="00B46955"/>
    <w:rsid w:val="00B46AA8"/>
    <w:rsid w:val="00B50169"/>
    <w:rsid w:val="00B5070F"/>
    <w:rsid w:val="00B50F12"/>
    <w:rsid w:val="00B52C9A"/>
    <w:rsid w:val="00B57607"/>
    <w:rsid w:val="00B60B68"/>
    <w:rsid w:val="00B61CF7"/>
    <w:rsid w:val="00B633EC"/>
    <w:rsid w:val="00B649D6"/>
    <w:rsid w:val="00B66EA1"/>
    <w:rsid w:val="00B7047F"/>
    <w:rsid w:val="00B71380"/>
    <w:rsid w:val="00B73075"/>
    <w:rsid w:val="00B731B9"/>
    <w:rsid w:val="00B74FF7"/>
    <w:rsid w:val="00B75D5D"/>
    <w:rsid w:val="00B76F47"/>
    <w:rsid w:val="00B80708"/>
    <w:rsid w:val="00B821D4"/>
    <w:rsid w:val="00B92E3B"/>
    <w:rsid w:val="00B940BF"/>
    <w:rsid w:val="00B96BE9"/>
    <w:rsid w:val="00B96EA6"/>
    <w:rsid w:val="00B971F6"/>
    <w:rsid w:val="00BA1B36"/>
    <w:rsid w:val="00BA225E"/>
    <w:rsid w:val="00BA43CF"/>
    <w:rsid w:val="00BA4DAE"/>
    <w:rsid w:val="00BA73E8"/>
    <w:rsid w:val="00BB09D8"/>
    <w:rsid w:val="00BB2306"/>
    <w:rsid w:val="00BB2630"/>
    <w:rsid w:val="00BC0D5D"/>
    <w:rsid w:val="00BC350D"/>
    <w:rsid w:val="00BC38B5"/>
    <w:rsid w:val="00BC3C0A"/>
    <w:rsid w:val="00BD17D8"/>
    <w:rsid w:val="00BD1C12"/>
    <w:rsid w:val="00BD304E"/>
    <w:rsid w:val="00BD3630"/>
    <w:rsid w:val="00BD368E"/>
    <w:rsid w:val="00BD64F3"/>
    <w:rsid w:val="00BD7229"/>
    <w:rsid w:val="00BE0AE7"/>
    <w:rsid w:val="00BE101E"/>
    <w:rsid w:val="00BE44C2"/>
    <w:rsid w:val="00BE4B85"/>
    <w:rsid w:val="00BE641C"/>
    <w:rsid w:val="00BE7A81"/>
    <w:rsid w:val="00BF054E"/>
    <w:rsid w:val="00BF7239"/>
    <w:rsid w:val="00BF789D"/>
    <w:rsid w:val="00C0157E"/>
    <w:rsid w:val="00C01ABE"/>
    <w:rsid w:val="00C02FEA"/>
    <w:rsid w:val="00C06921"/>
    <w:rsid w:val="00C10707"/>
    <w:rsid w:val="00C10774"/>
    <w:rsid w:val="00C1549A"/>
    <w:rsid w:val="00C17807"/>
    <w:rsid w:val="00C17C99"/>
    <w:rsid w:val="00C20066"/>
    <w:rsid w:val="00C20275"/>
    <w:rsid w:val="00C214A2"/>
    <w:rsid w:val="00C26B8A"/>
    <w:rsid w:val="00C26D44"/>
    <w:rsid w:val="00C27F01"/>
    <w:rsid w:val="00C30142"/>
    <w:rsid w:val="00C302EF"/>
    <w:rsid w:val="00C306FD"/>
    <w:rsid w:val="00C31398"/>
    <w:rsid w:val="00C31519"/>
    <w:rsid w:val="00C33153"/>
    <w:rsid w:val="00C34958"/>
    <w:rsid w:val="00C3517C"/>
    <w:rsid w:val="00C3635F"/>
    <w:rsid w:val="00C37483"/>
    <w:rsid w:val="00C44C35"/>
    <w:rsid w:val="00C51287"/>
    <w:rsid w:val="00C51923"/>
    <w:rsid w:val="00C52401"/>
    <w:rsid w:val="00C5363F"/>
    <w:rsid w:val="00C53692"/>
    <w:rsid w:val="00C5678F"/>
    <w:rsid w:val="00C60AB2"/>
    <w:rsid w:val="00C65FEB"/>
    <w:rsid w:val="00C668FC"/>
    <w:rsid w:val="00C702B6"/>
    <w:rsid w:val="00C71512"/>
    <w:rsid w:val="00C71B09"/>
    <w:rsid w:val="00C7389D"/>
    <w:rsid w:val="00C73BF6"/>
    <w:rsid w:val="00C7486B"/>
    <w:rsid w:val="00C75222"/>
    <w:rsid w:val="00C76678"/>
    <w:rsid w:val="00C76F4F"/>
    <w:rsid w:val="00C77723"/>
    <w:rsid w:val="00C80D04"/>
    <w:rsid w:val="00C827A6"/>
    <w:rsid w:val="00C83F66"/>
    <w:rsid w:val="00C84C66"/>
    <w:rsid w:val="00C85902"/>
    <w:rsid w:val="00C85A1D"/>
    <w:rsid w:val="00C86111"/>
    <w:rsid w:val="00C86497"/>
    <w:rsid w:val="00C903C8"/>
    <w:rsid w:val="00C90550"/>
    <w:rsid w:val="00C93019"/>
    <w:rsid w:val="00CA39A2"/>
    <w:rsid w:val="00CA58F1"/>
    <w:rsid w:val="00CB2820"/>
    <w:rsid w:val="00CB48D8"/>
    <w:rsid w:val="00CB77CB"/>
    <w:rsid w:val="00CC513C"/>
    <w:rsid w:val="00CC6C1E"/>
    <w:rsid w:val="00CC6C6F"/>
    <w:rsid w:val="00CC7C4E"/>
    <w:rsid w:val="00CD06B6"/>
    <w:rsid w:val="00CD0F98"/>
    <w:rsid w:val="00CD33BC"/>
    <w:rsid w:val="00CD3AFE"/>
    <w:rsid w:val="00CD5095"/>
    <w:rsid w:val="00CD7DAB"/>
    <w:rsid w:val="00CE2479"/>
    <w:rsid w:val="00CE5F08"/>
    <w:rsid w:val="00CF12F9"/>
    <w:rsid w:val="00CF1615"/>
    <w:rsid w:val="00CF2CB2"/>
    <w:rsid w:val="00CF5648"/>
    <w:rsid w:val="00CF75A9"/>
    <w:rsid w:val="00D01FEF"/>
    <w:rsid w:val="00D0383E"/>
    <w:rsid w:val="00D12A35"/>
    <w:rsid w:val="00D12ADA"/>
    <w:rsid w:val="00D14586"/>
    <w:rsid w:val="00D15A2F"/>
    <w:rsid w:val="00D16B6C"/>
    <w:rsid w:val="00D1773A"/>
    <w:rsid w:val="00D17F8C"/>
    <w:rsid w:val="00D20273"/>
    <w:rsid w:val="00D21E9C"/>
    <w:rsid w:val="00D22154"/>
    <w:rsid w:val="00D22421"/>
    <w:rsid w:val="00D238CF"/>
    <w:rsid w:val="00D24E79"/>
    <w:rsid w:val="00D269BA"/>
    <w:rsid w:val="00D27ACA"/>
    <w:rsid w:val="00D306F7"/>
    <w:rsid w:val="00D315F0"/>
    <w:rsid w:val="00D32DDD"/>
    <w:rsid w:val="00D33CF0"/>
    <w:rsid w:val="00D35A46"/>
    <w:rsid w:val="00D36D0F"/>
    <w:rsid w:val="00D40FE8"/>
    <w:rsid w:val="00D437D6"/>
    <w:rsid w:val="00D43C57"/>
    <w:rsid w:val="00D4463E"/>
    <w:rsid w:val="00D46243"/>
    <w:rsid w:val="00D47242"/>
    <w:rsid w:val="00D51A3B"/>
    <w:rsid w:val="00D544FA"/>
    <w:rsid w:val="00D54E56"/>
    <w:rsid w:val="00D568F3"/>
    <w:rsid w:val="00D64530"/>
    <w:rsid w:val="00D64DC7"/>
    <w:rsid w:val="00D71BC2"/>
    <w:rsid w:val="00D72C72"/>
    <w:rsid w:val="00D72CB4"/>
    <w:rsid w:val="00D742F9"/>
    <w:rsid w:val="00D770BE"/>
    <w:rsid w:val="00D821A3"/>
    <w:rsid w:val="00D8325E"/>
    <w:rsid w:val="00D85D9D"/>
    <w:rsid w:val="00D86EB9"/>
    <w:rsid w:val="00D9068B"/>
    <w:rsid w:val="00D90F34"/>
    <w:rsid w:val="00D91221"/>
    <w:rsid w:val="00D91C49"/>
    <w:rsid w:val="00D93D94"/>
    <w:rsid w:val="00DA041D"/>
    <w:rsid w:val="00DA37F2"/>
    <w:rsid w:val="00DA5076"/>
    <w:rsid w:val="00DA561C"/>
    <w:rsid w:val="00DA6852"/>
    <w:rsid w:val="00DA7D07"/>
    <w:rsid w:val="00DB1532"/>
    <w:rsid w:val="00DB59A1"/>
    <w:rsid w:val="00DB68DB"/>
    <w:rsid w:val="00DC101F"/>
    <w:rsid w:val="00DC2578"/>
    <w:rsid w:val="00DC3B14"/>
    <w:rsid w:val="00DC4E8D"/>
    <w:rsid w:val="00DC6033"/>
    <w:rsid w:val="00DD1373"/>
    <w:rsid w:val="00DD75B7"/>
    <w:rsid w:val="00DE00CE"/>
    <w:rsid w:val="00DE1A9F"/>
    <w:rsid w:val="00DE2D83"/>
    <w:rsid w:val="00DE6D55"/>
    <w:rsid w:val="00DF0606"/>
    <w:rsid w:val="00DF2126"/>
    <w:rsid w:val="00DF2652"/>
    <w:rsid w:val="00DF5796"/>
    <w:rsid w:val="00DF6914"/>
    <w:rsid w:val="00DF7C34"/>
    <w:rsid w:val="00E00BAD"/>
    <w:rsid w:val="00E00FE1"/>
    <w:rsid w:val="00E0222C"/>
    <w:rsid w:val="00E0276A"/>
    <w:rsid w:val="00E02A85"/>
    <w:rsid w:val="00E03E39"/>
    <w:rsid w:val="00E05651"/>
    <w:rsid w:val="00E05C6D"/>
    <w:rsid w:val="00E06598"/>
    <w:rsid w:val="00E0684D"/>
    <w:rsid w:val="00E105CE"/>
    <w:rsid w:val="00E23667"/>
    <w:rsid w:val="00E24102"/>
    <w:rsid w:val="00E250EA"/>
    <w:rsid w:val="00E260AD"/>
    <w:rsid w:val="00E275BE"/>
    <w:rsid w:val="00E32772"/>
    <w:rsid w:val="00E32D77"/>
    <w:rsid w:val="00E3302F"/>
    <w:rsid w:val="00E33F04"/>
    <w:rsid w:val="00E34931"/>
    <w:rsid w:val="00E43DAD"/>
    <w:rsid w:val="00E45DCE"/>
    <w:rsid w:val="00E461C7"/>
    <w:rsid w:val="00E508F6"/>
    <w:rsid w:val="00E528EE"/>
    <w:rsid w:val="00E563A0"/>
    <w:rsid w:val="00E56CD7"/>
    <w:rsid w:val="00E60F40"/>
    <w:rsid w:val="00E616D9"/>
    <w:rsid w:val="00E6304E"/>
    <w:rsid w:val="00E6443E"/>
    <w:rsid w:val="00E664F1"/>
    <w:rsid w:val="00E667AF"/>
    <w:rsid w:val="00E67C56"/>
    <w:rsid w:val="00E71A2B"/>
    <w:rsid w:val="00E73245"/>
    <w:rsid w:val="00E73999"/>
    <w:rsid w:val="00E75087"/>
    <w:rsid w:val="00E7693B"/>
    <w:rsid w:val="00E77F30"/>
    <w:rsid w:val="00E804DA"/>
    <w:rsid w:val="00E814AE"/>
    <w:rsid w:val="00E8238E"/>
    <w:rsid w:val="00E87B5B"/>
    <w:rsid w:val="00E87C00"/>
    <w:rsid w:val="00E922C9"/>
    <w:rsid w:val="00E94A83"/>
    <w:rsid w:val="00E959E3"/>
    <w:rsid w:val="00E96581"/>
    <w:rsid w:val="00E97B20"/>
    <w:rsid w:val="00EA07E7"/>
    <w:rsid w:val="00EA07E8"/>
    <w:rsid w:val="00EA3626"/>
    <w:rsid w:val="00EA4B3D"/>
    <w:rsid w:val="00EA647B"/>
    <w:rsid w:val="00EB1EF1"/>
    <w:rsid w:val="00EB6C3A"/>
    <w:rsid w:val="00EB7CAB"/>
    <w:rsid w:val="00EC2DCE"/>
    <w:rsid w:val="00EC4491"/>
    <w:rsid w:val="00EC4948"/>
    <w:rsid w:val="00ED0368"/>
    <w:rsid w:val="00ED0E9B"/>
    <w:rsid w:val="00ED1B82"/>
    <w:rsid w:val="00EE7629"/>
    <w:rsid w:val="00EF0599"/>
    <w:rsid w:val="00EF0CF8"/>
    <w:rsid w:val="00EF541A"/>
    <w:rsid w:val="00EF5C7B"/>
    <w:rsid w:val="00EF6054"/>
    <w:rsid w:val="00EF6DFD"/>
    <w:rsid w:val="00EF77DA"/>
    <w:rsid w:val="00F00D9B"/>
    <w:rsid w:val="00F0212D"/>
    <w:rsid w:val="00F0371E"/>
    <w:rsid w:val="00F03D54"/>
    <w:rsid w:val="00F0563F"/>
    <w:rsid w:val="00F1096E"/>
    <w:rsid w:val="00F10DE3"/>
    <w:rsid w:val="00F14AFD"/>
    <w:rsid w:val="00F15016"/>
    <w:rsid w:val="00F15479"/>
    <w:rsid w:val="00F1705B"/>
    <w:rsid w:val="00F17210"/>
    <w:rsid w:val="00F20B6F"/>
    <w:rsid w:val="00F232F7"/>
    <w:rsid w:val="00F23DE6"/>
    <w:rsid w:val="00F24B3C"/>
    <w:rsid w:val="00F24EEF"/>
    <w:rsid w:val="00F255C7"/>
    <w:rsid w:val="00F279E7"/>
    <w:rsid w:val="00F302CD"/>
    <w:rsid w:val="00F31BE7"/>
    <w:rsid w:val="00F33075"/>
    <w:rsid w:val="00F34381"/>
    <w:rsid w:val="00F34A89"/>
    <w:rsid w:val="00F34C9A"/>
    <w:rsid w:val="00F35E90"/>
    <w:rsid w:val="00F3689B"/>
    <w:rsid w:val="00F3718A"/>
    <w:rsid w:val="00F43327"/>
    <w:rsid w:val="00F4358F"/>
    <w:rsid w:val="00F44F56"/>
    <w:rsid w:val="00F45C0F"/>
    <w:rsid w:val="00F45E5B"/>
    <w:rsid w:val="00F4776D"/>
    <w:rsid w:val="00F50970"/>
    <w:rsid w:val="00F54713"/>
    <w:rsid w:val="00F54B27"/>
    <w:rsid w:val="00F6215F"/>
    <w:rsid w:val="00F65DFF"/>
    <w:rsid w:val="00F7006A"/>
    <w:rsid w:val="00F7299C"/>
    <w:rsid w:val="00F72C83"/>
    <w:rsid w:val="00F733E1"/>
    <w:rsid w:val="00F739DA"/>
    <w:rsid w:val="00F76C68"/>
    <w:rsid w:val="00F8110A"/>
    <w:rsid w:val="00F8332D"/>
    <w:rsid w:val="00F837A1"/>
    <w:rsid w:val="00F86989"/>
    <w:rsid w:val="00F902EC"/>
    <w:rsid w:val="00F91C70"/>
    <w:rsid w:val="00F94F18"/>
    <w:rsid w:val="00F95CCA"/>
    <w:rsid w:val="00F97190"/>
    <w:rsid w:val="00F9733A"/>
    <w:rsid w:val="00F9762E"/>
    <w:rsid w:val="00FA147C"/>
    <w:rsid w:val="00FA1AF0"/>
    <w:rsid w:val="00FA1E8F"/>
    <w:rsid w:val="00FA4EE6"/>
    <w:rsid w:val="00FA59A8"/>
    <w:rsid w:val="00FA6AAC"/>
    <w:rsid w:val="00FB2990"/>
    <w:rsid w:val="00FB474C"/>
    <w:rsid w:val="00FB4D41"/>
    <w:rsid w:val="00FB633C"/>
    <w:rsid w:val="00FC288A"/>
    <w:rsid w:val="00FC36A6"/>
    <w:rsid w:val="00FC3890"/>
    <w:rsid w:val="00FD2A2E"/>
    <w:rsid w:val="00FD3D88"/>
    <w:rsid w:val="00FD3F15"/>
    <w:rsid w:val="00FD6958"/>
    <w:rsid w:val="00FD6B63"/>
    <w:rsid w:val="00FD7ED2"/>
    <w:rsid w:val="00FE072F"/>
    <w:rsid w:val="00FE0FC5"/>
    <w:rsid w:val="00FE136B"/>
    <w:rsid w:val="00FE40BA"/>
    <w:rsid w:val="00FE6E55"/>
    <w:rsid w:val="00FE7137"/>
    <w:rsid w:val="00FE7612"/>
    <w:rsid w:val="00FE77B4"/>
    <w:rsid w:val="00FF1B95"/>
    <w:rsid w:val="00FF2A24"/>
    <w:rsid w:val="00FF2E9D"/>
    <w:rsid w:val="00FF3C00"/>
    <w:rsid w:val="00FF3F91"/>
    <w:rsid w:val="00FF45D4"/>
    <w:rsid w:val="00FF6769"/>
    <w:rsid w:val="00FF69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657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ADC"/>
  </w:style>
  <w:style w:type="paragraph" w:styleId="Heading1">
    <w:name w:val="heading 1"/>
    <w:basedOn w:val="Normal"/>
    <w:next w:val="Normal"/>
    <w:link w:val="Heading1Char"/>
    <w:uiPriority w:val="9"/>
    <w:qFormat/>
    <w:locked/>
    <w:rsid w:val="00543ADC"/>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43ADC"/>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543ADC"/>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543AD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543AD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43AD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43AD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43ADC"/>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543AD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Unknown0"/>
    <w:qFormat/>
    <w:rsid w:val="00E94A83"/>
    <w:pPr>
      <w:keepNext/>
      <w:keepLines/>
      <w:spacing w:before="480"/>
      <w:outlineLvl w:val="0"/>
    </w:pPr>
    <w:rPr>
      <w:rFonts w:ascii="Helvetica" w:eastAsia="Arial Unicode MS" w:hAnsi="Helvetica"/>
      <w:b/>
      <w:color w:val="365F91"/>
      <w:sz w:val="28"/>
      <w:u w:color="000000"/>
    </w:rPr>
  </w:style>
  <w:style w:type="paragraph" w:customStyle="1" w:styleId="Heading21">
    <w:name w:val="Heading 21"/>
    <w:next w:val="Body1"/>
    <w:qFormat/>
    <w:rsid w:val="00E94A83"/>
    <w:pPr>
      <w:keepNext/>
      <w:keepLines/>
      <w:spacing w:before="200"/>
      <w:outlineLvl w:val="1"/>
    </w:pPr>
    <w:rPr>
      <w:rFonts w:ascii="Helvetica" w:eastAsia="Arial Unicode MS" w:hAnsi="Helvetica"/>
      <w:b/>
      <w:color w:val="4F81BD"/>
      <w:sz w:val="26"/>
      <w:u w:color="000000"/>
    </w:rPr>
  </w:style>
  <w:style w:type="paragraph" w:customStyle="1" w:styleId="Heading31">
    <w:name w:val="Heading 31"/>
    <w:next w:val="Body1"/>
    <w:qFormat/>
    <w:rsid w:val="00E94A83"/>
    <w:pPr>
      <w:keepNext/>
      <w:keepLines/>
      <w:spacing w:before="200"/>
      <w:outlineLvl w:val="2"/>
    </w:pPr>
    <w:rPr>
      <w:rFonts w:ascii="Helvetica" w:eastAsia="Arial Unicode MS" w:hAnsi="Helvetica"/>
      <w:b/>
      <w:color w:val="4F81BD"/>
      <w:u w:color="000000"/>
    </w:rPr>
  </w:style>
  <w:style w:type="paragraph" w:customStyle="1" w:styleId="Unknown0">
    <w:name w:val="Unknown 0"/>
    <w:semiHidden/>
    <w:rsid w:val="00E94A83"/>
    <w:pPr>
      <w:outlineLvl w:val="0"/>
    </w:pPr>
    <w:rPr>
      <w:rFonts w:ascii="Helvetica" w:eastAsia="Arial Unicode MS" w:hAnsi="Helvetica"/>
      <w:color w:val="000000"/>
      <w:u w:color="000000"/>
    </w:rPr>
  </w:style>
  <w:style w:type="paragraph" w:customStyle="1" w:styleId="Body1">
    <w:name w:val="Body 1"/>
    <w:rsid w:val="00E94A83"/>
    <w:pPr>
      <w:outlineLvl w:val="0"/>
    </w:pPr>
    <w:rPr>
      <w:rFonts w:ascii="Helvetica" w:eastAsia="Arial Unicode MS" w:hAnsi="Helvetica"/>
      <w:color w:val="000000"/>
      <w:u w:color="000000"/>
    </w:rPr>
  </w:style>
  <w:style w:type="paragraph" w:customStyle="1" w:styleId="List1">
    <w:name w:val="List 1"/>
    <w:basedOn w:val="ImportWordListStyleDefinition0"/>
    <w:semiHidden/>
    <w:rsid w:val="00E94A83"/>
    <w:pPr>
      <w:numPr>
        <w:numId w:val="1"/>
      </w:numPr>
    </w:pPr>
  </w:style>
  <w:style w:type="paragraph" w:customStyle="1" w:styleId="ImportWordListStyleDefinition0">
    <w:name w:val="Import Word List Style Definition 0"/>
    <w:rsid w:val="00E94A83"/>
    <w:pPr>
      <w:numPr>
        <w:numId w:val="2"/>
      </w:numPr>
    </w:pPr>
  </w:style>
  <w:style w:type="paragraph" w:customStyle="1" w:styleId="Numbered">
    <w:name w:val="Numbered"/>
    <w:rsid w:val="00E94A83"/>
    <w:pPr>
      <w:numPr>
        <w:numId w:val="4"/>
      </w:numPr>
    </w:pPr>
  </w:style>
  <w:style w:type="paragraph" w:styleId="Caption">
    <w:name w:val="caption"/>
    <w:basedOn w:val="Normal"/>
    <w:next w:val="Normal"/>
    <w:uiPriority w:val="35"/>
    <w:unhideWhenUsed/>
    <w:qFormat/>
    <w:locked/>
    <w:rsid w:val="00543ADC"/>
    <w:pPr>
      <w:spacing w:line="240" w:lineRule="auto"/>
    </w:pPr>
    <w:rPr>
      <w:b/>
      <w:bCs/>
      <w:color w:val="4F81BD" w:themeColor="accent1"/>
      <w:sz w:val="18"/>
      <w:szCs w:val="18"/>
    </w:rPr>
  </w:style>
  <w:style w:type="paragraph" w:styleId="BalloonText">
    <w:name w:val="Balloon Text"/>
    <w:basedOn w:val="Normal"/>
    <w:link w:val="BalloonTextChar"/>
    <w:locked/>
    <w:rsid w:val="0047281A"/>
    <w:rPr>
      <w:rFonts w:ascii="Tahoma" w:hAnsi="Tahoma" w:cs="Tahoma"/>
      <w:sz w:val="16"/>
      <w:szCs w:val="16"/>
    </w:rPr>
  </w:style>
  <w:style w:type="character" w:customStyle="1" w:styleId="BalloonTextChar">
    <w:name w:val="Balloon Text Char"/>
    <w:basedOn w:val="DefaultParagraphFont"/>
    <w:link w:val="BalloonText"/>
    <w:rsid w:val="0047281A"/>
    <w:rPr>
      <w:rFonts w:ascii="Tahoma" w:hAnsi="Tahoma" w:cs="Tahoma"/>
      <w:sz w:val="16"/>
      <w:szCs w:val="16"/>
      <w:lang w:val="en-US" w:eastAsia="en-US"/>
    </w:rPr>
  </w:style>
  <w:style w:type="paragraph" w:styleId="Header">
    <w:name w:val="header"/>
    <w:basedOn w:val="Normal"/>
    <w:link w:val="HeaderChar"/>
    <w:locked/>
    <w:rsid w:val="00C51287"/>
    <w:pPr>
      <w:tabs>
        <w:tab w:val="center" w:pos="4513"/>
        <w:tab w:val="right" w:pos="9026"/>
      </w:tabs>
    </w:pPr>
  </w:style>
  <w:style w:type="character" w:customStyle="1" w:styleId="HeaderChar">
    <w:name w:val="Header Char"/>
    <w:basedOn w:val="DefaultParagraphFont"/>
    <w:link w:val="Header"/>
    <w:rsid w:val="00C51287"/>
    <w:rPr>
      <w:sz w:val="24"/>
      <w:szCs w:val="24"/>
      <w:lang w:val="en-US" w:eastAsia="en-US"/>
    </w:rPr>
  </w:style>
  <w:style w:type="paragraph" w:styleId="Footer">
    <w:name w:val="footer"/>
    <w:basedOn w:val="Normal"/>
    <w:link w:val="FooterChar"/>
    <w:locked/>
    <w:rsid w:val="00C51287"/>
    <w:pPr>
      <w:tabs>
        <w:tab w:val="center" w:pos="4513"/>
        <w:tab w:val="right" w:pos="9026"/>
      </w:tabs>
    </w:pPr>
  </w:style>
  <w:style w:type="character" w:customStyle="1" w:styleId="FooterChar">
    <w:name w:val="Footer Char"/>
    <w:basedOn w:val="DefaultParagraphFont"/>
    <w:link w:val="Footer"/>
    <w:rsid w:val="00C51287"/>
    <w:rPr>
      <w:sz w:val="24"/>
      <w:szCs w:val="24"/>
      <w:lang w:val="en-US" w:eastAsia="en-US"/>
    </w:rPr>
  </w:style>
  <w:style w:type="character" w:styleId="PlaceholderText">
    <w:name w:val="Placeholder Text"/>
    <w:basedOn w:val="DefaultParagraphFont"/>
    <w:uiPriority w:val="99"/>
    <w:semiHidden/>
    <w:rsid w:val="004C5279"/>
    <w:rPr>
      <w:color w:val="808080"/>
    </w:rPr>
  </w:style>
  <w:style w:type="character" w:customStyle="1" w:styleId="Heading1Char">
    <w:name w:val="Heading 1 Char"/>
    <w:basedOn w:val="DefaultParagraphFont"/>
    <w:link w:val="Heading1"/>
    <w:uiPriority w:val="9"/>
    <w:rsid w:val="0054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A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3A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3A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3A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3A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3A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3AD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543A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A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543A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A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543ADC"/>
    <w:rPr>
      <w:b/>
      <w:bCs/>
    </w:rPr>
  </w:style>
  <w:style w:type="character" w:styleId="Emphasis">
    <w:name w:val="Emphasis"/>
    <w:basedOn w:val="DefaultParagraphFont"/>
    <w:uiPriority w:val="20"/>
    <w:qFormat/>
    <w:locked/>
    <w:rsid w:val="00543ADC"/>
    <w:rPr>
      <w:i/>
      <w:iCs/>
    </w:rPr>
  </w:style>
  <w:style w:type="paragraph" w:styleId="NoSpacing">
    <w:name w:val="No Spacing"/>
    <w:link w:val="NoSpacingChar"/>
    <w:uiPriority w:val="1"/>
    <w:qFormat/>
    <w:rsid w:val="00543ADC"/>
    <w:pPr>
      <w:spacing w:after="0" w:line="240" w:lineRule="auto"/>
    </w:pPr>
  </w:style>
  <w:style w:type="paragraph" w:styleId="ListParagraph">
    <w:name w:val="List Paragraph"/>
    <w:basedOn w:val="Normal"/>
    <w:uiPriority w:val="34"/>
    <w:qFormat/>
    <w:rsid w:val="00543ADC"/>
    <w:pPr>
      <w:ind w:left="720"/>
      <w:contextualSpacing/>
    </w:pPr>
  </w:style>
  <w:style w:type="paragraph" w:styleId="Quote">
    <w:name w:val="Quote"/>
    <w:basedOn w:val="Normal"/>
    <w:next w:val="Normal"/>
    <w:link w:val="QuoteChar"/>
    <w:uiPriority w:val="29"/>
    <w:qFormat/>
    <w:rsid w:val="00543ADC"/>
    <w:rPr>
      <w:i/>
      <w:iCs/>
      <w:color w:val="000000" w:themeColor="text1"/>
    </w:rPr>
  </w:style>
  <w:style w:type="character" w:customStyle="1" w:styleId="QuoteChar">
    <w:name w:val="Quote Char"/>
    <w:basedOn w:val="DefaultParagraphFont"/>
    <w:link w:val="Quote"/>
    <w:uiPriority w:val="29"/>
    <w:rsid w:val="00543ADC"/>
    <w:rPr>
      <w:i/>
      <w:iCs/>
      <w:color w:val="000000" w:themeColor="text1"/>
    </w:rPr>
  </w:style>
  <w:style w:type="paragraph" w:styleId="IntenseQuote">
    <w:name w:val="Intense Quote"/>
    <w:basedOn w:val="Normal"/>
    <w:next w:val="Normal"/>
    <w:link w:val="IntenseQuoteChar"/>
    <w:uiPriority w:val="30"/>
    <w:qFormat/>
    <w:rsid w:val="00543A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3ADC"/>
    <w:rPr>
      <w:b/>
      <w:bCs/>
      <w:i/>
      <w:iCs/>
      <w:color w:val="4F81BD" w:themeColor="accent1"/>
    </w:rPr>
  </w:style>
  <w:style w:type="character" w:styleId="SubtleEmphasis">
    <w:name w:val="Subtle Emphasis"/>
    <w:basedOn w:val="DefaultParagraphFont"/>
    <w:uiPriority w:val="19"/>
    <w:qFormat/>
    <w:rsid w:val="00543ADC"/>
    <w:rPr>
      <w:i/>
      <w:iCs/>
      <w:color w:val="808080" w:themeColor="text1" w:themeTint="7F"/>
    </w:rPr>
  </w:style>
  <w:style w:type="character" w:styleId="IntenseEmphasis">
    <w:name w:val="Intense Emphasis"/>
    <w:basedOn w:val="DefaultParagraphFont"/>
    <w:uiPriority w:val="21"/>
    <w:qFormat/>
    <w:rsid w:val="00543ADC"/>
    <w:rPr>
      <w:b/>
      <w:bCs/>
      <w:i/>
      <w:iCs/>
      <w:color w:val="4F81BD" w:themeColor="accent1"/>
    </w:rPr>
  </w:style>
  <w:style w:type="character" w:styleId="SubtleReference">
    <w:name w:val="Subtle Reference"/>
    <w:basedOn w:val="DefaultParagraphFont"/>
    <w:uiPriority w:val="31"/>
    <w:qFormat/>
    <w:rsid w:val="00543ADC"/>
    <w:rPr>
      <w:smallCaps/>
      <w:color w:val="C0504D" w:themeColor="accent2"/>
      <w:u w:val="single"/>
    </w:rPr>
  </w:style>
  <w:style w:type="character" w:styleId="IntenseReference">
    <w:name w:val="Intense Reference"/>
    <w:basedOn w:val="DefaultParagraphFont"/>
    <w:uiPriority w:val="32"/>
    <w:qFormat/>
    <w:rsid w:val="00543ADC"/>
    <w:rPr>
      <w:b/>
      <w:bCs/>
      <w:smallCaps/>
      <w:color w:val="C0504D" w:themeColor="accent2"/>
      <w:spacing w:val="5"/>
      <w:u w:val="single"/>
    </w:rPr>
  </w:style>
  <w:style w:type="character" w:styleId="BookTitle">
    <w:name w:val="Book Title"/>
    <w:basedOn w:val="DefaultParagraphFont"/>
    <w:uiPriority w:val="33"/>
    <w:qFormat/>
    <w:rsid w:val="00543ADC"/>
    <w:rPr>
      <w:b/>
      <w:bCs/>
      <w:smallCaps/>
      <w:spacing w:val="5"/>
    </w:rPr>
  </w:style>
  <w:style w:type="paragraph" w:styleId="TOCHeading">
    <w:name w:val="TOC Heading"/>
    <w:basedOn w:val="Heading1"/>
    <w:next w:val="Normal"/>
    <w:uiPriority w:val="39"/>
    <w:semiHidden/>
    <w:unhideWhenUsed/>
    <w:qFormat/>
    <w:rsid w:val="00543ADC"/>
    <w:pPr>
      <w:outlineLvl w:val="9"/>
    </w:pPr>
  </w:style>
  <w:style w:type="character" w:styleId="CommentReference">
    <w:name w:val="annotation reference"/>
    <w:basedOn w:val="DefaultParagraphFont"/>
    <w:locked/>
    <w:rsid w:val="00DF2126"/>
    <w:rPr>
      <w:sz w:val="16"/>
      <w:szCs w:val="16"/>
    </w:rPr>
  </w:style>
  <w:style w:type="paragraph" w:styleId="CommentText">
    <w:name w:val="annotation text"/>
    <w:basedOn w:val="Normal"/>
    <w:link w:val="CommentTextChar"/>
    <w:locked/>
    <w:rsid w:val="00DF2126"/>
    <w:pPr>
      <w:spacing w:line="240" w:lineRule="auto"/>
    </w:pPr>
    <w:rPr>
      <w:sz w:val="20"/>
      <w:szCs w:val="20"/>
    </w:rPr>
  </w:style>
  <w:style w:type="character" w:customStyle="1" w:styleId="CommentTextChar">
    <w:name w:val="Comment Text Char"/>
    <w:basedOn w:val="DefaultParagraphFont"/>
    <w:link w:val="CommentText"/>
    <w:rsid w:val="00DF2126"/>
    <w:rPr>
      <w:sz w:val="20"/>
      <w:szCs w:val="20"/>
    </w:rPr>
  </w:style>
  <w:style w:type="paragraph" w:styleId="CommentSubject">
    <w:name w:val="annotation subject"/>
    <w:basedOn w:val="CommentText"/>
    <w:next w:val="CommentText"/>
    <w:link w:val="CommentSubjectChar"/>
    <w:locked/>
    <w:rsid w:val="00DF2126"/>
    <w:rPr>
      <w:b/>
      <w:bCs/>
    </w:rPr>
  </w:style>
  <w:style w:type="character" w:customStyle="1" w:styleId="CommentSubjectChar">
    <w:name w:val="Comment Subject Char"/>
    <w:basedOn w:val="CommentTextChar"/>
    <w:link w:val="CommentSubject"/>
    <w:rsid w:val="00DF2126"/>
    <w:rPr>
      <w:b/>
      <w:bCs/>
      <w:sz w:val="20"/>
      <w:szCs w:val="20"/>
    </w:rPr>
  </w:style>
  <w:style w:type="paragraph" w:styleId="NormalWeb">
    <w:name w:val="Normal (Web)"/>
    <w:basedOn w:val="Normal"/>
    <w:uiPriority w:val="99"/>
    <w:unhideWhenUsed/>
    <w:locked/>
    <w:rsid w:val="00C85902"/>
    <w:pPr>
      <w:spacing w:before="100" w:beforeAutospacing="1" w:after="100" w:afterAutospacing="1" w:line="240" w:lineRule="auto"/>
    </w:pPr>
    <w:rPr>
      <w:rFonts w:ascii="Times New Roman" w:eastAsia="Times New Roman" w:hAnsi="Times New Roman" w:cs="Times New Roman"/>
      <w:sz w:val="24"/>
      <w:szCs w:val="24"/>
      <w:lang w:val="en-GB" w:eastAsia="zh-CN" w:bidi="ar-SA"/>
    </w:rPr>
  </w:style>
  <w:style w:type="character" w:customStyle="1" w:styleId="apple-converted-space">
    <w:name w:val="apple-converted-space"/>
    <w:basedOn w:val="DefaultParagraphFont"/>
    <w:rsid w:val="00C85902"/>
  </w:style>
  <w:style w:type="table" w:styleId="TableGrid">
    <w:name w:val="Table Grid"/>
    <w:basedOn w:val="TableNormal"/>
    <w:uiPriority w:val="59"/>
    <w:locked/>
    <w:rsid w:val="00A2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A8B"/>
    <w:pPr>
      <w:spacing w:after="0" w:line="240" w:lineRule="auto"/>
    </w:pPr>
  </w:style>
  <w:style w:type="character" w:styleId="Hyperlink">
    <w:name w:val="Hyperlink"/>
    <w:basedOn w:val="DefaultParagraphFont"/>
    <w:locked/>
    <w:rsid w:val="0064468F"/>
    <w:rPr>
      <w:color w:val="0000FF" w:themeColor="hyperlink"/>
      <w:u w:val="single"/>
    </w:rPr>
  </w:style>
  <w:style w:type="paragraph" w:styleId="FootnoteText">
    <w:name w:val="footnote text"/>
    <w:basedOn w:val="Normal"/>
    <w:link w:val="FootnoteTextChar"/>
    <w:locked/>
    <w:rsid w:val="00DC2578"/>
    <w:pPr>
      <w:spacing w:after="0" w:line="240" w:lineRule="auto"/>
    </w:pPr>
    <w:rPr>
      <w:sz w:val="20"/>
      <w:szCs w:val="20"/>
    </w:rPr>
  </w:style>
  <w:style w:type="character" w:customStyle="1" w:styleId="FootnoteTextChar">
    <w:name w:val="Footnote Text Char"/>
    <w:basedOn w:val="DefaultParagraphFont"/>
    <w:link w:val="FootnoteText"/>
    <w:rsid w:val="00DC2578"/>
    <w:rPr>
      <w:sz w:val="20"/>
      <w:szCs w:val="20"/>
    </w:rPr>
  </w:style>
  <w:style w:type="character" w:styleId="FootnoteReference">
    <w:name w:val="footnote reference"/>
    <w:basedOn w:val="DefaultParagraphFont"/>
    <w:locked/>
    <w:rsid w:val="00DC2578"/>
    <w:rPr>
      <w:vertAlign w:val="superscript"/>
    </w:rPr>
  </w:style>
  <w:style w:type="character" w:customStyle="1" w:styleId="NoSpacingChar">
    <w:name w:val="No Spacing Char"/>
    <w:basedOn w:val="DefaultParagraphFont"/>
    <w:link w:val="NoSpacing"/>
    <w:uiPriority w:val="1"/>
    <w:rsid w:val="00006BC0"/>
  </w:style>
  <w:style w:type="table" w:customStyle="1" w:styleId="TableGrid1">
    <w:name w:val="Table Grid1"/>
    <w:basedOn w:val="TableNormal"/>
    <w:next w:val="TableGrid"/>
    <w:locked/>
    <w:rsid w:val="00006BC0"/>
    <w:pPr>
      <w:spacing w:after="0" w:line="240" w:lineRule="auto"/>
    </w:pPr>
    <w:rPr>
      <w:rFonts w:ascii="Times New Roman" w:eastAsia="Times New Roman" w:hAnsi="Times New Roman" w:cs="Times New Roman"/>
      <w:sz w:val="20"/>
      <w:szCs w:val="20"/>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ADC"/>
  </w:style>
  <w:style w:type="paragraph" w:styleId="Heading1">
    <w:name w:val="heading 1"/>
    <w:basedOn w:val="Normal"/>
    <w:next w:val="Normal"/>
    <w:link w:val="Heading1Char"/>
    <w:uiPriority w:val="9"/>
    <w:qFormat/>
    <w:locked/>
    <w:rsid w:val="00543ADC"/>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43ADC"/>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543ADC"/>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543AD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543AD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43AD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43AD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43ADC"/>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543AD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Unknown0"/>
    <w:qFormat/>
    <w:rsid w:val="00E94A83"/>
    <w:pPr>
      <w:keepNext/>
      <w:keepLines/>
      <w:spacing w:before="480"/>
      <w:outlineLvl w:val="0"/>
    </w:pPr>
    <w:rPr>
      <w:rFonts w:ascii="Helvetica" w:eastAsia="Arial Unicode MS" w:hAnsi="Helvetica"/>
      <w:b/>
      <w:color w:val="365F91"/>
      <w:sz w:val="28"/>
      <w:u w:color="000000"/>
    </w:rPr>
  </w:style>
  <w:style w:type="paragraph" w:customStyle="1" w:styleId="Heading21">
    <w:name w:val="Heading 21"/>
    <w:next w:val="Body1"/>
    <w:qFormat/>
    <w:rsid w:val="00E94A83"/>
    <w:pPr>
      <w:keepNext/>
      <w:keepLines/>
      <w:spacing w:before="200"/>
      <w:outlineLvl w:val="1"/>
    </w:pPr>
    <w:rPr>
      <w:rFonts w:ascii="Helvetica" w:eastAsia="Arial Unicode MS" w:hAnsi="Helvetica"/>
      <w:b/>
      <w:color w:val="4F81BD"/>
      <w:sz w:val="26"/>
      <w:u w:color="000000"/>
    </w:rPr>
  </w:style>
  <w:style w:type="paragraph" w:customStyle="1" w:styleId="Heading31">
    <w:name w:val="Heading 31"/>
    <w:next w:val="Body1"/>
    <w:qFormat/>
    <w:rsid w:val="00E94A83"/>
    <w:pPr>
      <w:keepNext/>
      <w:keepLines/>
      <w:spacing w:before="200"/>
      <w:outlineLvl w:val="2"/>
    </w:pPr>
    <w:rPr>
      <w:rFonts w:ascii="Helvetica" w:eastAsia="Arial Unicode MS" w:hAnsi="Helvetica"/>
      <w:b/>
      <w:color w:val="4F81BD"/>
      <w:u w:color="000000"/>
    </w:rPr>
  </w:style>
  <w:style w:type="paragraph" w:customStyle="1" w:styleId="Unknown0">
    <w:name w:val="Unknown 0"/>
    <w:semiHidden/>
    <w:rsid w:val="00E94A83"/>
    <w:pPr>
      <w:outlineLvl w:val="0"/>
    </w:pPr>
    <w:rPr>
      <w:rFonts w:ascii="Helvetica" w:eastAsia="Arial Unicode MS" w:hAnsi="Helvetica"/>
      <w:color w:val="000000"/>
      <w:u w:color="000000"/>
    </w:rPr>
  </w:style>
  <w:style w:type="paragraph" w:customStyle="1" w:styleId="Body1">
    <w:name w:val="Body 1"/>
    <w:rsid w:val="00E94A83"/>
    <w:pPr>
      <w:outlineLvl w:val="0"/>
    </w:pPr>
    <w:rPr>
      <w:rFonts w:ascii="Helvetica" w:eastAsia="Arial Unicode MS" w:hAnsi="Helvetica"/>
      <w:color w:val="000000"/>
      <w:u w:color="000000"/>
    </w:rPr>
  </w:style>
  <w:style w:type="paragraph" w:customStyle="1" w:styleId="List1">
    <w:name w:val="List 1"/>
    <w:basedOn w:val="ImportWordListStyleDefinition0"/>
    <w:semiHidden/>
    <w:rsid w:val="00E94A83"/>
    <w:pPr>
      <w:numPr>
        <w:numId w:val="1"/>
      </w:numPr>
    </w:pPr>
  </w:style>
  <w:style w:type="paragraph" w:customStyle="1" w:styleId="ImportWordListStyleDefinition0">
    <w:name w:val="Import Word List Style Definition 0"/>
    <w:rsid w:val="00E94A83"/>
    <w:pPr>
      <w:numPr>
        <w:numId w:val="2"/>
      </w:numPr>
    </w:pPr>
  </w:style>
  <w:style w:type="paragraph" w:customStyle="1" w:styleId="Numbered">
    <w:name w:val="Numbered"/>
    <w:rsid w:val="00E94A83"/>
    <w:pPr>
      <w:numPr>
        <w:numId w:val="4"/>
      </w:numPr>
    </w:pPr>
  </w:style>
  <w:style w:type="paragraph" w:styleId="Caption">
    <w:name w:val="caption"/>
    <w:basedOn w:val="Normal"/>
    <w:next w:val="Normal"/>
    <w:uiPriority w:val="35"/>
    <w:unhideWhenUsed/>
    <w:qFormat/>
    <w:locked/>
    <w:rsid w:val="00543ADC"/>
    <w:pPr>
      <w:spacing w:line="240" w:lineRule="auto"/>
    </w:pPr>
    <w:rPr>
      <w:b/>
      <w:bCs/>
      <w:color w:val="4F81BD" w:themeColor="accent1"/>
      <w:sz w:val="18"/>
      <w:szCs w:val="18"/>
    </w:rPr>
  </w:style>
  <w:style w:type="paragraph" w:styleId="BalloonText">
    <w:name w:val="Balloon Text"/>
    <w:basedOn w:val="Normal"/>
    <w:link w:val="BalloonTextChar"/>
    <w:locked/>
    <w:rsid w:val="0047281A"/>
    <w:rPr>
      <w:rFonts w:ascii="Tahoma" w:hAnsi="Tahoma" w:cs="Tahoma"/>
      <w:sz w:val="16"/>
      <w:szCs w:val="16"/>
    </w:rPr>
  </w:style>
  <w:style w:type="character" w:customStyle="1" w:styleId="BalloonTextChar">
    <w:name w:val="Balloon Text Char"/>
    <w:basedOn w:val="DefaultParagraphFont"/>
    <w:link w:val="BalloonText"/>
    <w:rsid w:val="0047281A"/>
    <w:rPr>
      <w:rFonts w:ascii="Tahoma" w:hAnsi="Tahoma" w:cs="Tahoma"/>
      <w:sz w:val="16"/>
      <w:szCs w:val="16"/>
      <w:lang w:val="en-US" w:eastAsia="en-US"/>
    </w:rPr>
  </w:style>
  <w:style w:type="paragraph" w:styleId="Header">
    <w:name w:val="header"/>
    <w:basedOn w:val="Normal"/>
    <w:link w:val="HeaderChar"/>
    <w:locked/>
    <w:rsid w:val="00C51287"/>
    <w:pPr>
      <w:tabs>
        <w:tab w:val="center" w:pos="4513"/>
        <w:tab w:val="right" w:pos="9026"/>
      </w:tabs>
    </w:pPr>
  </w:style>
  <w:style w:type="character" w:customStyle="1" w:styleId="HeaderChar">
    <w:name w:val="Header Char"/>
    <w:basedOn w:val="DefaultParagraphFont"/>
    <w:link w:val="Header"/>
    <w:rsid w:val="00C51287"/>
    <w:rPr>
      <w:sz w:val="24"/>
      <w:szCs w:val="24"/>
      <w:lang w:val="en-US" w:eastAsia="en-US"/>
    </w:rPr>
  </w:style>
  <w:style w:type="paragraph" w:styleId="Footer">
    <w:name w:val="footer"/>
    <w:basedOn w:val="Normal"/>
    <w:link w:val="FooterChar"/>
    <w:locked/>
    <w:rsid w:val="00C51287"/>
    <w:pPr>
      <w:tabs>
        <w:tab w:val="center" w:pos="4513"/>
        <w:tab w:val="right" w:pos="9026"/>
      </w:tabs>
    </w:pPr>
  </w:style>
  <w:style w:type="character" w:customStyle="1" w:styleId="FooterChar">
    <w:name w:val="Footer Char"/>
    <w:basedOn w:val="DefaultParagraphFont"/>
    <w:link w:val="Footer"/>
    <w:rsid w:val="00C51287"/>
    <w:rPr>
      <w:sz w:val="24"/>
      <w:szCs w:val="24"/>
      <w:lang w:val="en-US" w:eastAsia="en-US"/>
    </w:rPr>
  </w:style>
  <w:style w:type="character" w:styleId="PlaceholderText">
    <w:name w:val="Placeholder Text"/>
    <w:basedOn w:val="DefaultParagraphFont"/>
    <w:uiPriority w:val="99"/>
    <w:semiHidden/>
    <w:rsid w:val="004C5279"/>
    <w:rPr>
      <w:color w:val="808080"/>
    </w:rPr>
  </w:style>
  <w:style w:type="character" w:customStyle="1" w:styleId="Heading1Char">
    <w:name w:val="Heading 1 Char"/>
    <w:basedOn w:val="DefaultParagraphFont"/>
    <w:link w:val="Heading1"/>
    <w:uiPriority w:val="9"/>
    <w:rsid w:val="0054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A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3A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3A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3A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3A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3A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3AD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543A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A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543A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AD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543ADC"/>
    <w:rPr>
      <w:b/>
      <w:bCs/>
    </w:rPr>
  </w:style>
  <w:style w:type="character" w:styleId="Emphasis">
    <w:name w:val="Emphasis"/>
    <w:basedOn w:val="DefaultParagraphFont"/>
    <w:uiPriority w:val="20"/>
    <w:qFormat/>
    <w:locked/>
    <w:rsid w:val="00543ADC"/>
    <w:rPr>
      <w:i/>
      <w:iCs/>
    </w:rPr>
  </w:style>
  <w:style w:type="paragraph" w:styleId="NoSpacing">
    <w:name w:val="No Spacing"/>
    <w:link w:val="NoSpacingChar"/>
    <w:uiPriority w:val="1"/>
    <w:qFormat/>
    <w:rsid w:val="00543ADC"/>
    <w:pPr>
      <w:spacing w:after="0" w:line="240" w:lineRule="auto"/>
    </w:pPr>
  </w:style>
  <w:style w:type="paragraph" w:styleId="ListParagraph">
    <w:name w:val="List Paragraph"/>
    <w:basedOn w:val="Normal"/>
    <w:uiPriority w:val="34"/>
    <w:qFormat/>
    <w:rsid w:val="00543ADC"/>
    <w:pPr>
      <w:ind w:left="720"/>
      <w:contextualSpacing/>
    </w:pPr>
  </w:style>
  <w:style w:type="paragraph" w:styleId="Quote">
    <w:name w:val="Quote"/>
    <w:basedOn w:val="Normal"/>
    <w:next w:val="Normal"/>
    <w:link w:val="QuoteChar"/>
    <w:uiPriority w:val="29"/>
    <w:qFormat/>
    <w:rsid w:val="00543ADC"/>
    <w:rPr>
      <w:i/>
      <w:iCs/>
      <w:color w:val="000000" w:themeColor="text1"/>
    </w:rPr>
  </w:style>
  <w:style w:type="character" w:customStyle="1" w:styleId="QuoteChar">
    <w:name w:val="Quote Char"/>
    <w:basedOn w:val="DefaultParagraphFont"/>
    <w:link w:val="Quote"/>
    <w:uiPriority w:val="29"/>
    <w:rsid w:val="00543ADC"/>
    <w:rPr>
      <w:i/>
      <w:iCs/>
      <w:color w:val="000000" w:themeColor="text1"/>
    </w:rPr>
  </w:style>
  <w:style w:type="paragraph" w:styleId="IntenseQuote">
    <w:name w:val="Intense Quote"/>
    <w:basedOn w:val="Normal"/>
    <w:next w:val="Normal"/>
    <w:link w:val="IntenseQuoteChar"/>
    <w:uiPriority w:val="30"/>
    <w:qFormat/>
    <w:rsid w:val="00543A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3ADC"/>
    <w:rPr>
      <w:b/>
      <w:bCs/>
      <w:i/>
      <w:iCs/>
      <w:color w:val="4F81BD" w:themeColor="accent1"/>
    </w:rPr>
  </w:style>
  <w:style w:type="character" w:styleId="SubtleEmphasis">
    <w:name w:val="Subtle Emphasis"/>
    <w:basedOn w:val="DefaultParagraphFont"/>
    <w:uiPriority w:val="19"/>
    <w:qFormat/>
    <w:rsid w:val="00543ADC"/>
    <w:rPr>
      <w:i/>
      <w:iCs/>
      <w:color w:val="808080" w:themeColor="text1" w:themeTint="7F"/>
    </w:rPr>
  </w:style>
  <w:style w:type="character" w:styleId="IntenseEmphasis">
    <w:name w:val="Intense Emphasis"/>
    <w:basedOn w:val="DefaultParagraphFont"/>
    <w:uiPriority w:val="21"/>
    <w:qFormat/>
    <w:rsid w:val="00543ADC"/>
    <w:rPr>
      <w:b/>
      <w:bCs/>
      <w:i/>
      <w:iCs/>
      <w:color w:val="4F81BD" w:themeColor="accent1"/>
    </w:rPr>
  </w:style>
  <w:style w:type="character" w:styleId="SubtleReference">
    <w:name w:val="Subtle Reference"/>
    <w:basedOn w:val="DefaultParagraphFont"/>
    <w:uiPriority w:val="31"/>
    <w:qFormat/>
    <w:rsid w:val="00543ADC"/>
    <w:rPr>
      <w:smallCaps/>
      <w:color w:val="C0504D" w:themeColor="accent2"/>
      <w:u w:val="single"/>
    </w:rPr>
  </w:style>
  <w:style w:type="character" w:styleId="IntenseReference">
    <w:name w:val="Intense Reference"/>
    <w:basedOn w:val="DefaultParagraphFont"/>
    <w:uiPriority w:val="32"/>
    <w:qFormat/>
    <w:rsid w:val="00543ADC"/>
    <w:rPr>
      <w:b/>
      <w:bCs/>
      <w:smallCaps/>
      <w:color w:val="C0504D" w:themeColor="accent2"/>
      <w:spacing w:val="5"/>
      <w:u w:val="single"/>
    </w:rPr>
  </w:style>
  <w:style w:type="character" w:styleId="BookTitle">
    <w:name w:val="Book Title"/>
    <w:basedOn w:val="DefaultParagraphFont"/>
    <w:uiPriority w:val="33"/>
    <w:qFormat/>
    <w:rsid w:val="00543ADC"/>
    <w:rPr>
      <w:b/>
      <w:bCs/>
      <w:smallCaps/>
      <w:spacing w:val="5"/>
    </w:rPr>
  </w:style>
  <w:style w:type="paragraph" w:styleId="TOCHeading">
    <w:name w:val="TOC Heading"/>
    <w:basedOn w:val="Heading1"/>
    <w:next w:val="Normal"/>
    <w:uiPriority w:val="39"/>
    <w:semiHidden/>
    <w:unhideWhenUsed/>
    <w:qFormat/>
    <w:rsid w:val="00543ADC"/>
    <w:pPr>
      <w:outlineLvl w:val="9"/>
    </w:pPr>
  </w:style>
  <w:style w:type="character" w:styleId="CommentReference">
    <w:name w:val="annotation reference"/>
    <w:basedOn w:val="DefaultParagraphFont"/>
    <w:locked/>
    <w:rsid w:val="00DF2126"/>
    <w:rPr>
      <w:sz w:val="16"/>
      <w:szCs w:val="16"/>
    </w:rPr>
  </w:style>
  <w:style w:type="paragraph" w:styleId="CommentText">
    <w:name w:val="annotation text"/>
    <w:basedOn w:val="Normal"/>
    <w:link w:val="CommentTextChar"/>
    <w:locked/>
    <w:rsid w:val="00DF2126"/>
    <w:pPr>
      <w:spacing w:line="240" w:lineRule="auto"/>
    </w:pPr>
    <w:rPr>
      <w:sz w:val="20"/>
      <w:szCs w:val="20"/>
    </w:rPr>
  </w:style>
  <w:style w:type="character" w:customStyle="1" w:styleId="CommentTextChar">
    <w:name w:val="Comment Text Char"/>
    <w:basedOn w:val="DefaultParagraphFont"/>
    <w:link w:val="CommentText"/>
    <w:rsid w:val="00DF2126"/>
    <w:rPr>
      <w:sz w:val="20"/>
      <w:szCs w:val="20"/>
    </w:rPr>
  </w:style>
  <w:style w:type="paragraph" w:styleId="CommentSubject">
    <w:name w:val="annotation subject"/>
    <w:basedOn w:val="CommentText"/>
    <w:next w:val="CommentText"/>
    <w:link w:val="CommentSubjectChar"/>
    <w:locked/>
    <w:rsid w:val="00DF2126"/>
    <w:rPr>
      <w:b/>
      <w:bCs/>
    </w:rPr>
  </w:style>
  <w:style w:type="character" w:customStyle="1" w:styleId="CommentSubjectChar">
    <w:name w:val="Comment Subject Char"/>
    <w:basedOn w:val="CommentTextChar"/>
    <w:link w:val="CommentSubject"/>
    <w:rsid w:val="00DF2126"/>
    <w:rPr>
      <w:b/>
      <w:bCs/>
      <w:sz w:val="20"/>
      <w:szCs w:val="20"/>
    </w:rPr>
  </w:style>
  <w:style w:type="paragraph" w:styleId="NormalWeb">
    <w:name w:val="Normal (Web)"/>
    <w:basedOn w:val="Normal"/>
    <w:uiPriority w:val="99"/>
    <w:unhideWhenUsed/>
    <w:locked/>
    <w:rsid w:val="00C85902"/>
    <w:pPr>
      <w:spacing w:before="100" w:beforeAutospacing="1" w:after="100" w:afterAutospacing="1" w:line="240" w:lineRule="auto"/>
    </w:pPr>
    <w:rPr>
      <w:rFonts w:ascii="Times New Roman" w:eastAsia="Times New Roman" w:hAnsi="Times New Roman" w:cs="Times New Roman"/>
      <w:sz w:val="24"/>
      <w:szCs w:val="24"/>
      <w:lang w:val="en-GB" w:eastAsia="zh-CN" w:bidi="ar-SA"/>
    </w:rPr>
  </w:style>
  <w:style w:type="character" w:customStyle="1" w:styleId="apple-converted-space">
    <w:name w:val="apple-converted-space"/>
    <w:basedOn w:val="DefaultParagraphFont"/>
    <w:rsid w:val="00C85902"/>
  </w:style>
  <w:style w:type="table" w:styleId="TableGrid">
    <w:name w:val="Table Grid"/>
    <w:basedOn w:val="TableNormal"/>
    <w:uiPriority w:val="59"/>
    <w:locked/>
    <w:rsid w:val="00A2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A8B"/>
    <w:pPr>
      <w:spacing w:after="0" w:line="240" w:lineRule="auto"/>
    </w:pPr>
  </w:style>
  <w:style w:type="character" w:styleId="Hyperlink">
    <w:name w:val="Hyperlink"/>
    <w:basedOn w:val="DefaultParagraphFont"/>
    <w:locked/>
    <w:rsid w:val="0064468F"/>
    <w:rPr>
      <w:color w:val="0000FF" w:themeColor="hyperlink"/>
      <w:u w:val="single"/>
    </w:rPr>
  </w:style>
  <w:style w:type="paragraph" w:styleId="FootnoteText">
    <w:name w:val="footnote text"/>
    <w:basedOn w:val="Normal"/>
    <w:link w:val="FootnoteTextChar"/>
    <w:locked/>
    <w:rsid w:val="00DC2578"/>
    <w:pPr>
      <w:spacing w:after="0" w:line="240" w:lineRule="auto"/>
    </w:pPr>
    <w:rPr>
      <w:sz w:val="20"/>
      <w:szCs w:val="20"/>
    </w:rPr>
  </w:style>
  <w:style w:type="character" w:customStyle="1" w:styleId="FootnoteTextChar">
    <w:name w:val="Footnote Text Char"/>
    <w:basedOn w:val="DefaultParagraphFont"/>
    <w:link w:val="FootnoteText"/>
    <w:rsid w:val="00DC2578"/>
    <w:rPr>
      <w:sz w:val="20"/>
      <w:szCs w:val="20"/>
    </w:rPr>
  </w:style>
  <w:style w:type="character" w:styleId="FootnoteReference">
    <w:name w:val="footnote reference"/>
    <w:basedOn w:val="DefaultParagraphFont"/>
    <w:locked/>
    <w:rsid w:val="00DC2578"/>
    <w:rPr>
      <w:vertAlign w:val="superscript"/>
    </w:rPr>
  </w:style>
  <w:style w:type="character" w:customStyle="1" w:styleId="NoSpacingChar">
    <w:name w:val="No Spacing Char"/>
    <w:basedOn w:val="DefaultParagraphFont"/>
    <w:link w:val="NoSpacing"/>
    <w:uiPriority w:val="1"/>
    <w:rsid w:val="00006BC0"/>
  </w:style>
  <w:style w:type="table" w:customStyle="1" w:styleId="TableGrid1">
    <w:name w:val="Table Grid1"/>
    <w:basedOn w:val="TableNormal"/>
    <w:next w:val="TableGrid"/>
    <w:locked/>
    <w:rsid w:val="00006BC0"/>
    <w:pPr>
      <w:spacing w:after="0" w:line="240" w:lineRule="auto"/>
    </w:pPr>
    <w:rPr>
      <w:rFonts w:ascii="Times New Roman" w:eastAsia="Times New Roman" w:hAnsi="Times New Roman" w:cs="Times New Roman"/>
      <w:sz w:val="20"/>
      <w:szCs w:val="20"/>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42">
      <w:bodyDiv w:val="1"/>
      <w:marLeft w:val="0"/>
      <w:marRight w:val="0"/>
      <w:marTop w:val="0"/>
      <w:marBottom w:val="0"/>
      <w:divBdr>
        <w:top w:val="none" w:sz="0" w:space="0" w:color="auto"/>
        <w:left w:val="none" w:sz="0" w:space="0" w:color="auto"/>
        <w:bottom w:val="none" w:sz="0" w:space="0" w:color="auto"/>
        <w:right w:val="none" w:sz="0" w:space="0" w:color="auto"/>
      </w:divBdr>
    </w:div>
    <w:div w:id="28847719">
      <w:bodyDiv w:val="1"/>
      <w:marLeft w:val="0"/>
      <w:marRight w:val="0"/>
      <w:marTop w:val="0"/>
      <w:marBottom w:val="0"/>
      <w:divBdr>
        <w:top w:val="none" w:sz="0" w:space="0" w:color="auto"/>
        <w:left w:val="none" w:sz="0" w:space="0" w:color="auto"/>
        <w:bottom w:val="none" w:sz="0" w:space="0" w:color="auto"/>
        <w:right w:val="none" w:sz="0" w:space="0" w:color="auto"/>
      </w:divBdr>
    </w:div>
    <w:div w:id="288441176">
      <w:bodyDiv w:val="1"/>
      <w:marLeft w:val="0"/>
      <w:marRight w:val="0"/>
      <w:marTop w:val="0"/>
      <w:marBottom w:val="0"/>
      <w:divBdr>
        <w:top w:val="none" w:sz="0" w:space="0" w:color="auto"/>
        <w:left w:val="none" w:sz="0" w:space="0" w:color="auto"/>
        <w:bottom w:val="none" w:sz="0" w:space="0" w:color="auto"/>
        <w:right w:val="none" w:sz="0" w:space="0" w:color="auto"/>
      </w:divBdr>
    </w:div>
    <w:div w:id="345443202">
      <w:bodyDiv w:val="1"/>
      <w:marLeft w:val="0"/>
      <w:marRight w:val="0"/>
      <w:marTop w:val="0"/>
      <w:marBottom w:val="0"/>
      <w:divBdr>
        <w:top w:val="none" w:sz="0" w:space="0" w:color="auto"/>
        <w:left w:val="none" w:sz="0" w:space="0" w:color="auto"/>
        <w:bottom w:val="none" w:sz="0" w:space="0" w:color="auto"/>
        <w:right w:val="none" w:sz="0" w:space="0" w:color="auto"/>
      </w:divBdr>
    </w:div>
    <w:div w:id="406538883">
      <w:bodyDiv w:val="1"/>
      <w:marLeft w:val="0"/>
      <w:marRight w:val="0"/>
      <w:marTop w:val="0"/>
      <w:marBottom w:val="0"/>
      <w:divBdr>
        <w:top w:val="none" w:sz="0" w:space="0" w:color="auto"/>
        <w:left w:val="none" w:sz="0" w:space="0" w:color="auto"/>
        <w:bottom w:val="none" w:sz="0" w:space="0" w:color="auto"/>
        <w:right w:val="none" w:sz="0" w:space="0" w:color="auto"/>
      </w:divBdr>
    </w:div>
    <w:div w:id="582421557">
      <w:bodyDiv w:val="1"/>
      <w:marLeft w:val="0"/>
      <w:marRight w:val="0"/>
      <w:marTop w:val="0"/>
      <w:marBottom w:val="0"/>
      <w:divBdr>
        <w:top w:val="none" w:sz="0" w:space="0" w:color="auto"/>
        <w:left w:val="none" w:sz="0" w:space="0" w:color="auto"/>
        <w:bottom w:val="none" w:sz="0" w:space="0" w:color="auto"/>
        <w:right w:val="none" w:sz="0" w:space="0" w:color="auto"/>
      </w:divBdr>
      <w:divsChild>
        <w:div w:id="1302150176">
          <w:marLeft w:val="0"/>
          <w:marRight w:val="0"/>
          <w:marTop w:val="0"/>
          <w:marBottom w:val="0"/>
          <w:divBdr>
            <w:top w:val="none" w:sz="0" w:space="0" w:color="auto"/>
            <w:left w:val="none" w:sz="0" w:space="0" w:color="auto"/>
            <w:bottom w:val="none" w:sz="0" w:space="0" w:color="auto"/>
            <w:right w:val="none" w:sz="0" w:space="0" w:color="auto"/>
          </w:divBdr>
          <w:divsChild>
            <w:div w:id="1224175165">
              <w:marLeft w:val="0"/>
              <w:marRight w:val="0"/>
              <w:marTop w:val="0"/>
              <w:marBottom w:val="0"/>
              <w:divBdr>
                <w:top w:val="none" w:sz="0" w:space="0" w:color="auto"/>
                <w:left w:val="none" w:sz="0" w:space="0" w:color="auto"/>
                <w:bottom w:val="none" w:sz="0" w:space="0" w:color="auto"/>
                <w:right w:val="none" w:sz="0" w:space="0" w:color="auto"/>
              </w:divBdr>
              <w:divsChild>
                <w:div w:id="21045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9009">
      <w:bodyDiv w:val="1"/>
      <w:marLeft w:val="0"/>
      <w:marRight w:val="0"/>
      <w:marTop w:val="0"/>
      <w:marBottom w:val="0"/>
      <w:divBdr>
        <w:top w:val="none" w:sz="0" w:space="0" w:color="auto"/>
        <w:left w:val="none" w:sz="0" w:space="0" w:color="auto"/>
        <w:bottom w:val="none" w:sz="0" w:space="0" w:color="auto"/>
        <w:right w:val="none" w:sz="0" w:space="0" w:color="auto"/>
      </w:divBdr>
    </w:div>
    <w:div w:id="801459534">
      <w:bodyDiv w:val="1"/>
      <w:marLeft w:val="0"/>
      <w:marRight w:val="0"/>
      <w:marTop w:val="0"/>
      <w:marBottom w:val="0"/>
      <w:divBdr>
        <w:top w:val="none" w:sz="0" w:space="0" w:color="auto"/>
        <w:left w:val="none" w:sz="0" w:space="0" w:color="auto"/>
        <w:bottom w:val="none" w:sz="0" w:space="0" w:color="auto"/>
        <w:right w:val="none" w:sz="0" w:space="0" w:color="auto"/>
      </w:divBdr>
    </w:div>
    <w:div w:id="819927608">
      <w:bodyDiv w:val="1"/>
      <w:marLeft w:val="0"/>
      <w:marRight w:val="0"/>
      <w:marTop w:val="0"/>
      <w:marBottom w:val="0"/>
      <w:divBdr>
        <w:top w:val="none" w:sz="0" w:space="0" w:color="auto"/>
        <w:left w:val="none" w:sz="0" w:space="0" w:color="auto"/>
        <w:bottom w:val="none" w:sz="0" w:space="0" w:color="auto"/>
        <w:right w:val="none" w:sz="0" w:space="0" w:color="auto"/>
      </w:divBdr>
    </w:div>
    <w:div w:id="871452634">
      <w:bodyDiv w:val="1"/>
      <w:marLeft w:val="0"/>
      <w:marRight w:val="0"/>
      <w:marTop w:val="0"/>
      <w:marBottom w:val="0"/>
      <w:divBdr>
        <w:top w:val="none" w:sz="0" w:space="0" w:color="auto"/>
        <w:left w:val="none" w:sz="0" w:space="0" w:color="auto"/>
        <w:bottom w:val="none" w:sz="0" w:space="0" w:color="auto"/>
        <w:right w:val="none" w:sz="0" w:space="0" w:color="auto"/>
      </w:divBdr>
    </w:div>
    <w:div w:id="884411147">
      <w:bodyDiv w:val="1"/>
      <w:marLeft w:val="0"/>
      <w:marRight w:val="0"/>
      <w:marTop w:val="0"/>
      <w:marBottom w:val="0"/>
      <w:divBdr>
        <w:top w:val="none" w:sz="0" w:space="0" w:color="auto"/>
        <w:left w:val="none" w:sz="0" w:space="0" w:color="auto"/>
        <w:bottom w:val="none" w:sz="0" w:space="0" w:color="auto"/>
        <w:right w:val="none" w:sz="0" w:space="0" w:color="auto"/>
      </w:divBdr>
    </w:div>
    <w:div w:id="1197424081">
      <w:bodyDiv w:val="1"/>
      <w:marLeft w:val="0"/>
      <w:marRight w:val="0"/>
      <w:marTop w:val="0"/>
      <w:marBottom w:val="0"/>
      <w:divBdr>
        <w:top w:val="none" w:sz="0" w:space="0" w:color="auto"/>
        <w:left w:val="none" w:sz="0" w:space="0" w:color="auto"/>
        <w:bottom w:val="none" w:sz="0" w:space="0" w:color="auto"/>
        <w:right w:val="none" w:sz="0" w:space="0" w:color="auto"/>
      </w:divBdr>
    </w:div>
    <w:div w:id="1423062012">
      <w:bodyDiv w:val="1"/>
      <w:marLeft w:val="0"/>
      <w:marRight w:val="0"/>
      <w:marTop w:val="0"/>
      <w:marBottom w:val="0"/>
      <w:divBdr>
        <w:top w:val="none" w:sz="0" w:space="0" w:color="auto"/>
        <w:left w:val="none" w:sz="0" w:space="0" w:color="auto"/>
        <w:bottom w:val="none" w:sz="0" w:space="0" w:color="auto"/>
        <w:right w:val="none" w:sz="0" w:space="0" w:color="auto"/>
      </w:divBdr>
    </w:div>
    <w:div w:id="1424838073">
      <w:bodyDiv w:val="1"/>
      <w:marLeft w:val="0"/>
      <w:marRight w:val="0"/>
      <w:marTop w:val="0"/>
      <w:marBottom w:val="0"/>
      <w:divBdr>
        <w:top w:val="none" w:sz="0" w:space="0" w:color="auto"/>
        <w:left w:val="none" w:sz="0" w:space="0" w:color="auto"/>
        <w:bottom w:val="none" w:sz="0" w:space="0" w:color="auto"/>
        <w:right w:val="none" w:sz="0" w:space="0" w:color="auto"/>
      </w:divBdr>
    </w:div>
    <w:div w:id="1525440936">
      <w:bodyDiv w:val="1"/>
      <w:marLeft w:val="0"/>
      <w:marRight w:val="0"/>
      <w:marTop w:val="0"/>
      <w:marBottom w:val="0"/>
      <w:divBdr>
        <w:top w:val="none" w:sz="0" w:space="0" w:color="auto"/>
        <w:left w:val="none" w:sz="0" w:space="0" w:color="auto"/>
        <w:bottom w:val="none" w:sz="0" w:space="0" w:color="auto"/>
        <w:right w:val="none" w:sz="0" w:space="0" w:color="auto"/>
      </w:divBdr>
    </w:div>
    <w:div w:id="1690451085">
      <w:bodyDiv w:val="1"/>
      <w:marLeft w:val="0"/>
      <w:marRight w:val="0"/>
      <w:marTop w:val="0"/>
      <w:marBottom w:val="0"/>
      <w:divBdr>
        <w:top w:val="none" w:sz="0" w:space="0" w:color="auto"/>
        <w:left w:val="none" w:sz="0" w:space="0" w:color="auto"/>
        <w:bottom w:val="none" w:sz="0" w:space="0" w:color="auto"/>
        <w:right w:val="none" w:sz="0" w:space="0" w:color="auto"/>
      </w:divBdr>
    </w:div>
    <w:div w:id="1971595164">
      <w:bodyDiv w:val="1"/>
      <w:marLeft w:val="0"/>
      <w:marRight w:val="0"/>
      <w:marTop w:val="0"/>
      <w:marBottom w:val="0"/>
      <w:divBdr>
        <w:top w:val="none" w:sz="0" w:space="0" w:color="auto"/>
        <w:left w:val="none" w:sz="0" w:space="0" w:color="auto"/>
        <w:bottom w:val="none" w:sz="0" w:space="0" w:color="auto"/>
        <w:right w:val="none" w:sz="0" w:space="0" w:color="auto"/>
      </w:divBdr>
    </w:div>
    <w:div w:id="2016222044">
      <w:bodyDiv w:val="1"/>
      <w:marLeft w:val="0"/>
      <w:marRight w:val="0"/>
      <w:marTop w:val="0"/>
      <w:marBottom w:val="0"/>
      <w:divBdr>
        <w:top w:val="none" w:sz="0" w:space="0" w:color="auto"/>
        <w:left w:val="none" w:sz="0" w:space="0" w:color="auto"/>
        <w:bottom w:val="none" w:sz="0" w:space="0" w:color="auto"/>
        <w:right w:val="none" w:sz="0" w:space="0" w:color="auto"/>
      </w:divBdr>
    </w:div>
    <w:div w:id="2059041768">
      <w:bodyDiv w:val="1"/>
      <w:marLeft w:val="0"/>
      <w:marRight w:val="0"/>
      <w:marTop w:val="0"/>
      <w:marBottom w:val="0"/>
      <w:divBdr>
        <w:top w:val="none" w:sz="0" w:space="0" w:color="auto"/>
        <w:left w:val="none" w:sz="0" w:space="0" w:color="auto"/>
        <w:bottom w:val="none" w:sz="0" w:space="0" w:color="auto"/>
        <w:right w:val="none" w:sz="0" w:space="0" w:color="auto"/>
      </w:divBdr>
    </w:div>
    <w:div w:id="207122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j.obrien@liverpool.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37FE-6A9E-4395-A7BA-D4F00CB7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6811</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ClarenceCCT</dc:creator>
  <cp:lastModifiedBy>O'Brien, Sarah [sjobrien]</cp:lastModifiedBy>
  <cp:revision>53</cp:revision>
  <cp:lastPrinted>2012-08-20T09:40:00Z</cp:lastPrinted>
  <dcterms:created xsi:type="dcterms:W3CDTF">2016-06-14T16:31:00Z</dcterms:created>
  <dcterms:modified xsi:type="dcterms:W3CDTF">2016-06-21T07:15:00Z</dcterms:modified>
</cp:coreProperties>
</file>