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FDC89" w14:textId="06FDFEF3" w:rsidR="00E7452C" w:rsidRPr="00A31C5D" w:rsidRDefault="00855B81" w:rsidP="00A31C5D">
      <w:pPr>
        <w:spacing w:line="480" w:lineRule="auto"/>
        <w:rPr>
          <w:rFonts w:ascii="Arial" w:hAnsi="Arial" w:cs="Arial"/>
          <w:b/>
          <w:sz w:val="24"/>
          <w:szCs w:val="24"/>
        </w:rPr>
      </w:pPr>
      <w:bookmarkStart w:id="0" w:name="_GoBack"/>
      <w:bookmarkEnd w:id="0"/>
      <w:r w:rsidRPr="00A31C5D">
        <w:rPr>
          <w:rFonts w:ascii="Arial" w:hAnsi="Arial" w:cs="Arial"/>
          <w:b/>
          <w:sz w:val="24"/>
          <w:szCs w:val="24"/>
        </w:rPr>
        <w:t xml:space="preserve">A </w:t>
      </w:r>
      <w:r w:rsidR="004B089D" w:rsidRPr="00A31C5D">
        <w:rPr>
          <w:rFonts w:ascii="Arial" w:hAnsi="Arial" w:cs="Arial"/>
          <w:b/>
          <w:sz w:val="24"/>
          <w:szCs w:val="24"/>
        </w:rPr>
        <w:t>multicenter</w:t>
      </w:r>
      <w:r w:rsidRPr="00A31C5D">
        <w:rPr>
          <w:rFonts w:ascii="Arial" w:hAnsi="Arial" w:cs="Arial"/>
          <w:b/>
          <w:sz w:val="24"/>
          <w:szCs w:val="24"/>
        </w:rPr>
        <w:t xml:space="preserve"> </w:t>
      </w:r>
      <w:r w:rsidR="00AC6DB2" w:rsidRPr="00A31C5D">
        <w:rPr>
          <w:rFonts w:ascii="Arial" w:hAnsi="Arial" w:cs="Arial"/>
          <w:b/>
          <w:sz w:val="24"/>
          <w:szCs w:val="24"/>
        </w:rPr>
        <w:t>c</w:t>
      </w:r>
      <w:r w:rsidR="00E7452C" w:rsidRPr="00A31C5D">
        <w:rPr>
          <w:rFonts w:ascii="Arial" w:hAnsi="Arial" w:cs="Arial"/>
          <w:b/>
          <w:sz w:val="24"/>
          <w:szCs w:val="24"/>
        </w:rPr>
        <w:t xml:space="preserve">omparison between Child Pugh and ALBI </w:t>
      </w:r>
      <w:r w:rsidR="00C7239E" w:rsidRPr="00A31C5D">
        <w:rPr>
          <w:rFonts w:ascii="Arial" w:hAnsi="Arial" w:cs="Arial"/>
          <w:b/>
          <w:sz w:val="24"/>
          <w:szCs w:val="24"/>
        </w:rPr>
        <w:t>score</w:t>
      </w:r>
      <w:r w:rsidR="00D60056" w:rsidRPr="00A31C5D">
        <w:rPr>
          <w:rFonts w:ascii="Arial" w:hAnsi="Arial" w:cs="Arial"/>
          <w:b/>
          <w:sz w:val="24"/>
          <w:szCs w:val="24"/>
        </w:rPr>
        <w:t>s</w:t>
      </w:r>
      <w:r w:rsidR="00E7452C" w:rsidRPr="00A31C5D">
        <w:rPr>
          <w:rFonts w:ascii="Arial" w:hAnsi="Arial" w:cs="Arial"/>
          <w:b/>
          <w:sz w:val="24"/>
          <w:szCs w:val="24"/>
        </w:rPr>
        <w:t xml:space="preserve"> in patients treated with sorafenib for H</w:t>
      </w:r>
      <w:r w:rsidR="00E93829" w:rsidRPr="00A31C5D">
        <w:rPr>
          <w:rFonts w:ascii="Arial" w:hAnsi="Arial" w:cs="Arial"/>
          <w:b/>
          <w:sz w:val="24"/>
          <w:szCs w:val="24"/>
        </w:rPr>
        <w:t>epatocellular Carcinoma</w:t>
      </w:r>
    </w:p>
    <w:p w14:paraId="10FC3BEE" w14:textId="380C4BB2" w:rsidR="005D04F7" w:rsidRPr="00A31C5D" w:rsidRDefault="005D04F7" w:rsidP="00A31C5D">
      <w:pPr>
        <w:spacing w:line="480" w:lineRule="auto"/>
        <w:rPr>
          <w:rFonts w:ascii="Arial" w:hAnsi="Arial" w:cs="Arial"/>
          <w:sz w:val="24"/>
          <w:szCs w:val="24"/>
          <w:vertAlign w:val="superscript"/>
        </w:rPr>
      </w:pPr>
      <w:r w:rsidRPr="00A31C5D">
        <w:rPr>
          <w:rFonts w:ascii="Arial" w:hAnsi="Arial" w:cs="Arial"/>
          <w:sz w:val="24"/>
          <w:szCs w:val="24"/>
        </w:rPr>
        <w:t>Julien Edeline</w:t>
      </w:r>
      <w:r w:rsidR="00AF5A4A" w:rsidRPr="00A31C5D">
        <w:rPr>
          <w:rFonts w:ascii="Arial" w:hAnsi="Arial" w:cs="Arial"/>
          <w:sz w:val="24"/>
          <w:szCs w:val="24"/>
          <w:vertAlign w:val="superscript"/>
        </w:rPr>
        <w:t>1</w:t>
      </w:r>
      <w:r w:rsidRPr="00A31C5D">
        <w:rPr>
          <w:rFonts w:ascii="Arial" w:hAnsi="Arial" w:cs="Arial"/>
          <w:sz w:val="24"/>
          <w:szCs w:val="24"/>
        </w:rPr>
        <w:t>, Jean-Frédéric Blanc</w:t>
      </w:r>
      <w:r w:rsidR="00AF5A4A" w:rsidRPr="00A31C5D">
        <w:rPr>
          <w:rFonts w:ascii="Arial" w:hAnsi="Arial" w:cs="Arial"/>
          <w:sz w:val="24"/>
          <w:szCs w:val="24"/>
          <w:vertAlign w:val="superscript"/>
        </w:rPr>
        <w:t>2</w:t>
      </w:r>
      <w:r w:rsidRPr="00A31C5D">
        <w:rPr>
          <w:rFonts w:ascii="Arial" w:hAnsi="Arial" w:cs="Arial"/>
          <w:sz w:val="24"/>
          <w:szCs w:val="24"/>
        </w:rPr>
        <w:t>, Philip Johnson</w:t>
      </w:r>
      <w:r w:rsidR="00AF5A4A" w:rsidRPr="00A31C5D">
        <w:rPr>
          <w:rFonts w:ascii="Arial" w:hAnsi="Arial" w:cs="Arial"/>
          <w:sz w:val="24"/>
          <w:szCs w:val="24"/>
          <w:vertAlign w:val="superscript"/>
        </w:rPr>
        <w:t>3,4</w:t>
      </w:r>
      <w:r w:rsidRPr="00A31C5D">
        <w:rPr>
          <w:rFonts w:ascii="Arial" w:hAnsi="Arial" w:cs="Arial"/>
          <w:sz w:val="24"/>
          <w:szCs w:val="24"/>
        </w:rPr>
        <w:t>, Boris Campillo-Gimenez</w:t>
      </w:r>
      <w:r w:rsidR="00CA774B" w:rsidRPr="00A31C5D">
        <w:rPr>
          <w:rFonts w:ascii="Arial" w:hAnsi="Arial" w:cs="Arial"/>
          <w:sz w:val="24"/>
          <w:szCs w:val="24"/>
          <w:vertAlign w:val="superscript"/>
        </w:rPr>
        <w:t>1</w:t>
      </w:r>
      <w:r w:rsidRPr="00A31C5D">
        <w:rPr>
          <w:rFonts w:ascii="Arial" w:hAnsi="Arial" w:cs="Arial"/>
          <w:sz w:val="24"/>
          <w:szCs w:val="24"/>
        </w:rPr>
        <w:t>, Paul Ross</w:t>
      </w:r>
      <w:r w:rsidR="00CA774B" w:rsidRPr="00A31C5D">
        <w:rPr>
          <w:rFonts w:ascii="Arial" w:hAnsi="Arial" w:cs="Arial"/>
          <w:sz w:val="24"/>
          <w:szCs w:val="24"/>
          <w:vertAlign w:val="superscript"/>
        </w:rPr>
        <w:t>5</w:t>
      </w:r>
      <w:r w:rsidRPr="00A31C5D">
        <w:rPr>
          <w:rFonts w:ascii="Arial" w:hAnsi="Arial" w:cs="Arial"/>
          <w:sz w:val="24"/>
          <w:szCs w:val="24"/>
        </w:rPr>
        <w:t>, Yuk Ting Ma</w:t>
      </w:r>
      <w:r w:rsidR="00CA774B" w:rsidRPr="00A31C5D">
        <w:rPr>
          <w:rFonts w:ascii="Arial" w:hAnsi="Arial" w:cs="Arial"/>
          <w:sz w:val="24"/>
          <w:szCs w:val="24"/>
          <w:vertAlign w:val="superscript"/>
        </w:rPr>
        <w:t>6</w:t>
      </w:r>
      <w:r w:rsidR="00F23A52" w:rsidRPr="00A31C5D">
        <w:rPr>
          <w:rFonts w:ascii="Arial" w:hAnsi="Arial" w:cs="Arial"/>
          <w:sz w:val="24"/>
          <w:szCs w:val="24"/>
          <w:vertAlign w:val="superscript"/>
        </w:rPr>
        <w:t>,7</w:t>
      </w:r>
      <w:r w:rsidRPr="00A31C5D">
        <w:rPr>
          <w:rFonts w:ascii="Arial" w:hAnsi="Arial" w:cs="Arial"/>
          <w:sz w:val="24"/>
          <w:szCs w:val="24"/>
        </w:rPr>
        <w:t>, Judy King</w:t>
      </w:r>
      <w:r w:rsidR="00F23A52" w:rsidRPr="00A31C5D">
        <w:rPr>
          <w:rFonts w:ascii="Arial" w:hAnsi="Arial" w:cs="Arial"/>
          <w:sz w:val="24"/>
          <w:szCs w:val="24"/>
          <w:vertAlign w:val="superscript"/>
        </w:rPr>
        <w:t>8</w:t>
      </w:r>
      <w:r w:rsidRPr="00A31C5D">
        <w:rPr>
          <w:rFonts w:ascii="Arial" w:hAnsi="Arial" w:cs="Arial"/>
          <w:sz w:val="24"/>
          <w:szCs w:val="24"/>
        </w:rPr>
        <w:t xml:space="preserve">, Richard </w:t>
      </w:r>
      <w:r w:rsidR="00D762DC" w:rsidRPr="00A31C5D">
        <w:rPr>
          <w:rFonts w:ascii="Arial" w:hAnsi="Arial" w:cs="Arial"/>
          <w:sz w:val="24"/>
          <w:szCs w:val="24"/>
        </w:rPr>
        <w:t xml:space="preserve">A. </w:t>
      </w:r>
      <w:r w:rsidRPr="00A31C5D">
        <w:rPr>
          <w:rFonts w:ascii="Arial" w:hAnsi="Arial" w:cs="Arial"/>
          <w:sz w:val="24"/>
          <w:szCs w:val="24"/>
        </w:rPr>
        <w:t>Hubner</w:t>
      </w:r>
      <w:r w:rsidR="00F23A52" w:rsidRPr="00A31C5D">
        <w:rPr>
          <w:rFonts w:ascii="Arial" w:hAnsi="Arial" w:cs="Arial"/>
          <w:sz w:val="24"/>
          <w:szCs w:val="24"/>
          <w:vertAlign w:val="superscript"/>
        </w:rPr>
        <w:t>9</w:t>
      </w:r>
      <w:r w:rsidRPr="00A31C5D">
        <w:rPr>
          <w:rFonts w:ascii="Arial" w:hAnsi="Arial" w:cs="Arial"/>
          <w:sz w:val="24"/>
          <w:szCs w:val="24"/>
        </w:rPr>
        <w:t xml:space="preserve">, </w:t>
      </w:r>
      <w:r w:rsidR="00ED603B" w:rsidRPr="00A31C5D">
        <w:rPr>
          <w:rFonts w:ascii="Arial" w:hAnsi="Arial" w:cs="Arial"/>
          <w:sz w:val="24"/>
          <w:szCs w:val="24"/>
        </w:rPr>
        <w:t>Kate Sumpter</w:t>
      </w:r>
      <w:r w:rsidR="00F23A52" w:rsidRPr="00A31C5D">
        <w:rPr>
          <w:rFonts w:ascii="Arial" w:hAnsi="Arial" w:cs="Arial"/>
          <w:sz w:val="24"/>
          <w:szCs w:val="24"/>
          <w:vertAlign w:val="superscript"/>
        </w:rPr>
        <w:t>10</w:t>
      </w:r>
      <w:r w:rsidRPr="00A31C5D">
        <w:rPr>
          <w:rFonts w:ascii="Arial" w:hAnsi="Arial" w:cs="Arial"/>
          <w:sz w:val="24"/>
          <w:szCs w:val="24"/>
        </w:rPr>
        <w:t>, Suzanne Darby</w:t>
      </w:r>
      <w:r w:rsidR="00AF5A4A" w:rsidRPr="00A31C5D">
        <w:rPr>
          <w:rFonts w:ascii="Arial" w:hAnsi="Arial" w:cs="Arial"/>
          <w:sz w:val="24"/>
          <w:szCs w:val="24"/>
          <w:vertAlign w:val="superscript"/>
        </w:rPr>
        <w:t>1</w:t>
      </w:r>
      <w:r w:rsidR="00F23A52" w:rsidRPr="00A31C5D">
        <w:rPr>
          <w:rFonts w:ascii="Arial" w:hAnsi="Arial" w:cs="Arial"/>
          <w:sz w:val="24"/>
          <w:szCs w:val="24"/>
          <w:vertAlign w:val="superscript"/>
        </w:rPr>
        <w:t>1</w:t>
      </w:r>
      <w:r w:rsidRPr="00A31C5D">
        <w:rPr>
          <w:rFonts w:ascii="Arial" w:hAnsi="Arial" w:cs="Arial"/>
          <w:sz w:val="24"/>
          <w:szCs w:val="24"/>
        </w:rPr>
        <w:t>, Jeff Evans</w:t>
      </w:r>
      <w:r w:rsidR="00AF5A4A" w:rsidRPr="00A31C5D">
        <w:rPr>
          <w:rFonts w:ascii="Arial" w:hAnsi="Arial" w:cs="Arial"/>
          <w:sz w:val="24"/>
          <w:szCs w:val="24"/>
          <w:vertAlign w:val="superscript"/>
        </w:rPr>
        <w:t>1</w:t>
      </w:r>
      <w:r w:rsidR="00F23A52" w:rsidRPr="00A31C5D">
        <w:rPr>
          <w:rFonts w:ascii="Arial" w:hAnsi="Arial" w:cs="Arial"/>
          <w:sz w:val="24"/>
          <w:szCs w:val="24"/>
          <w:vertAlign w:val="superscript"/>
        </w:rPr>
        <w:t>2</w:t>
      </w:r>
      <w:r w:rsidRPr="00A31C5D">
        <w:rPr>
          <w:rFonts w:ascii="Arial" w:hAnsi="Arial" w:cs="Arial"/>
          <w:sz w:val="24"/>
          <w:szCs w:val="24"/>
        </w:rPr>
        <w:t>, Chinenye Iwuji</w:t>
      </w:r>
      <w:r w:rsidR="00AF5A4A" w:rsidRPr="00A31C5D">
        <w:rPr>
          <w:rFonts w:ascii="Arial" w:hAnsi="Arial" w:cs="Arial"/>
          <w:sz w:val="24"/>
          <w:szCs w:val="24"/>
          <w:vertAlign w:val="superscript"/>
        </w:rPr>
        <w:t>1</w:t>
      </w:r>
      <w:r w:rsidR="00F23A52" w:rsidRPr="00A31C5D">
        <w:rPr>
          <w:rFonts w:ascii="Arial" w:hAnsi="Arial" w:cs="Arial"/>
          <w:sz w:val="24"/>
          <w:szCs w:val="24"/>
          <w:vertAlign w:val="superscript"/>
        </w:rPr>
        <w:t>3</w:t>
      </w:r>
      <w:r w:rsidRPr="00A31C5D">
        <w:rPr>
          <w:rFonts w:ascii="Arial" w:hAnsi="Arial" w:cs="Arial"/>
          <w:sz w:val="24"/>
          <w:szCs w:val="24"/>
        </w:rPr>
        <w:t>, Dan</w:t>
      </w:r>
      <w:r w:rsidR="00621720" w:rsidRPr="00A31C5D">
        <w:rPr>
          <w:rFonts w:ascii="Arial" w:hAnsi="Arial" w:cs="Arial"/>
          <w:sz w:val="24"/>
          <w:szCs w:val="24"/>
        </w:rPr>
        <w:t>iel</w:t>
      </w:r>
      <w:r w:rsidRPr="00A31C5D">
        <w:rPr>
          <w:rFonts w:ascii="Arial" w:hAnsi="Arial" w:cs="Arial"/>
          <w:sz w:val="24"/>
          <w:szCs w:val="24"/>
        </w:rPr>
        <w:t xml:space="preserve"> Swinson</w:t>
      </w:r>
      <w:r w:rsidR="00AF5A4A" w:rsidRPr="00A31C5D">
        <w:rPr>
          <w:rFonts w:ascii="Arial" w:hAnsi="Arial" w:cs="Arial"/>
          <w:sz w:val="24"/>
          <w:szCs w:val="24"/>
          <w:vertAlign w:val="superscript"/>
        </w:rPr>
        <w:t>1</w:t>
      </w:r>
      <w:r w:rsidR="00F23A52" w:rsidRPr="00A31C5D">
        <w:rPr>
          <w:rFonts w:ascii="Arial" w:hAnsi="Arial" w:cs="Arial"/>
          <w:sz w:val="24"/>
          <w:szCs w:val="24"/>
          <w:vertAlign w:val="superscript"/>
        </w:rPr>
        <w:t>4</w:t>
      </w:r>
      <w:r w:rsidRPr="00A31C5D">
        <w:rPr>
          <w:rFonts w:ascii="Arial" w:hAnsi="Arial" w:cs="Arial"/>
          <w:sz w:val="24"/>
          <w:szCs w:val="24"/>
        </w:rPr>
        <w:t>, Peter Collins</w:t>
      </w:r>
      <w:r w:rsidR="00AF5A4A" w:rsidRPr="00A31C5D">
        <w:rPr>
          <w:rFonts w:ascii="Arial" w:hAnsi="Arial" w:cs="Arial"/>
          <w:sz w:val="24"/>
          <w:szCs w:val="24"/>
          <w:vertAlign w:val="superscript"/>
        </w:rPr>
        <w:t>1</w:t>
      </w:r>
      <w:r w:rsidR="00F23A52" w:rsidRPr="00A31C5D">
        <w:rPr>
          <w:rFonts w:ascii="Arial" w:hAnsi="Arial" w:cs="Arial"/>
          <w:sz w:val="24"/>
          <w:szCs w:val="24"/>
          <w:vertAlign w:val="superscript"/>
        </w:rPr>
        <w:t>5</w:t>
      </w:r>
      <w:r w:rsidRPr="00A31C5D">
        <w:rPr>
          <w:rFonts w:ascii="Arial" w:hAnsi="Arial" w:cs="Arial"/>
          <w:sz w:val="24"/>
          <w:szCs w:val="24"/>
        </w:rPr>
        <w:t>, Kinnari Patel</w:t>
      </w:r>
      <w:r w:rsidR="00AF5A4A" w:rsidRPr="00A31C5D">
        <w:rPr>
          <w:rFonts w:ascii="Arial" w:hAnsi="Arial" w:cs="Arial"/>
          <w:sz w:val="24"/>
          <w:szCs w:val="24"/>
          <w:vertAlign w:val="superscript"/>
        </w:rPr>
        <w:t>1</w:t>
      </w:r>
      <w:r w:rsidR="00F23A52" w:rsidRPr="00A31C5D">
        <w:rPr>
          <w:rFonts w:ascii="Arial" w:hAnsi="Arial" w:cs="Arial"/>
          <w:sz w:val="24"/>
          <w:szCs w:val="24"/>
          <w:vertAlign w:val="superscript"/>
        </w:rPr>
        <w:t>6</w:t>
      </w:r>
      <w:r w:rsidRPr="00A31C5D">
        <w:rPr>
          <w:rFonts w:ascii="Arial" w:hAnsi="Arial" w:cs="Arial"/>
          <w:sz w:val="24"/>
          <w:szCs w:val="24"/>
        </w:rPr>
        <w:t>, Iqtedar Muazzam</w:t>
      </w:r>
      <w:r w:rsidR="00AF5A4A" w:rsidRPr="00A31C5D">
        <w:rPr>
          <w:rFonts w:ascii="Arial" w:hAnsi="Arial" w:cs="Arial"/>
          <w:sz w:val="24"/>
          <w:szCs w:val="24"/>
          <w:vertAlign w:val="superscript"/>
        </w:rPr>
        <w:t>1</w:t>
      </w:r>
      <w:r w:rsidR="00F23A52" w:rsidRPr="00A31C5D">
        <w:rPr>
          <w:rFonts w:ascii="Arial" w:hAnsi="Arial" w:cs="Arial"/>
          <w:sz w:val="24"/>
          <w:szCs w:val="24"/>
          <w:vertAlign w:val="superscript"/>
        </w:rPr>
        <w:t>7</w:t>
      </w:r>
      <w:r w:rsidRPr="00A31C5D">
        <w:rPr>
          <w:rFonts w:ascii="Arial" w:hAnsi="Arial" w:cs="Arial"/>
          <w:sz w:val="24"/>
          <w:szCs w:val="24"/>
        </w:rPr>
        <w:t>, Dan</w:t>
      </w:r>
      <w:r w:rsidR="00F23A52" w:rsidRPr="00A31C5D">
        <w:rPr>
          <w:rFonts w:ascii="Arial" w:hAnsi="Arial" w:cs="Arial"/>
          <w:sz w:val="24"/>
          <w:szCs w:val="24"/>
        </w:rPr>
        <w:t>iel H</w:t>
      </w:r>
      <w:r w:rsidRPr="00A31C5D">
        <w:rPr>
          <w:rFonts w:ascii="Arial" w:hAnsi="Arial" w:cs="Arial"/>
          <w:sz w:val="24"/>
          <w:szCs w:val="24"/>
        </w:rPr>
        <w:t xml:space="preserve"> Palmer</w:t>
      </w:r>
      <w:r w:rsidR="00AF5A4A" w:rsidRPr="00A31C5D">
        <w:rPr>
          <w:rFonts w:ascii="Arial" w:hAnsi="Arial" w:cs="Arial"/>
          <w:sz w:val="24"/>
          <w:szCs w:val="24"/>
          <w:vertAlign w:val="superscript"/>
        </w:rPr>
        <w:t>3</w:t>
      </w:r>
      <w:r w:rsidR="00EB67B0" w:rsidRPr="00A31C5D">
        <w:rPr>
          <w:rFonts w:ascii="Arial" w:hAnsi="Arial" w:cs="Arial"/>
          <w:sz w:val="24"/>
          <w:szCs w:val="24"/>
          <w:vertAlign w:val="superscript"/>
        </w:rPr>
        <w:t>,4</w:t>
      </w:r>
      <w:r w:rsidRPr="00A31C5D">
        <w:rPr>
          <w:rFonts w:ascii="Arial" w:hAnsi="Arial" w:cs="Arial"/>
          <w:sz w:val="24"/>
          <w:szCs w:val="24"/>
        </w:rPr>
        <w:t xml:space="preserve"> and Tim Meyer</w:t>
      </w:r>
      <w:r w:rsidR="00A746F4" w:rsidRPr="00A31C5D">
        <w:rPr>
          <w:rFonts w:ascii="Arial" w:hAnsi="Arial" w:cs="Arial"/>
          <w:sz w:val="24"/>
          <w:szCs w:val="24"/>
          <w:vertAlign w:val="superscript"/>
        </w:rPr>
        <w:t>7</w:t>
      </w:r>
      <w:r w:rsidR="00AF5A4A" w:rsidRPr="00A31C5D">
        <w:rPr>
          <w:rFonts w:ascii="Arial" w:hAnsi="Arial" w:cs="Arial"/>
          <w:sz w:val="24"/>
          <w:szCs w:val="24"/>
          <w:vertAlign w:val="superscript"/>
        </w:rPr>
        <w:t>,1</w:t>
      </w:r>
      <w:r w:rsidR="00F23A52" w:rsidRPr="00A31C5D">
        <w:rPr>
          <w:rFonts w:ascii="Arial" w:hAnsi="Arial" w:cs="Arial"/>
          <w:sz w:val="24"/>
          <w:szCs w:val="24"/>
          <w:vertAlign w:val="superscript"/>
        </w:rPr>
        <w:t>8</w:t>
      </w:r>
    </w:p>
    <w:p w14:paraId="06CFB80F" w14:textId="642BA62C" w:rsidR="00AF5A4A" w:rsidRPr="00A31C5D" w:rsidRDefault="00AF5A4A" w:rsidP="00A31C5D">
      <w:pPr>
        <w:spacing w:before="100" w:beforeAutospacing="1" w:after="100" w:afterAutospacing="1" w:line="480" w:lineRule="auto"/>
        <w:jc w:val="both"/>
        <w:rPr>
          <w:rFonts w:ascii="Arial" w:eastAsia="Times New Roman" w:hAnsi="Arial" w:cs="Arial"/>
          <w:sz w:val="24"/>
          <w:szCs w:val="24"/>
          <w:vertAlign w:val="superscript"/>
          <w:lang w:eastAsia="en-GB"/>
        </w:rPr>
      </w:pPr>
      <w:r w:rsidRPr="00A31C5D">
        <w:rPr>
          <w:rFonts w:ascii="Arial" w:eastAsia="Times New Roman" w:hAnsi="Arial" w:cs="Arial"/>
          <w:sz w:val="24"/>
          <w:szCs w:val="24"/>
          <w:vertAlign w:val="superscript"/>
          <w:lang w:eastAsia="en-GB"/>
        </w:rPr>
        <w:t>1</w:t>
      </w:r>
      <w:r w:rsidRPr="00A31C5D">
        <w:rPr>
          <w:rFonts w:ascii="Arial" w:hAnsi="Arial" w:cs="Arial"/>
          <w:sz w:val="24"/>
          <w:szCs w:val="24"/>
        </w:rPr>
        <w:t xml:space="preserve"> </w:t>
      </w:r>
      <w:r w:rsidRPr="00A31C5D">
        <w:rPr>
          <w:rFonts w:ascii="Arial" w:eastAsia="Times New Roman" w:hAnsi="Arial" w:cs="Arial"/>
          <w:sz w:val="24"/>
          <w:szCs w:val="24"/>
          <w:lang w:eastAsia="en-GB"/>
        </w:rPr>
        <w:t>Centre Eugène Marquis, Rennes</w:t>
      </w:r>
      <w:r w:rsidR="00F23A52" w:rsidRPr="00A31C5D">
        <w:rPr>
          <w:rFonts w:ascii="Arial" w:eastAsia="Times New Roman" w:hAnsi="Arial" w:cs="Arial"/>
          <w:sz w:val="24"/>
          <w:szCs w:val="24"/>
          <w:lang w:eastAsia="en-GB"/>
        </w:rPr>
        <w:t>,</w:t>
      </w:r>
      <w:r w:rsidR="00ED603B" w:rsidRPr="00A31C5D">
        <w:rPr>
          <w:rFonts w:ascii="Arial" w:eastAsia="Times New Roman" w:hAnsi="Arial" w:cs="Arial"/>
          <w:sz w:val="24"/>
          <w:szCs w:val="24"/>
          <w:lang w:eastAsia="en-GB"/>
        </w:rPr>
        <w:t xml:space="preserve"> France;</w:t>
      </w:r>
      <w:r w:rsidRPr="00A31C5D">
        <w:rPr>
          <w:rFonts w:ascii="Arial" w:eastAsia="Times New Roman" w:hAnsi="Arial" w:cs="Arial"/>
          <w:sz w:val="24"/>
          <w:szCs w:val="24"/>
          <w:lang w:eastAsia="en-GB"/>
        </w:rPr>
        <w:t xml:space="preserve"> </w:t>
      </w:r>
      <w:r w:rsidRPr="00A31C5D">
        <w:rPr>
          <w:rFonts w:ascii="Arial" w:eastAsia="Times New Roman" w:hAnsi="Arial" w:cs="Arial"/>
          <w:sz w:val="24"/>
          <w:szCs w:val="24"/>
          <w:vertAlign w:val="superscript"/>
          <w:lang w:eastAsia="en-GB"/>
        </w:rPr>
        <w:t>2</w:t>
      </w:r>
      <w:r w:rsidRPr="00A31C5D">
        <w:rPr>
          <w:rFonts w:ascii="Arial" w:eastAsia="Times New Roman" w:hAnsi="Arial" w:cs="Arial"/>
          <w:sz w:val="24"/>
          <w:szCs w:val="24"/>
          <w:lang w:eastAsia="en-GB"/>
        </w:rPr>
        <w:t>Centre Hospitalier Universitaire de Bordeaux, France</w:t>
      </w:r>
      <w:r w:rsidR="00ED603B" w:rsidRPr="00A31C5D">
        <w:rPr>
          <w:rFonts w:ascii="Arial" w:eastAsia="Times New Roman" w:hAnsi="Arial" w:cs="Arial"/>
          <w:sz w:val="24"/>
          <w:szCs w:val="24"/>
          <w:lang w:eastAsia="en-GB"/>
        </w:rPr>
        <w:t>;</w:t>
      </w:r>
      <w:r w:rsidR="006F21FD" w:rsidRPr="00A31C5D">
        <w:rPr>
          <w:rFonts w:ascii="Arial" w:eastAsia="Times New Roman" w:hAnsi="Arial" w:cs="Arial"/>
          <w:sz w:val="24"/>
          <w:szCs w:val="24"/>
          <w:lang w:eastAsia="en-GB"/>
        </w:rPr>
        <w:t xml:space="preserve"> </w:t>
      </w:r>
      <w:r w:rsidR="006F21FD" w:rsidRPr="00A31C5D">
        <w:rPr>
          <w:rFonts w:ascii="Arial" w:eastAsia="Times New Roman" w:hAnsi="Arial" w:cs="Arial"/>
          <w:sz w:val="24"/>
          <w:szCs w:val="24"/>
          <w:vertAlign w:val="superscript"/>
          <w:lang w:eastAsia="en-GB"/>
        </w:rPr>
        <w:t>3</w:t>
      </w:r>
      <w:r w:rsidR="006F21FD" w:rsidRPr="00A31C5D">
        <w:rPr>
          <w:rFonts w:ascii="Arial" w:eastAsia="Times New Roman" w:hAnsi="Arial" w:cs="Arial"/>
          <w:sz w:val="24"/>
          <w:szCs w:val="24"/>
          <w:lang w:eastAsia="en-GB"/>
        </w:rPr>
        <w:t xml:space="preserve">University of Liverpool, UK; </w:t>
      </w:r>
      <w:r w:rsidR="006F21FD" w:rsidRPr="00A31C5D">
        <w:rPr>
          <w:rFonts w:ascii="Arial" w:eastAsia="Times New Roman" w:hAnsi="Arial" w:cs="Arial"/>
          <w:sz w:val="24"/>
          <w:szCs w:val="24"/>
          <w:vertAlign w:val="superscript"/>
          <w:lang w:eastAsia="en-GB"/>
        </w:rPr>
        <w:t>4</w:t>
      </w:r>
      <w:r w:rsidR="006F21FD" w:rsidRPr="00A31C5D">
        <w:rPr>
          <w:rFonts w:ascii="Arial" w:eastAsia="Times New Roman" w:hAnsi="Arial" w:cs="Arial"/>
          <w:sz w:val="24"/>
          <w:szCs w:val="24"/>
          <w:lang w:eastAsia="en-GB"/>
        </w:rPr>
        <w:t>Clatterbridge Cancer Centre</w:t>
      </w:r>
      <w:r w:rsidR="00EB67B0" w:rsidRPr="00A31C5D">
        <w:rPr>
          <w:rFonts w:ascii="Arial" w:eastAsia="Times New Roman" w:hAnsi="Arial" w:cs="Arial"/>
          <w:sz w:val="24"/>
          <w:szCs w:val="24"/>
          <w:lang w:eastAsia="en-GB"/>
        </w:rPr>
        <w:t>, Liverpool, UK;</w:t>
      </w:r>
      <w:r w:rsidR="006F21FD" w:rsidRPr="00A31C5D">
        <w:rPr>
          <w:rFonts w:ascii="Arial" w:eastAsia="Times New Roman" w:hAnsi="Arial" w:cs="Arial"/>
          <w:sz w:val="24"/>
          <w:szCs w:val="24"/>
          <w:lang w:eastAsia="en-GB"/>
        </w:rPr>
        <w:t xml:space="preserve"> </w:t>
      </w:r>
      <w:r w:rsidR="00CA774B" w:rsidRPr="00A31C5D">
        <w:rPr>
          <w:rFonts w:ascii="Arial" w:eastAsia="Times New Roman" w:hAnsi="Arial" w:cs="Arial"/>
          <w:sz w:val="24"/>
          <w:szCs w:val="24"/>
          <w:vertAlign w:val="superscript"/>
          <w:lang w:eastAsia="en-GB"/>
        </w:rPr>
        <w:t>5</w:t>
      </w:r>
      <w:r w:rsidR="006F21FD" w:rsidRPr="00A31C5D">
        <w:rPr>
          <w:rFonts w:ascii="Arial" w:eastAsia="Times New Roman" w:hAnsi="Arial" w:cs="Arial"/>
          <w:sz w:val="24"/>
          <w:szCs w:val="24"/>
          <w:lang w:eastAsia="en-GB"/>
        </w:rPr>
        <w:t>King’s College Hospital</w:t>
      </w:r>
      <w:r w:rsidR="00A746F4" w:rsidRPr="00A31C5D">
        <w:rPr>
          <w:rFonts w:ascii="Arial" w:eastAsia="Times New Roman" w:hAnsi="Arial" w:cs="Arial"/>
          <w:sz w:val="24"/>
          <w:szCs w:val="24"/>
          <w:lang w:eastAsia="en-GB"/>
        </w:rPr>
        <w:t xml:space="preserve"> NHS Foundation Trust</w:t>
      </w:r>
      <w:r w:rsidR="006F21FD" w:rsidRPr="00A31C5D">
        <w:rPr>
          <w:rFonts w:ascii="Arial" w:eastAsia="Times New Roman" w:hAnsi="Arial" w:cs="Arial"/>
          <w:sz w:val="24"/>
          <w:szCs w:val="24"/>
          <w:lang w:eastAsia="en-GB"/>
        </w:rPr>
        <w:t>, London</w:t>
      </w:r>
      <w:r w:rsidR="00EB67B0" w:rsidRPr="00A31C5D">
        <w:rPr>
          <w:rFonts w:ascii="Arial" w:eastAsia="Times New Roman" w:hAnsi="Arial" w:cs="Arial"/>
          <w:sz w:val="24"/>
          <w:szCs w:val="24"/>
          <w:lang w:eastAsia="en-GB"/>
        </w:rPr>
        <w:t>, UK;</w:t>
      </w:r>
      <w:r w:rsidR="006F21FD" w:rsidRPr="00A31C5D">
        <w:rPr>
          <w:rFonts w:ascii="Arial" w:eastAsia="Times New Roman" w:hAnsi="Arial" w:cs="Arial"/>
          <w:sz w:val="24"/>
          <w:szCs w:val="24"/>
          <w:lang w:eastAsia="en-GB"/>
        </w:rPr>
        <w:t xml:space="preserve"> </w:t>
      </w:r>
      <w:r w:rsidR="00CA774B" w:rsidRPr="00A31C5D">
        <w:rPr>
          <w:rFonts w:ascii="Arial" w:eastAsia="Times New Roman" w:hAnsi="Arial" w:cs="Arial"/>
          <w:sz w:val="24"/>
          <w:szCs w:val="24"/>
          <w:vertAlign w:val="superscript"/>
          <w:lang w:eastAsia="en-GB"/>
        </w:rPr>
        <w:t>6</w:t>
      </w:r>
      <w:r w:rsidR="006F21FD" w:rsidRPr="00A31C5D">
        <w:rPr>
          <w:rFonts w:ascii="Arial" w:eastAsia="Times New Roman" w:hAnsi="Arial" w:cs="Arial"/>
          <w:sz w:val="24"/>
          <w:szCs w:val="24"/>
          <w:lang w:eastAsia="en-GB"/>
        </w:rPr>
        <w:t>University of Birmingham</w:t>
      </w:r>
      <w:r w:rsidR="00EB67B0" w:rsidRPr="00A31C5D">
        <w:rPr>
          <w:rFonts w:ascii="Arial" w:eastAsia="Times New Roman" w:hAnsi="Arial" w:cs="Arial"/>
          <w:sz w:val="24"/>
          <w:szCs w:val="24"/>
          <w:lang w:eastAsia="en-GB"/>
        </w:rPr>
        <w:t>, UK;</w:t>
      </w:r>
      <w:r w:rsidR="00F23A52" w:rsidRPr="00A31C5D">
        <w:rPr>
          <w:rFonts w:ascii="Arial" w:eastAsia="Times New Roman" w:hAnsi="Arial" w:cs="Arial"/>
          <w:sz w:val="24"/>
          <w:szCs w:val="24"/>
          <w:lang w:eastAsia="en-GB"/>
        </w:rPr>
        <w:t xml:space="preserve"> </w:t>
      </w:r>
      <w:r w:rsidR="00F23A52" w:rsidRPr="00A31C5D">
        <w:rPr>
          <w:rFonts w:ascii="Arial" w:eastAsia="Times New Roman" w:hAnsi="Arial" w:cs="Arial"/>
          <w:sz w:val="24"/>
          <w:szCs w:val="24"/>
          <w:vertAlign w:val="superscript"/>
          <w:lang w:eastAsia="en-GB"/>
        </w:rPr>
        <w:t>7</w:t>
      </w:r>
      <w:r w:rsidR="00F23A52" w:rsidRPr="00A31C5D">
        <w:rPr>
          <w:rFonts w:ascii="Arial" w:eastAsia="Times New Roman" w:hAnsi="Arial" w:cs="Arial"/>
          <w:sz w:val="24"/>
          <w:szCs w:val="24"/>
          <w:lang w:eastAsia="en-GB"/>
        </w:rPr>
        <w:t>University Hospital Birmingham NHS Foundation Trust, UK</w:t>
      </w:r>
      <w:r w:rsidR="00427093" w:rsidRPr="00A31C5D">
        <w:rPr>
          <w:rFonts w:ascii="Arial" w:eastAsia="Times New Roman" w:hAnsi="Arial" w:cs="Arial"/>
          <w:sz w:val="24"/>
          <w:szCs w:val="24"/>
          <w:lang w:eastAsia="en-GB"/>
        </w:rPr>
        <w:t>;</w:t>
      </w:r>
      <w:r w:rsidR="006F21FD" w:rsidRPr="00A31C5D">
        <w:rPr>
          <w:rFonts w:ascii="Arial" w:eastAsia="Times New Roman" w:hAnsi="Arial" w:cs="Arial"/>
          <w:sz w:val="24"/>
          <w:szCs w:val="24"/>
          <w:lang w:eastAsia="en-GB"/>
        </w:rPr>
        <w:t xml:space="preserve"> </w:t>
      </w:r>
      <w:r w:rsidR="00427093" w:rsidRPr="00A31C5D">
        <w:rPr>
          <w:rFonts w:ascii="Arial" w:eastAsia="Times New Roman" w:hAnsi="Arial" w:cs="Arial"/>
          <w:sz w:val="24"/>
          <w:szCs w:val="24"/>
          <w:vertAlign w:val="superscript"/>
          <w:lang w:eastAsia="en-GB"/>
        </w:rPr>
        <w:t>8</w:t>
      </w:r>
      <w:r w:rsidR="006F21FD" w:rsidRPr="00A31C5D">
        <w:rPr>
          <w:rFonts w:ascii="Arial" w:eastAsia="Times New Roman" w:hAnsi="Arial" w:cs="Arial"/>
          <w:sz w:val="24"/>
          <w:szCs w:val="24"/>
          <w:lang w:eastAsia="en-GB"/>
        </w:rPr>
        <w:t>Department of Oncology, Royal Free London  NHS Foundation Trust</w:t>
      </w:r>
      <w:r w:rsidR="00EB67B0" w:rsidRPr="00A31C5D">
        <w:rPr>
          <w:rFonts w:ascii="Arial" w:eastAsia="Times New Roman" w:hAnsi="Arial" w:cs="Arial"/>
          <w:sz w:val="24"/>
          <w:szCs w:val="24"/>
          <w:lang w:eastAsia="en-GB"/>
        </w:rPr>
        <w:t>, UK;</w:t>
      </w:r>
      <w:r w:rsidR="006F21FD" w:rsidRPr="00A31C5D">
        <w:rPr>
          <w:rFonts w:ascii="Arial" w:eastAsia="Times New Roman" w:hAnsi="Arial" w:cs="Arial"/>
          <w:sz w:val="24"/>
          <w:szCs w:val="24"/>
          <w:lang w:eastAsia="en-GB"/>
        </w:rPr>
        <w:t xml:space="preserve"> </w:t>
      </w:r>
      <w:r w:rsidR="00427093" w:rsidRPr="00A31C5D">
        <w:rPr>
          <w:rFonts w:ascii="Arial" w:eastAsia="Times New Roman" w:hAnsi="Arial" w:cs="Arial"/>
          <w:sz w:val="24"/>
          <w:szCs w:val="24"/>
          <w:vertAlign w:val="superscript"/>
          <w:lang w:eastAsia="en-GB"/>
        </w:rPr>
        <w:t>9</w:t>
      </w:r>
      <w:r w:rsidR="006F21FD" w:rsidRPr="00A31C5D">
        <w:rPr>
          <w:rFonts w:ascii="Arial" w:eastAsia="Times New Roman" w:hAnsi="Arial" w:cs="Arial"/>
          <w:sz w:val="24"/>
          <w:szCs w:val="24"/>
          <w:lang w:eastAsia="en-GB"/>
        </w:rPr>
        <w:t>The Christie NHS Foundation Trust</w:t>
      </w:r>
      <w:r w:rsidR="00EB67B0" w:rsidRPr="00A31C5D">
        <w:rPr>
          <w:rFonts w:ascii="Arial" w:eastAsia="Times New Roman" w:hAnsi="Arial" w:cs="Arial"/>
          <w:sz w:val="24"/>
          <w:szCs w:val="24"/>
          <w:lang w:eastAsia="en-GB"/>
        </w:rPr>
        <w:t>, Manchester, UK;</w:t>
      </w:r>
      <w:r w:rsidR="006F21FD" w:rsidRPr="00A31C5D">
        <w:rPr>
          <w:rFonts w:ascii="Arial" w:eastAsia="Times New Roman" w:hAnsi="Arial" w:cs="Arial"/>
          <w:sz w:val="24"/>
          <w:szCs w:val="24"/>
          <w:lang w:eastAsia="en-GB"/>
        </w:rPr>
        <w:t xml:space="preserve"> </w:t>
      </w:r>
      <w:r w:rsidR="00427093" w:rsidRPr="00A31C5D">
        <w:rPr>
          <w:rFonts w:ascii="Arial" w:eastAsia="Times New Roman" w:hAnsi="Arial" w:cs="Arial"/>
          <w:sz w:val="24"/>
          <w:szCs w:val="24"/>
          <w:vertAlign w:val="superscript"/>
          <w:lang w:eastAsia="en-GB"/>
        </w:rPr>
        <w:t>10</w:t>
      </w:r>
      <w:r w:rsidR="00ED603B" w:rsidRPr="00A31C5D">
        <w:rPr>
          <w:rFonts w:ascii="Arial" w:eastAsia="Times New Roman" w:hAnsi="Arial" w:cs="Arial"/>
          <w:sz w:val="24"/>
          <w:szCs w:val="24"/>
          <w:lang w:eastAsia="en-GB"/>
        </w:rPr>
        <w:t>The Newcastle upon Tyne NHS Foundation Trust, UK</w:t>
      </w:r>
      <w:r w:rsidR="00EB67B0" w:rsidRPr="00A31C5D">
        <w:rPr>
          <w:rFonts w:ascii="Arial" w:eastAsia="Times New Roman" w:hAnsi="Arial" w:cs="Arial"/>
          <w:sz w:val="24"/>
          <w:szCs w:val="24"/>
          <w:lang w:eastAsia="en-GB"/>
        </w:rPr>
        <w:t xml:space="preserve">; </w:t>
      </w:r>
      <w:r w:rsidR="00427093" w:rsidRPr="00A31C5D">
        <w:rPr>
          <w:rFonts w:ascii="Arial" w:eastAsia="Times New Roman" w:hAnsi="Arial" w:cs="Arial"/>
          <w:sz w:val="24"/>
          <w:szCs w:val="24"/>
          <w:vertAlign w:val="superscript"/>
          <w:lang w:eastAsia="en-GB"/>
        </w:rPr>
        <w:t>11</w:t>
      </w:r>
      <w:r w:rsidR="00A746F4" w:rsidRPr="00A31C5D">
        <w:rPr>
          <w:rFonts w:ascii="Arial" w:eastAsia="Times New Roman" w:hAnsi="Arial" w:cs="Arial"/>
          <w:sz w:val="24"/>
          <w:szCs w:val="24"/>
          <w:lang w:eastAsia="en-GB"/>
        </w:rPr>
        <w:t xml:space="preserve">Weston Park Hospital, </w:t>
      </w:r>
      <w:r w:rsidR="00EB67B0" w:rsidRPr="00A31C5D">
        <w:rPr>
          <w:rFonts w:ascii="Arial" w:eastAsia="Times New Roman" w:hAnsi="Arial" w:cs="Arial"/>
          <w:sz w:val="24"/>
          <w:szCs w:val="24"/>
          <w:lang w:eastAsia="en-GB"/>
        </w:rPr>
        <w:t xml:space="preserve">Sheffield Teaching Hospitals NHS Foundation Trust, UK; </w:t>
      </w:r>
      <w:r w:rsidR="00427093" w:rsidRPr="00A31C5D">
        <w:rPr>
          <w:rFonts w:ascii="Arial" w:eastAsia="Times New Roman" w:hAnsi="Arial" w:cs="Arial"/>
          <w:sz w:val="24"/>
          <w:szCs w:val="24"/>
          <w:vertAlign w:val="superscript"/>
          <w:lang w:eastAsia="en-GB"/>
        </w:rPr>
        <w:t>12</w:t>
      </w:r>
      <w:r w:rsidR="00EB67B0" w:rsidRPr="00A31C5D">
        <w:rPr>
          <w:rFonts w:ascii="Arial" w:eastAsia="Times New Roman" w:hAnsi="Arial" w:cs="Arial"/>
          <w:sz w:val="24"/>
          <w:szCs w:val="24"/>
          <w:lang w:eastAsia="en-GB"/>
        </w:rPr>
        <w:t xml:space="preserve">University of Glasgow; Beatson West of Scotland Cancer Centre, Glasgow, UK, </w:t>
      </w:r>
      <w:r w:rsidR="00427093" w:rsidRPr="00A31C5D">
        <w:rPr>
          <w:rFonts w:ascii="Arial" w:eastAsia="Times New Roman" w:hAnsi="Arial" w:cs="Arial"/>
          <w:sz w:val="24"/>
          <w:szCs w:val="24"/>
          <w:vertAlign w:val="superscript"/>
          <w:lang w:eastAsia="en-GB"/>
        </w:rPr>
        <w:t>13</w:t>
      </w:r>
      <w:r w:rsidR="00EB67B0" w:rsidRPr="00A31C5D">
        <w:rPr>
          <w:rFonts w:ascii="Arial" w:eastAsia="Times New Roman" w:hAnsi="Arial" w:cs="Arial"/>
          <w:sz w:val="24"/>
          <w:szCs w:val="24"/>
          <w:lang w:eastAsia="en-GB"/>
        </w:rPr>
        <w:t xml:space="preserve">Leicester Royal Infirmary, UK; </w:t>
      </w:r>
      <w:r w:rsidR="00427093" w:rsidRPr="00A31C5D">
        <w:rPr>
          <w:rFonts w:ascii="Arial" w:eastAsia="Times New Roman" w:hAnsi="Arial" w:cs="Arial"/>
          <w:sz w:val="24"/>
          <w:szCs w:val="24"/>
          <w:vertAlign w:val="superscript"/>
          <w:lang w:eastAsia="en-GB"/>
        </w:rPr>
        <w:t>14</w:t>
      </w:r>
      <w:r w:rsidRPr="00A31C5D">
        <w:rPr>
          <w:rFonts w:ascii="Arial" w:eastAsia="Times New Roman" w:hAnsi="Arial" w:cs="Arial"/>
          <w:sz w:val="24"/>
          <w:szCs w:val="24"/>
          <w:lang w:eastAsia="en-GB"/>
        </w:rPr>
        <w:t>Leeds Teaching Hospitals NHS Trust</w:t>
      </w:r>
      <w:r w:rsidR="00EB67B0" w:rsidRPr="00A31C5D">
        <w:rPr>
          <w:rFonts w:ascii="Arial" w:eastAsia="Times New Roman" w:hAnsi="Arial" w:cs="Arial"/>
          <w:sz w:val="24"/>
          <w:szCs w:val="24"/>
          <w:lang w:eastAsia="en-GB"/>
        </w:rPr>
        <w:t>, UK</w:t>
      </w:r>
      <w:r w:rsidRPr="00A31C5D">
        <w:rPr>
          <w:rFonts w:ascii="Arial" w:eastAsia="Times New Roman" w:hAnsi="Arial" w:cs="Arial"/>
          <w:sz w:val="24"/>
          <w:szCs w:val="24"/>
          <w:lang w:eastAsia="en-GB"/>
        </w:rPr>
        <w:t xml:space="preserve">; </w:t>
      </w:r>
      <w:r w:rsidR="00427093" w:rsidRPr="00A31C5D">
        <w:rPr>
          <w:rFonts w:ascii="Arial" w:eastAsia="Times New Roman" w:hAnsi="Arial" w:cs="Arial"/>
          <w:sz w:val="24"/>
          <w:szCs w:val="24"/>
          <w:vertAlign w:val="superscript"/>
          <w:lang w:eastAsia="en-GB"/>
        </w:rPr>
        <w:t>15</w:t>
      </w:r>
      <w:r w:rsidRPr="00A31C5D">
        <w:rPr>
          <w:rFonts w:ascii="Arial" w:eastAsia="Times New Roman" w:hAnsi="Arial" w:cs="Arial"/>
          <w:sz w:val="24"/>
          <w:szCs w:val="24"/>
          <w:lang w:eastAsia="en-GB"/>
        </w:rPr>
        <w:t>University Hospita</w:t>
      </w:r>
      <w:r w:rsidR="00EB67B0" w:rsidRPr="00A31C5D">
        <w:rPr>
          <w:rFonts w:ascii="Arial" w:eastAsia="Times New Roman" w:hAnsi="Arial" w:cs="Arial"/>
          <w:sz w:val="24"/>
          <w:szCs w:val="24"/>
          <w:lang w:eastAsia="en-GB"/>
        </w:rPr>
        <w:t xml:space="preserve">ls Bristol NHS Foundation Trust, UK; </w:t>
      </w:r>
      <w:r w:rsidR="00427093" w:rsidRPr="00A31C5D">
        <w:rPr>
          <w:rFonts w:ascii="Arial" w:eastAsia="Times New Roman" w:hAnsi="Arial" w:cs="Arial"/>
          <w:sz w:val="24"/>
          <w:szCs w:val="24"/>
          <w:vertAlign w:val="superscript"/>
          <w:lang w:eastAsia="en-GB"/>
        </w:rPr>
        <w:t>16</w:t>
      </w:r>
      <w:r w:rsidRPr="00A31C5D">
        <w:rPr>
          <w:rFonts w:ascii="Arial" w:eastAsia="Times New Roman" w:hAnsi="Arial" w:cs="Arial"/>
          <w:sz w:val="24"/>
          <w:szCs w:val="24"/>
          <w:lang w:eastAsia="en-GB"/>
        </w:rPr>
        <w:t xml:space="preserve">Oxford University Hospitals NHS </w:t>
      </w:r>
      <w:r w:rsidR="00F23A52" w:rsidRPr="00A31C5D">
        <w:rPr>
          <w:rFonts w:ascii="Arial" w:eastAsia="Times New Roman" w:hAnsi="Arial" w:cs="Arial"/>
          <w:sz w:val="24"/>
          <w:szCs w:val="24"/>
          <w:lang w:eastAsia="en-GB"/>
        </w:rPr>
        <w:t xml:space="preserve">Foundation </w:t>
      </w:r>
      <w:r w:rsidRPr="00A31C5D">
        <w:rPr>
          <w:rFonts w:ascii="Arial" w:eastAsia="Times New Roman" w:hAnsi="Arial" w:cs="Arial"/>
          <w:sz w:val="24"/>
          <w:szCs w:val="24"/>
          <w:lang w:eastAsia="en-GB"/>
        </w:rPr>
        <w:t>Trust</w:t>
      </w:r>
      <w:r w:rsidR="00EB67B0" w:rsidRPr="00A31C5D">
        <w:rPr>
          <w:rFonts w:ascii="Arial" w:eastAsia="Times New Roman" w:hAnsi="Arial" w:cs="Arial"/>
          <w:sz w:val="24"/>
          <w:szCs w:val="24"/>
          <w:lang w:eastAsia="en-GB"/>
        </w:rPr>
        <w:t>, UK</w:t>
      </w:r>
      <w:r w:rsidRPr="00A31C5D">
        <w:rPr>
          <w:rFonts w:ascii="Arial" w:eastAsia="Times New Roman" w:hAnsi="Arial" w:cs="Arial"/>
          <w:sz w:val="24"/>
          <w:szCs w:val="24"/>
          <w:lang w:eastAsia="en-GB"/>
        </w:rPr>
        <w:t>;</w:t>
      </w:r>
      <w:r w:rsidR="00EB67B0" w:rsidRPr="00A31C5D">
        <w:rPr>
          <w:rFonts w:ascii="Arial" w:eastAsia="Times New Roman" w:hAnsi="Arial" w:cs="Arial"/>
          <w:sz w:val="24"/>
          <w:szCs w:val="24"/>
          <w:vertAlign w:val="superscript"/>
          <w:lang w:eastAsia="en-GB"/>
        </w:rPr>
        <w:t xml:space="preserve"> </w:t>
      </w:r>
      <w:r w:rsidR="00427093" w:rsidRPr="00A31C5D">
        <w:rPr>
          <w:rFonts w:ascii="Arial" w:eastAsia="Times New Roman" w:hAnsi="Arial" w:cs="Arial"/>
          <w:sz w:val="24"/>
          <w:szCs w:val="24"/>
          <w:vertAlign w:val="superscript"/>
          <w:lang w:eastAsia="en-GB"/>
        </w:rPr>
        <w:t>17</w:t>
      </w:r>
      <w:r w:rsidR="00F23A52" w:rsidRPr="00A31C5D">
        <w:rPr>
          <w:rFonts w:ascii="Arial" w:eastAsia="Times New Roman" w:hAnsi="Arial" w:cs="Arial"/>
          <w:sz w:val="24"/>
          <w:szCs w:val="24"/>
          <w:lang w:eastAsia="en-GB"/>
        </w:rPr>
        <w:t xml:space="preserve">Castle Hill Hospital, </w:t>
      </w:r>
      <w:r w:rsidR="00EB67B0" w:rsidRPr="00A31C5D">
        <w:rPr>
          <w:rFonts w:ascii="Arial" w:eastAsia="Times New Roman" w:hAnsi="Arial" w:cs="Arial"/>
          <w:sz w:val="24"/>
          <w:szCs w:val="24"/>
          <w:lang w:eastAsia="en-GB"/>
        </w:rPr>
        <w:t>Hull and East Yorkshire Hospitals NHS Trust, UK;</w:t>
      </w:r>
      <w:r w:rsidR="00CA774B" w:rsidRPr="00A31C5D">
        <w:rPr>
          <w:rFonts w:ascii="Arial" w:eastAsia="Times New Roman" w:hAnsi="Arial" w:cs="Arial"/>
          <w:sz w:val="24"/>
          <w:szCs w:val="24"/>
          <w:lang w:eastAsia="en-GB"/>
        </w:rPr>
        <w:t xml:space="preserve"> </w:t>
      </w:r>
      <w:r w:rsidR="00427093" w:rsidRPr="00A31C5D">
        <w:rPr>
          <w:rFonts w:ascii="Arial" w:eastAsia="Times New Roman" w:hAnsi="Arial" w:cs="Arial"/>
          <w:sz w:val="24"/>
          <w:szCs w:val="24"/>
          <w:vertAlign w:val="superscript"/>
          <w:lang w:eastAsia="en-GB"/>
        </w:rPr>
        <w:t>18</w:t>
      </w:r>
      <w:r w:rsidRPr="00A31C5D">
        <w:rPr>
          <w:rFonts w:ascii="Arial" w:eastAsia="Times New Roman" w:hAnsi="Arial" w:cs="Arial"/>
          <w:sz w:val="24"/>
          <w:szCs w:val="24"/>
          <w:lang w:eastAsia="en-GB"/>
        </w:rPr>
        <w:t>UCL Cancer Institute, London</w:t>
      </w:r>
      <w:r w:rsidR="0013378C" w:rsidRPr="00A31C5D">
        <w:rPr>
          <w:rFonts w:ascii="Arial" w:eastAsia="Times New Roman" w:hAnsi="Arial" w:cs="Arial"/>
          <w:sz w:val="24"/>
          <w:szCs w:val="24"/>
          <w:lang w:eastAsia="en-GB"/>
        </w:rPr>
        <w:t xml:space="preserve">. </w:t>
      </w:r>
    </w:p>
    <w:p w14:paraId="69D4CFDE" w14:textId="341E1084" w:rsidR="00AF5A4A" w:rsidRPr="00A31C5D" w:rsidRDefault="00AF5A4A" w:rsidP="00A31C5D">
      <w:pPr>
        <w:pStyle w:val="PlainText"/>
        <w:spacing w:line="480" w:lineRule="auto"/>
        <w:jc w:val="both"/>
        <w:rPr>
          <w:rFonts w:ascii="Arial" w:hAnsi="Arial" w:cs="Arial"/>
          <w:sz w:val="24"/>
          <w:szCs w:val="24"/>
        </w:rPr>
      </w:pPr>
      <w:r w:rsidRPr="00A31C5D">
        <w:rPr>
          <w:rFonts w:ascii="Arial" w:hAnsi="Arial" w:cs="Arial"/>
          <w:sz w:val="24"/>
          <w:szCs w:val="24"/>
        </w:rPr>
        <w:t>Address for correspondence</w:t>
      </w:r>
      <w:r w:rsidR="0005075C" w:rsidRPr="00A31C5D">
        <w:rPr>
          <w:rFonts w:ascii="Arial" w:hAnsi="Arial" w:cs="Arial"/>
          <w:sz w:val="24"/>
          <w:szCs w:val="24"/>
        </w:rPr>
        <w:t>:</w:t>
      </w:r>
      <w:r w:rsidRPr="00A31C5D">
        <w:rPr>
          <w:rFonts w:ascii="Arial" w:hAnsi="Arial" w:cs="Arial"/>
          <w:sz w:val="24"/>
          <w:szCs w:val="24"/>
        </w:rPr>
        <w:tab/>
      </w:r>
    </w:p>
    <w:p w14:paraId="24376F3C" w14:textId="77777777" w:rsidR="00AF5A4A" w:rsidRPr="00A31C5D" w:rsidRDefault="00AF5A4A" w:rsidP="00A31C5D">
      <w:pPr>
        <w:pStyle w:val="PlainText"/>
        <w:spacing w:line="480" w:lineRule="auto"/>
        <w:jc w:val="both"/>
        <w:rPr>
          <w:rFonts w:ascii="Arial" w:hAnsi="Arial" w:cs="Arial"/>
          <w:sz w:val="24"/>
          <w:szCs w:val="24"/>
        </w:rPr>
      </w:pPr>
      <w:r w:rsidRPr="00A31C5D">
        <w:rPr>
          <w:rFonts w:ascii="Arial" w:hAnsi="Arial" w:cs="Arial"/>
          <w:sz w:val="24"/>
          <w:szCs w:val="24"/>
        </w:rPr>
        <w:t>Prof Tim Meyer, UCL Cancer Institute, University College London</w:t>
      </w:r>
    </w:p>
    <w:p w14:paraId="7DB326BC" w14:textId="77777777" w:rsidR="00AF5A4A" w:rsidRPr="00A31C5D" w:rsidRDefault="00AF5A4A" w:rsidP="00A31C5D">
      <w:pPr>
        <w:pStyle w:val="PlainText"/>
        <w:spacing w:line="480" w:lineRule="auto"/>
        <w:jc w:val="both"/>
        <w:rPr>
          <w:rFonts w:ascii="Arial" w:hAnsi="Arial" w:cs="Arial"/>
          <w:sz w:val="24"/>
          <w:szCs w:val="24"/>
        </w:rPr>
      </w:pPr>
      <w:r w:rsidRPr="00A31C5D">
        <w:rPr>
          <w:rFonts w:ascii="Arial" w:hAnsi="Arial" w:cs="Arial"/>
          <w:sz w:val="24"/>
          <w:szCs w:val="24"/>
        </w:rPr>
        <w:t>72 Huntley Street, London WC1E 6BT</w:t>
      </w:r>
    </w:p>
    <w:p w14:paraId="5CE2079C" w14:textId="7D1AD4DB" w:rsidR="00AF5A4A" w:rsidRPr="00A31C5D" w:rsidRDefault="00AF5A4A" w:rsidP="00A31C5D">
      <w:pPr>
        <w:pStyle w:val="PlainText"/>
        <w:spacing w:after="240" w:line="480" w:lineRule="auto"/>
        <w:jc w:val="both"/>
        <w:rPr>
          <w:rFonts w:ascii="Arial" w:hAnsi="Arial" w:cs="Arial"/>
          <w:sz w:val="24"/>
          <w:szCs w:val="24"/>
        </w:rPr>
      </w:pPr>
      <w:r w:rsidRPr="00A31C5D">
        <w:rPr>
          <w:rFonts w:ascii="Arial" w:hAnsi="Arial" w:cs="Arial"/>
          <w:sz w:val="24"/>
          <w:szCs w:val="24"/>
        </w:rPr>
        <w:t xml:space="preserve">email; t.meyer@ucl.ac.uk   Tel; </w:t>
      </w:r>
      <w:r w:rsidR="0005075C" w:rsidRPr="00A31C5D">
        <w:rPr>
          <w:rFonts w:ascii="Arial" w:hAnsi="Arial" w:cs="Arial"/>
          <w:sz w:val="24"/>
          <w:szCs w:val="24"/>
        </w:rPr>
        <w:t xml:space="preserve">+44 </w:t>
      </w:r>
      <w:r w:rsidRPr="00A31C5D">
        <w:rPr>
          <w:rFonts w:ascii="Arial" w:hAnsi="Arial" w:cs="Arial"/>
          <w:sz w:val="24"/>
          <w:szCs w:val="24"/>
        </w:rPr>
        <w:t xml:space="preserve">0207 679 6731, Fax; </w:t>
      </w:r>
      <w:r w:rsidR="0005075C" w:rsidRPr="00A31C5D">
        <w:rPr>
          <w:rFonts w:ascii="Arial" w:hAnsi="Arial" w:cs="Arial"/>
          <w:sz w:val="24"/>
          <w:szCs w:val="24"/>
        </w:rPr>
        <w:t xml:space="preserve">+44 </w:t>
      </w:r>
      <w:r w:rsidRPr="00A31C5D">
        <w:rPr>
          <w:rFonts w:ascii="Arial" w:hAnsi="Arial" w:cs="Arial"/>
          <w:sz w:val="24"/>
          <w:szCs w:val="24"/>
        </w:rPr>
        <w:t>0203 108 2025</w:t>
      </w:r>
    </w:p>
    <w:p w14:paraId="6D5BA6D8" w14:textId="12CEB233" w:rsidR="00B954B9" w:rsidRPr="00A31C5D" w:rsidRDefault="00B954B9" w:rsidP="00A31C5D">
      <w:pPr>
        <w:spacing w:line="480" w:lineRule="auto"/>
        <w:rPr>
          <w:rFonts w:ascii="Arial" w:hAnsi="Arial" w:cs="Arial"/>
          <w:sz w:val="24"/>
          <w:szCs w:val="24"/>
        </w:rPr>
      </w:pPr>
      <w:r w:rsidRPr="00A31C5D">
        <w:rPr>
          <w:rFonts w:ascii="Arial" w:hAnsi="Arial" w:cs="Arial"/>
          <w:sz w:val="24"/>
          <w:szCs w:val="24"/>
        </w:rPr>
        <w:t xml:space="preserve">Keywords: liver function; prognosis; </w:t>
      </w:r>
      <w:r w:rsidR="00657ACF" w:rsidRPr="00A31C5D">
        <w:rPr>
          <w:rFonts w:ascii="Arial" w:hAnsi="Arial" w:cs="Arial"/>
          <w:sz w:val="24"/>
          <w:szCs w:val="24"/>
        </w:rPr>
        <w:t>albumin; bilirubin; cirrhosis</w:t>
      </w:r>
    </w:p>
    <w:p w14:paraId="5AD9158F" w14:textId="77777777" w:rsidR="00657ACF" w:rsidRPr="00A31C5D" w:rsidRDefault="00657ACF" w:rsidP="00A31C5D">
      <w:pPr>
        <w:spacing w:line="480" w:lineRule="auto"/>
        <w:rPr>
          <w:rFonts w:ascii="Arial" w:hAnsi="Arial" w:cs="Arial"/>
          <w:sz w:val="24"/>
          <w:szCs w:val="24"/>
        </w:rPr>
      </w:pPr>
      <w:r w:rsidRPr="00A31C5D">
        <w:rPr>
          <w:rFonts w:ascii="Arial" w:hAnsi="Arial" w:cs="Arial"/>
          <w:sz w:val="24"/>
          <w:szCs w:val="24"/>
        </w:rPr>
        <w:lastRenderedPageBreak/>
        <w:t>List of abbreviations:</w:t>
      </w:r>
    </w:p>
    <w:p w14:paraId="551CE963" w14:textId="77777777" w:rsidR="00657ACF" w:rsidRPr="00A31C5D" w:rsidRDefault="00657ACF" w:rsidP="00A31C5D">
      <w:pPr>
        <w:spacing w:after="0" w:line="480" w:lineRule="auto"/>
        <w:rPr>
          <w:rFonts w:ascii="Arial" w:hAnsi="Arial" w:cs="Arial"/>
          <w:sz w:val="24"/>
          <w:szCs w:val="24"/>
        </w:rPr>
      </w:pPr>
      <w:r w:rsidRPr="00A31C5D">
        <w:rPr>
          <w:rFonts w:ascii="Arial" w:hAnsi="Arial" w:cs="Arial"/>
          <w:sz w:val="24"/>
          <w:szCs w:val="24"/>
        </w:rPr>
        <w:t>HCC: Hepatocellular Carcinoma</w:t>
      </w:r>
    </w:p>
    <w:p w14:paraId="51325E05" w14:textId="77777777" w:rsidR="00657ACF" w:rsidRPr="00A31C5D" w:rsidRDefault="00657ACF" w:rsidP="00A31C5D">
      <w:pPr>
        <w:spacing w:after="0" w:line="480" w:lineRule="auto"/>
        <w:rPr>
          <w:rFonts w:ascii="Arial" w:hAnsi="Arial" w:cs="Arial"/>
          <w:sz w:val="24"/>
          <w:szCs w:val="24"/>
        </w:rPr>
      </w:pPr>
      <w:r w:rsidRPr="00A31C5D">
        <w:rPr>
          <w:rFonts w:ascii="Arial" w:hAnsi="Arial" w:cs="Arial"/>
          <w:sz w:val="24"/>
          <w:szCs w:val="24"/>
        </w:rPr>
        <w:t>CP: Child-Pugh</w:t>
      </w:r>
    </w:p>
    <w:p w14:paraId="144DC49B" w14:textId="77777777" w:rsidR="00657ACF" w:rsidRPr="00A31C5D" w:rsidRDefault="00657ACF" w:rsidP="00A31C5D">
      <w:pPr>
        <w:spacing w:after="0" w:line="480" w:lineRule="auto"/>
        <w:rPr>
          <w:rFonts w:ascii="Arial" w:hAnsi="Arial" w:cs="Arial"/>
          <w:sz w:val="24"/>
          <w:szCs w:val="24"/>
        </w:rPr>
      </w:pPr>
      <w:r w:rsidRPr="00A31C5D">
        <w:rPr>
          <w:rFonts w:ascii="Arial" w:hAnsi="Arial" w:cs="Arial"/>
          <w:sz w:val="24"/>
          <w:szCs w:val="24"/>
        </w:rPr>
        <w:t>ALBI: Albumin-Bilirubin</w:t>
      </w:r>
    </w:p>
    <w:p w14:paraId="067C192C" w14:textId="77777777" w:rsidR="00657ACF" w:rsidRPr="00A31C5D" w:rsidRDefault="00657ACF" w:rsidP="00A31C5D">
      <w:pPr>
        <w:spacing w:after="0" w:line="480" w:lineRule="auto"/>
        <w:rPr>
          <w:rFonts w:ascii="Arial" w:hAnsi="Arial" w:cs="Arial"/>
          <w:sz w:val="24"/>
          <w:szCs w:val="24"/>
        </w:rPr>
      </w:pPr>
      <w:r w:rsidRPr="00A31C5D">
        <w:rPr>
          <w:rFonts w:ascii="Arial" w:hAnsi="Arial" w:cs="Arial"/>
          <w:sz w:val="24"/>
          <w:szCs w:val="24"/>
        </w:rPr>
        <w:t>INR: International Normalized Ratio</w:t>
      </w:r>
    </w:p>
    <w:p w14:paraId="61DE5C90" w14:textId="77777777" w:rsidR="00657ACF" w:rsidRPr="00A31C5D" w:rsidRDefault="00657ACF" w:rsidP="00A31C5D">
      <w:pPr>
        <w:spacing w:after="0" w:line="480" w:lineRule="auto"/>
        <w:rPr>
          <w:rFonts w:ascii="Arial" w:hAnsi="Arial" w:cs="Arial"/>
          <w:sz w:val="24"/>
          <w:szCs w:val="24"/>
        </w:rPr>
      </w:pPr>
      <w:r w:rsidRPr="00A31C5D">
        <w:rPr>
          <w:rFonts w:ascii="Arial" w:hAnsi="Arial" w:cs="Arial"/>
          <w:sz w:val="24"/>
          <w:szCs w:val="24"/>
        </w:rPr>
        <w:t>BCLC: Barcelona Clinic for Liver Cancer</w:t>
      </w:r>
    </w:p>
    <w:p w14:paraId="2A91E744" w14:textId="77777777" w:rsidR="00657ACF" w:rsidRPr="00A31C5D" w:rsidRDefault="00657ACF" w:rsidP="00A31C5D">
      <w:pPr>
        <w:spacing w:after="0" w:line="480" w:lineRule="auto"/>
        <w:rPr>
          <w:rFonts w:ascii="Arial" w:hAnsi="Arial" w:cs="Arial"/>
          <w:sz w:val="24"/>
          <w:szCs w:val="24"/>
        </w:rPr>
      </w:pPr>
      <w:r w:rsidRPr="00A31C5D">
        <w:rPr>
          <w:rFonts w:ascii="Arial" w:hAnsi="Arial" w:cs="Arial"/>
          <w:sz w:val="24"/>
          <w:szCs w:val="24"/>
        </w:rPr>
        <w:t>OS: Overall Survival</w:t>
      </w:r>
    </w:p>
    <w:p w14:paraId="27ED1D16" w14:textId="20845321" w:rsidR="00516F7E" w:rsidRPr="00A31C5D" w:rsidRDefault="00516F7E" w:rsidP="00A31C5D">
      <w:pPr>
        <w:spacing w:after="0" w:line="480" w:lineRule="auto"/>
        <w:rPr>
          <w:rFonts w:ascii="Arial" w:hAnsi="Arial" w:cs="Arial"/>
          <w:sz w:val="24"/>
          <w:szCs w:val="24"/>
        </w:rPr>
      </w:pPr>
      <w:r w:rsidRPr="00A31C5D">
        <w:rPr>
          <w:rFonts w:ascii="Arial" w:hAnsi="Arial" w:cs="Arial"/>
          <w:sz w:val="24"/>
          <w:szCs w:val="24"/>
        </w:rPr>
        <w:t>AIC: Akaike Information Criterion</w:t>
      </w:r>
    </w:p>
    <w:p w14:paraId="3A61E535" w14:textId="77777777" w:rsidR="00657ACF" w:rsidRPr="00A31C5D" w:rsidRDefault="00657ACF" w:rsidP="00A31C5D">
      <w:pPr>
        <w:spacing w:after="0" w:line="480" w:lineRule="auto"/>
        <w:rPr>
          <w:rFonts w:ascii="Arial" w:hAnsi="Arial" w:cs="Arial"/>
          <w:sz w:val="24"/>
          <w:szCs w:val="24"/>
        </w:rPr>
      </w:pPr>
      <w:r w:rsidRPr="00A31C5D">
        <w:rPr>
          <w:rFonts w:ascii="Arial" w:hAnsi="Arial" w:cs="Arial"/>
          <w:sz w:val="24"/>
          <w:szCs w:val="24"/>
        </w:rPr>
        <w:t>HR: Hazard Ratio</w:t>
      </w:r>
    </w:p>
    <w:p w14:paraId="58A3035C" w14:textId="77777777" w:rsidR="00657ACF" w:rsidRPr="00A31C5D" w:rsidRDefault="00657ACF" w:rsidP="00A31C5D">
      <w:pPr>
        <w:spacing w:after="0" w:line="480" w:lineRule="auto"/>
        <w:rPr>
          <w:rFonts w:ascii="Arial" w:hAnsi="Arial" w:cs="Arial"/>
          <w:sz w:val="24"/>
          <w:szCs w:val="24"/>
        </w:rPr>
      </w:pPr>
      <w:r w:rsidRPr="00A31C5D">
        <w:rPr>
          <w:rFonts w:ascii="Arial" w:hAnsi="Arial" w:cs="Arial"/>
          <w:sz w:val="24"/>
          <w:szCs w:val="24"/>
        </w:rPr>
        <w:t>AASLD: American Association for Study of Liver Disease</w:t>
      </w:r>
    </w:p>
    <w:p w14:paraId="00C4C9DA" w14:textId="77777777" w:rsidR="00657ACF" w:rsidRPr="00A31C5D" w:rsidRDefault="00657ACF" w:rsidP="00A31C5D">
      <w:pPr>
        <w:spacing w:after="0" w:line="480" w:lineRule="auto"/>
        <w:rPr>
          <w:rFonts w:ascii="Arial" w:hAnsi="Arial" w:cs="Arial"/>
          <w:sz w:val="24"/>
          <w:szCs w:val="24"/>
        </w:rPr>
      </w:pPr>
      <w:r w:rsidRPr="00A31C5D">
        <w:rPr>
          <w:rFonts w:ascii="Arial" w:hAnsi="Arial" w:cs="Arial"/>
          <w:sz w:val="24"/>
          <w:szCs w:val="24"/>
        </w:rPr>
        <w:t>NICE: National Institute for Health and Care Excellence</w:t>
      </w:r>
    </w:p>
    <w:p w14:paraId="1880531D" w14:textId="77777777" w:rsidR="00657ACF" w:rsidRPr="00A31C5D" w:rsidRDefault="00657ACF" w:rsidP="00A31C5D">
      <w:pPr>
        <w:spacing w:after="0" w:line="480" w:lineRule="auto"/>
        <w:rPr>
          <w:rFonts w:ascii="Arial" w:hAnsi="Arial" w:cs="Arial"/>
          <w:sz w:val="24"/>
          <w:szCs w:val="24"/>
          <w:lang w:val="fr-FR"/>
        </w:rPr>
      </w:pPr>
      <w:r w:rsidRPr="00A31C5D">
        <w:rPr>
          <w:rFonts w:ascii="Arial" w:hAnsi="Arial" w:cs="Arial"/>
          <w:sz w:val="24"/>
          <w:szCs w:val="24"/>
          <w:lang w:val="fr-FR"/>
        </w:rPr>
        <w:t>SNFGE: Société Nationale Française de Gastro-Entérologie</w:t>
      </w:r>
    </w:p>
    <w:p w14:paraId="514B7BEA" w14:textId="77777777" w:rsidR="00B954B9" w:rsidRPr="00A31C5D" w:rsidRDefault="00B954B9" w:rsidP="00A31C5D">
      <w:pPr>
        <w:spacing w:after="0" w:line="480" w:lineRule="auto"/>
        <w:rPr>
          <w:rFonts w:ascii="Arial" w:hAnsi="Arial" w:cs="Arial"/>
          <w:sz w:val="24"/>
          <w:szCs w:val="24"/>
          <w:lang w:val="fr-FR"/>
        </w:rPr>
      </w:pPr>
    </w:p>
    <w:p w14:paraId="3BA96CE6" w14:textId="77777777" w:rsidR="00657ACF" w:rsidRPr="00A31C5D" w:rsidRDefault="00657ACF" w:rsidP="00A31C5D">
      <w:pPr>
        <w:spacing w:line="480" w:lineRule="auto"/>
        <w:rPr>
          <w:rFonts w:ascii="Arial" w:hAnsi="Arial" w:cs="Arial"/>
          <w:sz w:val="24"/>
          <w:szCs w:val="24"/>
        </w:rPr>
      </w:pPr>
      <w:r w:rsidRPr="00A31C5D">
        <w:rPr>
          <w:rFonts w:ascii="Arial" w:hAnsi="Arial" w:cs="Arial"/>
          <w:sz w:val="24"/>
          <w:szCs w:val="24"/>
        </w:rPr>
        <w:t>We report no relevant conflict of interest</w:t>
      </w:r>
    </w:p>
    <w:p w14:paraId="6DC39569" w14:textId="77777777" w:rsidR="00657ACF" w:rsidRPr="00A31C5D" w:rsidRDefault="00657ACF" w:rsidP="00A31C5D">
      <w:pPr>
        <w:spacing w:line="480" w:lineRule="auto"/>
        <w:rPr>
          <w:rFonts w:ascii="Arial" w:hAnsi="Arial" w:cs="Arial"/>
          <w:sz w:val="24"/>
          <w:szCs w:val="24"/>
        </w:rPr>
      </w:pPr>
      <w:r w:rsidRPr="00A31C5D">
        <w:rPr>
          <w:rFonts w:ascii="Arial" w:hAnsi="Arial" w:cs="Arial"/>
          <w:sz w:val="24"/>
          <w:szCs w:val="24"/>
        </w:rPr>
        <w:t>Julien Edeline was funded by Fondation de France during the conduct of this study</w:t>
      </w:r>
    </w:p>
    <w:p w14:paraId="689D4C24" w14:textId="77777777" w:rsidR="00657ACF" w:rsidRPr="00A31C5D" w:rsidRDefault="00657ACF" w:rsidP="00A31C5D">
      <w:pPr>
        <w:spacing w:after="0" w:line="480" w:lineRule="auto"/>
        <w:rPr>
          <w:rFonts w:ascii="Arial" w:hAnsi="Arial" w:cs="Arial"/>
          <w:sz w:val="24"/>
          <w:szCs w:val="24"/>
        </w:rPr>
      </w:pPr>
    </w:p>
    <w:p w14:paraId="06F4213B" w14:textId="34032DDF" w:rsidR="00966853" w:rsidRPr="00A31C5D" w:rsidRDefault="0005075C" w:rsidP="00A31C5D">
      <w:pPr>
        <w:spacing w:after="0" w:line="480" w:lineRule="auto"/>
        <w:rPr>
          <w:rFonts w:ascii="Arial" w:hAnsi="Arial" w:cs="Arial"/>
          <w:sz w:val="24"/>
          <w:szCs w:val="24"/>
        </w:rPr>
      </w:pPr>
      <w:r w:rsidRPr="00A31C5D">
        <w:rPr>
          <w:rFonts w:ascii="Arial" w:hAnsi="Arial" w:cs="Arial"/>
          <w:sz w:val="24"/>
          <w:szCs w:val="24"/>
        </w:rPr>
        <w:t xml:space="preserve">Word Count: </w:t>
      </w:r>
      <w:r w:rsidR="005615C4" w:rsidRPr="00A31C5D">
        <w:rPr>
          <w:rFonts w:ascii="Arial" w:hAnsi="Arial" w:cs="Arial"/>
          <w:sz w:val="24"/>
          <w:szCs w:val="24"/>
        </w:rPr>
        <w:t xml:space="preserve">3 </w:t>
      </w:r>
      <w:r w:rsidR="0064337B" w:rsidRPr="00A31C5D">
        <w:rPr>
          <w:rFonts w:ascii="Arial" w:hAnsi="Arial" w:cs="Arial"/>
          <w:sz w:val="24"/>
          <w:szCs w:val="24"/>
        </w:rPr>
        <w:t>728</w:t>
      </w:r>
      <w:r w:rsidRPr="00A31C5D">
        <w:rPr>
          <w:rFonts w:ascii="Arial" w:hAnsi="Arial" w:cs="Arial"/>
          <w:sz w:val="24"/>
          <w:szCs w:val="24"/>
        </w:rPr>
        <w:t xml:space="preserve"> in text, references and legends</w:t>
      </w:r>
    </w:p>
    <w:p w14:paraId="781EE991" w14:textId="78EB938F" w:rsidR="00966853" w:rsidRPr="00A31C5D" w:rsidRDefault="00966853" w:rsidP="00A31C5D">
      <w:pPr>
        <w:spacing w:line="480" w:lineRule="auto"/>
        <w:rPr>
          <w:rFonts w:ascii="Arial" w:hAnsi="Arial" w:cs="Arial"/>
          <w:sz w:val="24"/>
          <w:szCs w:val="24"/>
        </w:rPr>
      </w:pPr>
      <w:r w:rsidRPr="00A31C5D">
        <w:rPr>
          <w:rFonts w:ascii="Arial" w:hAnsi="Arial" w:cs="Arial"/>
          <w:sz w:val="24"/>
          <w:szCs w:val="24"/>
        </w:rPr>
        <w:t xml:space="preserve">Figures and tables: </w:t>
      </w:r>
      <w:r w:rsidR="0064337B" w:rsidRPr="00A31C5D">
        <w:rPr>
          <w:rFonts w:ascii="Arial" w:hAnsi="Arial" w:cs="Arial"/>
          <w:sz w:val="24"/>
          <w:szCs w:val="24"/>
        </w:rPr>
        <w:t>5</w:t>
      </w:r>
      <w:r w:rsidR="0005075C" w:rsidRPr="00A31C5D">
        <w:rPr>
          <w:rFonts w:ascii="Arial" w:hAnsi="Arial" w:cs="Arial"/>
          <w:sz w:val="24"/>
          <w:szCs w:val="24"/>
        </w:rPr>
        <w:t xml:space="preserve"> Tables and 3 Figures</w:t>
      </w:r>
      <w:r w:rsidR="005615C4" w:rsidRPr="00A31C5D">
        <w:rPr>
          <w:rFonts w:ascii="Arial" w:hAnsi="Arial" w:cs="Arial"/>
          <w:sz w:val="24"/>
          <w:szCs w:val="24"/>
        </w:rPr>
        <w:t>, +1 supplementary Table</w:t>
      </w:r>
    </w:p>
    <w:p w14:paraId="72B169AE" w14:textId="7A2CEA0D" w:rsidR="0005075C" w:rsidRPr="00A31C5D" w:rsidRDefault="00E93829" w:rsidP="00A31C5D">
      <w:pPr>
        <w:spacing w:line="480" w:lineRule="auto"/>
        <w:rPr>
          <w:rFonts w:ascii="Arial" w:hAnsi="Arial" w:cs="Arial"/>
          <w:sz w:val="24"/>
          <w:szCs w:val="24"/>
        </w:rPr>
      </w:pPr>
      <w:r w:rsidRPr="00A31C5D">
        <w:rPr>
          <w:rFonts w:ascii="Arial" w:hAnsi="Arial" w:cs="Arial"/>
          <w:sz w:val="24"/>
          <w:szCs w:val="24"/>
        </w:rPr>
        <w:t>Authors’ contributions: All authors contributed to the conception and design of the study. All authors contributed to the acquisition of data. Julien Edeline</w:t>
      </w:r>
      <w:r w:rsidR="00E419D7" w:rsidRPr="00A31C5D">
        <w:rPr>
          <w:rFonts w:ascii="Arial" w:hAnsi="Arial" w:cs="Arial"/>
          <w:sz w:val="24"/>
          <w:szCs w:val="24"/>
        </w:rPr>
        <w:t>, Boris Campillo-Gimenez</w:t>
      </w:r>
      <w:r w:rsidRPr="00A31C5D">
        <w:rPr>
          <w:rFonts w:ascii="Arial" w:hAnsi="Arial" w:cs="Arial"/>
          <w:sz w:val="24"/>
          <w:szCs w:val="24"/>
        </w:rPr>
        <w:t xml:space="preserve"> and Tim Meyer </w:t>
      </w:r>
      <w:r w:rsidR="009E1469" w:rsidRPr="00A31C5D">
        <w:rPr>
          <w:rFonts w:ascii="Arial" w:hAnsi="Arial" w:cs="Arial"/>
          <w:sz w:val="24"/>
          <w:szCs w:val="24"/>
        </w:rPr>
        <w:t xml:space="preserve">analyzed the data, </w:t>
      </w:r>
      <w:r w:rsidRPr="00A31C5D">
        <w:rPr>
          <w:rFonts w:ascii="Arial" w:hAnsi="Arial" w:cs="Arial"/>
          <w:sz w:val="24"/>
          <w:szCs w:val="24"/>
        </w:rPr>
        <w:t xml:space="preserve">drafted a first version of this article, </w:t>
      </w:r>
      <w:r w:rsidR="009E1469" w:rsidRPr="00A31C5D">
        <w:rPr>
          <w:rFonts w:ascii="Arial" w:hAnsi="Arial" w:cs="Arial"/>
          <w:sz w:val="24"/>
          <w:szCs w:val="24"/>
        </w:rPr>
        <w:t>which was subsequently reviewed and</w:t>
      </w:r>
      <w:r w:rsidRPr="00A31C5D">
        <w:rPr>
          <w:rFonts w:ascii="Arial" w:hAnsi="Arial" w:cs="Arial"/>
          <w:sz w:val="24"/>
          <w:szCs w:val="24"/>
        </w:rPr>
        <w:t xml:space="preserve"> corrected by all authors. The final version was approved by all authors, and all authors agreed to be accountable for all </w:t>
      </w:r>
      <w:r w:rsidRPr="00A31C5D">
        <w:rPr>
          <w:rFonts w:ascii="Arial" w:hAnsi="Arial" w:cs="Arial"/>
          <w:sz w:val="24"/>
          <w:szCs w:val="24"/>
        </w:rPr>
        <w:lastRenderedPageBreak/>
        <w:t>aspects of the work in ensuring that questions related to the accuracy or integrity of any part of the article are appropriately investigated and resolved.</w:t>
      </w:r>
      <w:r w:rsidR="0005075C" w:rsidRPr="00A31C5D">
        <w:rPr>
          <w:rFonts w:ascii="Arial" w:hAnsi="Arial" w:cs="Arial"/>
          <w:sz w:val="24"/>
          <w:szCs w:val="24"/>
        </w:rPr>
        <w:br w:type="page"/>
      </w:r>
    </w:p>
    <w:p w14:paraId="7DB0B081" w14:textId="76533F54" w:rsidR="008E136D" w:rsidRPr="00A31C5D" w:rsidRDefault="008E136D" w:rsidP="00A31C5D">
      <w:pPr>
        <w:spacing w:line="480" w:lineRule="auto"/>
        <w:rPr>
          <w:rFonts w:ascii="Arial" w:hAnsi="Arial" w:cs="Arial"/>
          <w:sz w:val="24"/>
          <w:szCs w:val="24"/>
        </w:rPr>
      </w:pPr>
      <w:r w:rsidRPr="00A31C5D">
        <w:rPr>
          <w:rFonts w:ascii="Arial" w:hAnsi="Arial" w:cs="Arial"/>
          <w:sz w:val="24"/>
          <w:szCs w:val="24"/>
        </w:rPr>
        <w:lastRenderedPageBreak/>
        <w:t>Abstract</w:t>
      </w:r>
    </w:p>
    <w:p w14:paraId="59C579F3" w14:textId="1E9B1B0C" w:rsidR="0064337B" w:rsidRPr="00A31C5D" w:rsidRDefault="0064337B" w:rsidP="00A31C5D">
      <w:pPr>
        <w:spacing w:line="480" w:lineRule="auto"/>
        <w:rPr>
          <w:rFonts w:ascii="Arial" w:hAnsi="Arial" w:cs="Arial"/>
          <w:sz w:val="24"/>
          <w:szCs w:val="24"/>
        </w:rPr>
      </w:pPr>
      <w:r w:rsidRPr="00A31C5D">
        <w:rPr>
          <w:rFonts w:ascii="Arial" w:hAnsi="Arial" w:cs="Arial"/>
          <w:sz w:val="24"/>
          <w:szCs w:val="24"/>
        </w:rPr>
        <w:t xml:space="preserve">Background &amp; aims: The ALBI grade was proposed as an objective means to evaluate liver function in patients with Hepatocellular Carcinoma (HCC). ALBI grade 1 vs 2 were proposed as stratification factors within the Child Pugh (CP) A class. However, the original publication did not provide comparison with the sub-classification by points (5 to 15) within the CP classification. </w:t>
      </w:r>
    </w:p>
    <w:p w14:paraId="07E43ED1" w14:textId="12F07507" w:rsidR="0064337B" w:rsidRPr="00A31C5D" w:rsidRDefault="0064337B" w:rsidP="00A31C5D">
      <w:pPr>
        <w:spacing w:line="480" w:lineRule="auto"/>
        <w:rPr>
          <w:rFonts w:ascii="Arial" w:hAnsi="Arial" w:cs="Arial"/>
          <w:sz w:val="24"/>
          <w:szCs w:val="24"/>
        </w:rPr>
      </w:pPr>
      <w:r w:rsidRPr="00A31C5D">
        <w:rPr>
          <w:rFonts w:ascii="Arial" w:hAnsi="Arial" w:cs="Arial"/>
          <w:sz w:val="24"/>
          <w:szCs w:val="24"/>
        </w:rPr>
        <w:t xml:space="preserve">Methods: We retrospectively analyzed data from patients treated with sorafenib for HCC from 17 centers in United Kingdom and France. Overall survival (OS) was analyzed with the Kaplan-Meier method and a Cox regression model. Discriminatory abilities of the classifications were assessed with the log likelihood ratio, Harrell’s C statistics and Akaike information criterion. </w:t>
      </w:r>
    </w:p>
    <w:p w14:paraId="5A4A7BBD" w14:textId="0D6B723D" w:rsidR="0064337B" w:rsidRPr="00A31C5D" w:rsidRDefault="0064337B" w:rsidP="00A31C5D">
      <w:pPr>
        <w:spacing w:line="480" w:lineRule="auto"/>
        <w:rPr>
          <w:rFonts w:ascii="Arial" w:hAnsi="Arial" w:cs="Arial"/>
          <w:sz w:val="24"/>
          <w:szCs w:val="24"/>
        </w:rPr>
      </w:pPr>
      <w:r w:rsidRPr="00A31C5D">
        <w:rPr>
          <w:rFonts w:ascii="Arial" w:hAnsi="Arial" w:cs="Arial"/>
          <w:sz w:val="24"/>
          <w:szCs w:val="24"/>
        </w:rPr>
        <w:t xml:space="preserve">Results: Data from 1,019 patients were collected, of which 905 could be assessed for both scores. </w:t>
      </w:r>
      <w:r w:rsidR="003339FE" w:rsidRPr="00A31C5D">
        <w:rPr>
          <w:rFonts w:ascii="Arial" w:hAnsi="Arial" w:cs="Arial"/>
          <w:sz w:val="24"/>
          <w:szCs w:val="24"/>
        </w:rPr>
        <w:t>92%</w:t>
      </w:r>
      <w:r w:rsidRPr="00A31C5D">
        <w:rPr>
          <w:rFonts w:ascii="Arial" w:hAnsi="Arial" w:cs="Arial"/>
          <w:sz w:val="24"/>
          <w:szCs w:val="24"/>
        </w:rPr>
        <w:t xml:space="preserve"> of ALBI grade 1 were CP A5 while ALBI 2 included a broad range of CP scores of which 44% were CP A6. Median OS was 10.2, 7.0 and 3.6 months for CP scores A5, A6 and &gt;A6, respectively (</w:t>
      </w:r>
      <w:r w:rsidRPr="00A31C5D">
        <w:rPr>
          <w:rFonts w:ascii="Arial" w:hAnsi="Arial" w:cs="Arial"/>
          <w:i/>
          <w:sz w:val="24"/>
          <w:szCs w:val="24"/>
        </w:rPr>
        <w:t>P</w:t>
      </w:r>
      <w:r w:rsidR="003339FE" w:rsidRPr="00A31C5D">
        <w:rPr>
          <w:rFonts w:ascii="Arial" w:hAnsi="Arial" w:cs="Arial"/>
          <w:sz w:val="24"/>
          <w:szCs w:val="24"/>
        </w:rPr>
        <w:t>&lt;0.001), Hazard Ratio (HR)</w:t>
      </w:r>
      <w:r w:rsidRPr="00A31C5D">
        <w:rPr>
          <w:rFonts w:ascii="Arial" w:hAnsi="Arial" w:cs="Arial"/>
          <w:sz w:val="24"/>
          <w:szCs w:val="24"/>
        </w:rPr>
        <w:t xml:space="preserve">=1.60 (95%CI: 1.35-1.89, </w:t>
      </w:r>
      <w:r w:rsidRPr="00A31C5D">
        <w:rPr>
          <w:rFonts w:ascii="Arial" w:hAnsi="Arial" w:cs="Arial"/>
          <w:i/>
          <w:sz w:val="24"/>
          <w:szCs w:val="24"/>
        </w:rPr>
        <w:t>P</w:t>
      </w:r>
      <w:r w:rsidRPr="00A31C5D">
        <w:rPr>
          <w:rFonts w:ascii="Arial" w:hAnsi="Arial" w:cs="Arial"/>
          <w:sz w:val="24"/>
          <w:szCs w:val="24"/>
        </w:rPr>
        <w:t>&lt;0.001) for A6 vs A5. Median OS was 10.9, 6.6 and 3.0 months for ALBI grade 1, 2 and 3, respectively (</w:t>
      </w:r>
      <w:r w:rsidRPr="00A31C5D">
        <w:rPr>
          <w:rFonts w:ascii="Arial" w:hAnsi="Arial" w:cs="Arial"/>
          <w:i/>
          <w:sz w:val="24"/>
          <w:szCs w:val="24"/>
        </w:rPr>
        <w:t>P</w:t>
      </w:r>
      <w:r w:rsidRPr="00A31C5D">
        <w:rPr>
          <w:rFonts w:ascii="Arial" w:hAnsi="Arial" w:cs="Arial"/>
          <w:sz w:val="24"/>
          <w:szCs w:val="24"/>
        </w:rPr>
        <w:t xml:space="preserve">&lt;0.001), HR=1.68 (1.43-1.97, </w:t>
      </w:r>
      <w:r w:rsidRPr="00A31C5D">
        <w:rPr>
          <w:rFonts w:ascii="Arial" w:hAnsi="Arial" w:cs="Arial"/>
          <w:i/>
          <w:sz w:val="24"/>
          <w:szCs w:val="24"/>
        </w:rPr>
        <w:t>P</w:t>
      </w:r>
      <w:r w:rsidRPr="00A31C5D">
        <w:rPr>
          <w:rFonts w:ascii="Arial" w:hAnsi="Arial" w:cs="Arial"/>
          <w:sz w:val="24"/>
          <w:szCs w:val="24"/>
        </w:rPr>
        <w:t xml:space="preserve">&lt;0.001) for grade 2 vs 1. Discriminatory abilities of CP and ALBI were similar in the CP A population, but better for CP in the overall population. </w:t>
      </w:r>
    </w:p>
    <w:p w14:paraId="7679FB1E" w14:textId="50671B9C" w:rsidR="0064337B" w:rsidRPr="00A31C5D" w:rsidRDefault="0064337B" w:rsidP="00A31C5D">
      <w:pPr>
        <w:spacing w:line="480" w:lineRule="auto"/>
        <w:rPr>
          <w:rFonts w:ascii="Arial" w:hAnsi="Arial" w:cs="Arial"/>
          <w:sz w:val="24"/>
          <w:szCs w:val="24"/>
        </w:rPr>
      </w:pPr>
      <w:r w:rsidRPr="00A31C5D">
        <w:rPr>
          <w:rFonts w:ascii="Arial" w:hAnsi="Arial" w:cs="Arial"/>
          <w:sz w:val="24"/>
          <w:szCs w:val="24"/>
        </w:rPr>
        <w:t xml:space="preserve">Conclusions: </w:t>
      </w:r>
      <w:r w:rsidR="003339FE" w:rsidRPr="00A31C5D">
        <w:rPr>
          <w:rFonts w:ascii="Arial" w:hAnsi="Arial" w:cs="Arial"/>
          <w:sz w:val="24"/>
          <w:szCs w:val="24"/>
        </w:rPr>
        <w:t>O</w:t>
      </w:r>
      <w:r w:rsidRPr="00A31C5D">
        <w:rPr>
          <w:rFonts w:ascii="Arial" w:hAnsi="Arial" w:cs="Arial"/>
          <w:sz w:val="24"/>
          <w:szCs w:val="24"/>
        </w:rPr>
        <w:t>ur findings support the use CP class A as</w:t>
      </w:r>
      <w:r w:rsidR="003339FE" w:rsidRPr="00A31C5D">
        <w:rPr>
          <w:rFonts w:ascii="Arial" w:hAnsi="Arial" w:cs="Arial"/>
          <w:sz w:val="24"/>
          <w:szCs w:val="24"/>
        </w:rPr>
        <w:t xml:space="preserve"> an</w:t>
      </w:r>
      <w:r w:rsidRPr="00A31C5D">
        <w:rPr>
          <w:rFonts w:ascii="Arial" w:hAnsi="Arial" w:cs="Arial"/>
          <w:sz w:val="24"/>
          <w:szCs w:val="24"/>
        </w:rPr>
        <w:t xml:space="preserve"> inclusion criterion, and ALBI as a stratification factor in trials of systemic therapy.</w:t>
      </w:r>
    </w:p>
    <w:p w14:paraId="32F53C9C" w14:textId="77777777" w:rsidR="008B788E" w:rsidRPr="00A31C5D" w:rsidRDefault="008B788E" w:rsidP="00A31C5D">
      <w:pPr>
        <w:spacing w:line="480" w:lineRule="auto"/>
        <w:rPr>
          <w:rFonts w:ascii="Arial" w:hAnsi="Arial" w:cs="Arial"/>
          <w:sz w:val="24"/>
          <w:szCs w:val="24"/>
        </w:rPr>
      </w:pPr>
    </w:p>
    <w:p w14:paraId="5BD4EA03" w14:textId="77777777" w:rsidR="008B788E" w:rsidRPr="00A31C5D" w:rsidRDefault="008B788E" w:rsidP="00A31C5D">
      <w:pPr>
        <w:spacing w:line="480" w:lineRule="auto"/>
        <w:rPr>
          <w:rFonts w:ascii="Arial" w:hAnsi="Arial" w:cs="Arial"/>
          <w:sz w:val="24"/>
          <w:szCs w:val="24"/>
        </w:rPr>
      </w:pPr>
    </w:p>
    <w:p w14:paraId="2AAB5D00" w14:textId="77777777" w:rsidR="008B788E" w:rsidRPr="00A31C5D" w:rsidRDefault="008B788E" w:rsidP="00A31C5D">
      <w:pPr>
        <w:spacing w:line="480" w:lineRule="auto"/>
        <w:rPr>
          <w:rFonts w:ascii="Arial" w:hAnsi="Arial" w:cs="Arial"/>
          <w:sz w:val="24"/>
          <w:szCs w:val="24"/>
        </w:rPr>
      </w:pPr>
      <w:r w:rsidRPr="00A31C5D">
        <w:rPr>
          <w:rFonts w:ascii="Arial" w:hAnsi="Arial" w:cs="Arial"/>
          <w:sz w:val="24"/>
          <w:szCs w:val="24"/>
        </w:rPr>
        <w:lastRenderedPageBreak/>
        <w:t>Key points:</w:t>
      </w:r>
    </w:p>
    <w:p w14:paraId="7C9F6671" w14:textId="77777777" w:rsidR="008B788E" w:rsidRPr="00A31C5D" w:rsidRDefault="008B788E" w:rsidP="00A31C5D">
      <w:pPr>
        <w:spacing w:line="480" w:lineRule="auto"/>
        <w:rPr>
          <w:rFonts w:ascii="Arial" w:hAnsi="Arial" w:cs="Arial"/>
          <w:sz w:val="24"/>
          <w:szCs w:val="24"/>
        </w:rPr>
      </w:pPr>
      <w:r w:rsidRPr="00A31C5D">
        <w:rPr>
          <w:rFonts w:ascii="Arial" w:hAnsi="Arial" w:cs="Arial"/>
          <w:sz w:val="24"/>
          <w:szCs w:val="24"/>
        </w:rPr>
        <w:t>- This series offers a comparison of CP by points and ALBI in a large population of patients treated with sorafenib</w:t>
      </w:r>
    </w:p>
    <w:p w14:paraId="0D5330FC" w14:textId="0B6BD69B" w:rsidR="008B788E" w:rsidRPr="00A31C5D" w:rsidRDefault="008B788E" w:rsidP="00A31C5D">
      <w:pPr>
        <w:spacing w:line="480" w:lineRule="auto"/>
        <w:rPr>
          <w:rFonts w:ascii="Arial" w:hAnsi="Arial" w:cs="Arial"/>
          <w:sz w:val="24"/>
          <w:szCs w:val="24"/>
        </w:rPr>
      </w:pPr>
      <w:r w:rsidRPr="00A31C5D">
        <w:rPr>
          <w:rFonts w:ascii="Arial" w:hAnsi="Arial" w:cs="Arial"/>
          <w:sz w:val="24"/>
          <w:szCs w:val="24"/>
        </w:rPr>
        <w:t>- CP A class was a better inclusion criteria than ALBI grade 1 or ALBI grade ≤2</w:t>
      </w:r>
    </w:p>
    <w:p w14:paraId="4EFB0D6C" w14:textId="77777777" w:rsidR="008B788E" w:rsidRPr="00A31C5D" w:rsidRDefault="008B788E" w:rsidP="00A31C5D">
      <w:pPr>
        <w:spacing w:line="480" w:lineRule="auto"/>
        <w:rPr>
          <w:rFonts w:ascii="Arial" w:hAnsi="Arial" w:cs="Arial"/>
          <w:sz w:val="24"/>
          <w:szCs w:val="24"/>
        </w:rPr>
      </w:pPr>
      <w:r w:rsidRPr="00A31C5D">
        <w:rPr>
          <w:rFonts w:ascii="Arial" w:hAnsi="Arial" w:cs="Arial"/>
          <w:sz w:val="24"/>
          <w:szCs w:val="24"/>
        </w:rPr>
        <w:t>- ALBI grade and CP sub classification by points offered similar discriminative abilities when analyzed within the CP A class</w:t>
      </w:r>
    </w:p>
    <w:p w14:paraId="38A6E077" w14:textId="2BA7FEE9" w:rsidR="008E136D" w:rsidRPr="00A31C5D" w:rsidRDefault="008B788E" w:rsidP="00A31C5D">
      <w:pPr>
        <w:spacing w:line="480" w:lineRule="auto"/>
        <w:rPr>
          <w:rFonts w:ascii="Arial" w:hAnsi="Arial" w:cs="Arial"/>
          <w:sz w:val="24"/>
          <w:szCs w:val="24"/>
        </w:rPr>
      </w:pPr>
      <w:r w:rsidRPr="00A31C5D">
        <w:rPr>
          <w:rFonts w:ascii="Arial" w:hAnsi="Arial" w:cs="Arial"/>
          <w:sz w:val="24"/>
          <w:szCs w:val="24"/>
        </w:rPr>
        <w:t>- We proposed that CP class A should be used as an inclusion criteria, and ALBI grade as a stratification factor in clinical trials of systemic therapy</w:t>
      </w:r>
      <w:r w:rsidR="008E136D" w:rsidRPr="00A31C5D">
        <w:rPr>
          <w:rFonts w:ascii="Arial" w:hAnsi="Arial" w:cs="Arial"/>
          <w:sz w:val="24"/>
          <w:szCs w:val="24"/>
        </w:rPr>
        <w:br w:type="page"/>
      </w:r>
    </w:p>
    <w:p w14:paraId="74FE0FAA" w14:textId="77777777" w:rsidR="000D6457" w:rsidRPr="00A31C5D" w:rsidRDefault="000D6457" w:rsidP="00A31C5D">
      <w:pPr>
        <w:spacing w:line="480" w:lineRule="auto"/>
        <w:rPr>
          <w:rFonts w:ascii="Arial" w:hAnsi="Arial" w:cs="Arial"/>
          <w:sz w:val="24"/>
          <w:szCs w:val="24"/>
        </w:rPr>
      </w:pPr>
      <w:r w:rsidRPr="00A31C5D">
        <w:rPr>
          <w:rFonts w:ascii="Arial" w:hAnsi="Arial" w:cs="Arial"/>
          <w:sz w:val="24"/>
          <w:szCs w:val="24"/>
        </w:rPr>
        <w:lastRenderedPageBreak/>
        <w:t>Introduction</w:t>
      </w:r>
    </w:p>
    <w:p w14:paraId="4D0FFB48" w14:textId="4D9A16D3" w:rsidR="00E7452C" w:rsidRPr="00A31C5D" w:rsidRDefault="00E7452C" w:rsidP="00A31C5D">
      <w:pPr>
        <w:spacing w:line="480" w:lineRule="auto"/>
        <w:rPr>
          <w:rFonts w:ascii="Arial" w:hAnsi="Arial" w:cs="Arial"/>
          <w:sz w:val="24"/>
          <w:szCs w:val="24"/>
        </w:rPr>
      </w:pPr>
      <w:r w:rsidRPr="00A31C5D">
        <w:rPr>
          <w:rFonts w:ascii="Arial" w:hAnsi="Arial" w:cs="Arial"/>
          <w:sz w:val="24"/>
          <w:szCs w:val="24"/>
        </w:rPr>
        <w:t xml:space="preserve">Hepatocellular Carcinoma (HCC) is the second </w:t>
      </w:r>
      <w:r w:rsidR="00B82136" w:rsidRPr="00A31C5D">
        <w:rPr>
          <w:rFonts w:ascii="Arial" w:hAnsi="Arial" w:cs="Arial"/>
          <w:sz w:val="24"/>
          <w:szCs w:val="24"/>
        </w:rPr>
        <w:t xml:space="preserve">most common </w:t>
      </w:r>
      <w:r w:rsidRPr="00A31C5D">
        <w:rPr>
          <w:rFonts w:ascii="Arial" w:hAnsi="Arial" w:cs="Arial"/>
          <w:sz w:val="24"/>
          <w:szCs w:val="24"/>
        </w:rPr>
        <w:t xml:space="preserve">cause of </w:t>
      </w:r>
      <w:r w:rsidR="00B82136" w:rsidRPr="00A31C5D">
        <w:rPr>
          <w:rFonts w:ascii="Arial" w:hAnsi="Arial" w:cs="Arial"/>
          <w:sz w:val="24"/>
          <w:szCs w:val="24"/>
        </w:rPr>
        <w:t xml:space="preserve">cancer </w:t>
      </w:r>
      <w:r w:rsidRPr="00A31C5D">
        <w:rPr>
          <w:rFonts w:ascii="Arial" w:hAnsi="Arial" w:cs="Arial"/>
          <w:sz w:val="24"/>
          <w:szCs w:val="24"/>
        </w:rPr>
        <w:t xml:space="preserve">death </w:t>
      </w:r>
      <w:r w:rsidR="00B82136" w:rsidRPr="00A31C5D">
        <w:rPr>
          <w:rFonts w:ascii="Arial" w:hAnsi="Arial" w:cs="Arial"/>
          <w:sz w:val="24"/>
          <w:szCs w:val="24"/>
        </w:rPr>
        <w:t xml:space="preserve"> </w:t>
      </w:r>
      <w:r w:rsidRPr="00A31C5D">
        <w:rPr>
          <w:rFonts w:ascii="Arial" w:hAnsi="Arial" w:cs="Arial"/>
          <w:sz w:val="24"/>
          <w:szCs w:val="24"/>
        </w:rPr>
        <w:t xml:space="preserve">worldwide </w:t>
      </w:r>
      <w:r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14tnhjdet4","properties":{"formattedCitation":"[1]","plainCitation":"[1]"},"citationItems":[{"id":2262,"uris":["http://zotero.org/users/587498/items/3KVQVADG"],"uri":["http://zotero.org/users/587498/items/3KVQVADG"],"itemData":{"id":2262,"type":"article-journal","title":"Global cancer statistics, 2012: Global Cancer Statistics, 2012","container-title":"CA: A Cancer Journal for Clinicians","page":"87-108","volume":"65","issue":"2","source":"CrossRef","DOI":"10.3322/caac.21262","ISSN":"00079235","shortTitle":"Global cancer statistics, 2012","language":"en","author":[{"family":"Torre","given":"Lindsey A."},{"family":"Bray","given":"Freddie"},{"family":"Siegel","given":"Rebecca L."},{"family":"Ferlay","given":"Jacques"},{"family":"Lortet-Tieulent","given":"Joannie"},{"family":"Jemal","given":"Ahmedin"}],"issued":{"date-parts":[["2015",3]]}}}],"schema":"https://github.com/citation-style-language/schema/raw/master/csl-citation.json"} </w:instrText>
      </w:r>
      <w:r w:rsidRPr="00A31C5D">
        <w:rPr>
          <w:rFonts w:ascii="Arial" w:hAnsi="Arial" w:cs="Arial"/>
          <w:sz w:val="24"/>
          <w:szCs w:val="24"/>
        </w:rPr>
        <w:fldChar w:fldCharType="separate"/>
      </w:r>
      <w:r w:rsidR="00FE77F7" w:rsidRPr="00A31C5D">
        <w:rPr>
          <w:rFonts w:ascii="Arial" w:hAnsi="Arial" w:cs="Arial"/>
          <w:sz w:val="24"/>
          <w:szCs w:val="24"/>
        </w:rPr>
        <w:t>[1]</w:t>
      </w:r>
      <w:r w:rsidRPr="00A31C5D">
        <w:rPr>
          <w:rFonts w:ascii="Arial" w:hAnsi="Arial" w:cs="Arial"/>
          <w:sz w:val="24"/>
          <w:szCs w:val="24"/>
        </w:rPr>
        <w:fldChar w:fldCharType="end"/>
      </w:r>
      <w:r w:rsidRPr="00A31C5D">
        <w:rPr>
          <w:rFonts w:ascii="Arial" w:hAnsi="Arial" w:cs="Arial"/>
          <w:sz w:val="24"/>
          <w:szCs w:val="24"/>
        </w:rPr>
        <w:t xml:space="preserve">. As most cases arise in patients with </w:t>
      </w:r>
      <w:r w:rsidR="00B82136" w:rsidRPr="00A31C5D">
        <w:rPr>
          <w:rFonts w:ascii="Arial" w:hAnsi="Arial" w:cs="Arial"/>
          <w:sz w:val="24"/>
          <w:szCs w:val="24"/>
        </w:rPr>
        <w:t xml:space="preserve">chronic </w:t>
      </w:r>
      <w:r w:rsidRPr="00A31C5D">
        <w:rPr>
          <w:rFonts w:ascii="Arial" w:hAnsi="Arial" w:cs="Arial"/>
          <w:sz w:val="24"/>
          <w:szCs w:val="24"/>
        </w:rPr>
        <w:t xml:space="preserve">liver disease, the prognosis and treatment </w:t>
      </w:r>
      <w:r w:rsidR="005D04F7" w:rsidRPr="00A31C5D">
        <w:rPr>
          <w:rFonts w:ascii="Arial" w:hAnsi="Arial" w:cs="Arial"/>
          <w:sz w:val="24"/>
          <w:szCs w:val="24"/>
        </w:rPr>
        <w:t>algorithms</w:t>
      </w:r>
      <w:r w:rsidRPr="00A31C5D">
        <w:rPr>
          <w:rFonts w:ascii="Arial" w:hAnsi="Arial" w:cs="Arial"/>
          <w:sz w:val="24"/>
          <w:szCs w:val="24"/>
        </w:rPr>
        <w:t xml:space="preserve"> need to take into account both tumoral characteristics </w:t>
      </w:r>
      <w:r w:rsidR="0002601D" w:rsidRPr="00A31C5D">
        <w:rPr>
          <w:rFonts w:ascii="Arial" w:hAnsi="Arial" w:cs="Arial"/>
          <w:sz w:val="24"/>
          <w:szCs w:val="24"/>
        </w:rPr>
        <w:t>(</w:t>
      </w:r>
      <w:r w:rsidR="00C626B0" w:rsidRPr="00A31C5D">
        <w:rPr>
          <w:rFonts w:ascii="Arial" w:hAnsi="Arial" w:cs="Arial"/>
          <w:sz w:val="24"/>
          <w:szCs w:val="24"/>
        </w:rPr>
        <w:t xml:space="preserve">such as </w:t>
      </w:r>
      <w:r w:rsidRPr="00A31C5D">
        <w:rPr>
          <w:rFonts w:ascii="Arial" w:hAnsi="Arial" w:cs="Arial"/>
          <w:sz w:val="24"/>
          <w:szCs w:val="24"/>
        </w:rPr>
        <w:t xml:space="preserve">size, number of lesions, portal vein thrombosis, extra-hepatic spread) and liver function </w:t>
      </w:r>
      <w:r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o2j4v8vpa","properties":{"formattedCitation":"[2]","plainCitation":"[2]"},"citationItems":[{"id":1155,"uris":["http://zotero.org/users/587498/items/HFPZ62F4"],"uri":["http://zotero.org/users/587498/items/HFPZ62F4"],"itemData":{"id":1155,"type":"article-journal","title":"EASL–EORTC Clinical Practice Guidelines: management of hepatocellular carcinoma","container-title":"Journal of hepatology","page":"908–943","volume":"56","issue":"4","source":"Google Scholar","shortTitle":"EASL–EORTC Clinical Practice Guidelines","author":[{"family":"EASL","given":""},{"family":"EORTC","given":""},{"literal":"others"}],"issued":{"date-parts":[["2012"]]}}}],"schema":"https://github.com/citation-style-language/schema/raw/master/csl-citation.json"} </w:instrText>
      </w:r>
      <w:r w:rsidRPr="00A31C5D">
        <w:rPr>
          <w:rFonts w:ascii="Arial" w:hAnsi="Arial" w:cs="Arial"/>
          <w:sz w:val="24"/>
          <w:szCs w:val="24"/>
        </w:rPr>
        <w:fldChar w:fldCharType="separate"/>
      </w:r>
      <w:r w:rsidR="00FE77F7" w:rsidRPr="00A31C5D">
        <w:rPr>
          <w:rFonts w:ascii="Arial" w:hAnsi="Arial" w:cs="Arial"/>
          <w:sz w:val="24"/>
          <w:szCs w:val="24"/>
        </w:rPr>
        <w:t>[2]</w:t>
      </w:r>
      <w:r w:rsidRPr="00A31C5D">
        <w:rPr>
          <w:rFonts w:ascii="Arial" w:hAnsi="Arial" w:cs="Arial"/>
          <w:sz w:val="24"/>
          <w:szCs w:val="24"/>
        </w:rPr>
        <w:fldChar w:fldCharType="end"/>
      </w:r>
      <w:r w:rsidRPr="00A31C5D">
        <w:rPr>
          <w:rFonts w:ascii="Arial" w:hAnsi="Arial" w:cs="Arial"/>
          <w:sz w:val="24"/>
          <w:szCs w:val="24"/>
        </w:rPr>
        <w:t>.</w:t>
      </w:r>
      <w:r w:rsidR="00B82136" w:rsidRPr="00A31C5D">
        <w:rPr>
          <w:rFonts w:ascii="Arial" w:hAnsi="Arial" w:cs="Arial"/>
          <w:sz w:val="24"/>
          <w:szCs w:val="24"/>
        </w:rPr>
        <w:t xml:space="preserve"> A number of different composite scoring systems are currently used to define the extent </w:t>
      </w:r>
      <w:r w:rsidR="00244889" w:rsidRPr="00A31C5D">
        <w:rPr>
          <w:rFonts w:ascii="Arial" w:hAnsi="Arial" w:cs="Arial"/>
          <w:sz w:val="24"/>
          <w:szCs w:val="24"/>
        </w:rPr>
        <w:t xml:space="preserve">of underlying liver dysfunction but the most widely is </w:t>
      </w:r>
      <w:r w:rsidRPr="00A31C5D">
        <w:rPr>
          <w:rFonts w:ascii="Arial" w:hAnsi="Arial" w:cs="Arial"/>
          <w:sz w:val="24"/>
          <w:szCs w:val="24"/>
        </w:rPr>
        <w:t>the Child-Pugh</w:t>
      </w:r>
      <w:r w:rsidR="009E26DD" w:rsidRPr="00A31C5D">
        <w:rPr>
          <w:rFonts w:ascii="Arial" w:hAnsi="Arial" w:cs="Arial"/>
          <w:sz w:val="24"/>
          <w:szCs w:val="24"/>
        </w:rPr>
        <w:t xml:space="preserve"> (CP)</w:t>
      </w:r>
      <w:r w:rsidRPr="00A31C5D">
        <w:rPr>
          <w:rFonts w:ascii="Arial" w:hAnsi="Arial" w:cs="Arial"/>
          <w:sz w:val="24"/>
          <w:szCs w:val="24"/>
        </w:rPr>
        <w:t xml:space="preserve"> </w:t>
      </w:r>
      <w:r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{"citationID":"rbZjgSW5","properties":{"formattedCitation":"{\\rtf [2\\uc0\\u8211{}5]}","plainCitation":"[2–5]"},"citationItems":[{"id":2265,"uris":["http://zotero.org/users/587498/items/DHBI8P4H"],"uri":["http://zotero.org/users/587498/items/DHBI8P4H"],"itemData":{"id":2265,"type":"article-journal","title":"Assessment of Prognosis of Cirrhosis","container-title":"Seminars in Liver Disease","page":"110-122","volume":"28","issue":"1","source":"CrossRef","DOI":"10.1055/s-2008-1040325","ISSN":"0272-8087, 1098-8971","language":"en","author":[{"family":"Durand","given":"François"},{"family":"Valla","given":"Dominique"}],"issued":{"date-parts":[["2008",2]]}}},{"id":2270,"uris":["http://zotero.org/users/587498/items/N9I6XKSH"],"uri":["http://zotero.org/users/587498/items/N9I6XKSH"],"itemData":{"id":2270,"type":"article-journal","title":"A model to predict poor survival in patients undergoing transjugular intrahepatic portosystemic shunts","container-title":"Hepatology (Baltimore, Md.)","page":"864-871","volume":"31","issue":"4","source":"PubMed","abstract":"Transjugular intrahepatic portosystemic shunts (TIPS) may worsen liver function and decrease survival in some patients. The Child-Pugh classification has several drawbacks when used to determine survival in such patients. The survival of 231 patients at 4 medical centers within the United States who underwent elective TIPS was studied to develop statistical models to (1) predict patient survival and (2) identify those patients whose liver-related mortality post-TIPS would be 3 months or less. Among these elective TIPS patients, 173 had the procedure for prevention of variceal rebleeding and 58 for treatment of refractory ascites. Death related to liver disease occurred in 110 patients, 70 within 3 months. Cox proportional-hazards regression identified serum concentrations of bilirubin and creatinine, international normalized ratio for prothrombin time (INR), and the cause of the underlying liver disease as predictors of survival in patients undergoing elective TIPS, either for prevention of variceal rebleeding or for treatment of refractory ascites. These variables can be used to calculate a risk score (R) for patients undergoing elective TIPS. Patients with R &gt; 1.8 had a median survival of 3 months or less. This model was superior to both the Child-Pugh classification, as well as the Child-Pugh score, in predicting survival. Using logistic regression and the same variables, we also developed a nomogram that indicates which patients survive less than 3 months. Finally, the model was validated among an independent set of 71 patients from the Netherlands. This Mayo TIPS model may predict early death following elective TIPS for either prevention of variceal rebleeding or for treatment of refractory ascites.","DOI":"10.1053/he.2000.5852","ISSN":"0270-9139","note":"PMID: 10733541","journalAbbreviation":"Hepatology","language":"eng","author":[{"family":"Malinchoc","given":"M."},{"family":"Kamath","given":"P. S."},{"family":"Gordon","given":"F. D."},{"family":"Peine","given":"C. J."},{"family":"Rank","given":"J."},{"family":"Borg","given":"P. C.","non-dropping-particle":"ter"}],"issued":{"date-parts":[["2000",4]]},"PMID":"10733541"}},{"id":2266,"uris":["http://zotero.org/users/587498/items/43JH9WER"],"uri":["http://zotero.org/users/587498/items/43JH9WER"],"itemData":{"id":2266,"type":"article-journal","title":"Transection of the oesophagus for bleeding oesophageal varices","container-title":"The British Journal of Surgery","page":"646-649","volume":"60","issue":"8","source":"PubMed","ISSN":"0007-1323","note":"PMID: 4541913","journalAbbreviation":"Br J Surg","language":"eng","author":[{"family":"Pugh","given":"R. N."},{"family":"Murray-Lyon","given":"I. M."},{"family":"Dawson","given":"J. L."},{"family":"Pietroni","given":"M. C."},{"family":"Williams","given":"R."}],"issued":{"date-parts":[["1973",8]]},"PMID":"4541913"}},{"id":1155,"uris":["http://zotero.org/users/587498/items/HFPZ62F4"],"uri":["http://zotero.org/users/587498/items/HFPZ62F4"],"itemData":{"id":1155,"type":"article-journal","title":"EASL–EORTC Clinical Practice Guidelines: management of hepatocellular carcinoma","container-title":"Journal of hepatology","page":"908–943","volume":"56","issue":"4","source":"Google Scholar","shortTitle":"EASL–EORTC Clinical Practice Guidelines","author":[{"family":"EASL","given":""},{"family":"EORTC","given":""},{"literal":"others"}],"issued":{"date-parts":[["2012"]]}}}],"schema":"https://github.com/citation-style-language/schema/raw/master/csl-citation.json"} </w:instrText>
      </w:r>
      <w:r w:rsidRPr="00A31C5D">
        <w:rPr>
          <w:rFonts w:ascii="Arial" w:hAnsi="Arial" w:cs="Arial"/>
          <w:sz w:val="24"/>
          <w:szCs w:val="24"/>
        </w:rPr>
        <w:fldChar w:fldCharType="separate"/>
      </w:r>
      <w:r w:rsidR="00FE77F7" w:rsidRPr="00A31C5D">
        <w:rPr>
          <w:rFonts w:ascii="Arial" w:hAnsi="Arial" w:cs="Arial"/>
          <w:sz w:val="24"/>
          <w:szCs w:val="24"/>
        </w:rPr>
        <w:t>[2–5]</w:t>
      </w:r>
      <w:r w:rsidRPr="00A31C5D">
        <w:rPr>
          <w:rFonts w:ascii="Arial" w:hAnsi="Arial" w:cs="Arial"/>
          <w:sz w:val="24"/>
          <w:szCs w:val="24"/>
        </w:rPr>
        <w:fldChar w:fldCharType="end"/>
      </w:r>
      <w:r w:rsidRPr="00A31C5D">
        <w:rPr>
          <w:rFonts w:ascii="Arial" w:hAnsi="Arial" w:cs="Arial"/>
          <w:sz w:val="24"/>
          <w:szCs w:val="24"/>
        </w:rPr>
        <w:t>.</w:t>
      </w:r>
    </w:p>
    <w:p w14:paraId="7927D850" w14:textId="37288020" w:rsidR="005D04F7" w:rsidRPr="00A31C5D" w:rsidRDefault="005F0579" w:rsidP="00A31C5D">
      <w:pPr>
        <w:spacing w:line="480" w:lineRule="auto"/>
        <w:rPr>
          <w:rFonts w:ascii="Arial" w:hAnsi="Arial" w:cs="Arial"/>
          <w:sz w:val="24"/>
          <w:szCs w:val="24"/>
        </w:rPr>
      </w:pPr>
      <w:r w:rsidRPr="00A31C5D">
        <w:rPr>
          <w:rFonts w:ascii="Arial" w:hAnsi="Arial" w:cs="Arial"/>
          <w:sz w:val="24"/>
          <w:szCs w:val="24"/>
        </w:rPr>
        <w:t xml:space="preserve">However, </w:t>
      </w:r>
      <w:r w:rsidR="009E26DD" w:rsidRPr="00A31C5D">
        <w:rPr>
          <w:rFonts w:ascii="Arial" w:hAnsi="Arial" w:cs="Arial"/>
          <w:sz w:val="24"/>
          <w:szCs w:val="24"/>
        </w:rPr>
        <w:t>CP</w:t>
      </w:r>
      <w:r w:rsidRPr="00A31C5D">
        <w:rPr>
          <w:rFonts w:ascii="Arial" w:hAnsi="Arial" w:cs="Arial"/>
          <w:sz w:val="24"/>
          <w:szCs w:val="24"/>
        </w:rPr>
        <w:t xml:space="preserve"> score has many limitation</w:t>
      </w:r>
      <w:r w:rsidR="00C626B0" w:rsidRPr="00A31C5D">
        <w:rPr>
          <w:rFonts w:ascii="Arial" w:hAnsi="Arial" w:cs="Arial"/>
          <w:sz w:val="24"/>
          <w:szCs w:val="24"/>
        </w:rPr>
        <w:t>s</w:t>
      </w:r>
      <w:r w:rsidRPr="00A31C5D">
        <w:rPr>
          <w:rFonts w:ascii="Arial" w:hAnsi="Arial" w:cs="Arial"/>
          <w:sz w:val="24"/>
          <w:szCs w:val="24"/>
        </w:rPr>
        <w:t xml:space="preserve">, including the empiric </w:t>
      </w:r>
      <w:r w:rsidR="00C626B0" w:rsidRPr="00A31C5D">
        <w:rPr>
          <w:rFonts w:ascii="Arial" w:hAnsi="Arial" w:cs="Arial"/>
          <w:sz w:val="24"/>
          <w:szCs w:val="24"/>
        </w:rPr>
        <w:t>development</w:t>
      </w:r>
      <w:r w:rsidRPr="00A31C5D">
        <w:rPr>
          <w:rFonts w:ascii="Arial" w:hAnsi="Arial" w:cs="Arial"/>
          <w:sz w:val="24"/>
          <w:szCs w:val="24"/>
        </w:rPr>
        <w:t xml:space="preserve"> of the score, </w:t>
      </w:r>
      <w:r w:rsidR="006665F3" w:rsidRPr="00A31C5D">
        <w:rPr>
          <w:rFonts w:ascii="Arial" w:hAnsi="Arial" w:cs="Arial"/>
          <w:sz w:val="24"/>
          <w:szCs w:val="24"/>
        </w:rPr>
        <w:t xml:space="preserve">and </w:t>
      </w:r>
      <w:r w:rsidRPr="00A31C5D">
        <w:rPr>
          <w:rFonts w:ascii="Arial" w:hAnsi="Arial" w:cs="Arial"/>
          <w:sz w:val="24"/>
          <w:szCs w:val="24"/>
        </w:rPr>
        <w:t>the subjectivity of some param</w:t>
      </w:r>
      <w:r w:rsidR="006665F3" w:rsidRPr="00A31C5D">
        <w:rPr>
          <w:rFonts w:ascii="Arial" w:hAnsi="Arial" w:cs="Arial"/>
          <w:sz w:val="24"/>
          <w:szCs w:val="24"/>
        </w:rPr>
        <w:t>eters</w:t>
      </w:r>
      <w:r w:rsidR="00EF69F2" w:rsidRPr="00A31C5D">
        <w:rPr>
          <w:rFonts w:ascii="Arial" w:hAnsi="Arial" w:cs="Arial"/>
          <w:sz w:val="24"/>
          <w:szCs w:val="24"/>
        </w:rPr>
        <w:t xml:space="preserve"> including the clinical assessment of </w:t>
      </w:r>
      <w:r w:rsidR="006665F3" w:rsidRPr="00A31C5D">
        <w:rPr>
          <w:rFonts w:ascii="Arial" w:hAnsi="Arial" w:cs="Arial"/>
          <w:sz w:val="24"/>
          <w:szCs w:val="24"/>
        </w:rPr>
        <w:t>ascites</w:t>
      </w:r>
      <w:r w:rsidR="00EF69F2" w:rsidRPr="00A31C5D">
        <w:rPr>
          <w:rFonts w:ascii="Arial" w:hAnsi="Arial" w:cs="Arial"/>
          <w:sz w:val="24"/>
          <w:szCs w:val="24"/>
        </w:rPr>
        <w:t xml:space="preserve"> and</w:t>
      </w:r>
      <w:r w:rsidR="006665F3" w:rsidRPr="00A31C5D">
        <w:rPr>
          <w:rFonts w:ascii="Arial" w:hAnsi="Arial" w:cs="Arial"/>
          <w:sz w:val="24"/>
          <w:szCs w:val="24"/>
        </w:rPr>
        <w:t xml:space="preserve"> encephalopathy</w:t>
      </w:r>
      <w:r w:rsidRPr="00A31C5D">
        <w:rPr>
          <w:rFonts w:ascii="Arial" w:hAnsi="Arial" w:cs="Arial"/>
          <w:sz w:val="24"/>
          <w:szCs w:val="24"/>
        </w:rPr>
        <w:t xml:space="preserve"> </w:t>
      </w:r>
      <w:r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2khhobcip","properties":{"formattedCitation":"[3]","plainCitation":"[3]"},"citationItems":[{"id":2265,"uris":["http://zotero.org/users/587498/items/DHBI8P4H"],"uri":["http://zotero.org/users/587498/items/DHBI8P4H"],"itemData":{"id":2265,"type":"article-journal","title":"Assessment of Prognosis of Cirrhosis","container-title":"Seminars in Liver Disease","page":"110-122","volume":"28","issue":"1","source":"CrossRef","DOI":"10.1055/s-2008-1040325","ISSN":"0272-8087, 1098-8971","language":"en","author":[{"family":"Durand","given":"François"},{"family":"Valla","given":"Dominique"}],"issued":{"date-parts":[["2008",2]]}}}],"schema":"https://github.com/citation-style-language/schema/raw/master/csl-citation.json"} </w:instrText>
      </w:r>
      <w:r w:rsidRPr="00A31C5D">
        <w:rPr>
          <w:rFonts w:ascii="Arial" w:hAnsi="Arial" w:cs="Arial"/>
          <w:sz w:val="24"/>
          <w:szCs w:val="24"/>
        </w:rPr>
        <w:fldChar w:fldCharType="separate"/>
      </w:r>
      <w:r w:rsidR="00FE77F7" w:rsidRPr="00A31C5D">
        <w:rPr>
          <w:rFonts w:ascii="Arial" w:hAnsi="Arial" w:cs="Arial"/>
          <w:sz w:val="24"/>
          <w:szCs w:val="24"/>
        </w:rPr>
        <w:t>[3]</w:t>
      </w:r>
      <w:r w:rsidRPr="00A31C5D">
        <w:rPr>
          <w:rFonts w:ascii="Arial" w:hAnsi="Arial" w:cs="Arial"/>
          <w:sz w:val="24"/>
          <w:szCs w:val="24"/>
        </w:rPr>
        <w:fldChar w:fldCharType="end"/>
      </w:r>
      <w:r w:rsidRPr="00A31C5D">
        <w:rPr>
          <w:rFonts w:ascii="Arial" w:hAnsi="Arial" w:cs="Arial"/>
          <w:sz w:val="24"/>
          <w:szCs w:val="24"/>
        </w:rPr>
        <w:t xml:space="preserve">. The </w:t>
      </w:r>
      <w:r w:rsidR="009F0126" w:rsidRPr="00A31C5D">
        <w:rPr>
          <w:rFonts w:ascii="Arial" w:hAnsi="Arial" w:cs="Arial"/>
          <w:sz w:val="24"/>
          <w:szCs w:val="24"/>
        </w:rPr>
        <w:t>Albumin-Bilirubin (</w:t>
      </w:r>
      <w:r w:rsidRPr="00A31C5D">
        <w:rPr>
          <w:rFonts w:ascii="Arial" w:hAnsi="Arial" w:cs="Arial"/>
          <w:sz w:val="24"/>
          <w:szCs w:val="24"/>
        </w:rPr>
        <w:t>ALBI</w:t>
      </w:r>
      <w:r w:rsidR="009F0126" w:rsidRPr="00A31C5D">
        <w:rPr>
          <w:rFonts w:ascii="Arial" w:hAnsi="Arial" w:cs="Arial"/>
          <w:sz w:val="24"/>
          <w:szCs w:val="24"/>
        </w:rPr>
        <w:t>)</w:t>
      </w:r>
      <w:r w:rsidRPr="00A31C5D">
        <w:rPr>
          <w:rFonts w:ascii="Arial" w:hAnsi="Arial" w:cs="Arial"/>
          <w:sz w:val="24"/>
          <w:szCs w:val="24"/>
        </w:rPr>
        <w:t xml:space="preserve"> </w:t>
      </w:r>
      <w:r w:rsidR="009F0126" w:rsidRPr="00A31C5D">
        <w:rPr>
          <w:rFonts w:ascii="Arial" w:hAnsi="Arial" w:cs="Arial"/>
          <w:sz w:val="24"/>
          <w:szCs w:val="24"/>
        </w:rPr>
        <w:t xml:space="preserve">grade </w:t>
      </w:r>
      <w:r w:rsidRPr="00A31C5D">
        <w:rPr>
          <w:rFonts w:ascii="Arial" w:hAnsi="Arial" w:cs="Arial"/>
          <w:sz w:val="24"/>
          <w:szCs w:val="24"/>
        </w:rPr>
        <w:t xml:space="preserve">was recently proposed as an objective alternative to the </w:t>
      </w:r>
      <w:r w:rsidR="00C626B0" w:rsidRPr="00A31C5D">
        <w:rPr>
          <w:rFonts w:ascii="Arial" w:hAnsi="Arial" w:cs="Arial"/>
          <w:sz w:val="24"/>
          <w:szCs w:val="24"/>
        </w:rPr>
        <w:t>CP</w:t>
      </w:r>
      <w:r w:rsidRPr="00A31C5D">
        <w:rPr>
          <w:rFonts w:ascii="Arial" w:hAnsi="Arial" w:cs="Arial"/>
          <w:sz w:val="24"/>
          <w:szCs w:val="24"/>
        </w:rPr>
        <w:t xml:space="preserve"> </w:t>
      </w:r>
      <w:r w:rsidR="006665F3" w:rsidRPr="00A31C5D">
        <w:rPr>
          <w:rFonts w:ascii="Arial" w:hAnsi="Arial" w:cs="Arial"/>
          <w:sz w:val="24"/>
          <w:szCs w:val="24"/>
        </w:rPr>
        <w:t>classification</w:t>
      </w:r>
      <w:r w:rsidRPr="00A31C5D">
        <w:rPr>
          <w:rFonts w:ascii="Arial" w:hAnsi="Arial" w:cs="Arial"/>
          <w:sz w:val="24"/>
          <w:szCs w:val="24"/>
        </w:rPr>
        <w:t xml:space="preserve"> in patients with HCC</w:t>
      </w:r>
      <w:r w:rsidR="00B91A9B" w:rsidRPr="00A31C5D">
        <w:rPr>
          <w:rFonts w:ascii="Arial" w:hAnsi="Arial" w:cs="Arial"/>
          <w:sz w:val="24"/>
          <w:szCs w:val="24"/>
        </w:rPr>
        <w:t xml:space="preserve"> </w:t>
      </w:r>
      <w:r w:rsidR="00B91A9B"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1ukrqnobn","properties":{"formattedCitation":"[6]","plainCitation":"[6]"},"citationItems":[{"id":2269,"uris":["http://zotero.org/users/587498/items/KQ55G724"],"uri":["http://zotero.org/users/587498/items/KQ55G724"],"itemData":{"id":2269,"type":"article-journal","title":"Assessment of Liver Function in Patients With Hepatocellular Carcinoma: A New Evidence-Based Approach--The ALBI Grade","container-title":"Journal of Clinical Oncology","page":"550-558","volume":"33","issue":"6","source":"CrossRef","DOI":"10.1200/JCO.2014.57.9151","ISSN":"0732-183X, 1527-7755","shortTitle":"Assessment of Liver Function in Patients With Hepatocellular Carcinoma","language":"en","author":[{"family":"Johnson","given":"P. J."},{"family":"Berhane","given":"S."},{"family":"Kagebayashi","given":"C."},{"family":"Satomura","given":"S."},{"family":"Teng","given":"M."},{"family":"Reeves","given":"H. L."},{"family":"O'Beirne","given":"J."},{"family":"Fox","given":"R."},{"family":"Skowronska","given":"A."},{"family":"Palmer","given":"D."},{"family":"Yeo","given":"W."},{"family":"Mo","given":"F."},{"family":"Lai","given":"P."},{"family":"Inarrairaegui","given":"M."},{"family":"Chan","given":"S. L."},{"family":"Sangro","given":"B."},{"family":"Miksad","given":"R."},{"family":"Tada","given":"T."},{"family":"Kumada","given":"T."},{"family":"Toyoda","given":"H."}],"issued":{"date-parts":[["2015",2,20]]}}}],"schema":"https://github.com/citation-style-language/schema/raw/master/csl-citation.json"} </w:instrText>
      </w:r>
      <w:r w:rsidR="00B91A9B" w:rsidRPr="00A31C5D">
        <w:rPr>
          <w:rFonts w:ascii="Arial" w:hAnsi="Arial" w:cs="Arial"/>
          <w:sz w:val="24"/>
          <w:szCs w:val="24"/>
        </w:rPr>
        <w:fldChar w:fldCharType="separate"/>
      </w:r>
      <w:r w:rsidR="00FE77F7" w:rsidRPr="00A31C5D">
        <w:rPr>
          <w:rFonts w:ascii="Arial" w:hAnsi="Arial" w:cs="Arial"/>
          <w:sz w:val="24"/>
          <w:szCs w:val="24"/>
        </w:rPr>
        <w:t>[6]</w:t>
      </w:r>
      <w:r w:rsidR="00B91A9B" w:rsidRPr="00A31C5D">
        <w:rPr>
          <w:rFonts w:ascii="Arial" w:hAnsi="Arial" w:cs="Arial"/>
          <w:sz w:val="24"/>
          <w:szCs w:val="24"/>
        </w:rPr>
        <w:fldChar w:fldCharType="end"/>
      </w:r>
      <w:r w:rsidRPr="00A31C5D">
        <w:rPr>
          <w:rFonts w:ascii="Arial" w:hAnsi="Arial" w:cs="Arial"/>
          <w:sz w:val="24"/>
          <w:szCs w:val="24"/>
        </w:rPr>
        <w:t xml:space="preserve">. The ALBI </w:t>
      </w:r>
      <w:r w:rsidR="009F0126" w:rsidRPr="00A31C5D">
        <w:rPr>
          <w:rFonts w:ascii="Arial" w:hAnsi="Arial" w:cs="Arial"/>
          <w:sz w:val="24"/>
          <w:szCs w:val="24"/>
        </w:rPr>
        <w:t>grade</w:t>
      </w:r>
      <w:r w:rsidRPr="00A31C5D">
        <w:rPr>
          <w:rFonts w:ascii="Arial" w:hAnsi="Arial" w:cs="Arial"/>
          <w:sz w:val="24"/>
          <w:szCs w:val="24"/>
        </w:rPr>
        <w:t xml:space="preserve"> was de</w:t>
      </w:r>
      <w:r w:rsidR="00C626B0" w:rsidRPr="00A31C5D">
        <w:rPr>
          <w:rFonts w:ascii="Arial" w:hAnsi="Arial" w:cs="Arial"/>
          <w:sz w:val="24"/>
          <w:szCs w:val="24"/>
        </w:rPr>
        <w:t>velop</w:t>
      </w:r>
      <w:r w:rsidRPr="00A31C5D">
        <w:rPr>
          <w:rFonts w:ascii="Arial" w:hAnsi="Arial" w:cs="Arial"/>
          <w:sz w:val="24"/>
          <w:szCs w:val="24"/>
        </w:rPr>
        <w:t xml:space="preserve">ed </w:t>
      </w:r>
      <w:r w:rsidR="00C626B0" w:rsidRPr="00A31C5D">
        <w:rPr>
          <w:rFonts w:ascii="Arial" w:hAnsi="Arial" w:cs="Arial"/>
          <w:sz w:val="24"/>
          <w:szCs w:val="24"/>
        </w:rPr>
        <w:t>with</w:t>
      </w:r>
      <w:r w:rsidRPr="00A31C5D">
        <w:rPr>
          <w:rFonts w:ascii="Arial" w:hAnsi="Arial" w:cs="Arial"/>
          <w:sz w:val="24"/>
          <w:szCs w:val="24"/>
        </w:rPr>
        <w:t xml:space="preserve"> the </w:t>
      </w:r>
      <w:r w:rsidR="003F64A8" w:rsidRPr="00A31C5D">
        <w:rPr>
          <w:rFonts w:ascii="Arial" w:hAnsi="Arial" w:cs="Arial"/>
          <w:sz w:val="24"/>
          <w:szCs w:val="24"/>
        </w:rPr>
        <w:t xml:space="preserve">inclusion of </w:t>
      </w:r>
      <w:r w:rsidRPr="00A31C5D">
        <w:rPr>
          <w:rFonts w:ascii="Arial" w:hAnsi="Arial" w:cs="Arial"/>
          <w:sz w:val="24"/>
          <w:szCs w:val="24"/>
        </w:rPr>
        <w:t>variables representing liver functions (excluding tumoral characteristics) that were independently a</w:t>
      </w:r>
      <w:r w:rsidR="005D04F7" w:rsidRPr="00A31C5D">
        <w:rPr>
          <w:rFonts w:ascii="Arial" w:hAnsi="Arial" w:cs="Arial"/>
          <w:sz w:val="24"/>
          <w:szCs w:val="24"/>
        </w:rPr>
        <w:t>ssociated with survival, and was validated in large databases of patients treated with different treatment modalities</w:t>
      </w:r>
      <w:r w:rsidR="006665F3" w:rsidRPr="00A31C5D">
        <w:rPr>
          <w:rFonts w:ascii="Arial" w:hAnsi="Arial" w:cs="Arial"/>
          <w:sz w:val="24"/>
          <w:szCs w:val="24"/>
        </w:rPr>
        <w:t xml:space="preserve"> in different countries</w:t>
      </w:r>
      <w:r w:rsidR="005D04F7" w:rsidRPr="00A31C5D">
        <w:rPr>
          <w:rFonts w:ascii="Arial" w:hAnsi="Arial" w:cs="Arial"/>
          <w:sz w:val="24"/>
          <w:szCs w:val="24"/>
        </w:rPr>
        <w:t xml:space="preserve">. The score is calculated </w:t>
      </w:r>
      <w:r w:rsidR="00EF69F2" w:rsidRPr="00A31C5D">
        <w:rPr>
          <w:rFonts w:ascii="Arial" w:hAnsi="Arial" w:cs="Arial"/>
          <w:sz w:val="24"/>
          <w:szCs w:val="24"/>
        </w:rPr>
        <w:t xml:space="preserve">from serum albumin and bilirubin concentrations </w:t>
      </w:r>
      <w:r w:rsidR="009F0126" w:rsidRPr="00A31C5D">
        <w:rPr>
          <w:rFonts w:ascii="Arial" w:hAnsi="Arial" w:cs="Arial"/>
          <w:sz w:val="24"/>
          <w:szCs w:val="24"/>
        </w:rPr>
        <w:t>analyzed</w:t>
      </w:r>
      <w:r w:rsidR="00EF69F2" w:rsidRPr="00A31C5D">
        <w:rPr>
          <w:rFonts w:ascii="Arial" w:hAnsi="Arial" w:cs="Arial"/>
          <w:sz w:val="24"/>
          <w:szCs w:val="24"/>
        </w:rPr>
        <w:t xml:space="preserve"> </w:t>
      </w:r>
      <w:r w:rsidR="005D04F7" w:rsidRPr="00A31C5D">
        <w:rPr>
          <w:rFonts w:ascii="Arial" w:hAnsi="Arial" w:cs="Arial"/>
          <w:sz w:val="24"/>
          <w:szCs w:val="24"/>
        </w:rPr>
        <w:t>a</w:t>
      </w:r>
      <w:r w:rsidR="009763D0" w:rsidRPr="00A31C5D">
        <w:rPr>
          <w:rFonts w:ascii="Arial" w:hAnsi="Arial" w:cs="Arial"/>
          <w:sz w:val="24"/>
          <w:szCs w:val="24"/>
        </w:rPr>
        <w:t>s</w:t>
      </w:r>
      <w:r w:rsidR="005D04F7" w:rsidRPr="00A31C5D">
        <w:rPr>
          <w:rFonts w:ascii="Arial" w:hAnsi="Arial" w:cs="Arial"/>
          <w:sz w:val="24"/>
          <w:szCs w:val="24"/>
        </w:rPr>
        <w:t xml:space="preserve"> continuous variable</w:t>
      </w:r>
      <w:r w:rsidR="00A746F4" w:rsidRPr="00A31C5D">
        <w:rPr>
          <w:rFonts w:ascii="Arial" w:hAnsi="Arial" w:cs="Arial"/>
          <w:sz w:val="24"/>
          <w:szCs w:val="24"/>
        </w:rPr>
        <w:t>s</w:t>
      </w:r>
      <w:r w:rsidR="005D04F7" w:rsidRPr="00A31C5D">
        <w:rPr>
          <w:rFonts w:ascii="Arial" w:hAnsi="Arial" w:cs="Arial"/>
          <w:sz w:val="24"/>
          <w:szCs w:val="24"/>
        </w:rPr>
        <w:t xml:space="preserve">, </w:t>
      </w:r>
      <w:r w:rsidR="009763D0" w:rsidRPr="00A31C5D">
        <w:rPr>
          <w:rFonts w:ascii="Arial" w:hAnsi="Arial" w:cs="Arial"/>
          <w:sz w:val="24"/>
          <w:szCs w:val="24"/>
        </w:rPr>
        <w:t>and</w:t>
      </w:r>
      <w:r w:rsidR="005D04F7" w:rsidRPr="00A31C5D">
        <w:rPr>
          <w:rFonts w:ascii="Arial" w:hAnsi="Arial" w:cs="Arial"/>
          <w:sz w:val="24"/>
          <w:szCs w:val="24"/>
        </w:rPr>
        <w:t xml:space="preserve"> </w:t>
      </w:r>
      <w:r w:rsidR="006665F3" w:rsidRPr="00A31C5D">
        <w:rPr>
          <w:rFonts w:ascii="Arial" w:hAnsi="Arial" w:cs="Arial"/>
          <w:sz w:val="24"/>
          <w:szCs w:val="24"/>
        </w:rPr>
        <w:t>is</w:t>
      </w:r>
      <w:r w:rsidR="005D04F7" w:rsidRPr="00A31C5D">
        <w:rPr>
          <w:rFonts w:ascii="Arial" w:hAnsi="Arial" w:cs="Arial"/>
          <w:sz w:val="24"/>
          <w:szCs w:val="24"/>
        </w:rPr>
        <w:t xml:space="preserve"> then </w:t>
      </w:r>
      <w:r w:rsidR="009F0126" w:rsidRPr="00A31C5D">
        <w:rPr>
          <w:rFonts w:ascii="Arial" w:hAnsi="Arial" w:cs="Arial"/>
          <w:sz w:val="24"/>
          <w:szCs w:val="24"/>
        </w:rPr>
        <w:t xml:space="preserve">categorized </w:t>
      </w:r>
      <w:r w:rsidR="005D04F7" w:rsidRPr="00A31C5D">
        <w:rPr>
          <w:rFonts w:ascii="Arial" w:hAnsi="Arial" w:cs="Arial"/>
          <w:sz w:val="24"/>
          <w:szCs w:val="24"/>
        </w:rPr>
        <w:t xml:space="preserve">in </w:t>
      </w:r>
      <w:r w:rsidR="009F0126" w:rsidRPr="00A31C5D">
        <w:rPr>
          <w:rFonts w:ascii="Arial" w:hAnsi="Arial" w:cs="Arial"/>
          <w:sz w:val="24"/>
          <w:szCs w:val="24"/>
        </w:rPr>
        <w:t xml:space="preserve">three </w:t>
      </w:r>
      <w:r w:rsidR="005D04F7" w:rsidRPr="00A31C5D">
        <w:rPr>
          <w:rFonts w:ascii="Arial" w:hAnsi="Arial" w:cs="Arial"/>
          <w:sz w:val="24"/>
          <w:szCs w:val="24"/>
        </w:rPr>
        <w:t xml:space="preserve">grades. The calculation of the score requires a complex formula, but </w:t>
      </w:r>
      <w:r w:rsidR="00C626B0" w:rsidRPr="00A31C5D">
        <w:rPr>
          <w:rFonts w:ascii="Arial" w:hAnsi="Arial" w:cs="Arial"/>
          <w:sz w:val="24"/>
          <w:szCs w:val="24"/>
        </w:rPr>
        <w:t xml:space="preserve">an approximation </w:t>
      </w:r>
      <w:r w:rsidR="009F0126" w:rsidRPr="00A31C5D">
        <w:rPr>
          <w:rFonts w:ascii="Arial" w:hAnsi="Arial" w:cs="Arial"/>
          <w:sz w:val="24"/>
          <w:szCs w:val="24"/>
        </w:rPr>
        <w:t xml:space="preserve">can </w:t>
      </w:r>
      <w:r w:rsidR="005D04F7" w:rsidRPr="00A31C5D">
        <w:rPr>
          <w:rFonts w:ascii="Arial" w:hAnsi="Arial" w:cs="Arial"/>
          <w:sz w:val="24"/>
          <w:szCs w:val="24"/>
        </w:rPr>
        <w:t xml:space="preserve">be </w:t>
      </w:r>
      <w:r w:rsidR="009F0126" w:rsidRPr="00A31C5D">
        <w:rPr>
          <w:rFonts w:ascii="Arial" w:hAnsi="Arial" w:cs="Arial"/>
          <w:sz w:val="24"/>
          <w:szCs w:val="24"/>
        </w:rPr>
        <w:t>estimated</w:t>
      </w:r>
      <w:r w:rsidR="005D04F7" w:rsidRPr="00A31C5D">
        <w:rPr>
          <w:rFonts w:ascii="Arial" w:hAnsi="Arial" w:cs="Arial"/>
          <w:sz w:val="24"/>
          <w:szCs w:val="24"/>
        </w:rPr>
        <w:t xml:space="preserve"> </w:t>
      </w:r>
      <w:r w:rsidR="009F0126" w:rsidRPr="00A31C5D">
        <w:rPr>
          <w:rFonts w:ascii="Arial" w:hAnsi="Arial" w:cs="Arial"/>
          <w:sz w:val="24"/>
          <w:szCs w:val="24"/>
        </w:rPr>
        <w:t xml:space="preserve">using </w:t>
      </w:r>
      <w:r w:rsidR="005D04F7" w:rsidRPr="00A31C5D">
        <w:rPr>
          <w:rFonts w:ascii="Arial" w:hAnsi="Arial" w:cs="Arial"/>
          <w:sz w:val="24"/>
          <w:szCs w:val="24"/>
        </w:rPr>
        <w:t xml:space="preserve">a nomogram, and the grade </w:t>
      </w:r>
      <w:r w:rsidR="009F0126" w:rsidRPr="00A31C5D">
        <w:rPr>
          <w:rFonts w:ascii="Arial" w:hAnsi="Arial" w:cs="Arial"/>
          <w:sz w:val="24"/>
          <w:szCs w:val="24"/>
        </w:rPr>
        <w:t xml:space="preserve">can </w:t>
      </w:r>
      <w:r w:rsidR="005D04F7" w:rsidRPr="00A31C5D">
        <w:rPr>
          <w:rFonts w:ascii="Arial" w:hAnsi="Arial" w:cs="Arial"/>
          <w:sz w:val="24"/>
          <w:szCs w:val="24"/>
        </w:rPr>
        <w:t xml:space="preserve">also be </w:t>
      </w:r>
      <w:r w:rsidR="009F0126" w:rsidRPr="00A31C5D">
        <w:rPr>
          <w:rFonts w:ascii="Arial" w:hAnsi="Arial" w:cs="Arial"/>
          <w:sz w:val="24"/>
          <w:szCs w:val="24"/>
        </w:rPr>
        <w:t xml:space="preserve">assigned using </w:t>
      </w:r>
      <w:r w:rsidR="005D04F7" w:rsidRPr="00A31C5D">
        <w:rPr>
          <w:rFonts w:ascii="Arial" w:hAnsi="Arial" w:cs="Arial"/>
          <w:sz w:val="24"/>
          <w:szCs w:val="24"/>
        </w:rPr>
        <w:t>a heat map</w:t>
      </w:r>
      <w:r w:rsidR="00C626B0" w:rsidRPr="00A31C5D">
        <w:rPr>
          <w:rFonts w:ascii="Arial" w:hAnsi="Arial" w:cs="Arial"/>
          <w:sz w:val="24"/>
          <w:szCs w:val="24"/>
        </w:rPr>
        <w:t>, both provided in the original publication</w:t>
      </w:r>
      <w:r w:rsidR="005D04F7" w:rsidRPr="00A31C5D">
        <w:rPr>
          <w:rFonts w:ascii="Arial" w:hAnsi="Arial" w:cs="Arial"/>
          <w:sz w:val="24"/>
          <w:szCs w:val="24"/>
        </w:rPr>
        <w:t xml:space="preserve">. As only albumin and bilirubin </w:t>
      </w:r>
      <w:r w:rsidR="009763D0" w:rsidRPr="00A31C5D">
        <w:rPr>
          <w:rFonts w:ascii="Arial" w:hAnsi="Arial" w:cs="Arial"/>
          <w:sz w:val="24"/>
          <w:szCs w:val="24"/>
        </w:rPr>
        <w:t xml:space="preserve">values </w:t>
      </w:r>
      <w:r w:rsidR="005D04F7" w:rsidRPr="00A31C5D">
        <w:rPr>
          <w:rFonts w:ascii="Arial" w:hAnsi="Arial" w:cs="Arial"/>
          <w:sz w:val="24"/>
          <w:szCs w:val="24"/>
        </w:rPr>
        <w:t xml:space="preserve">are required, ALBI </w:t>
      </w:r>
      <w:r w:rsidR="009F0126" w:rsidRPr="00A31C5D">
        <w:rPr>
          <w:rFonts w:ascii="Arial" w:hAnsi="Arial" w:cs="Arial"/>
          <w:sz w:val="24"/>
          <w:szCs w:val="24"/>
        </w:rPr>
        <w:t xml:space="preserve">grade </w:t>
      </w:r>
      <w:r w:rsidR="005D04F7" w:rsidRPr="00A31C5D">
        <w:rPr>
          <w:rFonts w:ascii="Arial" w:hAnsi="Arial" w:cs="Arial"/>
          <w:sz w:val="24"/>
          <w:szCs w:val="24"/>
        </w:rPr>
        <w:t xml:space="preserve">is entirely objective. </w:t>
      </w:r>
    </w:p>
    <w:p w14:paraId="08A26921" w14:textId="18B0F2A7" w:rsidR="005F0579" w:rsidRPr="00A31C5D" w:rsidRDefault="005D04F7" w:rsidP="00A31C5D">
      <w:pPr>
        <w:spacing w:line="480" w:lineRule="auto"/>
        <w:rPr>
          <w:rFonts w:ascii="Arial" w:hAnsi="Arial" w:cs="Arial"/>
          <w:sz w:val="24"/>
          <w:szCs w:val="24"/>
        </w:rPr>
      </w:pPr>
      <w:r w:rsidRPr="00A31C5D">
        <w:rPr>
          <w:rFonts w:ascii="Arial" w:hAnsi="Arial" w:cs="Arial"/>
          <w:sz w:val="24"/>
          <w:szCs w:val="24"/>
        </w:rPr>
        <w:t xml:space="preserve">ALBI </w:t>
      </w:r>
      <w:r w:rsidR="009F0126" w:rsidRPr="00A31C5D">
        <w:rPr>
          <w:rFonts w:ascii="Arial" w:hAnsi="Arial" w:cs="Arial"/>
          <w:sz w:val="24"/>
          <w:szCs w:val="24"/>
        </w:rPr>
        <w:t xml:space="preserve">grade </w:t>
      </w:r>
      <w:r w:rsidRPr="00A31C5D">
        <w:rPr>
          <w:rFonts w:ascii="Arial" w:hAnsi="Arial" w:cs="Arial"/>
          <w:sz w:val="24"/>
          <w:szCs w:val="24"/>
        </w:rPr>
        <w:t xml:space="preserve">was proposed as an alternative to </w:t>
      </w:r>
      <w:r w:rsidR="009F0126" w:rsidRPr="00A31C5D">
        <w:rPr>
          <w:rFonts w:ascii="Arial" w:hAnsi="Arial" w:cs="Arial"/>
          <w:sz w:val="24"/>
          <w:szCs w:val="24"/>
        </w:rPr>
        <w:t xml:space="preserve">the </w:t>
      </w:r>
      <w:r w:rsidR="009E26DD" w:rsidRPr="00A31C5D">
        <w:rPr>
          <w:rFonts w:ascii="Arial" w:hAnsi="Arial" w:cs="Arial"/>
          <w:sz w:val="24"/>
          <w:szCs w:val="24"/>
        </w:rPr>
        <w:t>CP</w:t>
      </w:r>
      <w:r w:rsidRPr="00A31C5D">
        <w:rPr>
          <w:rFonts w:ascii="Arial" w:hAnsi="Arial" w:cs="Arial"/>
          <w:sz w:val="24"/>
          <w:szCs w:val="24"/>
        </w:rPr>
        <w:t xml:space="preserve"> scor</w:t>
      </w:r>
      <w:r w:rsidR="009F0126" w:rsidRPr="00A31C5D">
        <w:rPr>
          <w:rFonts w:ascii="Arial" w:hAnsi="Arial" w:cs="Arial"/>
          <w:sz w:val="24"/>
          <w:szCs w:val="24"/>
        </w:rPr>
        <w:t>e</w:t>
      </w:r>
      <w:r w:rsidRPr="00A31C5D">
        <w:rPr>
          <w:rFonts w:ascii="Arial" w:hAnsi="Arial" w:cs="Arial"/>
          <w:sz w:val="24"/>
          <w:szCs w:val="24"/>
        </w:rPr>
        <w:t xml:space="preserve">, with an emphasis put on the </w:t>
      </w:r>
      <w:r w:rsidR="00C626B0" w:rsidRPr="00A31C5D">
        <w:rPr>
          <w:rFonts w:ascii="Arial" w:hAnsi="Arial" w:cs="Arial"/>
          <w:sz w:val="24"/>
          <w:szCs w:val="24"/>
        </w:rPr>
        <w:t>abil</w:t>
      </w:r>
      <w:r w:rsidRPr="00A31C5D">
        <w:rPr>
          <w:rFonts w:ascii="Arial" w:hAnsi="Arial" w:cs="Arial"/>
          <w:sz w:val="24"/>
          <w:szCs w:val="24"/>
        </w:rPr>
        <w:t xml:space="preserve">ity of ALBI grade 1 vs 2 to discriminate prognosis in </w:t>
      </w:r>
      <w:r w:rsidR="009763D0" w:rsidRPr="00A31C5D">
        <w:rPr>
          <w:rFonts w:ascii="Arial" w:hAnsi="Arial" w:cs="Arial"/>
          <w:sz w:val="24"/>
          <w:szCs w:val="24"/>
        </w:rPr>
        <w:t xml:space="preserve">patients with </w:t>
      </w:r>
      <w:r w:rsidR="009E26DD" w:rsidRPr="00A31C5D">
        <w:rPr>
          <w:rFonts w:ascii="Arial" w:hAnsi="Arial" w:cs="Arial"/>
          <w:sz w:val="24"/>
          <w:szCs w:val="24"/>
        </w:rPr>
        <w:t>CP</w:t>
      </w:r>
      <w:r w:rsidRPr="00A31C5D">
        <w:rPr>
          <w:rFonts w:ascii="Arial" w:hAnsi="Arial" w:cs="Arial"/>
          <w:sz w:val="24"/>
          <w:szCs w:val="24"/>
        </w:rPr>
        <w:t xml:space="preserve"> </w:t>
      </w:r>
      <w:r w:rsidR="009763D0" w:rsidRPr="00A31C5D">
        <w:rPr>
          <w:rFonts w:ascii="Arial" w:hAnsi="Arial" w:cs="Arial"/>
          <w:sz w:val="24"/>
          <w:szCs w:val="24"/>
        </w:rPr>
        <w:t>score A</w:t>
      </w:r>
      <w:r w:rsidRPr="00A31C5D">
        <w:rPr>
          <w:rFonts w:ascii="Arial" w:hAnsi="Arial" w:cs="Arial"/>
          <w:sz w:val="24"/>
          <w:szCs w:val="24"/>
        </w:rPr>
        <w:t xml:space="preserve">, thus </w:t>
      </w:r>
      <w:r w:rsidR="003F64A8" w:rsidRPr="00A31C5D">
        <w:rPr>
          <w:rFonts w:ascii="Arial" w:hAnsi="Arial" w:cs="Arial"/>
          <w:sz w:val="24"/>
          <w:szCs w:val="24"/>
        </w:rPr>
        <w:t xml:space="preserve">potentially </w:t>
      </w:r>
      <w:r w:rsidRPr="00A31C5D">
        <w:rPr>
          <w:rFonts w:ascii="Arial" w:hAnsi="Arial" w:cs="Arial"/>
          <w:sz w:val="24"/>
          <w:szCs w:val="24"/>
        </w:rPr>
        <w:t>allowing stratification in clinical trials</w:t>
      </w:r>
      <w:r w:rsidR="00B91A9B" w:rsidRPr="00A31C5D">
        <w:rPr>
          <w:rFonts w:ascii="Arial" w:hAnsi="Arial" w:cs="Arial"/>
          <w:sz w:val="24"/>
          <w:szCs w:val="24"/>
        </w:rPr>
        <w:t xml:space="preserve"> </w:t>
      </w:r>
      <w:r w:rsidR="00B91A9B"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25g0v92g0m","properties":{"formattedCitation":"[6]","plainCitation":"[6]"},"citationItems":[{"id":2269,"uris":["http://zotero.org/users/587498/items/KQ55G724"],"uri":["http://zotero.org/users/587498/items/KQ55G724"],"itemData":{"id":2269,"type":"article-journal","title":"Assessment of Liver Function in Patients With Hepatocellular Carcinoma: A New Evidence-Based Approach--The ALBI Grade","container-title":"Journal of Clinical Oncology","page":"550-558","volume":"33","issue":"6","source":"CrossRef","DOI":"10.1200/JCO.2014.57.9151","ISSN":"0732-183X, 1527-7755","shortTitle":"Assessment of Liver Function in Patients With Hepatocellular Carcinoma","language":"en","author":[{"family":"Johnson","given":"P. J."},{"family":"Berhane","given":"S."},{"family":"Kagebayashi","given":"C."},{"family":"Satomura","given":"S."},{"family":"Teng","given":"M."},{"family":"Reeves","given":"H. L."},{"family":"O'Beirne","given":"J."},{"family":"Fox","given":"R."},{"family":"Skowronska","given":"A."},{"family":"Palmer","given":"D."},{"family":"Yeo","given":"W."},{"family":"Mo","given":"F."},{"family":"Lai","given":"P."},{"family":"Inarrairaegui","given":"M."},{"family":"Chan","given":"S. L."},{"family":"Sangro","given":"B."},{"family":"Miksad","given":"R."},{"family":"Tada","given":"T."},{"family":"Kumada","given":"T."},{"family":"Toyoda","given":"H."}],"issued":{"date-parts":[["2015",2,20]]}}}],"schema":"https://github.com/citation-style-language/schema/raw/master/csl-citation.json"} </w:instrText>
      </w:r>
      <w:r w:rsidR="00B91A9B" w:rsidRPr="00A31C5D">
        <w:rPr>
          <w:rFonts w:ascii="Arial" w:hAnsi="Arial" w:cs="Arial"/>
          <w:sz w:val="24"/>
          <w:szCs w:val="24"/>
        </w:rPr>
        <w:fldChar w:fldCharType="separate"/>
      </w:r>
      <w:r w:rsidR="00FE77F7" w:rsidRPr="00A31C5D">
        <w:rPr>
          <w:rFonts w:ascii="Arial" w:hAnsi="Arial" w:cs="Arial"/>
          <w:sz w:val="24"/>
          <w:szCs w:val="24"/>
        </w:rPr>
        <w:t>[6]</w:t>
      </w:r>
      <w:r w:rsidR="00B91A9B" w:rsidRPr="00A31C5D">
        <w:rPr>
          <w:rFonts w:ascii="Arial" w:hAnsi="Arial" w:cs="Arial"/>
          <w:sz w:val="24"/>
          <w:szCs w:val="24"/>
        </w:rPr>
        <w:fldChar w:fldCharType="end"/>
      </w:r>
      <w:r w:rsidRPr="00A31C5D">
        <w:rPr>
          <w:rFonts w:ascii="Arial" w:hAnsi="Arial" w:cs="Arial"/>
          <w:sz w:val="24"/>
          <w:szCs w:val="24"/>
        </w:rPr>
        <w:t xml:space="preserve">. However, a </w:t>
      </w:r>
      <w:r w:rsidR="0019328F" w:rsidRPr="00A31C5D">
        <w:rPr>
          <w:rFonts w:ascii="Arial" w:hAnsi="Arial" w:cs="Arial"/>
          <w:sz w:val="24"/>
          <w:szCs w:val="24"/>
        </w:rPr>
        <w:t>limitation</w:t>
      </w:r>
      <w:r w:rsidRPr="00A31C5D">
        <w:rPr>
          <w:rFonts w:ascii="Arial" w:hAnsi="Arial" w:cs="Arial"/>
          <w:sz w:val="24"/>
          <w:szCs w:val="24"/>
        </w:rPr>
        <w:t xml:space="preserve"> of the original publication was the </w:t>
      </w:r>
      <w:r w:rsidR="00C626B0" w:rsidRPr="00A31C5D">
        <w:rPr>
          <w:rFonts w:ascii="Arial" w:hAnsi="Arial" w:cs="Arial"/>
          <w:sz w:val="24"/>
          <w:szCs w:val="24"/>
        </w:rPr>
        <w:t>absence of comparison</w:t>
      </w:r>
      <w:r w:rsidRPr="00A31C5D">
        <w:rPr>
          <w:rFonts w:ascii="Arial" w:hAnsi="Arial" w:cs="Arial"/>
          <w:sz w:val="24"/>
          <w:szCs w:val="24"/>
        </w:rPr>
        <w:t xml:space="preserve"> with the </w:t>
      </w:r>
      <w:r w:rsidR="009E26DD" w:rsidRPr="00A31C5D">
        <w:rPr>
          <w:rFonts w:ascii="Arial" w:hAnsi="Arial" w:cs="Arial"/>
          <w:sz w:val="24"/>
          <w:szCs w:val="24"/>
        </w:rPr>
        <w:t>CP</w:t>
      </w:r>
      <w:r w:rsidRPr="00A31C5D">
        <w:rPr>
          <w:rFonts w:ascii="Arial" w:hAnsi="Arial" w:cs="Arial"/>
          <w:sz w:val="24"/>
          <w:szCs w:val="24"/>
        </w:rPr>
        <w:t xml:space="preserve"> sub-classification</w:t>
      </w:r>
      <w:r w:rsidR="00A36F05" w:rsidRPr="00A31C5D">
        <w:rPr>
          <w:rFonts w:ascii="Arial" w:hAnsi="Arial" w:cs="Arial"/>
          <w:sz w:val="24"/>
          <w:szCs w:val="24"/>
        </w:rPr>
        <w:t xml:space="preserve"> by </w:t>
      </w:r>
      <w:r w:rsidR="00A36F05" w:rsidRPr="00A31C5D">
        <w:rPr>
          <w:rFonts w:ascii="Arial" w:hAnsi="Arial" w:cs="Arial"/>
          <w:sz w:val="24"/>
          <w:szCs w:val="24"/>
        </w:rPr>
        <w:lastRenderedPageBreak/>
        <w:t>points (5 to 15)</w:t>
      </w:r>
      <w:r w:rsidRPr="00A31C5D">
        <w:rPr>
          <w:rFonts w:ascii="Arial" w:hAnsi="Arial" w:cs="Arial"/>
          <w:sz w:val="24"/>
          <w:szCs w:val="24"/>
        </w:rPr>
        <w:t xml:space="preserve">. </w:t>
      </w:r>
      <w:r w:rsidR="001A66B6" w:rsidRPr="00A31C5D">
        <w:rPr>
          <w:rFonts w:ascii="Arial" w:hAnsi="Arial" w:cs="Arial"/>
          <w:sz w:val="24"/>
          <w:szCs w:val="24"/>
        </w:rPr>
        <w:t xml:space="preserve">Hence it was not possible to determine the extent to which ALBI grade 1 and 2 differed from CP 5 and 6 with respect to sub-classifying CP A grade patients. Understanding this comparison has important implications for the implementation of ALBI. </w:t>
      </w:r>
      <w:r w:rsidR="002B04C6" w:rsidRPr="00A31C5D">
        <w:rPr>
          <w:rFonts w:ascii="Arial" w:hAnsi="Arial" w:cs="Arial"/>
          <w:sz w:val="24"/>
          <w:szCs w:val="24"/>
        </w:rPr>
        <w:t>Our aim here was</w:t>
      </w:r>
      <w:r w:rsidRPr="00A31C5D">
        <w:rPr>
          <w:rFonts w:ascii="Arial" w:hAnsi="Arial" w:cs="Arial"/>
          <w:sz w:val="24"/>
          <w:szCs w:val="24"/>
        </w:rPr>
        <w:t xml:space="preserve"> to compare the prognostic value of ALBI classification </w:t>
      </w:r>
      <w:r w:rsidR="003F64A8" w:rsidRPr="00A31C5D">
        <w:rPr>
          <w:rFonts w:ascii="Arial" w:hAnsi="Arial" w:cs="Arial"/>
          <w:sz w:val="24"/>
          <w:szCs w:val="24"/>
        </w:rPr>
        <w:t xml:space="preserve">with </w:t>
      </w:r>
      <w:r w:rsidR="009E26DD" w:rsidRPr="00A31C5D">
        <w:rPr>
          <w:rFonts w:ascii="Arial" w:hAnsi="Arial" w:cs="Arial"/>
          <w:sz w:val="24"/>
          <w:szCs w:val="24"/>
        </w:rPr>
        <w:t>CP</w:t>
      </w:r>
      <w:r w:rsidRPr="00A31C5D">
        <w:rPr>
          <w:rFonts w:ascii="Arial" w:hAnsi="Arial" w:cs="Arial"/>
          <w:sz w:val="24"/>
          <w:szCs w:val="24"/>
        </w:rPr>
        <w:t xml:space="preserve"> </w:t>
      </w:r>
      <w:r w:rsidR="00A36F05" w:rsidRPr="00A31C5D">
        <w:rPr>
          <w:rFonts w:ascii="Arial" w:hAnsi="Arial" w:cs="Arial"/>
          <w:sz w:val="24"/>
          <w:szCs w:val="24"/>
        </w:rPr>
        <w:t>sub-classification by points</w:t>
      </w:r>
      <w:r w:rsidRPr="00A31C5D">
        <w:rPr>
          <w:rFonts w:ascii="Arial" w:hAnsi="Arial" w:cs="Arial"/>
          <w:sz w:val="24"/>
          <w:szCs w:val="24"/>
        </w:rPr>
        <w:t>, in patie</w:t>
      </w:r>
      <w:r w:rsidR="00045464" w:rsidRPr="00A31C5D">
        <w:rPr>
          <w:rFonts w:ascii="Arial" w:hAnsi="Arial" w:cs="Arial"/>
          <w:sz w:val="24"/>
          <w:szCs w:val="24"/>
        </w:rPr>
        <w:t>nts treated with sorafenib for</w:t>
      </w:r>
      <w:r w:rsidRPr="00A31C5D">
        <w:rPr>
          <w:rFonts w:ascii="Arial" w:hAnsi="Arial" w:cs="Arial"/>
          <w:sz w:val="24"/>
          <w:szCs w:val="24"/>
        </w:rPr>
        <w:t xml:space="preserve"> HCC.</w:t>
      </w:r>
      <w:r w:rsidR="008E1A8C" w:rsidRPr="00A31C5D">
        <w:rPr>
          <w:rFonts w:ascii="Arial" w:hAnsi="Arial" w:cs="Arial"/>
          <w:sz w:val="24"/>
          <w:szCs w:val="24"/>
        </w:rPr>
        <w:t xml:space="preserve"> The study was compliant with the STROBE guidelines </w:t>
      </w:r>
      <w:r w:rsidR="008E1A8C"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14256ai4t","properties":{"formattedCitation":"[7]","plainCitation":"[7]"},"citationItems":[{"id":2582,"uris":["http://zotero.org/users/587498/items/NKCPEW2H"],"uri":["http://zotero.org/users/587498/items/NKCPEW2H"],"itemData":{"id":2582,"type":"webpage","title":"STROBE Statement: Home","URL":"http://strobe-statement.org/index.php?id=strobe-home","accessed":{"date-parts":[["2015",12,9]]}}}],"schema":"https://github.com/citation-style-language/schema/raw/master/csl-citation.json"} </w:instrText>
      </w:r>
      <w:r w:rsidR="008E1A8C" w:rsidRPr="00A31C5D">
        <w:rPr>
          <w:rFonts w:ascii="Arial" w:hAnsi="Arial" w:cs="Arial"/>
          <w:sz w:val="24"/>
          <w:szCs w:val="24"/>
        </w:rPr>
        <w:fldChar w:fldCharType="separate"/>
      </w:r>
      <w:r w:rsidR="00FE77F7" w:rsidRPr="00A31C5D">
        <w:rPr>
          <w:rFonts w:ascii="Arial" w:hAnsi="Arial" w:cs="Arial"/>
          <w:sz w:val="24"/>
          <w:szCs w:val="24"/>
        </w:rPr>
        <w:t>[7]</w:t>
      </w:r>
      <w:r w:rsidR="008E1A8C" w:rsidRPr="00A31C5D">
        <w:rPr>
          <w:rFonts w:ascii="Arial" w:hAnsi="Arial" w:cs="Arial"/>
          <w:sz w:val="24"/>
          <w:szCs w:val="24"/>
        </w:rPr>
        <w:fldChar w:fldCharType="end"/>
      </w:r>
      <w:r w:rsidR="008E1A8C" w:rsidRPr="00A31C5D">
        <w:rPr>
          <w:rFonts w:ascii="Arial" w:hAnsi="Arial" w:cs="Arial"/>
          <w:sz w:val="24"/>
          <w:szCs w:val="24"/>
        </w:rPr>
        <w:t>.</w:t>
      </w:r>
    </w:p>
    <w:p w14:paraId="59A7D866" w14:textId="77777777" w:rsidR="000D6457" w:rsidRPr="00A31C5D" w:rsidRDefault="000D6457" w:rsidP="00A31C5D">
      <w:pPr>
        <w:spacing w:line="480" w:lineRule="auto"/>
        <w:rPr>
          <w:rFonts w:ascii="Arial" w:hAnsi="Arial" w:cs="Arial"/>
          <w:sz w:val="24"/>
          <w:szCs w:val="24"/>
        </w:rPr>
      </w:pPr>
    </w:p>
    <w:p w14:paraId="1725B0DA" w14:textId="77777777" w:rsidR="005D04F7" w:rsidRPr="00A31C5D" w:rsidRDefault="005D04F7" w:rsidP="00A31C5D">
      <w:pPr>
        <w:spacing w:line="480" w:lineRule="auto"/>
        <w:rPr>
          <w:rFonts w:ascii="Arial" w:hAnsi="Arial" w:cs="Arial"/>
          <w:sz w:val="24"/>
          <w:szCs w:val="24"/>
        </w:rPr>
      </w:pPr>
      <w:r w:rsidRPr="00A31C5D">
        <w:rPr>
          <w:rFonts w:ascii="Arial" w:hAnsi="Arial" w:cs="Arial"/>
          <w:sz w:val="24"/>
          <w:szCs w:val="24"/>
        </w:rPr>
        <w:br w:type="page"/>
      </w:r>
    </w:p>
    <w:p w14:paraId="1BFE4EF9" w14:textId="77777777" w:rsidR="000D6457" w:rsidRPr="00A31C5D" w:rsidRDefault="000D6457" w:rsidP="00A31C5D">
      <w:pPr>
        <w:spacing w:line="480" w:lineRule="auto"/>
        <w:rPr>
          <w:rFonts w:ascii="Arial" w:hAnsi="Arial" w:cs="Arial"/>
          <w:sz w:val="24"/>
          <w:szCs w:val="24"/>
        </w:rPr>
      </w:pPr>
      <w:r w:rsidRPr="00A31C5D">
        <w:rPr>
          <w:rFonts w:ascii="Arial" w:hAnsi="Arial" w:cs="Arial"/>
          <w:sz w:val="24"/>
          <w:szCs w:val="24"/>
        </w:rPr>
        <w:lastRenderedPageBreak/>
        <w:t>Methods</w:t>
      </w:r>
    </w:p>
    <w:p w14:paraId="06286DA5" w14:textId="77777777" w:rsidR="005D04F7" w:rsidRPr="00A31C5D" w:rsidRDefault="005D04F7" w:rsidP="00A31C5D">
      <w:pPr>
        <w:spacing w:line="480" w:lineRule="auto"/>
        <w:rPr>
          <w:rFonts w:ascii="Arial" w:hAnsi="Arial" w:cs="Arial"/>
          <w:sz w:val="24"/>
          <w:szCs w:val="24"/>
        </w:rPr>
      </w:pPr>
      <w:r w:rsidRPr="00A31C5D">
        <w:rPr>
          <w:rFonts w:ascii="Arial" w:hAnsi="Arial" w:cs="Arial"/>
          <w:sz w:val="24"/>
          <w:szCs w:val="24"/>
        </w:rPr>
        <w:t>Patients:</w:t>
      </w:r>
    </w:p>
    <w:p w14:paraId="5802F57B" w14:textId="5DD94B2A" w:rsidR="005D04F7" w:rsidRPr="00A31C5D" w:rsidRDefault="005D04F7" w:rsidP="00A31C5D">
      <w:pPr>
        <w:spacing w:line="480" w:lineRule="auto"/>
        <w:rPr>
          <w:rFonts w:ascii="Arial" w:hAnsi="Arial" w:cs="Arial"/>
          <w:sz w:val="24"/>
          <w:szCs w:val="24"/>
        </w:rPr>
      </w:pPr>
      <w:r w:rsidRPr="00A31C5D">
        <w:rPr>
          <w:rFonts w:ascii="Arial" w:hAnsi="Arial" w:cs="Arial"/>
          <w:sz w:val="24"/>
          <w:szCs w:val="24"/>
        </w:rPr>
        <w:t>We retrospectively collecte</w:t>
      </w:r>
      <w:r w:rsidR="00A746F4" w:rsidRPr="00A31C5D">
        <w:rPr>
          <w:rFonts w:ascii="Arial" w:hAnsi="Arial" w:cs="Arial"/>
          <w:sz w:val="24"/>
          <w:szCs w:val="24"/>
        </w:rPr>
        <w:t>d data from patients treated with</w:t>
      </w:r>
      <w:r w:rsidRPr="00A31C5D">
        <w:rPr>
          <w:rFonts w:ascii="Arial" w:hAnsi="Arial" w:cs="Arial"/>
          <w:sz w:val="24"/>
          <w:szCs w:val="24"/>
        </w:rPr>
        <w:t xml:space="preserve"> sorafenib for advanced HCC from 17 </w:t>
      </w:r>
      <w:r w:rsidR="00E27481" w:rsidRPr="00A31C5D">
        <w:rPr>
          <w:rFonts w:ascii="Arial" w:hAnsi="Arial" w:cs="Arial"/>
          <w:sz w:val="24"/>
          <w:szCs w:val="24"/>
        </w:rPr>
        <w:t>centers</w:t>
      </w:r>
      <w:r w:rsidRPr="00A31C5D">
        <w:rPr>
          <w:rFonts w:ascii="Arial" w:hAnsi="Arial" w:cs="Arial"/>
          <w:sz w:val="24"/>
          <w:szCs w:val="24"/>
        </w:rPr>
        <w:t xml:space="preserve"> in the United Kingdom and France. </w:t>
      </w:r>
      <w:r w:rsidR="00AA2014" w:rsidRPr="00A31C5D">
        <w:rPr>
          <w:rFonts w:ascii="Arial" w:hAnsi="Arial" w:cs="Arial"/>
          <w:sz w:val="24"/>
          <w:szCs w:val="24"/>
        </w:rPr>
        <w:t xml:space="preserve">Data was acquired under an ethically approved protocol (REC reference 12/LO/1088). </w:t>
      </w:r>
      <w:r w:rsidR="0014269D">
        <w:rPr>
          <w:rFonts w:ascii="Arial" w:hAnsi="Arial" w:cs="Arial"/>
          <w:sz w:val="24"/>
          <w:szCs w:val="24"/>
        </w:rPr>
        <w:t xml:space="preserve">As a retrospective audit, we were advised by the ethical committee that written informed consent was not required. The data bases were anonymized. </w:t>
      </w:r>
      <w:r w:rsidR="006C5CB1" w:rsidRPr="00A31C5D">
        <w:rPr>
          <w:rFonts w:ascii="Arial" w:hAnsi="Arial" w:cs="Arial"/>
          <w:sz w:val="24"/>
          <w:szCs w:val="24"/>
        </w:rPr>
        <w:t xml:space="preserve">All consecutive patients treated with sorafenib were entered in the databases. </w:t>
      </w:r>
      <w:r w:rsidR="003D5237" w:rsidRPr="00A31C5D">
        <w:rPr>
          <w:rFonts w:ascii="Arial" w:hAnsi="Arial" w:cs="Arial"/>
          <w:sz w:val="24"/>
          <w:szCs w:val="24"/>
        </w:rPr>
        <w:t xml:space="preserve">HCC was confirmed either by biopsy or by radiologic criteria </w:t>
      </w:r>
      <w:r w:rsidR="003D5237"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1nf0dar209","properties":{"formattedCitation":"[2]","plainCitation":"[2]"},"citationItems":[{"id":1155,"uris":["http://zotero.org/users/587498/items/HFPZ62F4"],"uri":["http://zotero.org/users/587498/items/HFPZ62F4"],"itemData":{"id":1155,"type":"article-journal","title":"EASL–EORTC Clinical Practice Guidelines: management of hepatocellular carcinoma","container-title":"Journal of hepatology","page":"908–943","volume":"56","issue":"4","source":"Google Scholar","shortTitle":"EASL–EORTC Clinical Practice Guidelines","author":[{"family":"EASL","given":""},{"family":"EORTC","given":""},{"literal":"others"}],"issued":{"date-parts":[["2012"]]}}}],"schema":"https://github.com/citation-style-language/schema/raw/master/csl-citation.json"} </w:instrText>
      </w:r>
      <w:r w:rsidR="003D5237" w:rsidRPr="00A31C5D">
        <w:rPr>
          <w:rFonts w:ascii="Arial" w:hAnsi="Arial" w:cs="Arial"/>
          <w:sz w:val="24"/>
          <w:szCs w:val="24"/>
        </w:rPr>
        <w:fldChar w:fldCharType="separate"/>
      </w:r>
      <w:r w:rsidR="00FE77F7" w:rsidRPr="00A31C5D">
        <w:rPr>
          <w:rFonts w:ascii="Arial" w:hAnsi="Arial" w:cs="Arial"/>
          <w:sz w:val="24"/>
          <w:szCs w:val="24"/>
        </w:rPr>
        <w:t>[2]</w:t>
      </w:r>
      <w:r w:rsidR="003D5237" w:rsidRPr="00A31C5D">
        <w:rPr>
          <w:rFonts w:ascii="Arial" w:hAnsi="Arial" w:cs="Arial"/>
          <w:sz w:val="24"/>
          <w:szCs w:val="24"/>
        </w:rPr>
        <w:fldChar w:fldCharType="end"/>
      </w:r>
      <w:r w:rsidR="003D5237" w:rsidRPr="00A31C5D">
        <w:rPr>
          <w:rFonts w:ascii="Arial" w:hAnsi="Arial" w:cs="Arial"/>
          <w:sz w:val="24"/>
          <w:szCs w:val="24"/>
        </w:rPr>
        <w:t xml:space="preserve">. </w:t>
      </w:r>
      <w:r w:rsidR="006C5CB1" w:rsidRPr="00A31C5D">
        <w:rPr>
          <w:rFonts w:ascii="Arial" w:hAnsi="Arial" w:cs="Arial"/>
          <w:sz w:val="24"/>
          <w:szCs w:val="24"/>
        </w:rPr>
        <w:t>Relevant authorization</w:t>
      </w:r>
      <w:r w:rsidR="003D5237" w:rsidRPr="00A31C5D">
        <w:rPr>
          <w:rFonts w:ascii="Arial" w:hAnsi="Arial" w:cs="Arial"/>
          <w:sz w:val="24"/>
          <w:szCs w:val="24"/>
        </w:rPr>
        <w:t>s</w:t>
      </w:r>
      <w:r w:rsidR="006C5CB1" w:rsidRPr="00A31C5D">
        <w:rPr>
          <w:rFonts w:ascii="Arial" w:hAnsi="Arial" w:cs="Arial"/>
          <w:sz w:val="24"/>
          <w:szCs w:val="24"/>
        </w:rPr>
        <w:t xml:space="preserve"> were obtained from institutional </w:t>
      </w:r>
      <w:r w:rsidR="007F0080" w:rsidRPr="00A31C5D">
        <w:rPr>
          <w:rFonts w:ascii="Arial" w:hAnsi="Arial" w:cs="Arial"/>
          <w:sz w:val="24"/>
          <w:szCs w:val="24"/>
        </w:rPr>
        <w:t xml:space="preserve">and ethical </w:t>
      </w:r>
      <w:r w:rsidR="006C5CB1" w:rsidRPr="00A31C5D">
        <w:rPr>
          <w:rFonts w:ascii="Arial" w:hAnsi="Arial" w:cs="Arial"/>
          <w:sz w:val="24"/>
          <w:szCs w:val="24"/>
        </w:rPr>
        <w:t xml:space="preserve">review boards for </w:t>
      </w:r>
      <w:r w:rsidR="007F0080" w:rsidRPr="00A31C5D">
        <w:rPr>
          <w:rFonts w:ascii="Arial" w:hAnsi="Arial" w:cs="Arial"/>
          <w:sz w:val="24"/>
          <w:szCs w:val="24"/>
        </w:rPr>
        <w:t xml:space="preserve">use </w:t>
      </w:r>
      <w:r w:rsidR="006C5CB1" w:rsidRPr="00A31C5D">
        <w:rPr>
          <w:rFonts w:ascii="Arial" w:hAnsi="Arial" w:cs="Arial"/>
          <w:sz w:val="24"/>
          <w:szCs w:val="24"/>
        </w:rPr>
        <w:t xml:space="preserve">of the data. </w:t>
      </w:r>
      <w:r w:rsidRPr="00A31C5D">
        <w:rPr>
          <w:rFonts w:ascii="Arial" w:hAnsi="Arial" w:cs="Arial"/>
          <w:sz w:val="24"/>
          <w:szCs w:val="24"/>
        </w:rPr>
        <w:t xml:space="preserve">Data collected </w:t>
      </w:r>
      <w:r w:rsidR="00455AC6" w:rsidRPr="00A31C5D">
        <w:rPr>
          <w:rFonts w:ascii="Arial" w:hAnsi="Arial" w:cs="Arial"/>
          <w:sz w:val="24"/>
          <w:szCs w:val="24"/>
        </w:rPr>
        <w:t>included</w:t>
      </w:r>
      <w:r w:rsidR="007F0080" w:rsidRPr="00A31C5D">
        <w:rPr>
          <w:rFonts w:ascii="Arial" w:hAnsi="Arial" w:cs="Arial"/>
          <w:sz w:val="24"/>
          <w:szCs w:val="24"/>
        </w:rPr>
        <w:t xml:space="preserve"> </w:t>
      </w:r>
      <w:r w:rsidRPr="00A31C5D">
        <w:rPr>
          <w:rFonts w:ascii="Arial" w:hAnsi="Arial" w:cs="Arial"/>
          <w:sz w:val="24"/>
          <w:szCs w:val="24"/>
        </w:rPr>
        <w:t xml:space="preserve">age, gender, cause of underlying liver disease, </w:t>
      </w:r>
      <w:r w:rsidR="002204FB" w:rsidRPr="00A31C5D">
        <w:rPr>
          <w:rFonts w:ascii="Arial" w:hAnsi="Arial" w:cs="Arial"/>
          <w:sz w:val="24"/>
          <w:szCs w:val="24"/>
        </w:rPr>
        <w:t>previous treatment for HCC, presence of extrahepatic spread, prese</w:t>
      </w:r>
      <w:r w:rsidR="0019328F" w:rsidRPr="00A31C5D">
        <w:rPr>
          <w:rFonts w:ascii="Arial" w:hAnsi="Arial" w:cs="Arial"/>
          <w:sz w:val="24"/>
          <w:szCs w:val="24"/>
        </w:rPr>
        <w:t>nce of portal vein thrombosis, performance s</w:t>
      </w:r>
      <w:r w:rsidR="002204FB" w:rsidRPr="00A31C5D">
        <w:rPr>
          <w:rFonts w:ascii="Arial" w:hAnsi="Arial" w:cs="Arial"/>
          <w:sz w:val="24"/>
          <w:szCs w:val="24"/>
        </w:rPr>
        <w:t xml:space="preserve">tatus, </w:t>
      </w:r>
      <w:r w:rsidR="0019328F" w:rsidRPr="00A31C5D">
        <w:rPr>
          <w:rFonts w:ascii="Arial" w:hAnsi="Arial" w:cs="Arial"/>
          <w:sz w:val="24"/>
          <w:szCs w:val="24"/>
        </w:rPr>
        <w:t>alpha-fetop</w:t>
      </w:r>
      <w:r w:rsidR="007C1A17" w:rsidRPr="00A31C5D">
        <w:rPr>
          <w:rFonts w:ascii="Arial" w:hAnsi="Arial" w:cs="Arial"/>
          <w:sz w:val="24"/>
          <w:szCs w:val="24"/>
        </w:rPr>
        <w:t xml:space="preserve">rotein, </w:t>
      </w:r>
      <w:r w:rsidR="009E26DD" w:rsidRPr="00A31C5D">
        <w:rPr>
          <w:rFonts w:ascii="Arial" w:hAnsi="Arial" w:cs="Arial"/>
          <w:sz w:val="24"/>
          <w:szCs w:val="24"/>
        </w:rPr>
        <w:t>p</w:t>
      </w:r>
      <w:r w:rsidR="002204FB" w:rsidRPr="00A31C5D">
        <w:rPr>
          <w:rFonts w:ascii="Arial" w:hAnsi="Arial" w:cs="Arial"/>
          <w:sz w:val="24"/>
          <w:szCs w:val="24"/>
        </w:rPr>
        <w:t>rothrombin time or International Normalized Ratio</w:t>
      </w:r>
      <w:r w:rsidR="001C3D20" w:rsidRPr="00A31C5D">
        <w:rPr>
          <w:rFonts w:ascii="Arial" w:hAnsi="Arial" w:cs="Arial"/>
          <w:sz w:val="24"/>
          <w:szCs w:val="24"/>
        </w:rPr>
        <w:t xml:space="preserve"> (INR)</w:t>
      </w:r>
      <w:r w:rsidR="0019328F" w:rsidRPr="00A31C5D">
        <w:rPr>
          <w:rFonts w:ascii="Arial" w:hAnsi="Arial" w:cs="Arial"/>
          <w:sz w:val="24"/>
          <w:szCs w:val="24"/>
        </w:rPr>
        <w:t>, albumin, b</w:t>
      </w:r>
      <w:r w:rsidR="002204FB" w:rsidRPr="00A31C5D">
        <w:rPr>
          <w:rFonts w:ascii="Arial" w:hAnsi="Arial" w:cs="Arial"/>
          <w:sz w:val="24"/>
          <w:szCs w:val="24"/>
        </w:rPr>
        <w:t xml:space="preserve">ilirubin, ascites and encephalopathy (as coded </w:t>
      </w:r>
      <w:r w:rsidR="00441009" w:rsidRPr="00A31C5D">
        <w:rPr>
          <w:rFonts w:ascii="Arial" w:hAnsi="Arial" w:cs="Arial"/>
          <w:sz w:val="24"/>
          <w:szCs w:val="24"/>
        </w:rPr>
        <w:t xml:space="preserve">by </w:t>
      </w:r>
      <w:r w:rsidR="007F0080" w:rsidRPr="00A31C5D">
        <w:rPr>
          <w:rFonts w:ascii="Arial" w:hAnsi="Arial" w:cs="Arial"/>
          <w:sz w:val="24"/>
          <w:szCs w:val="24"/>
        </w:rPr>
        <w:t>centers</w:t>
      </w:r>
      <w:r w:rsidR="00441009" w:rsidRPr="00A31C5D">
        <w:rPr>
          <w:rFonts w:ascii="Arial" w:hAnsi="Arial" w:cs="Arial"/>
          <w:sz w:val="24"/>
          <w:szCs w:val="24"/>
        </w:rPr>
        <w:t xml:space="preserve"> </w:t>
      </w:r>
      <w:r w:rsidR="002204FB" w:rsidRPr="00A31C5D">
        <w:rPr>
          <w:rFonts w:ascii="Arial" w:hAnsi="Arial" w:cs="Arial"/>
          <w:sz w:val="24"/>
          <w:szCs w:val="24"/>
        </w:rPr>
        <w:t xml:space="preserve">for the </w:t>
      </w:r>
      <w:r w:rsidR="009E26DD" w:rsidRPr="00A31C5D">
        <w:rPr>
          <w:rFonts w:ascii="Arial" w:hAnsi="Arial" w:cs="Arial"/>
          <w:sz w:val="24"/>
          <w:szCs w:val="24"/>
        </w:rPr>
        <w:t>CP</w:t>
      </w:r>
      <w:r w:rsidR="002204FB" w:rsidRPr="00A31C5D">
        <w:rPr>
          <w:rFonts w:ascii="Arial" w:hAnsi="Arial" w:cs="Arial"/>
          <w:sz w:val="24"/>
          <w:szCs w:val="24"/>
        </w:rPr>
        <w:t xml:space="preserve"> classification),</w:t>
      </w:r>
      <w:r w:rsidR="007F0080" w:rsidRPr="00A31C5D">
        <w:rPr>
          <w:rFonts w:ascii="Arial" w:hAnsi="Arial" w:cs="Arial"/>
          <w:sz w:val="24"/>
          <w:szCs w:val="24"/>
        </w:rPr>
        <w:t xml:space="preserve"> </w:t>
      </w:r>
      <w:r w:rsidR="006665F3" w:rsidRPr="00A31C5D">
        <w:rPr>
          <w:rFonts w:ascii="Arial" w:hAnsi="Arial" w:cs="Arial"/>
          <w:sz w:val="24"/>
          <w:szCs w:val="24"/>
        </w:rPr>
        <w:t xml:space="preserve">Barcelona Clinic for Liver Cancer (BCLC) classification and </w:t>
      </w:r>
      <w:r w:rsidR="0019328F" w:rsidRPr="00A31C5D">
        <w:rPr>
          <w:rFonts w:ascii="Arial" w:hAnsi="Arial" w:cs="Arial"/>
          <w:sz w:val="24"/>
          <w:szCs w:val="24"/>
        </w:rPr>
        <w:t>CP</w:t>
      </w:r>
      <w:r w:rsidR="002204FB" w:rsidRPr="00A31C5D">
        <w:rPr>
          <w:rFonts w:ascii="Arial" w:hAnsi="Arial" w:cs="Arial"/>
          <w:sz w:val="24"/>
          <w:szCs w:val="24"/>
        </w:rPr>
        <w:t xml:space="preserve"> score as provided by </w:t>
      </w:r>
      <w:r w:rsidR="007F0080" w:rsidRPr="00A31C5D">
        <w:rPr>
          <w:rFonts w:ascii="Arial" w:hAnsi="Arial" w:cs="Arial"/>
          <w:sz w:val="24"/>
          <w:szCs w:val="24"/>
        </w:rPr>
        <w:t>centers</w:t>
      </w:r>
      <w:r w:rsidR="002204FB" w:rsidRPr="00A31C5D">
        <w:rPr>
          <w:rFonts w:ascii="Arial" w:hAnsi="Arial" w:cs="Arial"/>
          <w:sz w:val="24"/>
          <w:szCs w:val="24"/>
        </w:rPr>
        <w:t>.</w:t>
      </w:r>
      <w:r w:rsidR="006B7AE6" w:rsidRPr="00A31C5D">
        <w:rPr>
          <w:rFonts w:ascii="Arial" w:hAnsi="Arial" w:cs="Arial"/>
          <w:sz w:val="24"/>
          <w:szCs w:val="24"/>
        </w:rPr>
        <w:t xml:space="preserve"> </w:t>
      </w:r>
      <w:r w:rsidR="00045464" w:rsidRPr="00A31C5D">
        <w:rPr>
          <w:rFonts w:ascii="Arial" w:hAnsi="Arial" w:cs="Arial"/>
          <w:sz w:val="24"/>
          <w:szCs w:val="24"/>
        </w:rPr>
        <w:t xml:space="preserve">All data were </w:t>
      </w:r>
      <w:r w:rsidR="00DC5D48" w:rsidRPr="00A31C5D">
        <w:rPr>
          <w:rFonts w:ascii="Arial" w:hAnsi="Arial" w:cs="Arial"/>
          <w:sz w:val="24"/>
          <w:szCs w:val="24"/>
        </w:rPr>
        <w:t xml:space="preserve">obtained </w:t>
      </w:r>
      <w:r w:rsidR="008E1A8C" w:rsidRPr="00A31C5D">
        <w:rPr>
          <w:rFonts w:ascii="Arial" w:hAnsi="Arial" w:cs="Arial"/>
          <w:sz w:val="24"/>
          <w:szCs w:val="24"/>
        </w:rPr>
        <w:t>at the</w:t>
      </w:r>
      <w:r w:rsidR="00045464" w:rsidRPr="00A31C5D">
        <w:rPr>
          <w:rFonts w:ascii="Arial" w:hAnsi="Arial" w:cs="Arial"/>
          <w:sz w:val="24"/>
          <w:szCs w:val="24"/>
        </w:rPr>
        <w:t xml:space="preserve"> initiation of sorafenib.</w:t>
      </w:r>
    </w:p>
    <w:p w14:paraId="7C58664F" w14:textId="77777777" w:rsidR="006665F3" w:rsidRPr="00A31C5D" w:rsidRDefault="006665F3" w:rsidP="00A31C5D">
      <w:pPr>
        <w:spacing w:line="480" w:lineRule="auto"/>
        <w:rPr>
          <w:rFonts w:ascii="Arial" w:hAnsi="Arial" w:cs="Arial"/>
          <w:sz w:val="24"/>
          <w:szCs w:val="24"/>
        </w:rPr>
      </w:pPr>
    </w:p>
    <w:p w14:paraId="049065C6" w14:textId="77777777" w:rsidR="00B91A9B" w:rsidRPr="00A31C5D" w:rsidRDefault="00B91A9B" w:rsidP="00A31C5D">
      <w:pPr>
        <w:spacing w:line="480" w:lineRule="auto"/>
        <w:rPr>
          <w:rFonts w:ascii="Arial" w:hAnsi="Arial" w:cs="Arial"/>
          <w:sz w:val="24"/>
          <w:szCs w:val="24"/>
        </w:rPr>
      </w:pPr>
      <w:r w:rsidRPr="00A31C5D">
        <w:rPr>
          <w:rFonts w:ascii="Arial" w:hAnsi="Arial" w:cs="Arial"/>
          <w:sz w:val="24"/>
          <w:szCs w:val="24"/>
        </w:rPr>
        <w:t>Calculation of the liver functions scores:</w:t>
      </w:r>
    </w:p>
    <w:p w14:paraId="329D1A99" w14:textId="07DF6B6D" w:rsidR="002204FB" w:rsidRPr="00A31C5D" w:rsidRDefault="003129E2" w:rsidP="00A31C5D">
      <w:pPr>
        <w:spacing w:line="480" w:lineRule="auto"/>
        <w:rPr>
          <w:rFonts w:ascii="Arial" w:hAnsi="Arial" w:cs="Arial"/>
          <w:sz w:val="24"/>
          <w:szCs w:val="24"/>
        </w:rPr>
      </w:pPr>
      <w:r w:rsidRPr="00A31C5D">
        <w:rPr>
          <w:rFonts w:ascii="Arial" w:hAnsi="Arial" w:cs="Arial"/>
          <w:sz w:val="24"/>
          <w:szCs w:val="24"/>
        </w:rPr>
        <w:t>In an effort to control for bias coming from miscoding, t</w:t>
      </w:r>
      <w:r w:rsidR="002204FB" w:rsidRPr="00A31C5D">
        <w:rPr>
          <w:rFonts w:ascii="Arial" w:hAnsi="Arial" w:cs="Arial"/>
          <w:sz w:val="24"/>
          <w:szCs w:val="24"/>
        </w:rPr>
        <w:t xml:space="preserve">he </w:t>
      </w:r>
      <w:r w:rsidR="009E26DD" w:rsidRPr="00A31C5D">
        <w:rPr>
          <w:rFonts w:ascii="Arial" w:hAnsi="Arial" w:cs="Arial"/>
          <w:sz w:val="24"/>
          <w:szCs w:val="24"/>
        </w:rPr>
        <w:t>CP</w:t>
      </w:r>
      <w:r w:rsidR="002204FB" w:rsidRPr="00A31C5D">
        <w:rPr>
          <w:rFonts w:ascii="Arial" w:hAnsi="Arial" w:cs="Arial"/>
          <w:sz w:val="24"/>
          <w:szCs w:val="24"/>
        </w:rPr>
        <w:t xml:space="preserve"> score was then calculated from raw data, according to the original publication and adaptation for normalization of unit</w:t>
      </w:r>
      <w:r w:rsidR="009E26DD" w:rsidRPr="00A31C5D">
        <w:rPr>
          <w:rFonts w:ascii="Arial" w:hAnsi="Arial" w:cs="Arial"/>
          <w:sz w:val="24"/>
          <w:szCs w:val="24"/>
        </w:rPr>
        <w:t>s</w:t>
      </w:r>
      <w:r w:rsidR="002204FB" w:rsidRPr="00A31C5D">
        <w:rPr>
          <w:rFonts w:ascii="Arial" w:hAnsi="Arial" w:cs="Arial"/>
          <w:sz w:val="24"/>
          <w:szCs w:val="24"/>
        </w:rPr>
        <w:t xml:space="preserve"> used (Table 1)</w:t>
      </w:r>
      <w:r w:rsidR="00040C06" w:rsidRPr="00A31C5D">
        <w:rPr>
          <w:rFonts w:ascii="Arial" w:hAnsi="Arial" w:cs="Arial"/>
          <w:sz w:val="24"/>
          <w:szCs w:val="24"/>
        </w:rPr>
        <w:t xml:space="preserve"> </w:t>
      </w:r>
      <w:r w:rsidR="00040C06" w:rsidRPr="00A31C5D">
        <w:rPr>
          <w:rFonts w:ascii="Arial" w:hAnsi="Arial" w:cs="Arial"/>
          <w:sz w:val="24"/>
          <w:szCs w:val="24"/>
        </w:rPr>
        <w:fldChar w:fldCharType="begin"/>
      </w:r>
      <w:r w:rsidR="00040C06" w:rsidRPr="00A31C5D">
        <w:rPr>
          <w:rFonts w:ascii="Arial" w:hAnsi="Arial" w:cs="Arial"/>
          <w:sz w:val="24"/>
          <w:szCs w:val="24"/>
        </w:rPr>
        <w:instrText xml:space="preserve"> ADDIN ZOTERO_ITEM CSL_CITATION {"citationID":"1jqrb1c4p6","properties":{"formattedCitation":"[3,5,8,9]","plainCitation":"[3,5,8,9]"},"citationItems":[{"id":2265,"uris":["http://zotero.org/users/587498/items/DHBI8P4H"],"uri":["http://zotero.org/users/587498/items/DHBI8P4H"],"itemData":{"id":2265,"type":"article-journal","title":"Assessment of Prognosis of Cirrhosis","container-title":"Seminars in Liver Disease","page":"110-122","volume":"28","issue":"1","source":"CrossRef","DOI":"10.1055/s-2008-1040325","ISSN":"0272-8087, 1098-8971","language":"en","author":[{"family":"Durand","given":"François"},{"family":"Valla","given":"Dominique"}],"issued":{"date-parts":[["2008",2]]}}},{"id":2266,"uris":["http://zotero.org/users/587498/items/43JH9WER"],"uri":["http://zotero.org/users/587498/items/43JH9WER"],"itemData":{"id":2266,"type":"article-journal","title":"Transection of the oesophagus for bleeding oesophageal varices","container-title":"The British Journal of Surgery","page":"646-649","volume":"60","issue":"8","source":"PubMed","ISSN":"0007-1323","note":"PMID: 4541913","journalAbbreviation":"Br J Surg","language":"eng","author":[{"family":"Pugh","given":"R. N."},{"family":"Murray-Lyon","given":"I. M."},{"family":"Dawson","given":"J. L."},{"family":"Pietroni","given":"M. C."},{"family":"Williams","given":"R."}],"issued":{"date-parts":[["1973",8]]},"PMID":"4541913"}},{"id":2272,"uris":["http://zotero.org/users/587498/items/R8P3HZIS"],"uri":["http://zotero.org/users/587498/items/R8P3HZIS"],"itemData":{"id":2272,"type":"article-journal","title":"Treatment of hepatic coma by exchange blood transfusion","container-title":"The New England Journal of Medicine","page":"473-481","volume":"274","issue":"9","source":"PubMed","DOI":"10.1056/NEJM196603032740901","ISSN":"0028-4793","note":"PMID: 5904286","journalAbbreviation":"N. Engl. J. Med.","language":"eng","author":[{"family":"Trey","given":"C."},{"family":"Burns","given":"D. G."},{"family":"Saunders","given":"S. J."}],"issued":{"date-parts":[["1966",3,3]]},"PMID":"5904286"}},{"id":2274,"uris":["http://zotero.org/users/587498/items/ZRVSXEUF"],"uri":["http://zotero.org/users/587498/items/ZRVSXEUF"],"itemData":{"id":2274,"type":"article-journal","title":"Prevention and management of gastroesophageal varices and variceal hemorrhage in cirrhosis","container-title":"Hepatology (Baltimore, Md.)","page":"922-938","volume":"46","issue":"3","source":"PubMed","DOI":"10.1002/hep.21907","ISSN":"0270-9139","note":"PMID: 17879356","journalAbbreviation":"Hepatology","language":"eng","author":[{"family":"Garcia-Tsao","given":"Guadalupe"},{"family":"Sanyal","given":"Arun J."},{"family":"Grace","given":"Norman D."},{"family":"Carey","given":"William"},{"literal":"Practice Guidelines Committee of the American Association for the Study of Liver Diseases"},{"literal":"Practice Parameters Committee of the American College of Gastroenterology"}],"issued":{"date-parts":[["2007",9]]},"PMID":"17879356"}}],"schema":"https://github.com/citation-style-language/schema/raw/master/csl-citation.json"} </w:instrText>
      </w:r>
      <w:r w:rsidR="00040C06" w:rsidRPr="00A31C5D">
        <w:rPr>
          <w:rFonts w:ascii="Arial" w:hAnsi="Arial" w:cs="Arial"/>
          <w:sz w:val="24"/>
          <w:szCs w:val="24"/>
        </w:rPr>
        <w:fldChar w:fldCharType="separate"/>
      </w:r>
      <w:r w:rsidR="00040C06" w:rsidRPr="00A31C5D">
        <w:rPr>
          <w:rFonts w:ascii="Arial" w:hAnsi="Arial" w:cs="Arial"/>
          <w:sz w:val="24"/>
          <w:szCs w:val="24"/>
        </w:rPr>
        <w:t>[3,5,8,9]</w:t>
      </w:r>
      <w:r w:rsidR="00040C06" w:rsidRPr="00A31C5D">
        <w:rPr>
          <w:rFonts w:ascii="Arial" w:hAnsi="Arial" w:cs="Arial"/>
          <w:sz w:val="24"/>
          <w:szCs w:val="24"/>
        </w:rPr>
        <w:fldChar w:fldCharType="end"/>
      </w:r>
      <w:r w:rsidR="002204FB" w:rsidRPr="00A31C5D">
        <w:rPr>
          <w:rFonts w:ascii="Arial" w:hAnsi="Arial" w:cs="Arial"/>
          <w:sz w:val="24"/>
          <w:szCs w:val="24"/>
        </w:rPr>
        <w:t>. When both INR and prothrombin time were provided, INR was preferred.</w:t>
      </w:r>
      <w:r w:rsidR="00B11405" w:rsidRPr="00A31C5D">
        <w:rPr>
          <w:rFonts w:ascii="Arial" w:hAnsi="Arial" w:cs="Arial"/>
          <w:sz w:val="24"/>
          <w:szCs w:val="24"/>
        </w:rPr>
        <w:t xml:space="preserve"> </w:t>
      </w:r>
      <w:r w:rsidR="006B7AE6" w:rsidRPr="00A31C5D">
        <w:rPr>
          <w:rFonts w:ascii="Arial" w:hAnsi="Arial" w:cs="Arial"/>
          <w:sz w:val="24"/>
          <w:szCs w:val="24"/>
        </w:rPr>
        <w:t xml:space="preserve">If the patient was recorded as receiving anticoagulation treatment, the CP coagulation score was assumed to be 1. </w:t>
      </w:r>
      <w:r w:rsidR="00B11405" w:rsidRPr="00A31C5D">
        <w:rPr>
          <w:rFonts w:ascii="Arial" w:hAnsi="Arial" w:cs="Arial"/>
          <w:sz w:val="24"/>
          <w:szCs w:val="24"/>
        </w:rPr>
        <w:t>The ALBI score was calculated using the formula</w:t>
      </w:r>
      <w:r w:rsidR="003F64A8" w:rsidRPr="00A31C5D">
        <w:rPr>
          <w:rFonts w:ascii="Arial" w:hAnsi="Arial" w:cs="Arial"/>
          <w:sz w:val="24"/>
          <w:szCs w:val="24"/>
        </w:rPr>
        <w:t>:</w:t>
      </w:r>
      <w:r w:rsidR="00B11405" w:rsidRPr="00A31C5D">
        <w:rPr>
          <w:rFonts w:ascii="Arial" w:hAnsi="Arial" w:cs="Arial"/>
          <w:sz w:val="24"/>
          <w:szCs w:val="24"/>
        </w:rPr>
        <w:t xml:space="preserve"> ALBI score = </w:t>
      </w:r>
      <w:r w:rsidR="006C5CB1" w:rsidRPr="00A31C5D">
        <w:rPr>
          <w:rFonts w:ascii="Arial" w:hAnsi="Arial" w:cs="Arial"/>
          <w:sz w:val="24"/>
          <w:szCs w:val="24"/>
        </w:rPr>
        <w:t>(</w:t>
      </w:r>
      <w:r w:rsidR="00B11405" w:rsidRPr="00A31C5D">
        <w:rPr>
          <w:rFonts w:ascii="Arial" w:hAnsi="Arial" w:cs="Arial"/>
          <w:sz w:val="24"/>
          <w:szCs w:val="24"/>
        </w:rPr>
        <w:t>log</w:t>
      </w:r>
      <w:r w:rsidR="00B11405" w:rsidRPr="00A31C5D">
        <w:rPr>
          <w:rFonts w:ascii="Arial" w:hAnsi="Arial" w:cs="Arial"/>
          <w:sz w:val="24"/>
          <w:szCs w:val="24"/>
          <w:vertAlign w:val="subscript"/>
        </w:rPr>
        <w:t>10</w:t>
      </w:r>
      <w:r w:rsidR="00B11405" w:rsidRPr="00A31C5D">
        <w:rPr>
          <w:rFonts w:ascii="Arial" w:hAnsi="Arial" w:cs="Arial"/>
          <w:sz w:val="24"/>
          <w:szCs w:val="24"/>
        </w:rPr>
        <w:t xml:space="preserve"> bilirubin x 0.66</w:t>
      </w:r>
      <w:r w:rsidR="006C5CB1" w:rsidRPr="00A31C5D">
        <w:rPr>
          <w:rFonts w:ascii="Arial" w:hAnsi="Arial" w:cs="Arial"/>
          <w:sz w:val="24"/>
          <w:szCs w:val="24"/>
        </w:rPr>
        <w:t>)</w:t>
      </w:r>
      <w:r w:rsidR="00B11405" w:rsidRPr="00A31C5D">
        <w:rPr>
          <w:rFonts w:ascii="Arial" w:hAnsi="Arial" w:cs="Arial"/>
          <w:sz w:val="24"/>
          <w:szCs w:val="24"/>
        </w:rPr>
        <w:t xml:space="preserve"> + </w:t>
      </w:r>
      <w:r w:rsidR="006C5CB1" w:rsidRPr="00A31C5D">
        <w:rPr>
          <w:rFonts w:ascii="Arial" w:hAnsi="Arial" w:cs="Arial"/>
          <w:sz w:val="24"/>
          <w:szCs w:val="24"/>
        </w:rPr>
        <w:lastRenderedPageBreak/>
        <w:t>(albumin x -</w:t>
      </w:r>
      <w:r w:rsidR="00B11405" w:rsidRPr="00A31C5D">
        <w:rPr>
          <w:rFonts w:ascii="Arial" w:hAnsi="Arial" w:cs="Arial"/>
          <w:sz w:val="24"/>
          <w:szCs w:val="24"/>
        </w:rPr>
        <w:t xml:space="preserve"> 0.0</w:t>
      </w:r>
      <w:r w:rsidR="006C5CB1" w:rsidRPr="00A31C5D">
        <w:rPr>
          <w:rFonts w:ascii="Arial" w:hAnsi="Arial" w:cs="Arial"/>
          <w:sz w:val="24"/>
          <w:szCs w:val="24"/>
        </w:rPr>
        <w:t>85)</w:t>
      </w:r>
      <w:r w:rsidR="00B11405" w:rsidRPr="00A31C5D">
        <w:rPr>
          <w:rFonts w:ascii="Arial" w:hAnsi="Arial" w:cs="Arial"/>
          <w:sz w:val="24"/>
          <w:szCs w:val="24"/>
        </w:rPr>
        <w:t>, and grades were attributed as follows: grade 1 if score</w:t>
      </w:r>
      <w:r w:rsidR="00B91A9B" w:rsidRPr="00A31C5D">
        <w:rPr>
          <w:rFonts w:ascii="Arial" w:hAnsi="Arial" w:cs="Arial"/>
          <w:sz w:val="24"/>
          <w:szCs w:val="24"/>
        </w:rPr>
        <w:t xml:space="preserve"> ≤ -2.60; grade 2 if score &gt; -2.60 but ≤-1.39; grade 3 if score &gt;-1.39 </w:t>
      </w:r>
      <w:r w:rsidR="00B91A9B"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VXdmg4wP","properties":{"formattedCitation":"[6]","plainCitation":"[6]"},"citationItems":[{"id":2269,"uris":["http://zotero.org/users/587498/items/KQ55G724"],"uri":["http://zotero.org/users/587498/items/KQ55G724"],"itemData":{"id":2269,"type":"article-journal","title":"Assessment of Liver Function in Patients With Hepatocellular Carcinoma: A New Evidence-Based Approach--The ALBI Grade","container-title":"Journal of Clinical Oncology","page":"550-558","volume":"33","issue":"6","source":"CrossRef","DOI":"10.1200/JCO.2014.57.9151","ISSN":"0732-183X, 1527-7755","shortTitle":"Assessment of Liver Function in Patients With Hepatocellular Carcinoma","language":"en","author":[{"family":"Johnson","given":"P. J."},{"family":"Berhane","given":"S."},{"family":"Kagebayashi","given":"C."},{"family":"Satomura","given":"S."},{"family":"Teng","given":"M."},{"family":"Reeves","given":"H. L."},{"family":"O'Beirne","given":"J."},{"family":"Fox","given":"R."},{"family":"Skowronska","given":"A."},{"family":"Palmer","given":"D."},{"family":"Yeo","given":"W."},{"family":"Mo","given":"F."},{"family":"Lai","given":"P."},{"family":"Inarrairaegui","given":"M."},{"family":"Chan","given":"S. L."},{"family":"Sangro","given":"B."},{"family":"Miksad","given":"R."},{"family":"Tada","given":"T."},{"family":"Kumada","given":"T."},{"family":"Toyoda","given":"H."}],"issued":{"date-parts":[["2015",2,20]]}}}],"schema":"https://github.com/citation-style-language/schema/raw/master/csl-citation.json"} </w:instrText>
      </w:r>
      <w:r w:rsidR="00B91A9B" w:rsidRPr="00A31C5D">
        <w:rPr>
          <w:rFonts w:ascii="Arial" w:hAnsi="Arial" w:cs="Arial"/>
          <w:sz w:val="24"/>
          <w:szCs w:val="24"/>
        </w:rPr>
        <w:fldChar w:fldCharType="separate"/>
      </w:r>
      <w:r w:rsidR="00FE77F7" w:rsidRPr="00A31C5D">
        <w:rPr>
          <w:rFonts w:ascii="Arial" w:hAnsi="Arial" w:cs="Arial"/>
          <w:sz w:val="24"/>
          <w:szCs w:val="24"/>
        </w:rPr>
        <w:t>[6]</w:t>
      </w:r>
      <w:r w:rsidR="00B91A9B" w:rsidRPr="00A31C5D">
        <w:rPr>
          <w:rFonts w:ascii="Arial" w:hAnsi="Arial" w:cs="Arial"/>
          <w:sz w:val="24"/>
          <w:szCs w:val="24"/>
        </w:rPr>
        <w:fldChar w:fldCharType="end"/>
      </w:r>
      <w:r w:rsidR="00B91A9B" w:rsidRPr="00A31C5D">
        <w:rPr>
          <w:rFonts w:ascii="Arial" w:hAnsi="Arial" w:cs="Arial"/>
          <w:sz w:val="24"/>
          <w:szCs w:val="24"/>
        </w:rPr>
        <w:t>.</w:t>
      </w:r>
    </w:p>
    <w:p w14:paraId="6659E75F" w14:textId="77777777" w:rsidR="006665F3" w:rsidRPr="00A31C5D" w:rsidRDefault="006665F3" w:rsidP="00A31C5D">
      <w:pPr>
        <w:spacing w:line="480" w:lineRule="auto"/>
        <w:rPr>
          <w:rFonts w:ascii="Arial" w:hAnsi="Arial" w:cs="Arial"/>
          <w:sz w:val="24"/>
          <w:szCs w:val="24"/>
        </w:rPr>
      </w:pPr>
    </w:p>
    <w:p w14:paraId="501225DD" w14:textId="77777777" w:rsidR="000D6457" w:rsidRPr="00A31C5D" w:rsidRDefault="00B91A9B" w:rsidP="00A31C5D">
      <w:pPr>
        <w:spacing w:line="480" w:lineRule="auto"/>
        <w:rPr>
          <w:rFonts w:ascii="Arial" w:hAnsi="Arial" w:cs="Arial"/>
          <w:sz w:val="24"/>
          <w:szCs w:val="24"/>
        </w:rPr>
      </w:pPr>
      <w:r w:rsidRPr="00A31C5D">
        <w:rPr>
          <w:rFonts w:ascii="Arial" w:hAnsi="Arial" w:cs="Arial"/>
          <w:sz w:val="24"/>
          <w:szCs w:val="24"/>
        </w:rPr>
        <w:t>Statistical analysis:</w:t>
      </w:r>
    </w:p>
    <w:p w14:paraId="634377A9" w14:textId="363769A1" w:rsidR="00B91A9B" w:rsidRPr="00A31C5D" w:rsidRDefault="00C524CB" w:rsidP="00A31C5D">
      <w:pPr>
        <w:spacing w:line="480" w:lineRule="auto"/>
        <w:rPr>
          <w:rFonts w:ascii="Arial" w:hAnsi="Arial" w:cs="Arial"/>
          <w:sz w:val="24"/>
          <w:szCs w:val="24"/>
        </w:rPr>
      </w:pPr>
      <w:r w:rsidRPr="00A31C5D">
        <w:rPr>
          <w:rFonts w:ascii="Arial" w:hAnsi="Arial" w:cs="Arial"/>
          <w:sz w:val="24"/>
          <w:szCs w:val="24"/>
        </w:rPr>
        <w:t xml:space="preserve">Statistical analyses and graphs were performed on </w:t>
      </w:r>
      <w:r w:rsidR="00846176" w:rsidRPr="00A31C5D">
        <w:rPr>
          <w:rFonts w:ascii="Arial" w:hAnsi="Arial" w:cs="Arial"/>
          <w:sz w:val="24"/>
          <w:szCs w:val="24"/>
        </w:rPr>
        <w:t>R statistical software version 3.1.1 (2014-07-10)</w:t>
      </w:r>
      <w:r w:rsidRPr="00A31C5D">
        <w:rPr>
          <w:rFonts w:ascii="Arial" w:hAnsi="Arial" w:cs="Arial"/>
          <w:sz w:val="24"/>
          <w:szCs w:val="24"/>
        </w:rPr>
        <w:t xml:space="preserve">. </w:t>
      </w:r>
      <w:r w:rsidR="00F23A52" w:rsidRPr="00A31C5D">
        <w:rPr>
          <w:rFonts w:ascii="Arial" w:hAnsi="Arial" w:cs="Arial"/>
          <w:sz w:val="24"/>
          <w:szCs w:val="24"/>
        </w:rPr>
        <w:t>Analyse</w:t>
      </w:r>
      <w:r w:rsidR="008D3D98" w:rsidRPr="00A31C5D">
        <w:rPr>
          <w:rFonts w:ascii="Arial" w:hAnsi="Arial" w:cs="Arial"/>
          <w:sz w:val="24"/>
          <w:szCs w:val="24"/>
        </w:rPr>
        <w:t xml:space="preserve">s were conducted on </w:t>
      </w:r>
      <w:r w:rsidR="00846176" w:rsidRPr="00A31C5D">
        <w:rPr>
          <w:rFonts w:ascii="Arial" w:hAnsi="Arial" w:cs="Arial"/>
          <w:sz w:val="24"/>
          <w:szCs w:val="24"/>
        </w:rPr>
        <w:t>all patients</w:t>
      </w:r>
      <w:r w:rsidR="003F64A8" w:rsidRPr="00A31C5D">
        <w:rPr>
          <w:rFonts w:ascii="Arial" w:hAnsi="Arial" w:cs="Arial"/>
          <w:sz w:val="24"/>
          <w:szCs w:val="24"/>
        </w:rPr>
        <w:t>,</w:t>
      </w:r>
      <w:r w:rsidR="00846176" w:rsidRPr="00A31C5D">
        <w:rPr>
          <w:rFonts w:ascii="Arial" w:hAnsi="Arial" w:cs="Arial"/>
          <w:sz w:val="24"/>
          <w:szCs w:val="24"/>
        </w:rPr>
        <w:t xml:space="preserve"> </w:t>
      </w:r>
      <w:r w:rsidR="008D3D98" w:rsidRPr="00A31C5D">
        <w:rPr>
          <w:rFonts w:ascii="Arial" w:hAnsi="Arial" w:cs="Arial"/>
          <w:sz w:val="24"/>
          <w:szCs w:val="24"/>
        </w:rPr>
        <w:t xml:space="preserve">then on </w:t>
      </w:r>
      <w:r w:rsidR="00A16086" w:rsidRPr="00A31C5D">
        <w:rPr>
          <w:rFonts w:ascii="Arial" w:hAnsi="Arial" w:cs="Arial"/>
          <w:sz w:val="24"/>
          <w:szCs w:val="24"/>
        </w:rPr>
        <w:t>patients</w:t>
      </w:r>
      <w:r w:rsidR="008D3D98" w:rsidRPr="00A31C5D">
        <w:rPr>
          <w:rFonts w:ascii="Arial" w:hAnsi="Arial" w:cs="Arial"/>
          <w:sz w:val="24"/>
          <w:szCs w:val="24"/>
        </w:rPr>
        <w:t xml:space="preserve"> with a </w:t>
      </w:r>
      <w:r w:rsidR="00F262E2" w:rsidRPr="00A31C5D">
        <w:rPr>
          <w:rFonts w:ascii="Arial" w:hAnsi="Arial" w:cs="Arial"/>
          <w:sz w:val="24"/>
          <w:szCs w:val="24"/>
        </w:rPr>
        <w:t xml:space="preserve">calculated </w:t>
      </w:r>
      <w:r w:rsidR="00455AC6" w:rsidRPr="00A31C5D">
        <w:rPr>
          <w:rFonts w:ascii="Arial" w:hAnsi="Arial" w:cs="Arial"/>
          <w:sz w:val="24"/>
          <w:szCs w:val="24"/>
        </w:rPr>
        <w:t>CP</w:t>
      </w:r>
      <w:r w:rsidR="008D3D98" w:rsidRPr="00A31C5D">
        <w:rPr>
          <w:rFonts w:ascii="Arial" w:hAnsi="Arial" w:cs="Arial"/>
          <w:sz w:val="24"/>
          <w:szCs w:val="24"/>
        </w:rPr>
        <w:t xml:space="preserve"> </w:t>
      </w:r>
      <w:r w:rsidR="00455AC6" w:rsidRPr="00A31C5D">
        <w:rPr>
          <w:rFonts w:ascii="Arial" w:hAnsi="Arial" w:cs="Arial"/>
          <w:sz w:val="24"/>
          <w:szCs w:val="24"/>
        </w:rPr>
        <w:t>class</w:t>
      </w:r>
      <w:r w:rsidR="008D3D98" w:rsidRPr="00A31C5D">
        <w:rPr>
          <w:rFonts w:ascii="Arial" w:hAnsi="Arial" w:cs="Arial"/>
          <w:sz w:val="24"/>
          <w:szCs w:val="24"/>
        </w:rPr>
        <w:t xml:space="preserve"> A only. </w:t>
      </w:r>
      <w:r w:rsidR="00846176" w:rsidRPr="00A31C5D">
        <w:rPr>
          <w:rFonts w:ascii="Arial" w:hAnsi="Arial" w:cs="Arial"/>
          <w:sz w:val="24"/>
          <w:szCs w:val="24"/>
        </w:rPr>
        <w:t>Patients’ characteristics</w:t>
      </w:r>
      <w:r w:rsidR="008D3D98" w:rsidRPr="00A31C5D">
        <w:rPr>
          <w:rFonts w:ascii="Arial" w:hAnsi="Arial" w:cs="Arial"/>
          <w:sz w:val="24"/>
          <w:szCs w:val="24"/>
        </w:rPr>
        <w:t xml:space="preserve"> we</w:t>
      </w:r>
      <w:r w:rsidR="00846176" w:rsidRPr="00A31C5D">
        <w:rPr>
          <w:rFonts w:ascii="Arial" w:hAnsi="Arial" w:cs="Arial"/>
          <w:sz w:val="24"/>
          <w:szCs w:val="24"/>
        </w:rPr>
        <w:t xml:space="preserve">re described by </w:t>
      </w:r>
      <w:r w:rsidR="009763D0" w:rsidRPr="00A31C5D">
        <w:rPr>
          <w:rFonts w:ascii="Arial" w:hAnsi="Arial" w:cs="Arial"/>
          <w:sz w:val="24"/>
          <w:szCs w:val="24"/>
        </w:rPr>
        <w:t>medians and range</w:t>
      </w:r>
      <w:r w:rsidR="00846176" w:rsidRPr="00A31C5D">
        <w:rPr>
          <w:rFonts w:ascii="Arial" w:hAnsi="Arial" w:cs="Arial"/>
          <w:sz w:val="24"/>
          <w:szCs w:val="24"/>
        </w:rPr>
        <w:t xml:space="preserve">, and frequencies. Overall survival </w:t>
      </w:r>
      <w:r w:rsidR="00E93829" w:rsidRPr="00A31C5D">
        <w:rPr>
          <w:rFonts w:ascii="Arial" w:hAnsi="Arial" w:cs="Arial"/>
          <w:sz w:val="24"/>
          <w:szCs w:val="24"/>
        </w:rPr>
        <w:t xml:space="preserve">(OS) </w:t>
      </w:r>
      <w:r w:rsidR="00846176" w:rsidRPr="00A31C5D">
        <w:rPr>
          <w:rFonts w:ascii="Arial" w:hAnsi="Arial" w:cs="Arial"/>
          <w:sz w:val="24"/>
          <w:szCs w:val="24"/>
        </w:rPr>
        <w:t xml:space="preserve">was calculated from the start of treatment with </w:t>
      </w:r>
      <w:r w:rsidR="00C5207A" w:rsidRPr="00A31C5D">
        <w:rPr>
          <w:rFonts w:ascii="Arial" w:hAnsi="Arial" w:cs="Arial"/>
          <w:sz w:val="24"/>
          <w:szCs w:val="24"/>
        </w:rPr>
        <w:t>s</w:t>
      </w:r>
      <w:r w:rsidR="00846176" w:rsidRPr="00A31C5D">
        <w:rPr>
          <w:rFonts w:ascii="Arial" w:hAnsi="Arial" w:cs="Arial"/>
          <w:sz w:val="24"/>
          <w:szCs w:val="24"/>
        </w:rPr>
        <w:t>orafenib to death, survival curves were es</w:t>
      </w:r>
      <w:r w:rsidRPr="00A31C5D">
        <w:rPr>
          <w:rFonts w:ascii="Arial" w:hAnsi="Arial" w:cs="Arial"/>
          <w:sz w:val="24"/>
          <w:szCs w:val="24"/>
        </w:rPr>
        <w:t>timated with the Kaplan-Meier approach, and compared with Log-Rank tests. A p value &lt; 0.05 was considered as statistically significant for all analyses.</w:t>
      </w:r>
    </w:p>
    <w:p w14:paraId="1F53B280" w14:textId="5785D578" w:rsidR="00C524CB" w:rsidRPr="00A31C5D" w:rsidRDefault="00D71166" w:rsidP="00A31C5D">
      <w:pPr>
        <w:spacing w:line="480" w:lineRule="auto"/>
        <w:rPr>
          <w:rFonts w:ascii="Arial" w:hAnsi="Arial" w:cs="Arial"/>
          <w:sz w:val="24"/>
          <w:szCs w:val="24"/>
        </w:rPr>
      </w:pPr>
      <w:r w:rsidRPr="00A31C5D">
        <w:rPr>
          <w:rFonts w:ascii="Arial" w:hAnsi="Arial" w:cs="Arial"/>
          <w:sz w:val="24"/>
          <w:szCs w:val="24"/>
        </w:rPr>
        <w:t xml:space="preserve">Reliability </w:t>
      </w:r>
      <w:r w:rsidR="00725291" w:rsidRPr="00A31C5D">
        <w:rPr>
          <w:rFonts w:ascii="Arial" w:hAnsi="Arial" w:cs="Arial"/>
          <w:sz w:val="24"/>
          <w:szCs w:val="24"/>
        </w:rPr>
        <w:t xml:space="preserve">of </w:t>
      </w:r>
      <w:r w:rsidR="00455AC6" w:rsidRPr="00A31C5D">
        <w:rPr>
          <w:rFonts w:ascii="Arial" w:hAnsi="Arial" w:cs="Arial"/>
          <w:sz w:val="24"/>
          <w:szCs w:val="24"/>
        </w:rPr>
        <w:t>CP</w:t>
      </w:r>
      <w:r w:rsidR="00725291" w:rsidRPr="00A31C5D">
        <w:rPr>
          <w:rFonts w:ascii="Arial" w:hAnsi="Arial" w:cs="Arial"/>
          <w:sz w:val="24"/>
          <w:szCs w:val="24"/>
        </w:rPr>
        <w:t xml:space="preserve"> </w:t>
      </w:r>
      <w:r w:rsidR="00C5207A" w:rsidRPr="00A31C5D">
        <w:rPr>
          <w:rFonts w:ascii="Arial" w:hAnsi="Arial" w:cs="Arial"/>
          <w:sz w:val="24"/>
          <w:szCs w:val="24"/>
        </w:rPr>
        <w:t xml:space="preserve">score </w:t>
      </w:r>
      <w:r w:rsidR="00725291" w:rsidRPr="00A31C5D">
        <w:rPr>
          <w:rFonts w:ascii="Arial" w:hAnsi="Arial" w:cs="Arial"/>
          <w:sz w:val="24"/>
          <w:szCs w:val="24"/>
        </w:rPr>
        <w:t xml:space="preserve">and ALBI </w:t>
      </w:r>
      <w:r w:rsidR="00C5207A" w:rsidRPr="00A31C5D">
        <w:rPr>
          <w:rFonts w:ascii="Arial" w:hAnsi="Arial" w:cs="Arial"/>
          <w:sz w:val="24"/>
          <w:szCs w:val="24"/>
        </w:rPr>
        <w:t xml:space="preserve">grade </w:t>
      </w:r>
      <w:r w:rsidR="00725291" w:rsidRPr="00A31C5D">
        <w:rPr>
          <w:rFonts w:ascii="Arial" w:hAnsi="Arial" w:cs="Arial"/>
          <w:sz w:val="24"/>
          <w:szCs w:val="24"/>
        </w:rPr>
        <w:t>was evaluated usi</w:t>
      </w:r>
      <w:r w:rsidR="00A16086" w:rsidRPr="00A31C5D">
        <w:rPr>
          <w:rFonts w:ascii="Arial" w:hAnsi="Arial" w:cs="Arial"/>
          <w:sz w:val="24"/>
          <w:szCs w:val="24"/>
        </w:rPr>
        <w:t xml:space="preserve">ng contingency tables, raw concordance rates and quadratic weighted </w:t>
      </w:r>
      <w:r w:rsidR="00725291" w:rsidRPr="00A31C5D">
        <w:rPr>
          <w:rFonts w:ascii="Arial" w:hAnsi="Arial" w:cs="Arial"/>
          <w:sz w:val="24"/>
          <w:szCs w:val="24"/>
        </w:rPr>
        <w:t xml:space="preserve">kappa coefficients with </w:t>
      </w:r>
      <w:r w:rsidR="00A16086" w:rsidRPr="00A31C5D">
        <w:rPr>
          <w:rFonts w:ascii="Arial" w:hAnsi="Arial" w:cs="Arial"/>
          <w:sz w:val="24"/>
          <w:szCs w:val="24"/>
        </w:rPr>
        <w:t xml:space="preserve">adjusted bootstrap percentile confidence interval. </w:t>
      </w:r>
    </w:p>
    <w:p w14:paraId="3BE7D3B6" w14:textId="71D1FC65" w:rsidR="008366DD" w:rsidRPr="00A31C5D" w:rsidRDefault="00930790" w:rsidP="00A31C5D">
      <w:pPr>
        <w:spacing w:line="480" w:lineRule="auto"/>
        <w:rPr>
          <w:rFonts w:ascii="Arial" w:hAnsi="Arial" w:cs="Arial"/>
          <w:sz w:val="24"/>
          <w:szCs w:val="24"/>
        </w:rPr>
      </w:pPr>
      <w:r w:rsidRPr="00A31C5D">
        <w:rPr>
          <w:rFonts w:ascii="Arial" w:hAnsi="Arial" w:cs="Arial"/>
          <w:sz w:val="24"/>
          <w:szCs w:val="24"/>
        </w:rPr>
        <w:t>The p</w:t>
      </w:r>
      <w:r w:rsidR="009219D8" w:rsidRPr="00A31C5D">
        <w:rPr>
          <w:rFonts w:ascii="Arial" w:hAnsi="Arial" w:cs="Arial"/>
          <w:sz w:val="24"/>
          <w:szCs w:val="24"/>
        </w:rPr>
        <w:t xml:space="preserve">erformance of a prognostic system </w:t>
      </w:r>
      <w:r w:rsidR="008366DD" w:rsidRPr="00A31C5D">
        <w:rPr>
          <w:rFonts w:ascii="Arial" w:hAnsi="Arial" w:cs="Arial"/>
          <w:sz w:val="24"/>
          <w:szCs w:val="24"/>
        </w:rPr>
        <w:t xml:space="preserve">has been shown to be related to homogeneity (small differences in survival among patients in the same </w:t>
      </w:r>
      <w:r w:rsidR="009763D0" w:rsidRPr="00A31C5D">
        <w:rPr>
          <w:rFonts w:ascii="Arial" w:hAnsi="Arial" w:cs="Arial"/>
          <w:sz w:val="24"/>
          <w:szCs w:val="24"/>
        </w:rPr>
        <w:t>class</w:t>
      </w:r>
      <w:r w:rsidR="00AC6DB2" w:rsidRPr="00A31C5D">
        <w:rPr>
          <w:rFonts w:ascii="Arial" w:hAnsi="Arial" w:cs="Arial"/>
          <w:sz w:val="24"/>
          <w:szCs w:val="24"/>
        </w:rPr>
        <w:t xml:space="preserve"> within each system) and</w:t>
      </w:r>
      <w:r w:rsidR="008366DD" w:rsidRPr="00A31C5D">
        <w:rPr>
          <w:rFonts w:ascii="Arial" w:hAnsi="Arial" w:cs="Arial"/>
          <w:sz w:val="24"/>
          <w:szCs w:val="24"/>
        </w:rPr>
        <w:t xml:space="preserve"> discriminatory ability (greater differences in survival among patients in different stages within each system</w:t>
      </w:r>
      <w:r w:rsidR="00AC6DB2" w:rsidRPr="00A31C5D">
        <w:rPr>
          <w:rFonts w:ascii="Arial" w:hAnsi="Arial" w:cs="Arial"/>
          <w:sz w:val="24"/>
          <w:szCs w:val="24"/>
        </w:rPr>
        <w:t>)</w:t>
      </w:r>
      <w:r w:rsidR="00040C06" w:rsidRPr="00A31C5D">
        <w:rPr>
          <w:rFonts w:ascii="Arial" w:hAnsi="Arial" w:cs="Arial"/>
          <w:sz w:val="24"/>
          <w:szCs w:val="24"/>
        </w:rPr>
        <w:t xml:space="preserve"> </w:t>
      </w:r>
      <w:r w:rsidR="00040C06" w:rsidRPr="00A31C5D">
        <w:rPr>
          <w:rFonts w:ascii="Arial" w:hAnsi="Arial" w:cs="Arial"/>
          <w:sz w:val="24"/>
          <w:szCs w:val="24"/>
        </w:rPr>
        <w:fldChar w:fldCharType="begin"/>
      </w:r>
      <w:r w:rsidR="00040C06" w:rsidRPr="00A31C5D">
        <w:rPr>
          <w:rFonts w:ascii="Arial" w:hAnsi="Arial" w:cs="Arial"/>
          <w:sz w:val="24"/>
          <w:szCs w:val="24"/>
        </w:rPr>
        <w:instrText xml:space="preserve"> ADDIN ZOTERO_ITEM CSL_CITATION {"citationID":"1cqmk5f652","properties":{"formattedCitation":"[10,11]","plainCitation":"[10,11]"},"citationItems":[{"id":2471,"uris":["http://zotero.org/users/587498/items/7GF5FH4H"],"uri":["http://zotero.org/users/587498/items/7GF5FH4H"],"itemData":{"id":2471,"type":"article-journal","title":"Discrimination value of the new western prognostic system (CLIP score) for hepatocellular carcinoma in 662 Japanese patients. Cancer of the Liver Italian Program","container-title":"Hepatology (Baltimore, Md.)","page":"529-534","volume":"34","issue":"3","source":"PubMed","abstract":"To reliably estimate the prognoses of patients with hepatocellular carcinoma (HCC), both liver function and tumor-related factors should be accounted for. However, there are few worldwide staging systems that assess prognostic value in the context of selecting individual patients for randomized stratification in therapeutic and clinical trials. We investigated the value of known prognostic systems and verified the usefulness of the new scoring system proposed by the Cancer of the Liver Italian Program (CLIP), as determined from 662 Japanese patients. A retrospective analysis of the HCC diagnoses at 4 Japanese institutions from 1990 and 1998 was performed. Overall survival was the only end point used in the analysis. Discriminatory ability and predictive power of the CLIP score were compared with those of Okuda stage and AJCC TNM stage. Compared with the Okuda and AJCC staging systems, the CLIP score's enhanced discriminatory capacity, which was tested by the linear trend test and Harrels' c-index, revealed a class of patients with an impressively more favorable prognosis and another class with a relatively shorter life expectancy. Moreover, the likelihood ratio test showed that the CLIP score had additional homogeneity of survival within each score above that of the Okuda stage or the AJCC stage. This was true for 3 subgroups of patients who received surgery, transcatheter arterial chemoembolizations, and percutaneous ethanol injections. Collectively, these findings indicate that the CLIP score has the highest stratification ability with regard to prognosis in patients with HCC. The CLIP score could be used internationally to stratify randomization groups in therapeutic and clinical trials.","DOI":"10.1053/jhep.2001.27219","ISSN":"0270-9139","note":"PMID: 11526539","journalAbbreviation":"Hepatology","language":"eng","author":[{"family":"Ueno","given":"S."},{"family":"Tanabe","given":"G."},{"family":"Sako","given":"K."},{"family":"Hiwaki","given":"T."},{"family":"Hokotate","given":"H."},{"family":"Fukukura","given":"Y."},{"family":"Baba","given":"Y."},{"family":"Imamura","given":"Y."},{"family":"Aikou","given":"T."}],"issued":{"date-parts":[["2001",9]]},"PMID":"11526539"}},{"id":2473,"uris":["http://zotero.org/users/587498/items/JEXCCTHZ"],"uri":["http://zotero.org/users/587498/items/JEXCCTHZ"],"itemData":{"id":2473,"type":"article-journal","title":"Prognosis of hepatocellular carcinoma: comparison of 7 staging systems in an American cohort","container-title":"Hepatology (Baltimore, Md.)","page":"707-716","volume":"41","issue":"4","source":"PubMed","abstract":"Currently there is no consensus as to which staging system is best in predicting the survival of patients with hepatocellular carcinoma (HCC). The aims of this study were to identify independent predictors of survival and to compare 7 available prognostic staging systems in patients with HCC. A total of 239 consecutive patients with cirrhosis and HCC seen between January 1, 2000, and December 31, 2003, were included. Demographic, laboratory, and tumor characteristics and performance status were determined at diagnosis and before therapy. Predictors of survival were identified using the Kaplan-Meir test and the Cox model. Sixty-two percent of patients had hepatitis C, 56% had more than 1 tumor nodule, 24% had portal vein thrombosis, and 29% did not receive any cancer treatment. At the time of censorship, 153 (63%) patients had died. The 1- and 3-year survival of the entire cohort was 58% and 29%, respectively. The independent predictors of survival were performance status (P &lt; .0001), MELD score greater than 10 (P = .001), portal vein thrombosis (P = .0001), and tumor diameter greater than 4 cm (P = .001). Treatment of HCC was related to overall survival. The Barcelona Clinic Liver Cancer (BCLC) staging system had the best independent predictive power for survival when compared with the other 6 prognostic systems. In conclusion, performance status, tumor extent, liver function, and treatment were independent predictors of survival mostly in patients with cirrhosis and HCC. The BCLC staging system includes aspects of all of these elements and provided the best prognostic stratification for our cohort of patients with HCC.","DOI":"10.1002/hep.20636","ISSN":"0270-9139","note":"PMID: 15795889","shortTitle":"Prognosis of hepatocellular carcinoma","journalAbbreviation":"Hepatology","language":"eng","author":[{"family":"Marrero","given":"Jorge A."},{"family":"Fontana","given":"Robert J."},{"family":"Barrat","given":"Ashley"},{"family":"Askari","given":"Frederick"},{"family":"Conjeevaram","given":"Hari S."},{"family":"Su","given":"Grace L."},{"family":"Lok","given":"Anna S."}],"issued":{"date-parts":[["2005",4]]},"PMID":"15795889"}}],"schema":"https://github.com/citation-style-language/schema/raw/master/csl-citation.json"} </w:instrText>
      </w:r>
      <w:r w:rsidR="00040C06" w:rsidRPr="00A31C5D">
        <w:rPr>
          <w:rFonts w:ascii="Arial" w:hAnsi="Arial" w:cs="Arial"/>
          <w:sz w:val="24"/>
          <w:szCs w:val="24"/>
        </w:rPr>
        <w:fldChar w:fldCharType="separate"/>
      </w:r>
      <w:r w:rsidR="00040C06" w:rsidRPr="00A31C5D">
        <w:rPr>
          <w:rFonts w:ascii="Arial" w:hAnsi="Arial" w:cs="Arial"/>
          <w:sz w:val="24"/>
          <w:szCs w:val="24"/>
        </w:rPr>
        <w:t>[10,11]</w:t>
      </w:r>
      <w:r w:rsidR="00040C06" w:rsidRPr="00A31C5D">
        <w:rPr>
          <w:rFonts w:ascii="Arial" w:hAnsi="Arial" w:cs="Arial"/>
          <w:sz w:val="24"/>
          <w:szCs w:val="24"/>
        </w:rPr>
        <w:fldChar w:fldCharType="end"/>
      </w:r>
      <w:r w:rsidR="00B73520" w:rsidRPr="00A31C5D">
        <w:rPr>
          <w:rFonts w:ascii="Arial" w:hAnsi="Arial" w:cs="Arial"/>
          <w:sz w:val="24"/>
          <w:szCs w:val="24"/>
        </w:rPr>
        <w:t xml:space="preserve">. </w:t>
      </w:r>
    </w:p>
    <w:p w14:paraId="05EE2088" w14:textId="4ABD3523" w:rsidR="00B73520" w:rsidRPr="00A31C5D" w:rsidRDefault="009763D0" w:rsidP="00A31C5D">
      <w:pPr>
        <w:spacing w:line="480" w:lineRule="auto"/>
        <w:rPr>
          <w:rFonts w:ascii="Arial" w:hAnsi="Arial" w:cs="Arial"/>
          <w:sz w:val="24"/>
          <w:szCs w:val="24"/>
        </w:rPr>
      </w:pPr>
      <w:r w:rsidRPr="00A31C5D">
        <w:rPr>
          <w:rFonts w:ascii="Arial" w:hAnsi="Arial" w:cs="Arial"/>
          <w:sz w:val="24"/>
          <w:szCs w:val="24"/>
        </w:rPr>
        <w:t>Harrell’s C statistics</w:t>
      </w:r>
      <w:r w:rsidR="00527A17" w:rsidRPr="00A31C5D">
        <w:rPr>
          <w:rFonts w:ascii="Arial" w:hAnsi="Arial" w:cs="Arial"/>
          <w:sz w:val="24"/>
          <w:szCs w:val="24"/>
        </w:rPr>
        <w:t xml:space="preserve"> </w:t>
      </w:r>
      <w:r w:rsidR="008366DD" w:rsidRPr="00A31C5D">
        <w:rPr>
          <w:rFonts w:ascii="Arial" w:hAnsi="Arial" w:cs="Arial"/>
          <w:sz w:val="24"/>
          <w:szCs w:val="24"/>
        </w:rPr>
        <w:t>was</w:t>
      </w:r>
      <w:r w:rsidR="00B73520" w:rsidRPr="00A31C5D">
        <w:rPr>
          <w:rFonts w:ascii="Arial" w:hAnsi="Arial" w:cs="Arial"/>
          <w:sz w:val="24"/>
          <w:szCs w:val="24"/>
        </w:rPr>
        <w:t xml:space="preserve"> </w:t>
      </w:r>
      <w:r w:rsidR="008366DD" w:rsidRPr="00A31C5D">
        <w:rPr>
          <w:rFonts w:ascii="Arial" w:hAnsi="Arial" w:cs="Arial"/>
          <w:sz w:val="24"/>
          <w:szCs w:val="24"/>
        </w:rPr>
        <w:t xml:space="preserve">used to measure the discriminatory ability of </w:t>
      </w:r>
      <w:r w:rsidR="00DF6D41" w:rsidRPr="00A31C5D">
        <w:rPr>
          <w:rFonts w:ascii="Arial" w:hAnsi="Arial" w:cs="Arial"/>
          <w:sz w:val="24"/>
          <w:szCs w:val="24"/>
        </w:rPr>
        <w:t>CP</w:t>
      </w:r>
      <w:r w:rsidR="00527A17" w:rsidRPr="00A31C5D">
        <w:rPr>
          <w:rFonts w:ascii="Arial" w:hAnsi="Arial" w:cs="Arial"/>
          <w:sz w:val="24"/>
          <w:szCs w:val="24"/>
        </w:rPr>
        <w:t xml:space="preserve"> scores and the ALBI score</w:t>
      </w:r>
      <w:r w:rsidR="008366DD" w:rsidRPr="00A31C5D">
        <w:rPr>
          <w:rFonts w:ascii="Arial" w:hAnsi="Arial" w:cs="Arial"/>
          <w:sz w:val="24"/>
          <w:szCs w:val="24"/>
        </w:rPr>
        <w:t>.</w:t>
      </w:r>
      <w:r w:rsidR="00B73520" w:rsidRPr="00A31C5D">
        <w:rPr>
          <w:rFonts w:ascii="Arial" w:hAnsi="Arial" w:cs="Arial"/>
          <w:sz w:val="24"/>
          <w:szCs w:val="24"/>
        </w:rPr>
        <w:t xml:space="preserve"> </w:t>
      </w:r>
      <w:r w:rsidR="00BF2F7D" w:rsidRPr="00A31C5D">
        <w:rPr>
          <w:rFonts w:ascii="Arial" w:hAnsi="Arial" w:cs="Arial"/>
          <w:sz w:val="24"/>
          <w:szCs w:val="24"/>
        </w:rPr>
        <w:t>A higher Harrell’s C statistic</w:t>
      </w:r>
      <w:r w:rsidRPr="00A31C5D">
        <w:rPr>
          <w:rFonts w:ascii="Arial" w:hAnsi="Arial" w:cs="Arial"/>
          <w:sz w:val="24"/>
          <w:szCs w:val="24"/>
        </w:rPr>
        <w:t>s</w:t>
      </w:r>
      <w:r w:rsidR="00BF2F7D" w:rsidRPr="00A31C5D">
        <w:rPr>
          <w:rFonts w:ascii="Arial" w:hAnsi="Arial" w:cs="Arial"/>
          <w:sz w:val="24"/>
          <w:szCs w:val="24"/>
        </w:rPr>
        <w:t xml:space="preserve"> indicates higher discriminative ability.</w:t>
      </w:r>
      <w:r w:rsidR="00A36F05" w:rsidRPr="00A31C5D">
        <w:rPr>
          <w:rFonts w:ascii="Arial" w:hAnsi="Arial" w:cs="Arial"/>
          <w:sz w:val="24"/>
          <w:szCs w:val="24"/>
        </w:rPr>
        <w:t xml:space="preserve"> The </w:t>
      </w:r>
      <w:r w:rsidR="00136108" w:rsidRPr="00A31C5D">
        <w:rPr>
          <w:rFonts w:ascii="Arial" w:hAnsi="Arial" w:cs="Arial"/>
          <w:sz w:val="24"/>
          <w:szCs w:val="24"/>
        </w:rPr>
        <w:t xml:space="preserve">log </w:t>
      </w:r>
      <w:r w:rsidR="00A36F05" w:rsidRPr="00A31C5D">
        <w:rPr>
          <w:rFonts w:ascii="Arial" w:hAnsi="Arial" w:cs="Arial"/>
          <w:sz w:val="24"/>
          <w:szCs w:val="24"/>
        </w:rPr>
        <w:t>likelihood ratio was calculated with Cox regression to determine homogeneity. A higher</w:t>
      </w:r>
      <w:r w:rsidR="00136108" w:rsidRPr="00A31C5D">
        <w:rPr>
          <w:rFonts w:ascii="Arial" w:hAnsi="Arial" w:cs="Arial"/>
          <w:sz w:val="24"/>
          <w:szCs w:val="24"/>
        </w:rPr>
        <w:t xml:space="preserve"> log</w:t>
      </w:r>
      <w:r w:rsidR="00A36F05" w:rsidRPr="00A31C5D">
        <w:rPr>
          <w:rFonts w:ascii="Arial" w:hAnsi="Arial" w:cs="Arial"/>
          <w:sz w:val="24"/>
          <w:szCs w:val="24"/>
        </w:rPr>
        <w:t xml:space="preserve"> likelihood ratio indicates higher homogeneity of survival between patients classifi</w:t>
      </w:r>
      <w:r w:rsidR="00A36F05" w:rsidRPr="00A31C5D">
        <w:rPr>
          <w:rFonts w:ascii="Arial" w:hAnsi="Arial" w:cs="Arial"/>
          <w:sz w:val="24"/>
          <w:szCs w:val="24"/>
        </w:rPr>
        <w:softHyphen/>
        <w:t xml:space="preserve">ed in a same class. </w:t>
      </w:r>
      <w:r w:rsidR="008366DD" w:rsidRPr="00A31C5D">
        <w:rPr>
          <w:rFonts w:ascii="Arial" w:hAnsi="Arial" w:cs="Arial"/>
          <w:sz w:val="24"/>
          <w:szCs w:val="24"/>
        </w:rPr>
        <w:t>In addition</w:t>
      </w:r>
      <w:r w:rsidR="00C73B60" w:rsidRPr="00A31C5D">
        <w:rPr>
          <w:rFonts w:ascii="Arial" w:hAnsi="Arial" w:cs="Arial"/>
          <w:sz w:val="24"/>
          <w:szCs w:val="24"/>
        </w:rPr>
        <w:t xml:space="preserve">, the results of </w:t>
      </w:r>
      <w:r w:rsidR="00B73520" w:rsidRPr="00A31C5D">
        <w:rPr>
          <w:rFonts w:ascii="Arial" w:hAnsi="Arial" w:cs="Arial"/>
          <w:sz w:val="24"/>
          <w:szCs w:val="24"/>
        </w:rPr>
        <w:t>Cox regres</w:t>
      </w:r>
      <w:r w:rsidR="008366DD" w:rsidRPr="00A31C5D">
        <w:rPr>
          <w:rFonts w:ascii="Arial" w:hAnsi="Arial" w:cs="Arial"/>
          <w:sz w:val="24"/>
          <w:szCs w:val="24"/>
        </w:rPr>
        <w:t>sion were expressed usi</w:t>
      </w:r>
      <w:r w:rsidR="00B73520" w:rsidRPr="00A31C5D">
        <w:rPr>
          <w:rFonts w:ascii="Arial" w:hAnsi="Arial" w:cs="Arial"/>
          <w:sz w:val="24"/>
          <w:szCs w:val="24"/>
        </w:rPr>
        <w:t>ng the Akaike information crite</w:t>
      </w:r>
      <w:r w:rsidR="008366DD" w:rsidRPr="00A31C5D">
        <w:rPr>
          <w:rFonts w:ascii="Arial" w:hAnsi="Arial" w:cs="Arial"/>
          <w:sz w:val="24"/>
          <w:szCs w:val="24"/>
        </w:rPr>
        <w:t>rion</w:t>
      </w:r>
      <w:r w:rsidR="00516F7E" w:rsidRPr="00A31C5D">
        <w:rPr>
          <w:rFonts w:ascii="Arial" w:hAnsi="Arial" w:cs="Arial"/>
          <w:sz w:val="24"/>
          <w:szCs w:val="24"/>
        </w:rPr>
        <w:t xml:space="preserve"> (AIC)</w:t>
      </w:r>
      <w:r w:rsidR="008366DD" w:rsidRPr="00A31C5D">
        <w:rPr>
          <w:rFonts w:ascii="Arial" w:hAnsi="Arial" w:cs="Arial"/>
          <w:sz w:val="24"/>
          <w:szCs w:val="24"/>
        </w:rPr>
        <w:t>, which shows</w:t>
      </w:r>
      <w:r w:rsidR="00C73B60" w:rsidRPr="00A31C5D">
        <w:rPr>
          <w:rFonts w:ascii="Arial" w:hAnsi="Arial" w:cs="Arial"/>
          <w:sz w:val="24"/>
          <w:szCs w:val="24"/>
        </w:rPr>
        <w:t xml:space="preserve"> </w:t>
      </w:r>
      <w:r w:rsidR="008366DD" w:rsidRPr="00A31C5D">
        <w:rPr>
          <w:rFonts w:ascii="Arial" w:hAnsi="Arial" w:cs="Arial"/>
          <w:sz w:val="24"/>
          <w:szCs w:val="24"/>
        </w:rPr>
        <w:t xml:space="preserve">how </w:t>
      </w:r>
      <w:r w:rsidR="00C73B60" w:rsidRPr="00A31C5D">
        <w:rPr>
          <w:rFonts w:ascii="Arial" w:hAnsi="Arial" w:cs="Arial"/>
          <w:sz w:val="24"/>
          <w:szCs w:val="24"/>
        </w:rPr>
        <w:t xml:space="preserve">the </w:t>
      </w:r>
      <w:r w:rsidR="00C73B60" w:rsidRPr="00A31C5D">
        <w:rPr>
          <w:rFonts w:ascii="Arial" w:hAnsi="Arial" w:cs="Arial"/>
          <w:sz w:val="24"/>
          <w:szCs w:val="24"/>
        </w:rPr>
        <w:lastRenderedPageBreak/>
        <w:t xml:space="preserve">model, and so </w:t>
      </w:r>
      <w:r w:rsidR="000B706B" w:rsidRPr="00A31C5D">
        <w:rPr>
          <w:rFonts w:ascii="Arial" w:hAnsi="Arial" w:cs="Arial"/>
          <w:sz w:val="24"/>
          <w:szCs w:val="24"/>
        </w:rPr>
        <w:t>how</w:t>
      </w:r>
      <w:r w:rsidR="00C73B60" w:rsidRPr="00A31C5D">
        <w:rPr>
          <w:rFonts w:ascii="Arial" w:hAnsi="Arial" w:cs="Arial"/>
          <w:sz w:val="24"/>
          <w:szCs w:val="24"/>
        </w:rPr>
        <w:t xml:space="preserve"> </w:t>
      </w:r>
      <w:r w:rsidR="008366DD" w:rsidRPr="00A31C5D">
        <w:rPr>
          <w:rFonts w:ascii="Arial" w:hAnsi="Arial" w:cs="Arial"/>
          <w:sz w:val="24"/>
          <w:szCs w:val="24"/>
        </w:rPr>
        <w:t>the explanatory variable (</w:t>
      </w:r>
      <w:r w:rsidR="00C73B60" w:rsidRPr="00A31C5D">
        <w:rPr>
          <w:rFonts w:ascii="Arial" w:hAnsi="Arial" w:cs="Arial"/>
          <w:sz w:val="24"/>
          <w:szCs w:val="24"/>
        </w:rPr>
        <w:t xml:space="preserve">the </w:t>
      </w:r>
      <w:r w:rsidR="008366DD" w:rsidRPr="00A31C5D">
        <w:rPr>
          <w:rFonts w:ascii="Arial" w:hAnsi="Arial" w:cs="Arial"/>
          <w:sz w:val="24"/>
          <w:szCs w:val="24"/>
        </w:rPr>
        <w:t>staging</w:t>
      </w:r>
      <w:r w:rsidR="00B73520" w:rsidRPr="00A31C5D">
        <w:rPr>
          <w:rFonts w:ascii="Arial" w:hAnsi="Arial" w:cs="Arial"/>
          <w:sz w:val="24"/>
          <w:szCs w:val="24"/>
        </w:rPr>
        <w:t xml:space="preserve"> </w:t>
      </w:r>
      <w:r w:rsidR="00C73B60" w:rsidRPr="00A31C5D">
        <w:rPr>
          <w:rFonts w:ascii="Arial" w:hAnsi="Arial" w:cs="Arial"/>
          <w:sz w:val="24"/>
          <w:szCs w:val="24"/>
        </w:rPr>
        <w:t>system</w:t>
      </w:r>
      <w:r w:rsidR="008366DD" w:rsidRPr="00A31C5D">
        <w:rPr>
          <w:rFonts w:ascii="Arial" w:hAnsi="Arial" w:cs="Arial"/>
          <w:sz w:val="24"/>
          <w:szCs w:val="24"/>
        </w:rPr>
        <w:t>)</w:t>
      </w:r>
      <w:r w:rsidR="00C73B60" w:rsidRPr="00A31C5D">
        <w:rPr>
          <w:rFonts w:ascii="Arial" w:hAnsi="Arial" w:cs="Arial"/>
          <w:sz w:val="24"/>
          <w:szCs w:val="24"/>
        </w:rPr>
        <w:t xml:space="preserve"> is</w:t>
      </w:r>
      <w:r w:rsidR="008366DD" w:rsidRPr="00A31C5D">
        <w:rPr>
          <w:rFonts w:ascii="Arial" w:hAnsi="Arial" w:cs="Arial"/>
          <w:sz w:val="24"/>
          <w:szCs w:val="24"/>
        </w:rPr>
        <w:t xml:space="preserve"> informative</w:t>
      </w:r>
      <w:r w:rsidR="001C1191" w:rsidRPr="00A31C5D">
        <w:rPr>
          <w:rFonts w:ascii="Arial" w:hAnsi="Arial" w:cs="Arial"/>
          <w:sz w:val="24"/>
          <w:szCs w:val="24"/>
        </w:rPr>
        <w:t>, meaning that the staging system explains by itself most of the difference in prognosis between patients</w:t>
      </w:r>
      <w:r w:rsidR="00C73B60" w:rsidRPr="00A31C5D">
        <w:rPr>
          <w:rFonts w:ascii="Arial" w:hAnsi="Arial" w:cs="Arial"/>
          <w:sz w:val="24"/>
          <w:szCs w:val="24"/>
        </w:rPr>
        <w:t>.</w:t>
      </w:r>
      <w:r w:rsidR="008366DD" w:rsidRPr="00A31C5D">
        <w:rPr>
          <w:rFonts w:ascii="Arial" w:hAnsi="Arial" w:cs="Arial"/>
          <w:sz w:val="24"/>
          <w:szCs w:val="24"/>
        </w:rPr>
        <w:t xml:space="preserve"> </w:t>
      </w:r>
      <w:r w:rsidR="00C73B60" w:rsidRPr="00A31C5D">
        <w:rPr>
          <w:rFonts w:ascii="Arial" w:hAnsi="Arial" w:cs="Arial"/>
          <w:sz w:val="24"/>
          <w:szCs w:val="24"/>
        </w:rPr>
        <w:t xml:space="preserve">The lower </w:t>
      </w:r>
      <w:r w:rsidR="00527A17" w:rsidRPr="00A31C5D">
        <w:rPr>
          <w:rFonts w:ascii="Arial" w:hAnsi="Arial" w:cs="Arial"/>
          <w:sz w:val="24"/>
          <w:szCs w:val="24"/>
        </w:rPr>
        <w:t xml:space="preserve">the </w:t>
      </w:r>
      <w:r w:rsidR="00516F7E" w:rsidRPr="00A31C5D">
        <w:rPr>
          <w:rFonts w:ascii="Arial" w:hAnsi="Arial" w:cs="Arial"/>
          <w:sz w:val="24"/>
          <w:szCs w:val="24"/>
        </w:rPr>
        <w:t>AIC</w:t>
      </w:r>
      <w:r w:rsidR="00DF6D41" w:rsidRPr="00A31C5D">
        <w:rPr>
          <w:rFonts w:ascii="Arial" w:hAnsi="Arial" w:cs="Arial"/>
          <w:sz w:val="24"/>
          <w:szCs w:val="24"/>
        </w:rPr>
        <w:t>,</w:t>
      </w:r>
      <w:r w:rsidR="00C73B60" w:rsidRPr="00A31C5D">
        <w:rPr>
          <w:rFonts w:ascii="Arial" w:hAnsi="Arial" w:cs="Arial"/>
          <w:sz w:val="24"/>
          <w:szCs w:val="24"/>
        </w:rPr>
        <w:t xml:space="preserve"> the </w:t>
      </w:r>
      <w:r w:rsidR="00527A17" w:rsidRPr="00A31C5D">
        <w:rPr>
          <w:rFonts w:ascii="Arial" w:hAnsi="Arial" w:cs="Arial"/>
          <w:sz w:val="24"/>
          <w:szCs w:val="24"/>
        </w:rPr>
        <w:t>lower the model loses</w:t>
      </w:r>
      <w:r w:rsidR="00C73B60" w:rsidRPr="00A31C5D">
        <w:rPr>
          <w:rFonts w:ascii="Arial" w:hAnsi="Arial" w:cs="Arial"/>
          <w:sz w:val="24"/>
          <w:szCs w:val="24"/>
        </w:rPr>
        <w:t xml:space="preserve"> information and the </w:t>
      </w:r>
      <w:r w:rsidR="00DC116A" w:rsidRPr="00A31C5D">
        <w:rPr>
          <w:rFonts w:ascii="Arial" w:hAnsi="Arial" w:cs="Arial"/>
          <w:sz w:val="24"/>
          <w:szCs w:val="24"/>
        </w:rPr>
        <w:t xml:space="preserve">better the </w:t>
      </w:r>
      <w:r w:rsidR="00C73B60" w:rsidRPr="00A31C5D">
        <w:rPr>
          <w:rFonts w:ascii="Arial" w:hAnsi="Arial" w:cs="Arial"/>
          <w:sz w:val="24"/>
          <w:szCs w:val="24"/>
        </w:rPr>
        <w:t>goodness of fit.</w:t>
      </w:r>
      <w:r w:rsidR="00A36F05" w:rsidRPr="00A31C5D">
        <w:rPr>
          <w:rFonts w:ascii="Arial" w:hAnsi="Arial" w:cs="Arial"/>
          <w:sz w:val="24"/>
          <w:szCs w:val="24"/>
        </w:rPr>
        <w:t xml:space="preserve"> </w:t>
      </w:r>
      <w:r w:rsidR="00136108" w:rsidRPr="00A31C5D">
        <w:rPr>
          <w:rFonts w:ascii="Arial" w:hAnsi="Arial" w:cs="Arial"/>
          <w:sz w:val="24"/>
          <w:szCs w:val="24"/>
        </w:rPr>
        <w:t xml:space="preserve">We calculated the relative likelihood of </w:t>
      </w:r>
      <w:r w:rsidR="00516F7E" w:rsidRPr="00A31C5D">
        <w:rPr>
          <w:rFonts w:ascii="Arial" w:hAnsi="Arial" w:cs="Arial"/>
          <w:sz w:val="24"/>
          <w:szCs w:val="24"/>
        </w:rPr>
        <w:t>ALBI vs CP</w:t>
      </w:r>
      <w:r w:rsidR="00136108" w:rsidRPr="00A31C5D">
        <w:rPr>
          <w:rFonts w:ascii="Arial" w:hAnsi="Arial" w:cs="Arial"/>
          <w:sz w:val="24"/>
          <w:szCs w:val="24"/>
        </w:rPr>
        <w:t xml:space="preserve"> using the formula: exp((AIC</w:t>
      </w:r>
      <w:r w:rsidR="00136108" w:rsidRPr="00A31C5D">
        <w:rPr>
          <w:rFonts w:ascii="Arial" w:hAnsi="Arial" w:cs="Arial"/>
          <w:sz w:val="24"/>
          <w:szCs w:val="24"/>
          <w:vertAlign w:val="subscript"/>
        </w:rPr>
        <w:t>CP</w:t>
      </w:r>
      <w:r w:rsidR="00136108" w:rsidRPr="00A31C5D">
        <w:rPr>
          <w:rFonts w:ascii="Arial" w:hAnsi="Arial" w:cs="Arial"/>
          <w:sz w:val="24"/>
          <w:szCs w:val="24"/>
        </w:rPr>
        <w:t>/AIC</w:t>
      </w:r>
      <w:r w:rsidR="00136108" w:rsidRPr="00A31C5D">
        <w:rPr>
          <w:rFonts w:ascii="Arial" w:hAnsi="Arial" w:cs="Arial"/>
          <w:sz w:val="24"/>
          <w:szCs w:val="24"/>
          <w:vertAlign w:val="subscript"/>
        </w:rPr>
        <w:t>ALBI</w:t>
      </w:r>
      <w:r w:rsidR="00136108" w:rsidRPr="00A31C5D">
        <w:rPr>
          <w:rFonts w:ascii="Arial" w:hAnsi="Arial" w:cs="Arial"/>
          <w:sz w:val="24"/>
          <w:szCs w:val="24"/>
        </w:rPr>
        <w:t xml:space="preserve">)/2). </w:t>
      </w:r>
      <w:r w:rsidR="00751FCB" w:rsidRPr="00A31C5D">
        <w:rPr>
          <w:rFonts w:ascii="Arial" w:hAnsi="Arial" w:cs="Arial"/>
          <w:sz w:val="24"/>
          <w:szCs w:val="24"/>
        </w:rPr>
        <w:t>The relative likelihood represents the probability that ALBI minimizes information as effectively as CP, and could thus be interpreted as a p value</w:t>
      </w:r>
      <w:r w:rsidR="00516F7E" w:rsidRPr="00A31C5D">
        <w:rPr>
          <w:rFonts w:ascii="Arial" w:hAnsi="Arial" w:cs="Arial"/>
          <w:sz w:val="24"/>
          <w:szCs w:val="24"/>
        </w:rPr>
        <w:t xml:space="preserve"> for the comparison of both AIC</w:t>
      </w:r>
      <w:r w:rsidR="00751FCB" w:rsidRPr="00A31C5D">
        <w:rPr>
          <w:rFonts w:ascii="Arial" w:hAnsi="Arial" w:cs="Arial"/>
          <w:sz w:val="24"/>
          <w:szCs w:val="24"/>
        </w:rPr>
        <w:t xml:space="preserve">. </w:t>
      </w:r>
      <w:r w:rsidR="00045464" w:rsidRPr="00A31C5D">
        <w:rPr>
          <w:rFonts w:ascii="Arial" w:hAnsi="Arial" w:cs="Arial"/>
          <w:sz w:val="24"/>
          <w:szCs w:val="24"/>
        </w:rPr>
        <w:t>For these analyses, the classifications were compared as ALBI grade 1 vs 2 vs 3 and CP A5 vs A6 vs &gt;A6 for the whole population, and ALBI grade 1 vs 2 and CP A5 vs A6 for the CP A population.</w:t>
      </w:r>
      <w:r w:rsidR="003129E2" w:rsidRPr="00A31C5D">
        <w:rPr>
          <w:rFonts w:ascii="Arial" w:hAnsi="Arial" w:cs="Arial"/>
          <w:sz w:val="24"/>
          <w:szCs w:val="24"/>
        </w:rPr>
        <w:t xml:space="preserve"> We grouped together all patients with &gt;A6 score due to low numbers in each class, usual grouping of CP B patients in clinical studies, and similar survival of patients with CP B7 and &gt;B7.</w:t>
      </w:r>
    </w:p>
    <w:p w14:paraId="53CBFA71" w14:textId="77777777" w:rsidR="004356E3" w:rsidRPr="00A31C5D" w:rsidRDefault="004356E3" w:rsidP="00A31C5D">
      <w:pPr>
        <w:spacing w:line="480" w:lineRule="auto"/>
        <w:rPr>
          <w:rFonts w:ascii="Arial" w:hAnsi="Arial" w:cs="Arial"/>
          <w:sz w:val="24"/>
          <w:szCs w:val="24"/>
        </w:rPr>
      </w:pPr>
    </w:p>
    <w:p w14:paraId="36FB3A2B" w14:textId="77777777" w:rsidR="00B73520" w:rsidRPr="00A31C5D" w:rsidRDefault="00B73520" w:rsidP="00A31C5D">
      <w:pPr>
        <w:spacing w:line="480" w:lineRule="auto"/>
        <w:rPr>
          <w:rFonts w:ascii="Arial" w:hAnsi="Arial" w:cs="Arial"/>
          <w:sz w:val="24"/>
          <w:szCs w:val="24"/>
        </w:rPr>
      </w:pPr>
    </w:p>
    <w:p w14:paraId="2E526936" w14:textId="1B62C3B8" w:rsidR="00B91A9B" w:rsidRPr="00A31C5D" w:rsidRDefault="00B91A9B" w:rsidP="00A31C5D">
      <w:pPr>
        <w:spacing w:line="480" w:lineRule="auto"/>
        <w:rPr>
          <w:rFonts w:ascii="Arial" w:hAnsi="Arial" w:cs="Arial"/>
          <w:sz w:val="24"/>
          <w:szCs w:val="24"/>
        </w:rPr>
      </w:pPr>
      <w:r w:rsidRPr="00A31C5D">
        <w:rPr>
          <w:rFonts w:ascii="Arial" w:hAnsi="Arial" w:cs="Arial"/>
          <w:sz w:val="24"/>
          <w:szCs w:val="24"/>
        </w:rPr>
        <w:br w:type="page"/>
      </w:r>
    </w:p>
    <w:p w14:paraId="2A9AF5CA" w14:textId="77777777" w:rsidR="000D6457" w:rsidRPr="00A31C5D" w:rsidRDefault="000D6457" w:rsidP="00A31C5D">
      <w:pPr>
        <w:spacing w:line="480" w:lineRule="auto"/>
        <w:rPr>
          <w:rFonts w:ascii="Arial" w:hAnsi="Arial" w:cs="Arial"/>
          <w:sz w:val="24"/>
          <w:szCs w:val="24"/>
        </w:rPr>
      </w:pPr>
      <w:r w:rsidRPr="00A31C5D">
        <w:rPr>
          <w:rFonts w:ascii="Arial" w:hAnsi="Arial" w:cs="Arial"/>
          <w:sz w:val="24"/>
          <w:szCs w:val="24"/>
        </w:rPr>
        <w:lastRenderedPageBreak/>
        <w:t>Results</w:t>
      </w:r>
    </w:p>
    <w:p w14:paraId="15D41091" w14:textId="633D0A04" w:rsidR="009E26DD" w:rsidRPr="00A31C5D" w:rsidRDefault="009E26DD" w:rsidP="00A31C5D">
      <w:pPr>
        <w:spacing w:line="480" w:lineRule="auto"/>
        <w:rPr>
          <w:rFonts w:ascii="Arial" w:hAnsi="Arial" w:cs="Arial"/>
          <w:sz w:val="24"/>
          <w:szCs w:val="24"/>
        </w:rPr>
      </w:pPr>
      <w:r w:rsidRPr="00A31C5D">
        <w:rPr>
          <w:rFonts w:ascii="Arial" w:hAnsi="Arial" w:cs="Arial"/>
          <w:sz w:val="24"/>
          <w:szCs w:val="24"/>
        </w:rPr>
        <w:t>Patient characteristics and Child-Pugh scoring</w:t>
      </w:r>
    </w:p>
    <w:p w14:paraId="038C3769" w14:textId="146C9E1B" w:rsidR="007C1A17" w:rsidRPr="00A31C5D" w:rsidRDefault="007C1A17" w:rsidP="00A31C5D">
      <w:pPr>
        <w:spacing w:line="480" w:lineRule="auto"/>
        <w:rPr>
          <w:rFonts w:ascii="Arial" w:hAnsi="Arial" w:cs="Arial"/>
          <w:sz w:val="24"/>
          <w:szCs w:val="24"/>
        </w:rPr>
      </w:pPr>
      <w:r w:rsidRPr="00A31C5D">
        <w:rPr>
          <w:rFonts w:ascii="Arial" w:hAnsi="Arial" w:cs="Arial"/>
          <w:sz w:val="24"/>
          <w:szCs w:val="24"/>
        </w:rPr>
        <w:t xml:space="preserve">From February 2003 to August 2014, 1019 patients were treated </w:t>
      </w:r>
      <w:r w:rsidR="005E6A5A" w:rsidRPr="00A31C5D">
        <w:rPr>
          <w:rFonts w:ascii="Arial" w:hAnsi="Arial" w:cs="Arial"/>
          <w:sz w:val="24"/>
          <w:szCs w:val="24"/>
        </w:rPr>
        <w:t>with</w:t>
      </w:r>
      <w:r w:rsidRPr="00A31C5D">
        <w:rPr>
          <w:rFonts w:ascii="Arial" w:hAnsi="Arial" w:cs="Arial"/>
          <w:sz w:val="24"/>
          <w:szCs w:val="24"/>
        </w:rPr>
        <w:t xml:space="preserve"> sorafenib for HCC. The </w:t>
      </w:r>
      <w:r w:rsidR="00425C09" w:rsidRPr="00A31C5D">
        <w:rPr>
          <w:rFonts w:ascii="Arial" w:hAnsi="Arial" w:cs="Arial"/>
          <w:sz w:val="24"/>
          <w:szCs w:val="24"/>
        </w:rPr>
        <w:t>characteristics of the cohort are</w:t>
      </w:r>
      <w:r w:rsidRPr="00A31C5D">
        <w:rPr>
          <w:rFonts w:ascii="Arial" w:hAnsi="Arial" w:cs="Arial"/>
          <w:sz w:val="24"/>
          <w:szCs w:val="24"/>
        </w:rPr>
        <w:t xml:space="preserve"> </w:t>
      </w:r>
      <w:r w:rsidR="00425C09" w:rsidRPr="00A31C5D">
        <w:rPr>
          <w:rFonts w:ascii="Arial" w:hAnsi="Arial" w:cs="Arial"/>
          <w:sz w:val="24"/>
          <w:szCs w:val="24"/>
        </w:rPr>
        <w:t>presented</w:t>
      </w:r>
      <w:r w:rsidRPr="00A31C5D">
        <w:rPr>
          <w:rFonts w:ascii="Arial" w:hAnsi="Arial" w:cs="Arial"/>
          <w:sz w:val="24"/>
          <w:szCs w:val="24"/>
        </w:rPr>
        <w:t xml:space="preserve"> in Table 2.</w:t>
      </w:r>
      <w:r w:rsidR="00425C09" w:rsidRPr="00A31C5D">
        <w:rPr>
          <w:rFonts w:ascii="Arial" w:hAnsi="Arial" w:cs="Arial"/>
          <w:sz w:val="24"/>
          <w:szCs w:val="24"/>
        </w:rPr>
        <w:t xml:space="preserve"> Median follow-up was 14.3 months, </w:t>
      </w:r>
      <w:r w:rsidR="00C626B0" w:rsidRPr="00A31C5D">
        <w:rPr>
          <w:rFonts w:ascii="Arial" w:hAnsi="Arial" w:cs="Arial"/>
          <w:sz w:val="24"/>
          <w:szCs w:val="24"/>
        </w:rPr>
        <w:t xml:space="preserve">and </w:t>
      </w:r>
      <w:r w:rsidR="00425C09" w:rsidRPr="00A31C5D">
        <w:rPr>
          <w:rFonts w:ascii="Arial" w:hAnsi="Arial" w:cs="Arial"/>
          <w:sz w:val="24"/>
          <w:szCs w:val="24"/>
        </w:rPr>
        <w:t>843 patients (82.7%) died.</w:t>
      </w:r>
    </w:p>
    <w:p w14:paraId="062BEA57" w14:textId="677097C6" w:rsidR="00F41CEC" w:rsidRPr="00A31C5D" w:rsidRDefault="009E26DD" w:rsidP="00A31C5D">
      <w:pPr>
        <w:spacing w:line="480" w:lineRule="auto"/>
        <w:rPr>
          <w:rFonts w:ascii="Arial" w:hAnsi="Arial" w:cs="Arial"/>
          <w:sz w:val="24"/>
          <w:szCs w:val="24"/>
        </w:rPr>
      </w:pPr>
      <w:r w:rsidRPr="00A31C5D">
        <w:rPr>
          <w:rFonts w:ascii="Arial" w:hAnsi="Arial" w:cs="Arial"/>
          <w:sz w:val="24"/>
          <w:szCs w:val="24"/>
        </w:rPr>
        <w:t>All data for calculation of</w:t>
      </w:r>
      <w:r w:rsidR="002B7553" w:rsidRPr="00A31C5D">
        <w:rPr>
          <w:rFonts w:ascii="Arial" w:hAnsi="Arial" w:cs="Arial"/>
          <w:sz w:val="24"/>
          <w:szCs w:val="24"/>
        </w:rPr>
        <w:t xml:space="preserve"> CP scores were available in 905</w:t>
      </w:r>
      <w:r w:rsidRPr="00A31C5D">
        <w:rPr>
          <w:rFonts w:ascii="Arial" w:hAnsi="Arial" w:cs="Arial"/>
          <w:sz w:val="24"/>
          <w:szCs w:val="24"/>
        </w:rPr>
        <w:t xml:space="preserve"> patients</w:t>
      </w:r>
      <w:r w:rsidR="006B7AE6" w:rsidRPr="00A31C5D">
        <w:rPr>
          <w:rFonts w:ascii="Arial" w:hAnsi="Arial" w:cs="Arial"/>
          <w:sz w:val="24"/>
          <w:szCs w:val="24"/>
        </w:rPr>
        <w:t xml:space="preserve"> (8</w:t>
      </w:r>
      <w:r w:rsidR="002B7553" w:rsidRPr="00A31C5D">
        <w:rPr>
          <w:rFonts w:ascii="Arial" w:hAnsi="Arial" w:cs="Arial"/>
          <w:sz w:val="24"/>
          <w:szCs w:val="24"/>
        </w:rPr>
        <w:t>8.8</w:t>
      </w:r>
      <w:r w:rsidRPr="00A31C5D">
        <w:rPr>
          <w:rFonts w:ascii="Arial" w:hAnsi="Arial" w:cs="Arial"/>
          <w:sz w:val="24"/>
          <w:szCs w:val="24"/>
        </w:rPr>
        <w:t xml:space="preserve">%). As shown in </w:t>
      </w:r>
      <w:r w:rsidR="00CC3844" w:rsidRPr="00A31C5D">
        <w:rPr>
          <w:rFonts w:ascii="Arial" w:hAnsi="Arial" w:cs="Arial"/>
          <w:sz w:val="24"/>
          <w:szCs w:val="24"/>
        </w:rPr>
        <w:t xml:space="preserve">the </w:t>
      </w:r>
      <w:r w:rsidR="00A36F05" w:rsidRPr="00A31C5D">
        <w:rPr>
          <w:rFonts w:ascii="Arial" w:hAnsi="Arial" w:cs="Arial"/>
          <w:sz w:val="24"/>
          <w:szCs w:val="24"/>
        </w:rPr>
        <w:t>flow-chart</w:t>
      </w:r>
      <w:r w:rsidR="00CC3844" w:rsidRPr="00A31C5D">
        <w:rPr>
          <w:rFonts w:ascii="Arial" w:hAnsi="Arial" w:cs="Arial"/>
          <w:sz w:val="24"/>
          <w:szCs w:val="24"/>
        </w:rPr>
        <w:t xml:space="preserve"> diagram (Figure 1)</w:t>
      </w:r>
      <w:r w:rsidRPr="00A31C5D">
        <w:rPr>
          <w:rFonts w:ascii="Arial" w:hAnsi="Arial" w:cs="Arial"/>
          <w:sz w:val="24"/>
          <w:szCs w:val="24"/>
        </w:rPr>
        <w:t>, most missing values were</w:t>
      </w:r>
      <w:r w:rsidR="002B7553" w:rsidRPr="00A31C5D">
        <w:rPr>
          <w:rFonts w:ascii="Arial" w:hAnsi="Arial" w:cs="Arial"/>
          <w:sz w:val="24"/>
          <w:szCs w:val="24"/>
        </w:rPr>
        <w:t xml:space="preserve"> coagulation, followed by encephalopathy and albumin.</w:t>
      </w:r>
      <w:r w:rsidRPr="00A31C5D">
        <w:rPr>
          <w:rFonts w:ascii="Arial" w:hAnsi="Arial" w:cs="Arial"/>
          <w:sz w:val="24"/>
          <w:szCs w:val="24"/>
        </w:rPr>
        <w:t xml:space="preserve"> </w:t>
      </w:r>
      <w:r w:rsidR="002B7553" w:rsidRPr="00A31C5D">
        <w:rPr>
          <w:rFonts w:ascii="Arial" w:hAnsi="Arial" w:cs="Arial"/>
          <w:sz w:val="24"/>
          <w:szCs w:val="24"/>
        </w:rPr>
        <w:t xml:space="preserve">As presented in </w:t>
      </w:r>
      <w:r w:rsidR="00A36F05" w:rsidRPr="00A31C5D">
        <w:rPr>
          <w:rFonts w:ascii="Arial" w:hAnsi="Arial" w:cs="Arial"/>
          <w:sz w:val="24"/>
          <w:szCs w:val="24"/>
        </w:rPr>
        <w:t xml:space="preserve">the Supplementary </w:t>
      </w:r>
      <w:r w:rsidR="002B7553" w:rsidRPr="00A31C5D">
        <w:rPr>
          <w:rFonts w:ascii="Arial" w:hAnsi="Arial" w:cs="Arial"/>
          <w:sz w:val="24"/>
          <w:szCs w:val="24"/>
        </w:rPr>
        <w:t>Table, there were</w:t>
      </w:r>
      <w:r w:rsidRPr="00A31C5D">
        <w:rPr>
          <w:rFonts w:ascii="Arial" w:hAnsi="Arial" w:cs="Arial"/>
          <w:sz w:val="24"/>
          <w:szCs w:val="24"/>
        </w:rPr>
        <w:t xml:space="preserve"> discrepancies between CP scor</w:t>
      </w:r>
      <w:r w:rsidR="00544304" w:rsidRPr="00A31C5D">
        <w:rPr>
          <w:rFonts w:ascii="Arial" w:hAnsi="Arial" w:cs="Arial"/>
          <w:sz w:val="24"/>
          <w:szCs w:val="24"/>
        </w:rPr>
        <w:t>e</w:t>
      </w:r>
      <w:r w:rsidRPr="00A31C5D">
        <w:rPr>
          <w:rFonts w:ascii="Arial" w:hAnsi="Arial" w:cs="Arial"/>
          <w:sz w:val="24"/>
          <w:szCs w:val="24"/>
        </w:rPr>
        <w:t xml:space="preserve"> calculated from raw data using our CP classification and CP scor</w:t>
      </w:r>
      <w:r w:rsidR="00544304" w:rsidRPr="00A31C5D">
        <w:rPr>
          <w:rFonts w:ascii="Arial" w:hAnsi="Arial" w:cs="Arial"/>
          <w:sz w:val="24"/>
          <w:szCs w:val="24"/>
        </w:rPr>
        <w:t>e</w:t>
      </w:r>
      <w:r w:rsidRPr="00A31C5D">
        <w:rPr>
          <w:rFonts w:ascii="Arial" w:hAnsi="Arial" w:cs="Arial"/>
          <w:sz w:val="24"/>
          <w:szCs w:val="24"/>
        </w:rPr>
        <w:t xml:space="preserve"> provided by </w:t>
      </w:r>
      <w:r w:rsidR="00C5207A" w:rsidRPr="00A31C5D">
        <w:rPr>
          <w:rFonts w:ascii="Arial" w:hAnsi="Arial" w:cs="Arial"/>
          <w:sz w:val="24"/>
          <w:szCs w:val="24"/>
        </w:rPr>
        <w:t>centers</w:t>
      </w:r>
      <w:r w:rsidR="00544304" w:rsidRPr="00A31C5D">
        <w:rPr>
          <w:rFonts w:ascii="Arial" w:hAnsi="Arial" w:cs="Arial"/>
          <w:sz w:val="24"/>
          <w:szCs w:val="24"/>
        </w:rPr>
        <w:t>. Overall, results were discrepant in</w:t>
      </w:r>
      <w:r w:rsidRPr="00A31C5D">
        <w:rPr>
          <w:rFonts w:ascii="Arial" w:hAnsi="Arial" w:cs="Arial"/>
          <w:sz w:val="24"/>
          <w:szCs w:val="24"/>
        </w:rPr>
        <w:t xml:space="preserve"> </w:t>
      </w:r>
      <w:r w:rsidR="002B7553" w:rsidRPr="00A31C5D">
        <w:rPr>
          <w:rFonts w:ascii="Arial" w:hAnsi="Arial" w:cs="Arial"/>
          <w:sz w:val="24"/>
          <w:szCs w:val="24"/>
        </w:rPr>
        <w:t>109 out of 904 patients (12.1</w:t>
      </w:r>
      <w:r w:rsidR="00544304" w:rsidRPr="00A31C5D">
        <w:rPr>
          <w:rFonts w:ascii="Arial" w:hAnsi="Arial" w:cs="Arial"/>
          <w:sz w:val="24"/>
          <w:szCs w:val="24"/>
        </w:rPr>
        <w:t>%</w:t>
      </w:r>
      <w:r w:rsidR="002B7553" w:rsidRPr="00A31C5D">
        <w:rPr>
          <w:rFonts w:ascii="Arial" w:hAnsi="Arial" w:cs="Arial"/>
          <w:sz w:val="24"/>
          <w:szCs w:val="24"/>
        </w:rPr>
        <w:t>).</w:t>
      </w:r>
      <w:r w:rsidR="00C22061" w:rsidRPr="00A31C5D">
        <w:rPr>
          <w:rFonts w:ascii="Arial" w:hAnsi="Arial" w:cs="Arial"/>
          <w:sz w:val="24"/>
          <w:szCs w:val="24"/>
        </w:rPr>
        <w:t xml:space="preserve"> </w:t>
      </w:r>
      <w:r w:rsidR="000B706B" w:rsidRPr="00A31C5D">
        <w:rPr>
          <w:rFonts w:ascii="Arial" w:hAnsi="Arial" w:cs="Arial"/>
          <w:sz w:val="24"/>
          <w:szCs w:val="24"/>
        </w:rPr>
        <w:t>However, the overall concordance stayed excellent, with a kappa of 0.90 (95</w:t>
      </w:r>
      <w:r w:rsidR="00BC66F4" w:rsidRPr="00A31C5D">
        <w:rPr>
          <w:rFonts w:ascii="Arial" w:hAnsi="Arial" w:cs="Arial"/>
          <w:sz w:val="24"/>
          <w:szCs w:val="24"/>
        </w:rPr>
        <w:t>% Confidence Interval (CI): 0.87</w:t>
      </w:r>
      <w:r w:rsidR="000B706B" w:rsidRPr="00A31C5D">
        <w:rPr>
          <w:rFonts w:ascii="Arial" w:hAnsi="Arial" w:cs="Arial"/>
          <w:sz w:val="24"/>
          <w:szCs w:val="24"/>
        </w:rPr>
        <w:t xml:space="preserve">-0.92). </w:t>
      </w:r>
      <w:r w:rsidR="00544304" w:rsidRPr="00A31C5D">
        <w:rPr>
          <w:rFonts w:ascii="Arial" w:hAnsi="Arial" w:cs="Arial"/>
          <w:sz w:val="24"/>
          <w:szCs w:val="24"/>
        </w:rPr>
        <w:t>The c</w:t>
      </w:r>
      <w:r w:rsidR="00F41CEC" w:rsidRPr="00A31C5D">
        <w:rPr>
          <w:rFonts w:ascii="Arial" w:hAnsi="Arial" w:cs="Arial"/>
          <w:sz w:val="24"/>
          <w:szCs w:val="24"/>
        </w:rPr>
        <w:t xml:space="preserve">ause of misclassification could be </w:t>
      </w:r>
      <w:r w:rsidR="00544304" w:rsidRPr="00A31C5D">
        <w:rPr>
          <w:rFonts w:ascii="Arial" w:hAnsi="Arial" w:cs="Arial"/>
          <w:sz w:val="24"/>
          <w:szCs w:val="24"/>
        </w:rPr>
        <w:t>determined</w:t>
      </w:r>
      <w:r w:rsidR="00F41CEC" w:rsidRPr="00A31C5D">
        <w:rPr>
          <w:rFonts w:ascii="Arial" w:hAnsi="Arial" w:cs="Arial"/>
          <w:sz w:val="24"/>
          <w:szCs w:val="24"/>
        </w:rPr>
        <w:t xml:space="preserve"> when </w:t>
      </w:r>
      <w:r w:rsidR="00F3685D" w:rsidRPr="00A31C5D">
        <w:rPr>
          <w:rFonts w:ascii="Arial" w:hAnsi="Arial" w:cs="Arial"/>
          <w:sz w:val="24"/>
          <w:szCs w:val="24"/>
        </w:rPr>
        <w:t xml:space="preserve">the </w:t>
      </w:r>
      <w:r w:rsidR="00F41CEC" w:rsidRPr="00A31C5D">
        <w:rPr>
          <w:rFonts w:ascii="Arial" w:hAnsi="Arial" w:cs="Arial"/>
          <w:sz w:val="24"/>
          <w:szCs w:val="24"/>
        </w:rPr>
        <w:t xml:space="preserve">CP score provided was 5 but </w:t>
      </w:r>
      <w:r w:rsidR="00544304" w:rsidRPr="00A31C5D">
        <w:rPr>
          <w:rFonts w:ascii="Arial" w:hAnsi="Arial" w:cs="Arial"/>
          <w:sz w:val="24"/>
          <w:szCs w:val="24"/>
        </w:rPr>
        <w:t xml:space="preserve">our </w:t>
      </w:r>
      <w:r w:rsidR="00F41CEC" w:rsidRPr="00A31C5D">
        <w:rPr>
          <w:rFonts w:ascii="Arial" w:hAnsi="Arial" w:cs="Arial"/>
          <w:sz w:val="24"/>
          <w:szCs w:val="24"/>
        </w:rPr>
        <w:t xml:space="preserve">calculation </w:t>
      </w:r>
      <w:r w:rsidR="00455AC6" w:rsidRPr="00A31C5D">
        <w:rPr>
          <w:rFonts w:ascii="Arial" w:hAnsi="Arial" w:cs="Arial"/>
          <w:sz w:val="24"/>
          <w:szCs w:val="24"/>
        </w:rPr>
        <w:t>based o</w:t>
      </w:r>
      <w:r w:rsidR="00544304" w:rsidRPr="00A31C5D">
        <w:rPr>
          <w:rFonts w:ascii="Arial" w:hAnsi="Arial" w:cs="Arial"/>
          <w:sz w:val="24"/>
          <w:szCs w:val="24"/>
        </w:rPr>
        <w:t xml:space="preserve">n raw data </w:t>
      </w:r>
      <w:r w:rsidR="00F41CEC" w:rsidRPr="00A31C5D">
        <w:rPr>
          <w:rFonts w:ascii="Arial" w:hAnsi="Arial" w:cs="Arial"/>
          <w:sz w:val="24"/>
          <w:szCs w:val="24"/>
        </w:rPr>
        <w:t xml:space="preserve">was &gt;5: in the 42 patients with </w:t>
      </w:r>
      <w:r w:rsidR="00544304" w:rsidRPr="00A31C5D">
        <w:rPr>
          <w:rFonts w:ascii="Arial" w:hAnsi="Arial" w:cs="Arial"/>
          <w:sz w:val="24"/>
          <w:szCs w:val="24"/>
        </w:rPr>
        <w:t xml:space="preserve">a calculated </w:t>
      </w:r>
      <w:r w:rsidR="00F41CEC" w:rsidRPr="00A31C5D">
        <w:rPr>
          <w:rFonts w:ascii="Arial" w:hAnsi="Arial" w:cs="Arial"/>
          <w:sz w:val="24"/>
          <w:szCs w:val="24"/>
        </w:rPr>
        <w:t xml:space="preserve">CP </w:t>
      </w:r>
      <w:r w:rsidR="00544304" w:rsidRPr="00A31C5D">
        <w:rPr>
          <w:rFonts w:ascii="Arial" w:hAnsi="Arial" w:cs="Arial"/>
          <w:sz w:val="24"/>
          <w:szCs w:val="24"/>
        </w:rPr>
        <w:t>of</w:t>
      </w:r>
      <w:r w:rsidR="00F41CEC" w:rsidRPr="00A31C5D">
        <w:rPr>
          <w:rFonts w:ascii="Arial" w:hAnsi="Arial" w:cs="Arial"/>
          <w:sz w:val="24"/>
          <w:szCs w:val="24"/>
        </w:rPr>
        <w:t xml:space="preserve"> 6, the abnormal value was albumin in 39 and bilirubin in 3</w:t>
      </w:r>
      <w:r w:rsidR="005E6A5A" w:rsidRPr="00A31C5D">
        <w:rPr>
          <w:rFonts w:ascii="Arial" w:hAnsi="Arial" w:cs="Arial"/>
          <w:sz w:val="24"/>
          <w:szCs w:val="24"/>
        </w:rPr>
        <w:t xml:space="preserve"> cases</w:t>
      </w:r>
      <w:r w:rsidR="00F41CEC" w:rsidRPr="00A31C5D">
        <w:rPr>
          <w:rFonts w:ascii="Arial" w:hAnsi="Arial" w:cs="Arial"/>
          <w:sz w:val="24"/>
          <w:szCs w:val="24"/>
        </w:rPr>
        <w:t xml:space="preserve">; in the 4 patients with CP calculated at 7, abnormal values were albumin and bilirubin both misclassified in 3, and bilirubin alone misclassified in 1. Using </w:t>
      </w:r>
      <w:r w:rsidR="000B706B" w:rsidRPr="00A31C5D">
        <w:rPr>
          <w:rFonts w:ascii="Arial" w:hAnsi="Arial" w:cs="Arial"/>
          <w:sz w:val="24"/>
          <w:szCs w:val="24"/>
        </w:rPr>
        <w:t>the</w:t>
      </w:r>
      <w:r w:rsidR="00BD0B1E" w:rsidRPr="00A31C5D">
        <w:rPr>
          <w:rFonts w:ascii="Arial" w:hAnsi="Arial" w:cs="Arial"/>
          <w:sz w:val="24"/>
          <w:szCs w:val="24"/>
        </w:rPr>
        <w:t xml:space="preserve"> </w:t>
      </w:r>
      <w:r w:rsidR="000B706B" w:rsidRPr="00A31C5D">
        <w:rPr>
          <w:rFonts w:ascii="Arial" w:hAnsi="Arial" w:cs="Arial"/>
          <w:sz w:val="24"/>
          <w:szCs w:val="24"/>
        </w:rPr>
        <w:t>CP given by our</w:t>
      </w:r>
      <w:r w:rsidR="00F41CEC" w:rsidRPr="00A31C5D">
        <w:rPr>
          <w:rFonts w:ascii="Arial" w:hAnsi="Arial" w:cs="Arial"/>
          <w:sz w:val="24"/>
          <w:szCs w:val="24"/>
        </w:rPr>
        <w:t xml:space="preserve"> calculation</w:t>
      </w:r>
      <w:r w:rsidR="006720B3" w:rsidRPr="00A31C5D">
        <w:rPr>
          <w:rFonts w:ascii="Arial" w:hAnsi="Arial" w:cs="Arial"/>
          <w:sz w:val="24"/>
          <w:szCs w:val="24"/>
        </w:rPr>
        <w:t>s</w:t>
      </w:r>
      <w:r w:rsidR="00F41CEC" w:rsidRPr="00A31C5D">
        <w:rPr>
          <w:rFonts w:ascii="Arial" w:hAnsi="Arial" w:cs="Arial"/>
          <w:sz w:val="24"/>
          <w:szCs w:val="24"/>
        </w:rPr>
        <w:t xml:space="preserve">, </w:t>
      </w:r>
      <w:r w:rsidR="00717155" w:rsidRPr="00A31C5D">
        <w:rPr>
          <w:rFonts w:ascii="Arial" w:hAnsi="Arial" w:cs="Arial"/>
          <w:sz w:val="24"/>
          <w:szCs w:val="24"/>
        </w:rPr>
        <w:t>abnormal values leading</w:t>
      </w:r>
      <w:r w:rsidR="00F41CEC" w:rsidRPr="00A31C5D">
        <w:rPr>
          <w:rFonts w:ascii="Arial" w:hAnsi="Arial" w:cs="Arial"/>
          <w:sz w:val="24"/>
          <w:szCs w:val="24"/>
        </w:rPr>
        <w:t xml:space="preserve"> </w:t>
      </w:r>
      <w:r w:rsidR="00717155" w:rsidRPr="00A31C5D">
        <w:rPr>
          <w:rFonts w:ascii="Arial" w:hAnsi="Arial" w:cs="Arial"/>
          <w:sz w:val="24"/>
          <w:szCs w:val="24"/>
        </w:rPr>
        <w:t>to</w:t>
      </w:r>
      <w:r w:rsidR="00F41CEC" w:rsidRPr="00A31C5D">
        <w:rPr>
          <w:rFonts w:ascii="Arial" w:hAnsi="Arial" w:cs="Arial"/>
          <w:sz w:val="24"/>
          <w:szCs w:val="24"/>
        </w:rPr>
        <w:t xml:space="preserve"> CP A6 </w:t>
      </w:r>
      <w:r w:rsidR="00717155" w:rsidRPr="00A31C5D">
        <w:rPr>
          <w:rFonts w:ascii="Arial" w:hAnsi="Arial" w:cs="Arial"/>
          <w:sz w:val="24"/>
          <w:szCs w:val="24"/>
        </w:rPr>
        <w:t xml:space="preserve">score </w:t>
      </w:r>
      <w:r w:rsidR="00D245F6" w:rsidRPr="00A31C5D">
        <w:rPr>
          <w:rFonts w:ascii="Arial" w:hAnsi="Arial" w:cs="Arial"/>
          <w:sz w:val="24"/>
          <w:szCs w:val="24"/>
        </w:rPr>
        <w:t xml:space="preserve">(n=264) </w:t>
      </w:r>
      <w:r w:rsidR="00F41CEC" w:rsidRPr="00A31C5D">
        <w:rPr>
          <w:rFonts w:ascii="Arial" w:hAnsi="Arial" w:cs="Arial"/>
          <w:sz w:val="24"/>
          <w:szCs w:val="24"/>
        </w:rPr>
        <w:t>were</w:t>
      </w:r>
      <w:r w:rsidR="00D245F6" w:rsidRPr="00A31C5D">
        <w:rPr>
          <w:rFonts w:ascii="Arial" w:hAnsi="Arial" w:cs="Arial"/>
          <w:sz w:val="24"/>
          <w:szCs w:val="24"/>
        </w:rPr>
        <w:t xml:space="preserve"> albumin in 195 (73.9%), ascites in 36 (13.6%), bilirubin in 28 (10.6%), encephalopathy in 4 (1.5%) and coagulation in 1 (0.4%). </w:t>
      </w:r>
      <w:r w:rsidR="00717155" w:rsidRPr="00A31C5D">
        <w:rPr>
          <w:rFonts w:ascii="Arial" w:hAnsi="Arial" w:cs="Arial"/>
          <w:sz w:val="24"/>
          <w:szCs w:val="24"/>
        </w:rPr>
        <w:t>Values leading</w:t>
      </w:r>
      <w:r w:rsidR="00D245F6" w:rsidRPr="00A31C5D">
        <w:rPr>
          <w:rFonts w:ascii="Arial" w:hAnsi="Arial" w:cs="Arial"/>
          <w:sz w:val="24"/>
          <w:szCs w:val="24"/>
        </w:rPr>
        <w:t xml:space="preserve"> </w:t>
      </w:r>
      <w:r w:rsidR="00717155" w:rsidRPr="00A31C5D">
        <w:rPr>
          <w:rFonts w:ascii="Arial" w:hAnsi="Arial" w:cs="Arial"/>
          <w:sz w:val="24"/>
          <w:szCs w:val="24"/>
        </w:rPr>
        <w:t>to</w:t>
      </w:r>
      <w:r w:rsidR="00D245F6" w:rsidRPr="00A31C5D">
        <w:rPr>
          <w:rFonts w:ascii="Arial" w:hAnsi="Arial" w:cs="Arial"/>
          <w:sz w:val="24"/>
          <w:szCs w:val="24"/>
        </w:rPr>
        <w:t xml:space="preserve"> CP B7 (n=101) i</w:t>
      </w:r>
      <w:r w:rsidR="004149EE" w:rsidRPr="00A31C5D">
        <w:rPr>
          <w:rFonts w:ascii="Arial" w:hAnsi="Arial" w:cs="Arial"/>
          <w:sz w:val="24"/>
          <w:szCs w:val="24"/>
        </w:rPr>
        <w:t>nvolve</w:t>
      </w:r>
      <w:r w:rsidR="00D245F6" w:rsidRPr="00A31C5D">
        <w:rPr>
          <w:rFonts w:ascii="Arial" w:hAnsi="Arial" w:cs="Arial"/>
          <w:sz w:val="24"/>
          <w:szCs w:val="24"/>
        </w:rPr>
        <w:t xml:space="preserve">d albumin in 81 (80.2%), bilirubin in 49 (48.5%), ascites in 31 (30.7%), coagulation in 5 (5.0%) and encephalopathy in 3 (3.0%). </w:t>
      </w:r>
      <w:r w:rsidR="006720B3" w:rsidRPr="00A31C5D">
        <w:rPr>
          <w:rFonts w:ascii="Arial" w:hAnsi="Arial" w:cs="Arial"/>
          <w:sz w:val="24"/>
          <w:szCs w:val="24"/>
        </w:rPr>
        <w:t xml:space="preserve">Thus, </w:t>
      </w:r>
      <w:r w:rsidR="00782F8E" w:rsidRPr="00A31C5D">
        <w:rPr>
          <w:rFonts w:ascii="Arial" w:hAnsi="Arial" w:cs="Arial"/>
          <w:sz w:val="24"/>
          <w:szCs w:val="24"/>
        </w:rPr>
        <w:t xml:space="preserve">in this population, </w:t>
      </w:r>
      <w:r w:rsidR="006720B3" w:rsidRPr="00A31C5D">
        <w:rPr>
          <w:rFonts w:ascii="Arial" w:hAnsi="Arial" w:cs="Arial"/>
          <w:sz w:val="24"/>
          <w:szCs w:val="24"/>
        </w:rPr>
        <w:t xml:space="preserve">albumin was the main driver of CP A5 vs A6 </w:t>
      </w:r>
      <w:r w:rsidR="00BD4E2A" w:rsidRPr="00A31C5D">
        <w:rPr>
          <w:rFonts w:ascii="Arial" w:hAnsi="Arial" w:cs="Arial"/>
          <w:sz w:val="24"/>
          <w:szCs w:val="24"/>
        </w:rPr>
        <w:t xml:space="preserve">vs B7 </w:t>
      </w:r>
      <w:r w:rsidR="006720B3" w:rsidRPr="00A31C5D">
        <w:rPr>
          <w:rFonts w:ascii="Arial" w:hAnsi="Arial" w:cs="Arial"/>
          <w:sz w:val="24"/>
          <w:szCs w:val="24"/>
        </w:rPr>
        <w:t>classification</w:t>
      </w:r>
      <w:r w:rsidR="00BD4E2A" w:rsidRPr="00A31C5D">
        <w:rPr>
          <w:rFonts w:ascii="Arial" w:hAnsi="Arial" w:cs="Arial"/>
          <w:sz w:val="24"/>
          <w:szCs w:val="24"/>
        </w:rPr>
        <w:t>, followed by bilirubin and ascites</w:t>
      </w:r>
      <w:r w:rsidR="006720B3" w:rsidRPr="00A31C5D">
        <w:rPr>
          <w:rFonts w:ascii="Arial" w:hAnsi="Arial" w:cs="Arial"/>
          <w:sz w:val="24"/>
          <w:szCs w:val="24"/>
        </w:rPr>
        <w:t>.</w:t>
      </w:r>
    </w:p>
    <w:p w14:paraId="5DC9B81D" w14:textId="77777777" w:rsidR="006720B3" w:rsidRPr="00A31C5D" w:rsidRDefault="006720B3" w:rsidP="00A31C5D">
      <w:pPr>
        <w:spacing w:line="480" w:lineRule="auto"/>
        <w:rPr>
          <w:rFonts w:ascii="Arial" w:hAnsi="Arial" w:cs="Arial"/>
          <w:sz w:val="24"/>
          <w:szCs w:val="24"/>
        </w:rPr>
      </w:pPr>
    </w:p>
    <w:p w14:paraId="1EA90655" w14:textId="77777777" w:rsidR="006720B3" w:rsidRPr="00A31C5D" w:rsidRDefault="00381F47" w:rsidP="00A31C5D">
      <w:pPr>
        <w:spacing w:line="480" w:lineRule="auto"/>
        <w:rPr>
          <w:rFonts w:ascii="Arial" w:hAnsi="Arial" w:cs="Arial"/>
          <w:sz w:val="24"/>
          <w:szCs w:val="24"/>
        </w:rPr>
      </w:pPr>
      <w:r w:rsidRPr="00A31C5D">
        <w:rPr>
          <w:rFonts w:ascii="Arial" w:hAnsi="Arial" w:cs="Arial"/>
          <w:sz w:val="24"/>
          <w:szCs w:val="24"/>
        </w:rPr>
        <w:lastRenderedPageBreak/>
        <w:t>Child-Pugh</w:t>
      </w:r>
      <w:r w:rsidR="006720B3" w:rsidRPr="00A31C5D">
        <w:rPr>
          <w:rFonts w:ascii="Arial" w:hAnsi="Arial" w:cs="Arial"/>
          <w:sz w:val="24"/>
          <w:szCs w:val="24"/>
        </w:rPr>
        <w:t xml:space="preserve"> and ALBI grade comparison</w:t>
      </w:r>
    </w:p>
    <w:p w14:paraId="55649D88" w14:textId="1F80E623" w:rsidR="006720B3" w:rsidRPr="00A31C5D" w:rsidRDefault="006720B3" w:rsidP="00A31C5D">
      <w:pPr>
        <w:spacing w:line="480" w:lineRule="auto"/>
        <w:rPr>
          <w:rFonts w:ascii="Arial" w:hAnsi="Arial" w:cs="Arial"/>
          <w:sz w:val="24"/>
          <w:szCs w:val="24"/>
        </w:rPr>
      </w:pPr>
      <w:r w:rsidRPr="00A31C5D">
        <w:rPr>
          <w:rFonts w:ascii="Arial" w:hAnsi="Arial" w:cs="Arial"/>
          <w:sz w:val="24"/>
          <w:szCs w:val="24"/>
        </w:rPr>
        <w:t xml:space="preserve">ALBI </w:t>
      </w:r>
      <w:r w:rsidR="006334E9" w:rsidRPr="00A31C5D">
        <w:rPr>
          <w:rFonts w:ascii="Arial" w:hAnsi="Arial" w:cs="Arial"/>
          <w:sz w:val="24"/>
          <w:szCs w:val="24"/>
        </w:rPr>
        <w:t xml:space="preserve">grade </w:t>
      </w:r>
      <w:r w:rsidRPr="00A31C5D">
        <w:rPr>
          <w:rFonts w:ascii="Arial" w:hAnsi="Arial" w:cs="Arial"/>
          <w:sz w:val="24"/>
          <w:szCs w:val="24"/>
        </w:rPr>
        <w:t>could be calculated for 962 patients</w:t>
      </w:r>
      <w:r w:rsidR="002E5B48" w:rsidRPr="00A31C5D">
        <w:rPr>
          <w:rFonts w:ascii="Arial" w:hAnsi="Arial" w:cs="Arial"/>
          <w:sz w:val="24"/>
          <w:szCs w:val="24"/>
        </w:rPr>
        <w:t xml:space="preserve"> (94.4%)</w:t>
      </w:r>
      <w:r w:rsidR="00717155" w:rsidRPr="00A31C5D">
        <w:rPr>
          <w:rFonts w:ascii="Arial" w:hAnsi="Arial" w:cs="Arial"/>
          <w:sz w:val="24"/>
          <w:szCs w:val="24"/>
        </w:rPr>
        <w:t xml:space="preserve">, including all patients with </w:t>
      </w:r>
      <w:r w:rsidR="006334E9" w:rsidRPr="00A31C5D">
        <w:rPr>
          <w:rFonts w:ascii="Arial" w:hAnsi="Arial" w:cs="Arial"/>
          <w:sz w:val="24"/>
          <w:szCs w:val="24"/>
        </w:rPr>
        <w:t xml:space="preserve">allocated </w:t>
      </w:r>
      <w:r w:rsidR="00717155" w:rsidRPr="00A31C5D">
        <w:rPr>
          <w:rFonts w:ascii="Arial" w:hAnsi="Arial" w:cs="Arial"/>
          <w:sz w:val="24"/>
          <w:szCs w:val="24"/>
        </w:rPr>
        <w:t>CP scor</w:t>
      </w:r>
      <w:r w:rsidR="006334E9" w:rsidRPr="00A31C5D">
        <w:rPr>
          <w:rFonts w:ascii="Arial" w:hAnsi="Arial" w:cs="Arial"/>
          <w:sz w:val="24"/>
          <w:szCs w:val="24"/>
        </w:rPr>
        <w:t>e</w:t>
      </w:r>
      <w:r w:rsidRPr="00A31C5D">
        <w:rPr>
          <w:rFonts w:ascii="Arial" w:hAnsi="Arial" w:cs="Arial"/>
          <w:sz w:val="24"/>
          <w:szCs w:val="24"/>
        </w:rPr>
        <w:t xml:space="preserve">. Median ALBI score was </w:t>
      </w:r>
      <w:r w:rsidR="002E5B48" w:rsidRPr="00A31C5D">
        <w:rPr>
          <w:rFonts w:ascii="Arial" w:hAnsi="Arial" w:cs="Arial"/>
          <w:sz w:val="24"/>
          <w:szCs w:val="24"/>
        </w:rPr>
        <w:t>-2.36 (</w:t>
      </w:r>
      <w:r w:rsidR="008A4085" w:rsidRPr="00A31C5D">
        <w:rPr>
          <w:rFonts w:ascii="Arial" w:hAnsi="Arial" w:cs="Arial"/>
          <w:sz w:val="24"/>
          <w:szCs w:val="24"/>
        </w:rPr>
        <w:t>range: -4.39/-0.35)</w:t>
      </w:r>
      <w:r w:rsidR="002E5B48" w:rsidRPr="00A31C5D">
        <w:rPr>
          <w:rFonts w:ascii="Arial" w:hAnsi="Arial" w:cs="Arial"/>
          <w:sz w:val="24"/>
          <w:szCs w:val="24"/>
        </w:rPr>
        <w:t xml:space="preserve">). </w:t>
      </w:r>
      <w:r w:rsidR="006334E9" w:rsidRPr="00A31C5D">
        <w:rPr>
          <w:rFonts w:ascii="Arial" w:hAnsi="Arial" w:cs="Arial"/>
          <w:sz w:val="24"/>
          <w:szCs w:val="24"/>
        </w:rPr>
        <w:t xml:space="preserve">Overall, 327 </w:t>
      </w:r>
      <w:r w:rsidR="008A4085" w:rsidRPr="00A31C5D">
        <w:rPr>
          <w:rFonts w:ascii="Arial" w:hAnsi="Arial" w:cs="Arial"/>
          <w:sz w:val="24"/>
          <w:szCs w:val="24"/>
        </w:rPr>
        <w:t xml:space="preserve">patients </w:t>
      </w:r>
      <w:r w:rsidR="006334E9" w:rsidRPr="00A31C5D">
        <w:rPr>
          <w:rFonts w:ascii="Arial" w:hAnsi="Arial" w:cs="Arial"/>
          <w:sz w:val="24"/>
          <w:szCs w:val="24"/>
        </w:rPr>
        <w:t xml:space="preserve">(34.0%) were </w:t>
      </w:r>
      <w:r w:rsidR="002E5B48" w:rsidRPr="00A31C5D">
        <w:rPr>
          <w:rFonts w:ascii="Arial" w:hAnsi="Arial" w:cs="Arial"/>
          <w:sz w:val="24"/>
          <w:szCs w:val="24"/>
        </w:rPr>
        <w:t>ALBI grade</w:t>
      </w:r>
      <w:r w:rsidR="006334E9" w:rsidRPr="00A31C5D">
        <w:rPr>
          <w:rFonts w:ascii="Arial" w:hAnsi="Arial" w:cs="Arial"/>
          <w:sz w:val="24"/>
          <w:szCs w:val="24"/>
        </w:rPr>
        <w:t xml:space="preserve"> </w:t>
      </w:r>
      <w:r w:rsidR="002E5B48" w:rsidRPr="00A31C5D">
        <w:rPr>
          <w:rFonts w:ascii="Arial" w:hAnsi="Arial" w:cs="Arial"/>
          <w:sz w:val="24"/>
          <w:szCs w:val="24"/>
        </w:rPr>
        <w:t>1</w:t>
      </w:r>
      <w:r w:rsidR="006334E9" w:rsidRPr="00A31C5D">
        <w:rPr>
          <w:rFonts w:ascii="Arial" w:hAnsi="Arial" w:cs="Arial"/>
          <w:sz w:val="24"/>
          <w:szCs w:val="24"/>
        </w:rPr>
        <w:t>,</w:t>
      </w:r>
      <w:r w:rsidR="002E5B48" w:rsidRPr="00A31C5D">
        <w:rPr>
          <w:rFonts w:ascii="Arial" w:hAnsi="Arial" w:cs="Arial"/>
          <w:sz w:val="24"/>
          <w:szCs w:val="24"/>
        </w:rPr>
        <w:t xml:space="preserve"> </w:t>
      </w:r>
      <w:r w:rsidR="006334E9" w:rsidRPr="00A31C5D">
        <w:rPr>
          <w:rFonts w:ascii="Arial" w:hAnsi="Arial" w:cs="Arial"/>
          <w:sz w:val="24"/>
          <w:szCs w:val="24"/>
        </w:rPr>
        <w:t xml:space="preserve">574 (59.7%) were grade </w:t>
      </w:r>
      <w:r w:rsidR="002E5B48" w:rsidRPr="00A31C5D">
        <w:rPr>
          <w:rFonts w:ascii="Arial" w:hAnsi="Arial" w:cs="Arial"/>
          <w:sz w:val="24"/>
          <w:szCs w:val="24"/>
        </w:rPr>
        <w:t xml:space="preserve">2 and </w:t>
      </w:r>
      <w:r w:rsidR="006334E9" w:rsidRPr="00A31C5D">
        <w:rPr>
          <w:rFonts w:ascii="Arial" w:hAnsi="Arial" w:cs="Arial"/>
          <w:sz w:val="24"/>
          <w:szCs w:val="24"/>
        </w:rPr>
        <w:t xml:space="preserve">61 (6.3%) were grade </w:t>
      </w:r>
      <w:r w:rsidR="002E5B48" w:rsidRPr="00A31C5D">
        <w:rPr>
          <w:rFonts w:ascii="Arial" w:hAnsi="Arial" w:cs="Arial"/>
          <w:sz w:val="24"/>
          <w:szCs w:val="24"/>
        </w:rPr>
        <w:t>3</w:t>
      </w:r>
      <w:r w:rsidR="006334E9" w:rsidRPr="00A31C5D">
        <w:rPr>
          <w:rFonts w:ascii="Arial" w:hAnsi="Arial" w:cs="Arial"/>
          <w:sz w:val="24"/>
          <w:szCs w:val="24"/>
        </w:rPr>
        <w:t xml:space="preserve">. </w:t>
      </w:r>
      <w:r w:rsidR="002E5B48" w:rsidRPr="00A31C5D">
        <w:rPr>
          <w:rFonts w:ascii="Arial" w:hAnsi="Arial" w:cs="Arial"/>
          <w:sz w:val="24"/>
          <w:szCs w:val="24"/>
        </w:rPr>
        <w:t>Co</w:t>
      </w:r>
      <w:r w:rsidR="006334E9" w:rsidRPr="00A31C5D">
        <w:rPr>
          <w:rFonts w:ascii="Arial" w:hAnsi="Arial" w:cs="Arial"/>
          <w:sz w:val="24"/>
          <w:szCs w:val="24"/>
        </w:rPr>
        <w:t>mparison</w:t>
      </w:r>
      <w:r w:rsidR="002E5B48" w:rsidRPr="00A31C5D">
        <w:rPr>
          <w:rFonts w:ascii="Arial" w:hAnsi="Arial" w:cs="Arial"/>
          <w:sz w:val="24"/>
          <w:szCs w:val="24"/>
        </w:rPr>
        <w:t xml:space="preserve"> between ALBI grade and CP scores are reported </w:t>
      </w:r>
      <w:r w:rsidR="006334E9" w:rsidRPr="00A31C5D">
        <w:rPr>
          <w:rFonts w:ascii="Arial" w:hAnsi="Arial" w:cs="Arial"/>
          <w:sz w:val="24"/>
          <w:szCs w:val="24"/>
        </w:rPr>
        <w:t>i</w:t>
      </w:r>
      <w:r w:rsidR="009E08AE" w:rsidRPr="00A31C5D">
        <w:rPr>
          <w:rFonts w:ascii="Arial" w:hAnsi="Arial" w:cs="Arial"/>
          <w:sz w:val="24"/>
          <w:szCs w:val="24"/>
        </w:rPr>
        <w:t>n Table 3</w:t>
      </w:r>
      <w:r w:rsidR="00717155" w:rsidRPr="00A31C5D">
        <w:rPr>
          <w:rFonts w:ascii="Arial" w:hAnsi="Arial" w:cs="Arial"/>
          <w:sz w:val="24"/>
          <w:szCs w:val="24"/>
        </w:rPr>
        <w:t xml:space="preserve"> for the 905 patients with both scores</w:t>
      </w:r>
      <w:r w:rsidR="002E5B48" w:rsidRPr="00A31C5D">
        <w:rPr>
          <w:rFonts w:ascii="Arial" w:hAnsi="Arial" w:cs="Arial"/>
          <w:sz w:val="24"/>
          <w:szCs w:val="24"/>
        </w:rPr>
        <w:t xml:space="preserve">. While 91.7% of ALBI grade 1 patients were classified as CP A5, ALBI grade 2 comprised patients with CP A6 in 44.3%, CP A5 in 33.3%, and CP </w:t>
      </w:r>
      <w:r w:rsidR="008A4085" w:rsidRPr="00A31C5D">
        <w:rPr>
          <w:rFonts w:ascii="Arial" w:hAnsi="Arial" w:cs="Arial"/>
          <w:sz w:val="24"/>
          <w:szCs w:val="24"/>
        </w:rPr>
        <w:t>&gt;A6</w:t>
      </w:r>
      <w:r w:rsidR="002E5B48" w:rsidRPr="00A31C5D">
        <w:rPr>
          <w:rFonts w:ascii="Arial" w:hAnsi="Arial" w:cs="Arial"/>
          <w:sz w:val="24"/>
          <w:szCs w:val="24"/>
        </w:rPr>
        <w:t xml:space="preserve"> in </w:t>
      </w:r>
      <w:r w:rsidR="00772C4C" w:rsidRPr="00A31C5D">
        <w:rPr>
          <w:rFonts w:ascii="Arial" w:hAnsi="Arial" w:cs="Arial"/>
          <w:sz w:val="24"/>
          <w:szCs w:val="24"/>
        </w:rPr>
        <w:t xml:space="preserve">22.4%. ALBI grade 3 patients were all classified as CP </w:t>
      </w:r>
      <w:r w:rsidR="008A4085" w:rsidRPr="00A31C5D">
        <w:rPr>
          <w:rFonts w:ascii="Arial" w:hAnsi="Arial" w:cs="Arial"/>
          <w:sz w:val="24"/>
          <w:szCs w:val="24"/>
        </w:rPr>
        <w:t>&gt;A6</w:t>
      </w:r>
      <w:r w:rsidR="00772C4C" w:rsidRPr="00A31C5D">
        <w:rPr>
          <w:rFonts w:ascii="Arial" w:hAnsi="Arial" w:cs="Arial"/>
          <w:sz w:val="24"/>
          <w:szCs w:val="24"/>
        </w:rPr>
        <w:t>.</w:t>
      </w:r>
      <w:r w:rsidR="00FE77F7" w:rsidRPr="00A31C5D">
        <w:rPr>
          <w:rFonts w:ascii="Arial" w:hAnsi="Arial" w:cs="Arial"/>
          <w:sz w:val="24"/>
          <w:szCs w:val="24"/>
        </w:rPr>
        <w:t xml:space="preserve"> Two patients with ALBI grade 1 were classified as CP B7, and 6 patients with ALBI grade 2 were classified as CP B9; such discrepancies were always explained by 3 points given to ascites, except for one ALBI grade 2 case with 2 points given to ascites and 2 points to coagulation.</w:t>
      </w:r>
    </w:p>
    <w:p w14:paraId="0FFC3C28" w14:textId="5F7C728A" w:rsidR="00381F47" w:rsidRPr="00A31C5D" w:rsidRDefault="006A676C" w:rsidP="00A31C5D">
      <w:pPr>
        <w:spacing w:line="480" w:lineRule="auto"/>
        <w:rPr>
          <w:rFonts w:ascii="Arial" w:hAnsi="Arial" w:cs="Arial"/>
          <w:sz w:val="24"/>
          <w:szCs w:val="24"/>
        </w:rPr>
      </w:pPr>
      <w:r w:rsidRPr="00A31C5D">
        <w:rPr>
          <w:rFonts w:ascii="Arial" w:hAnsi="Arial" w:cs="Arial"/>
          <w:sz w:val="24"/>
          <w:szCs w:val="24"/>
        </w:rPr>
        <w:t>CP scores were significantly associated with OS (log-rank p&lt;0.001), with median OS of 10.2 months (95%CI: 8.6-11.7) in CP A5</w:t>
      </w:r>
      <w:r w:rsidR="008E3D75" w:rsidRPr="00A31C5D">
        <w:rPr>
          <w:rFonts w:ascii="Arial" w:hAnsi="Arial" w:cs="Arial"/>
          <w:sz w:val="24"/>
          <w:szCs w:val="24"/>
        </w:rPr>
        <w:t xml:space="preserve"> (n=458)</w:t>
      </w:r>
      <w:r w:rsidRPr="00A31C5D">
        <w:rPr>
          <w:rFonts w:ascii="Arial" w:hAnsi="Arial" w:cs="Arial"/>
          <w:sz w:val="24"/>
          <w:szCs w:val="24"/>
        </w:rPr>
        <w:t>, 7.0 (95%CI: 6.1-7.9) in CP A6 (</w:t>
      </w:r>
      <w:r w:rsidR="00922DC2" w:rsidRPr="00A31C5D">
        <w:rPr>
          <w:rFonts w:ascii="Arial" w:hAnsi="Arial" w:cs="Arial"/>
          <w:sz w:val="24"/>
          <w:szCs w:val="24"/>
        </w:rPr>
        <w:t xml:space="preserve">n=264, </w:t>
      </w:r>
      <w:r w:rsidRPr="00A31C5D">
        <w:rPr>
          <w:rFonts w:ascii="Arial" w:hAnsi="Arial" w:cs="Arial"/>
          <w:sz w:val="24"/>
          <w:szCs w:val="24"/>
        </w:rPr>
        <w:t xml:space="preserve">p&lt;0.001 vs CP A5), </w:t>
      </w:r>
      <w:r w:rsidR="008E3D75" w:rsidRPr="00A31C5D">
        <w:rPr>
          <w:rFonts w:ascii="Arial" w:hAnsi="Arial" w:cs="Arial"/>
          <w:sz w:val="24"/>
          <w:szCs w:val="24"/>
        </w:rPr>
        <w:t>3.6</w:t>
      </w:r>
      <w:r w:rsidRPr="00A31C5D">
        <w:rPr>
          <w:rFonts w:ascii="Arial" w:hAnsi="Arial" w:cs="Arial"/>
          <w:sz w:val="24"/>
          <w:szCs w:val="24"/>
        </w:rPr>
        <w:t xml:space="preserve"> (95%CI: </w:t>
      </w:r>
      <w:r w:rsidR="008E3D75" w:rsidRPr="00A31C5D">
        <w:rPr>
          <w:rFonts w:ascii="Arial" w:hAnsi="Arial" w:cs="Arial"/>
          <w:sz w:val="24"/>
          <w:szCs w:val="24"/>
        </w:rPr>
        <w:t>3.1-4.2</w:t>
      </w:r>
      <w:r w:rsidRPr="00A31C5D">
        <w:rPr>
          <w:rFonts w:ascii="Arial" w:hAnsi="Arial" w:cs="Arial"/>
          <w:sz w:val="24"/>
          <w:szCs w:val="24"/>
        </w:rPr>
        <w:t xml:space="preserve">) in CP </w:t>
      </w:r>
      <w:r w:rsidR="008A4085" w:rsidRPr="00A31C5D">
        <w:rPr>
          <w:rFonts w:ascii="Arial" w:hAnsi="Arial" w:cs="Arial"/>
          <w:sz w:val="24"/>
          <w:szCs w:val="24"/>
        </w:rPr>
        <w:t>&gt;A6</w:t>
      </w:r>
      <w:r w:rsidRPr="00A31C5D">
        <w:rPr>
          <w:rFonts w:ascii="Arial" w:hAnsi="Arial" w:cs="Arial"/>
          <w:sz w:val="24"/>
          <w:szCs w:val="24"/>
        </w:rPr>
        <w:t xml:space="preserve"> (</w:t>
      </w:r>
      <w:r w:rsidR="00922DC2" w:rsidRPr="00A31C5D">
        <w:rPr>
          <w:rFonts w:ascii="Arial" w:hAnsi="Arial" w:cs="Arial"/>
          <w:sz w:val="24"/>
          <w:szCs w:val="24"/>
        </w:rPr>
        <w:t xml:space="preserve">n=183, </w:t>
      </w:r>
      <w:r w:rsidR="008E3D75" w:rsidRPr="00A31C5D">
        <w:rPr>
          <w:rFonts w:ascii="Arial" w:hAnsi="Arial" w:cs="Arial"/>
          <w:sz w:val="24"/>
          <w:szCs w:val="24"/>
        </w:rPr>
        <w:t>p&lt;0.001</w:t>
      </w:r>
      <w:r w:rsidRPr="00A31C5D">
        <w:rPr>
          <w:rFonts w:ascii="Arial" w:hAnsi="Arial" w:cs="Arial"/>
          <w:sz w:val="24"/>
          <w:szCs w:val="24"/>
        </w:rPr>
        <w:t xml:space="preserve"> vs CP A6)</w:t>
      </w:r>
      <w:r w:rsidR="001848D0" w:rsidRPr="00A31C5D">
        <w:rPr>
          <w:rFonts w:ascii="Arial" w:hAnsi="Arial" w:cs="Arial"/>
          <w:sz w:val="24"/>
          <w:szCs w:val="24"/>
        </w:rPr>
        <w:t xml:space="preserve"> (Figure 2</w:t>
      </w:r>
      <w:r w:rsidR="00B21AF1" w:rsidRPr="00A31C5D">
        <w:rPr>
          <w:rFonts w:ascii="Arial" w:hAnsi="Arial" w:cs="Arial"/>
          <w:sz w:val="24"/>
          <w:szCs w:val="24"/>
        </w:rPr>
        <w:t>A)</w:t>
      </w:r>
      <w:r w:rsidR="008E3D75" w:rsidRPr="00A31C5D">
        <w:rPr>
          <w:rFonts w:ascii="Arial" w:hAnsi="Arial" w:cs="Arial"/>
          <w:sz w:val="24"/>
          <w:szCs w:val="24"/>
        </w:rPr>
        <w:t>. If separated</w:t>
      </w:r>
      <w:r w:rsidR="00717155" w:rsidRPr="00A31C5D">
        <w:rPr>
          <w:rFonts w:ascii="Arial" w:hAnsi="Arial" w:cs="Arial"/>
          <w:sz w:val="24"/>
          <w:szCs w:val="24"/>
        </w:rPr>
        <w:t xml:space="preserve"> from patients with CP </w:t>
      </w:r>
      <w:r w:rsidR="008A4085" w:rsidRPr="00A31C5D">
        <w:rPr>
          <w:rFonts w:ascii="Arial" w:hAnsi="Arial" w:cs="Arial"/>
          <w:sz w:val="24"/>
          <w:szCs w:val="24"/>
        </w:rPr>
        <w:t>&gt;B7</w:t>
      </w:r>
      <w:r w:rsidR="008E3D75" w:rsidRPr="00A31C5D">
        <w:rPr>
          <w:rFonts w:ascii="Arial" w:hAnsi="Arial" w:cs="Arial"/>
          <w:sz w:val="24"/>
          <w:szCs w:val="24"/>
        </w:rPr>
        <w:t xml:space="preserve">, CP B7 patients (n=101) still had a dismal prognosis, with median OS of 3.9 </w:t>
      </w:r>
      <w:r w:rsidR="00717155" w:rsidRPr="00A31C5D">
        <w:rPr>
          <w:rFonts w:ascii="Arial" w:hAnsi="Arial" w:cs="Arial"/>
          <w:sz w:val="24"/>
          <w:szCs w:val="24"/>
        </w:rPr>
        <w:t xml:space="preserve">months </w:t>
      </w:r>
      <w:r w:rsidR="008E3D75" w:rsidRPr="00A31C5D">
        <w:rPr>
          <w:rFonts w:ascii="Arial" w:hAnsi="Arial" w:cs="Arial"/>
          <w:sz w:val="24"/>
          <w:szCs w:val="24"/>
        </w:rPr>
        <w:t xml:space="preserve">(95%CI: 2.7-5.1, p=0.009 vs CP A6, p=0.57 vs CP B8). </w:t>
      </w:r>
      <w:r w:rsidRPr="00A31C5D">
        <w:rPr>
          <w:rFonts w:ascii="Arial" w:hAnsi="Arial" w:cs="Arial"/>
          <w:sz w:val="24"/>
          <w:szCs w:val="24"/>
        </w:rPr>
        <w:t xml:space="preserve">The Hazard Ratio (HR) for OS between A6 vs A5 was 1.60 (95%CI: </w:t>
      </w:r>
      <w:r w:rsidR="00F167BC" w:rsidRPr="00A31C5D">
        <w:rPr>
          <w:rFonts w:ascii="Arial" w:hAnsi="Arial" w:cs="Arial"/>
          <w:sz w:val="24"/>
          <w:szCs w:val="24"/>
        </w:rPr>
        <w:t xml:space="preserve">1.35-1.89, p&lt;0.001), and between </w:t>
      </w:r>
      <w:r w:rsidR="008A4085" w:rsidRPr="00A31C5D">
        <w:rPr>
          <w:rFonts w:ascii="Arial" w:hAnsi="Arial" w:cs="Arial"/>
          <w:sz w:val="24"/>
          <w:szCs w:val="24"/>
        </w:rPr>
        <w:t>&gt;A6</w:t>
      </w:r>
      <w:r w:rsidR="00F167BC" w:rsidRPr="00A31C5D">
        <w:rPr>
          <w:rFonts w:ascii="Arial" w:hAnsi="Arial" w:cs="Arial"/>
          <w:sz w:val="24"/>
          <w:szCs w:val="24"/>
        </w:rPr>
        <w:t xml:space="preserve"> vs A5 was 2.49 (95%CI: 2.07-3.00, p&lt;0.001). </w:t>
      </w:r>
    </w:p>
    <w:p w14:paraId="404A1184" w14:textId="6BE74906" w:rsidR="001848D0" w:rsidRPr="00A31C5D" w:rsidRDefault="008E3D75" w:rsidP="00A31C5D">
      <w:pPr>
        <w:spacing w:line="480" w:lineRule="auto"/>
        <w:rPr>
          <w:rFonts w:ascii="Arial" w:hAnsi="Arial" w:cs="Arial"/>
          <w:sz w:val="24"/>
          <w:szCs w:val="24"/>
        </w:rPr>
      </w:pPr>
      <w:r w:rsidRPr="00A31C5D">
        <w:rPr>
          <w:rFonts w:ascii="Arial" w:hAnsi="Arial" w:cs="Arial"/>
          <w:sz w:val="24"/>
          <w:szCs w:val="24"/>
        </w:rPr>
        <w:t>ALBI grades</w:t>
      </w:r>
      <w:r w:rsidR="00F167BC" w:rsidRPr="00A31C5D">
        <w:rPr>
          <w:rFonts w:ascii="Arial" w:hAnsi="Arial" w:cs="Arial"/>
          <w:sz w:val="24"/>
          <w:szCs w:val="24"/>
        </w:rPr>
        <w:t xml:space="preserve"> were </w:t>
      </w:r>
      <w:r w:rsidR="0012302B" w:rsidRPr="00A31C5D">
        <w:rPr>
          <w:rFonts w:ascii="Arial" w:hAnsi="Arial" w:cs="Arial"/>
          <w:sz w:val="24"/>
          <w:szCs w:val="24"/>
        </w:rPr>
        <w:t xml:space="preserve">also </w:t>
      </w:r>
      <w:r w:rsidR="00F167BC" w:rsidRPr="00A31C5D">
        <w:rPr>
          <w:rFonts w:ascii="Arial" w:hAnsi="Arial" w:cs="Arial"/>
          <w:sz w:val="24"/>
          <w:szCs w:val="24"/>
        </w:rPr>
        <w:t>significantly associated with OS (log-rank p&lt;0.001), with median OS of 10.9 months (95%CI: 9.2-12.6) for ALBI grade 1</w:t>
      </w:r>
      <w:r w:rsidR="00922DC2" w:rsidRPr="00A31C5D">
        <w:rPr>
          <w:rFonts w:ascii="Arial" w:hAnsi="Arial" w:cs="Arial"/>
          <w:sz w:val="24"/>
          <w:szCs w:val="24"/>
        </w:rPr>
        <w:t xml:space="preserve"> (n=302)</w:t>
      </w:r>
      <w:r w:rsidR="008C3F30" w:rsidRPr="00A31C5D">
        <w:rPr>
          <w:rFonts w:ascii="Arial" w:hAnsi="Arial" w:cs="Arial"/>
          <w:sz w:val="24"/>
          <w:szCs w:val="24"/>
        </w:rPr>
        <w:t>, 6.6 (95%CI: 5.9-7.3) for ALBI grade 2 (</w:t>
      </w:r>
      <w:r w:rsidR="00922DC2" w:rsidRPr="00A31C5D">
        <w:rPr>
          <w:rFonts w:ascii="Arial" w:hAnsi="Arial" w:cs="Arial"/>
          <w:sz w:val="24"/>
          <w:szCs w:val="24"/>
        </w:rPr>
        <w:t xml:space="preserve">n=544, </w:t>
      </w:r>
      <w:r w:rsidR="008C3F30" w:rsidRPr="00A31C5D">
        <w:rPr>
          <w:rFonts w:ascii="Arial" w:hAnsi="Arial" w:cs="Arial"/>
          <w:sz w:val="24"/>
          <w:szCs w:val="24"/>
        </w:rPr>
        <w:t>p&lt;0.001 vs ALBI grade 1), and 3.0 (95%CI: 2.1-3.8) for ALBI grade 3 (</w:t>
      </w:r>
      <w:r w:rsidR="00922DC2" w:rsidRPr="00A31C5D">
        <w:rPr>
          <w:rFonts w:ascii="Arial" w:hAnsi="Arial" w:cs="Arial"/>
          <w:sz w:val="24"/>
          <w:szCs w:val="24"/>
        </w:rPr>
        <w:t xml:space="preserve">n=59, </w:t>
      </w:r>
      <w:r w:rsidR="008C3F30" w:rsidRPr="00A31C5D">
        <w:rPr>
          <w:rFonts w:ascii="Arial" w:hAnsi="Arial" w:cs="Arial"/>
          <w:sz w:val="24"/>
          <w:szCs w:val="24"/>
        </w:rPr>
        <w:t>p&lt;0.001 vs ALBI grade 3</w:t>
      </w:r>
      <w:r w:rsidR="001848D0" w:rsidRPr="00A31C5D">
        <w:rPr>
          <w:rFonts w:ascii="Arial" w:hAnsi="Arial" w:cs="Arial"/>
          <w:sz w:val="24"/>
          <w:szCs w:val="24"/>
        </w:rPr>
        <w:t>) (Figure 2</w:t>
      </w:r>
      <w:r w:rsidR="00B21AF1" w:rsidRPr="00A31C5D">
        <w:rPr>
          <w:rFonts w:ascii="Arial" w:hAnsi="Arial" w:cs="Arial"/>
          <w:sz w:val="24"/>
          <w:szCs w:val="24"/>
        </w:rPr>
        <w:t>B)</w:t>
      </w:r>
      <w:r w:rsidR="008C3F30" w:rsidRPr="00A31C5D">
        <w:rPr>
          <w:rFonts w:ascii="Arial" w:hAnsi="Arial" w:cs="Arial"/>
          <w:sz w:val="24"/>
          <w:szCs w:val="24"/>
        </w:rPr>
        <w:t xml:space="preserve">. The HR between ALBI grade 2 vs grade 1 was 1.68 (95%CI: 1.43-1.97, p&lt;0.001), and between ALBI </w:t>
      </w:r>
      <w:r w:rsidR="008C3F30" w:rsidRPr="00A31C5D">
        <w:rPr>
          <w:rFonts w:ascii="Arial" w:hAnsi="Arial" w:cs="Arial"/>
          <w:sz w:val="24"/>
          <w:szCs w:val="24"/>
        </w:rPr>
        <w:lastRenderedPageBreak/>
        <w:t xml:space="preserve">grade 3 vs grade 1 was 3.36 (95%CI: 2.48-4.56, p&lt;0.001). </w:t>
      </w:r>
      <w:r w:rsidR="005A55DC" w:rsidRPr="00A31C5D">
        <w:rPr>
          <w:rFonts w:ascii="Arial" w:hAnsi="Arial" w:cs="Arial"/>
          <w:sz w:val="24"/>
          <w:szCs w:val="24"/>
        </w:rPr>
        <w:t>Focusing on the CP class A population</w:t>
      </w:r>
      <w:r w:rsidR="009267C1" w:rsidRPr="00A31C5D">
        <w:rPr>
          <w:rFonts w:ascii="Arial" w:hAnsi="Arial" w:cs="Arial"/>
          <w:sz w:val="24"/>
          <w:szCs w:val="24"/>
        </w:rPr>
        <w:t xml:space="preserve"> (n=722)</w:t>
      </w:r>
      <w:r w:rsidR="005A55DC" w:rsidRPr="00A31C5D">
        <w:rPr>
          <w:rFonts w:ascii="Arial" w:hAnsi="Arial" w:cs="Arial"/>
          <w:sz w:val="24"/>
          <w:szCs w:val="24"/>
        </w:rPr>
        <w:t xml:space="preserve">, median OS was </w:t>
      </w:r>
      <w:r w:rsidR="00DE3A93" w:rsidRPr="00A31C5D">
        <w:rPr>
          <w:rFonts w:ascii="Arial" w:hAnsi="Arial" w:cs="Arial"/>
          <w:sz w:val="24"/>
          <w:szCs w:val="24"/>
        </w:rPr>
        <w:t>8.8 months (95%CI: 8.0-9.6)</w:t>
      </w:r>
      <w:r w:rsidR="004B089D" w:rsidRPr="00A31C5D">
        <w:rPr>
          <w:rFonts w:ascii="Arial" w:hAnsi="Arial" w:cs="Arial"/>
          <w:sz w:val="24"/>
          <w:szCs w:val="24"/>
        </w:rPr>
        <w:t>, and</w:t>
      </w:r>
      <w:r w:rsidR="00BB3ADF" w:rsidRPr="00A31C5D">
        <w:rPr>
          <w:rFonts w:ascii="Arial" w:hAnsi="Arial" w:cs="Arial"/>
          <w:sz w:val="24"/>
          <w:szCs w:val="24"/>
        </w:rPr>
        <w:t xml:space="preserve"> when the group was split according to ALBI grade was </w:t>
      </w:r>
      <w:r w:rsidR="005A55DC" w:rsidRPr="00A31C5D">
        <w:rPr>
          <w:rFonts w:ascii="Arial" w:hAnsi="Arial" w:cs="Arial"/>
          <w:sz w:val="24"/>
          <w:szCs w:val="24"/>
        </w:rPr>
        <w:t xml:space="preserve">10.9 months (95%CI: 9.2-12.7) for ALBI grade 1 and 7.5 (95%CI: </w:t>
      </w:r>
      <w:r w:rsidR="009267C1" w:rsidRPr="00A31C5D">
        <w:rPr>
          <w:rFonts w:ascii="Arial" w:hAnsi="Arial" w:cs="Arial"/>
          <w:sz w:val="24"/>
          <w:szCs w:val="24"/>
        </w:rPr>
        <w:t>6.7-8.3, p&lt;0.001) for ALBI grade 2, with a HR=1.54 (95%CI: 1.30-1.82, p&lt;0.001).</w:t>
      </w:r>
      <w:r w:rsidR="0012302B" w:rsidRPr="00A31C5D">
        <w:rPr>
          <w:rFonts w:ascii="Arial" w:hAnsi="Arial" w:cs="Arial"/>
          <w:sz w:val="24"/>
          <w:szCs w:val="24"/>
        </w:rPr>
        <w:t xml:space="preserve"> </w:t>
      </w:r>
    </w:p>
    <w:p w14:paraId="4194F926" w14:textId="748EDA67" w:rsidR="005A55DC" w:rsidRPr="00A31C5D" w:rsidRDefault="005E02B2" w:rsidP="00A31C5D">
      <w:pPr>
        <w:spacing w:line="480" w:lineRule="auto"/>
        <w:rPr>
          <w:rFonts w:ascii="Arial" w:hAnsi="Arial" w:cs="Arial"/>
          <w:sz w:val="24"/>
          <w:szCs w:val="24"/>
        </w:rPr>
      </w:pPr>
      <w:r w:rsidRPr="00A31C5D">
        <w:rPr>
          <w:rFonts w:ascii="Arial" w:hAnsi="Arial" w:cs="Arial"/>
          <w:sz w:val="24"/>
          <w:szCs w:val="24"/>
        </w:rPr>
        <w:t>In patients classified as ALBI grade 1 (n=302), CP A5 patients (n=277) had significantly better survival than CP A6 patients (n=23), with respective median OS of 11.6 (95%CI: 9.9-13.3) and 7.9 months (95%CI: 4.4-11.3) (p=0.008</w:t>
      </w:r>
      <w:r w:rsidR="001848D0" w:rsidRPr="00A31C5D">
        <w:rPr>
          <w:rFonts w:ascii="Arial" w:hAnsi="Arial" w:cs="Arial"/>
          <w:sz w:val="24"/>
          <w:szCs w:val="24"/>
        </w:rPr>
        <w:t>, Figure 3</w:t>
      </w:r>
      <w:r w:rsidR="002614D9" w:rsidRPr="00A31C5D">
        <w:rPr>
          <w:rFonts w:ascii="Arial" w:hAnsi="Arial" w:cs="Arial"/>
          <w:sz w:val="24"/>
          <w:szCs w:val="24"/>
        </w:rPr>
        <w:t>A</w:t>
      </w:r>
      <w:r w:rsidRPr="00A31C5D">
        <w:rPr>
          <w:rFonts w:ascii="Arial" w:hAnsi="Arial" w:cs="Arial"/>
          <w:sz w:val="24"/>
          <w:szCs w:val="24"/>
        </w:rPr>
        <w:t xml:space="preserve">). In patients classified as ALBI grade 2 (n=544), median OS were 8.6 months (95%CI: 6.9-10.3) in CP A5 (n=181), 6.9 (95%CI: 6.0-7.9, p=0.016 vs CP A5) in CP A6 (n=241) and 3.9 (95%CI: 3.2-4.6, p=0.002 vs CP A6) in patients with CP </w:t>
      </w:r>
      <w:r w:rsidR="008A4085" w:rsidRPr="00A31C5D">
        <w:rPr>
          <w:rFonts w:ascii="Arial" w:hAnsi="Arial" w:cs="Arial"/>
          <w:sz w:val="24"/>
          <w:szCs w:val="24"/>
        </w:rPr>
        <w:t>&gt;A6</w:t>
      </w:r>
      <w:r w:rsidRPr="00A31C5D">
        <w:rPr>
          <w:rFonts w:ascii="Arial" w:hAnsi="Arial" w:cs="Arial"/>
          <w:sz w:val="24"/>
          <w:szCs w:val="24"/>
        </w:rPr>
        <w:t xml:space="preserve"> (n=122)</w:t>
      </w:r>
      <w:r w:rsidR="001848D0" w:rsidRPr="00A31C5D">
        <w:rPr>
          <w:rFonts w:ascii="Arial" w:hAnsi="Arial" w:cs="Arial"/>
          <w:sz w:val="24"/>
          <w:szCs w:val="24"/>
        </w:rPr>
        <w:t xml:space="preserve"> (Figure 3</w:t>
      </w:r>
      <w:r w:rsidR="002614D9" w:rsidRPr="00A31C5D">
        <w:rPr>
          <w:rFonts w:ascii="Arial" w:hAnsi="Arial" w:cs="Arial"/>
          <w:sz w:val="24"/>
          <w:szCs w:val="24"/>
        </w:rPr>
        <w:t>B)</w:t>
      </w:r>
      <w:r w:rsidRPr="00A31C5D">
        <w:rPr>
          <w:rFonts w:ascii="Arial" w:hAnsi="Arial" w:cs="Arial"/>
          <w:sz w:val="24"/>
          <w:szCs w:val="24"/>
        </w:rPr>
        <w:t>.</w:t>
      </w:r>
    </w:p>
    <w:p w14:paraId="0B26F2EF" w14:textId="5F51C553" w:rsidR="000D6457" w:rsidRPr="00A31C5D" w:rsidRDefault="005E02B2" w:rsidP="00A31C5D">
      <w:pPr>
        <w:spacing w:line="480" w:lineRule="auto"/>
        <w:rPr>
          <w:rFonts w:ascii="Arial" w:hAnsi="Arial" w:cs="Arial"/>
          <w:sz w:val="24"/>
          <w:szCs w:val="24"/>
        </w:rPr>
      </w:pPr>
      <w:r w:rsidRPr="00A31C5D">
        <w:rPr>
          <w:rFonts w:ascii="Arial" w:hAnsi="Arial" w:cs="Arial"/>
          <w:sz w:val="24"/>
          <w:szCs w:val="24"/>
        </w:rPr>
        <w:t>In patients classified as CP A5 (n=458), ALBI grade 1 patients (n=277) had significantly better survival than ALBI grade 2 patients (n=181), with respective median OS of 11.6 (95%CI: 9.9-13.3) and 8.6 months (95%CI: 6.9-10.3) (p=0.003</w:t>
      </w:r>
      <w:r w:rsidR="001848D0" w:rsidRPr="00A31C5D">
        <w:rPr>
          <w:rFonts w:ascii="Arial" w:hAnsi="Arial" w:cs="Arial"/>
          <w:sz w:val="24"/>
          <w:szCs w:val="24"/>
        </w:rPr>
        <w:t>, Figure 3</w:t>
      </w:r>
      <w:r w:rsidR="002614D9" w:rsidRPr="00A31C5D">
        <w:rPr>
          <w:rFonts w:ascii="Arial" w:hAnsi="Arial" w:cs="Arial"/>
          <w:sz w:val="24"/>
          <w:szCs w:val="24"/>
        </w:rPr>
        <w:t>C</w:t>
      </w:r>
      <w:r w:rsidRPr="00A31C5D">
        <w:rPr>
          <w:rFonts w:ascii="Arial" w:hAnsi="Arial" w:cs="Arial"/>
          <w:sz w:val="24"/>
          <w:szCs w:val="24"/>
        </w:rPr>
        <w:t>). However, in patients classified as CP A6 (n=264), there was no significant difference between patients classified as ALBI grade 1 (n=23) and grade 2 (n=241), with respective median OS of 7.9 (95%CI: 4.4-11.3) and 6.9 months (95%CI: 6.0-7.9) (p=0.96</w:t>
      </w:r>
      <w:r w:rsidR="001848D0" w:rsidRPr="00A31C5D">
        <w:rPr>
          <w:rFonts w:ascii="Arial" w:hAnsi="Arial" w:cs="Arial"/>
          <w:sz w:val="24"/>
          <w:szCs w:val="24"/>
        </w:rPr>
        <w:t>, Figure 3</w:t>
      </w:r>
      <w:r w:rsidR="002614D9" w:rsidRPr="00A31C5D">
        <w:rPr>
          <w:rFonts w:ascii="Arial" w:hAnsi="Arial" w:cs="Arial"/>
          <w:sz w:val="24"/>
          <w:szCs w:val="24"/>
        </w:rPr>
        <w:t>D</w:t>
      </w:r>
      <w:r w:rsidRPr="00A31C5D">
        <w:rPr>
          <w:rFonts w:ascii="Arial" w:hAnsi="Arial" w:cs="Arial"/>
          <w:sz w:val="24"/>
          <w:szCs w:val="24"/>
        </w:rPr>
        <w:t xml:space="preserve">). In patients with CP </w:t>
      </w:r>
      <w:r w:rsidR="008A4085" w:rsidRPr="00A31C5D">
        <w:rPr>
          <w:rFonts w:ascii="Arial" w:hAnsi="Arial" w:cs="Arial"/>
          <w:sz w:val="24"/>
          <w:szCs w:val="24"/>
        </w:rPr>
        <w:t>&gt;A6</w:t>
      </w:r>
      <w:r w:rsidRPr="00A31C5D">
        <w:rPr>
          <w:rFonts w:ascii="Arial" w:hAnsi="Arial" w:cs="Arial"/>
          <w:sz w:val="24"/>
          <w:szCs w:val="24"/>
        </w:rPr>
        <w:t xml:space="preserve"> (n=183), there was no difference between ALBI grade 2 (n=122) and grade 3 (n=59), with respective median OS of 3.9 (95%CI: 3.2-4.6) and 3.0 months (95%CI: 2.1-3.8) (p=0.17</w:t>
      </w:r>
      <w:r w:rsidR="001848D0" w:rsidRPr="00A31C5D">
        <w:rPr>
          <w:rFonts w:ascii="Arial" w:hAnsi="Arial" w:cs="Arial"/>
          <w:sz w:val="24"/>
          <w:szCs w:val="24"/>
        </w:rPr>
        <w:t>, Figure 3</w:t>
      </w:r>
      <w:r w:rsidR="002614D9" w:rsidRPr="00A31C5D">
        <w:rPr>
          <w:rFonts w:ascii="Arial" w:hAnsi="Arial" w:cs="Arial"/>
          <w:sz w:val="24"/>
          <w:szCs w:val="24"/>
        </w:rPr>
        <w:t>E</w:t>
      </w:r>
      <w:r w:rsidRPr="00A31C5D">
        <w:rPr>
          <w:rFonts w:ascii="Arial" w:hAnsi="Arial" w:cs="Arial"/>
          <w:sz w:val="24"/>
          <w:szCs w:val="24"/>
        </w:rPr>
        <w:t>).</w:t>
      </w:r>
    </w:p>
    <w:p w14:paraId="36B15DB4" w14:textId="3E7C3A57" w:rsidR="00B25E2D" w:rsidRPr="00A31C5D" w:rsidRDefault="00B25E2D" w:rsidP="00A31C5D">
      <w:pPr>
        <w:spacing w:line="480" w:lineRule="auto"/>
        <w:rPr>
          <w:rFonts w:ascii="Arial" w:hAnsi="Arial" w:cs="Arial"/>
          <w:sz w:val="24"/>
          <w:szCs w:val="24"/>
        </w:rPr>
      </w:pPr>
      <w:r w:rsidRPr="00A31C5D">
        <w:rPr>
          <w:rFonts w:ascii="Arial" w:hAnsi="Arial" w:cs="Arial"/>
          <w:sz w:val="24"/>
          <w:szCs w:val="24"/>
        </w:rPr>
        <w:t>Combining both classifications might offer a broader range of prognosis (Figure 3F and Table 4), classifying patients with progressively worse prognosis as CP</w:t>
      </w:r>
      <w:r w:rsidR="00CA4410" w:rsidRPr="00A31C5D">
        <w:rPr>
          <w:rFonts w:ascii="Arial" w:hAnsi="Arial" w:cs="Arial"/>
          <w:sz w:val="24"/>
          <w:szCs w:val="24"/>
        </w:rPr>
        <w:t xml:space="preserve"> A</w:t>
      </w:r>
      <w:r w:rsidRPr="00A31C5D">
        <w:rPr>
          <w:rFonts w:ascii="Arial" w:hAnsi="Arial" w:cs="Arial"/>
          <w:sz w:val="24"/>
          <w:szCs w:val="24"/>
        </w:rPr>
        <w:t>5-ALBI</w:t>
      </w:r>
      <w:r w:rsidR="00CA4410" w:rsidRPr="00A31C5D">
        <w:rPr>
          <w:rFonts w:ascii="Arial" w:hAnsi="Arial" w:cs="Arial"/>
          <w:sz w:val="24"/>
          <w:szCs w:val="24"/>
        </w:rPr>
        <w:t xml:space="preserve"> </w:t>
      </w:r>
      <w:r w:rsidRPr="00A31C5D">
        <w:rPr>
          <w:rFonts w:ascii="Arial" w:hAnsi="Arial" w:cs="Arial"/>
          <w:sz w:val="24"/>
          <w:szCs w:val="24"/>
        </w:rPr>
        <w:t>1, CP</w:t>
      </w:r>
      <w:r w:rsidR="00CA4410" w:rsidRPr="00A31C5D">
        <w:rPr>
          <w:rFonts w:ascii="Arial" w:hAnsi="Arial" w:cs="Arial"/>
          <w:sz w:val="24"/>
          <w:szCs w:val="24"/>
        </w:rPr>
        <w:t xml:space="preserve"> A</w:t>
      </w:r>
      <w:r w:rsidRPr="00A31C5D">
        <w:rPr>
          <w:rFonts w:ascii="Arial" w:hAnsi="Arial" w:cs="Arial"/>
          <w:sz w:val="24"/>
          <w:szCs w:val="24"/>
        </w:rPr>
        <w:t>5-ALBI</w:t>
      </w:r>
      <w:r w:rsidR="00CA4410" w:rsidRPr="00A31C5D">
        <w:rPr>
          <w:rFonts w:ascii="Arial" w:hAnsi="Arial" w:cs="Arial"/>
          <w:sz w:val="24"/>
          <w:szCs w:val="24"/>
        </w:rPr>
        <w:t xml:space="preserve"> </w:t>
      </w:r>
      <w:r w:rsidRPr="00A31C5D">
        <w:rPr>
          <w:rFonts w:ascii="Arial" w:hAnsi="Arial" w:cs="Arial"/>
          <w:sz w:val="24"/>
          <w:szCs w:val="24"/>
        </w:rPr>
        <w:t>2, CP</w:t>
      </w:r>
      <w:r w:rsidR="00CA4410" w:rsidRPr="00A31C5D">
        <w:rPr>
          <w:rFonts w:ascii="Arial" w:hAnsi="Arial" w:cs="Arial"/>
          <w:sz w:val="24"/>
          <w:szCs w:val="24"/>
        </w:rPr>
        <w:t xml:space="preserve"> A</w:t>
      </w:r>
      <w:r w:rsidRPr="00A31C5D">
        <w:rPr>
          <w:rFonts w:ascii="Arial" w:hAnsi="Arial" w:cs="Arial"/>
          <w:sz w:val="24"/>
          <w:szCs w:val="24"/>
        </w:rPr>
        <w:t>6-ALBI</w:t>
      </w:r>
      <w:r w:rsidR="00CA4410" w:rsidRPr="00A31C5D">
        <w:rPr>
          <w:rFonts w:ascii="Arial" w:hAnsi="Arial" w:cs="Arial"/>
          <w:sz w:val="24"/>
          <w:szCs w:val="24"/>
        </w:rPr>
        <w:t xml:space="preserve"> </w:t>
      </w:r>
      <w:r w:rsidRPr="00A31C5D">
        <w:rPr>
          <w:rFonts w:ascii="Arial" w:hAnsi="Arial" w:cs="Arial"/>
          <w:sz w:val="24"/>
          <w:szCs w:val="24"/>
        </w:rPr>
        <w:t>1, CP</w:t>
      </w:r>
      <w:r w:rsidR="00CA4410" w:rsidRPr="00A31C5D">
        <w:rPr>
          <w:rFonts w:ascii="Arial" w:hAnsi="Arial" w:cs="Arial"/>
          <w:sz w:val="24"/>
          <w:szCs w:val="24"/>
        </w:rPr>
        <w:t xml:space="preserve"> A</w:t>
      </w:r>
      <w:r w:rsidRPr="00A31C5D">
        <w:rPr>
          <w:rFonts w:ascii="Arial" w:hAnsi="Arial" w:cs="Arial"/>
          <w:sz w:val="24"/>
          <w:szCs w:val="24"/>
        </w:rPr>
        <w:t>6-ALBI</w:t>
      </w:r>
      <w:r w:rsidR="00CA4410" w:rsidRPr="00A31C5D">
        <w:rPr>
          <w:rFonts w:ascii="Arial" w:hAnsi="Arial" w:cs="Arial"/>
          <w:sz w:val="24"/>
          <w:szCs w:val="24"/>
        </w:rPr>
        <w:t xml:space="preserve"> </w:t>
      </w:r>
      <w:r w:rsidRPr="00A31C5D">
        <w:rPr>
          <w:rFonts w:ascii="Arial" w:hAnsi="Arial" w:cs="Arial"/>
          <w:sz w:val="24"/>
          <w:szCs w:val="24"/>
        </w:rPr>
        <w:t>2, CP</w:t>
      </w:r>
      <w:r w:rsidR="00CA4410" w:rsidRPr="00A31C5D">
        <w:rPr>
          <w:rFonts w:ascii="Arial" w:hAnsi="Arial" w:cs="Arial"/>
          <w:sz w:val="24"/>
          <w:szCs w:val="24"/>
        </w:rPr>
        <w:t xml:space="preserve"> </w:t>
      </w:r>
      <w:r w:rsidRPr="00A31C5D">
        <w:rPr>
          <w:rFonts w:ascii="Arial" w:hAnsi="Arial" w:cs="Arial"/>
          <w:sz w:val="24"/>
          <w:szCs w:val="24"/>
        </w:rPr>
        <w:t>&gt;A6-ALBI</w:t>
      </w:r>
      <w:r w:rsidR="00CA4410" w:rsidRPr="00A31C5D">
        <w:rPr>
          <w:rFonts w:ascii="Arial" w:hAnsi="Arial" w:cs="Arial"/>
          <w:sz w:val="24"/>
          <w:szCs w:val="24"/>
        </w:rPr>
        <w:t xml:space="preserve"> </w:t>
      </w:r>
      <w:r w:rsidRPr="00A31C5D">
        <w:rPr>
          <w:rFonts w:ascii="Arial" w:hAnsi="Arial" w:cs="Arial"/>
          <w:sz w:val="24"/>
          <w:szCs w:val="24"/>
        </w:rPr>
        <w:t>2 and CP</w:t>
      </w:r>
      <w:r w:rsidR="00CA4410" w:rsidRPr="00A31C5D">
        <w:rPr>
          <w:rFonts w:ascii="Arial" w:hAnsi="Arial" w:cs="Arial"/>
          <w:sz w:val="24"/>
          <w:szCs w:val="24"/>
        </w:rPr>
        <w:t xml:space="preserve"> </w:t>
      </w:r>
      <w:r w:rsidRPr="00A31C5D">
        <w:rPr>
          <w:rFonts w:ascii="Arial" w:hAnsi="Arial" w:cs="Arial"/>
          <w:sz w:val="24"/>
          <w:szCs w:val="24"/>
        </w:rPr>
        <w:t>&gt;A6-ALBI</w:t>
      </w:r>
      <w:r w:rsidR="00CA4410" w:rsidRPr="00A31C5D">
        <w:rPr>
          <w:rFonts w:ascii="Arial" w:hAnsi="Arial" w:cs="Arial"/>
          <w:sz w:val="24"/>
          <w:szCs w:val="24"/>
        </w:rPr>
        <w:t xml:space="preserve"> </w:t>
      </w:r>
      <w:r w:rsidRPr="00A31C5D">
        <w:rPr>
          <w:rFonts w:ascii="Arial" w:hAnsi="Arial" w:cs="Arial"/>
          <w:sz w:val="24"/>
          <w:szCs w:val="24"/>
        </w:rPr>
        <w:t xml:space="preserve">3. </w:t>
      </w:r>
      <w:r w:rsidRPr="00A31C5D">
        <w:rPr>
          <w:rFonts w:ascii="Arial" w:hAnsi="Arial" w:cs="Arial"/>
          <w:sz w:val="24"/>
          <w:szCs w:val="24"/>
        </w:rPr>
        <w:lastRenderedPageBreak/>
        <w:t>However, numbers in certain subgroups (especially CP</w:t>
      </w:r>
      <w:r w:rsidR="00CA4410" w:rsidRPr="00A31C5D">
        <w:rPr>
          <w:rFonts w:ascii="Arial" w:hAnsi="Arial" w:cs="Arial"/>
          <w:sz w:val="24"/>
          <w:szCs w:val="24"/>
        </w:rPr>
        <w:t xml:space="preserve"> </w:t>
      </w:r>
      <w:r w:rsidR="00DD1357" w:rsidRPr="00A31C5D">
        <w:rPr>
          <w:rFonts w:ascii="Arial" w:hAnsi="Arial" w:cs="Arial"/>
          <w:sz w:val="24"/>
          <w:szCs w:val="24"/>
        </w:rPr>
        <w:t>A</w:t>
      </w:r>
      <w:r w:rsidRPr="00A31C5D">
        <w:rPr>
          <w:rFonts w:ascii="Arial" w:hAnsi="Arial" w:cs="Arial"/>
          <w:sz w:val="24"/>
          <w:szCs w:val="24"/>
        </w:rPr>
        <w:t>6-ALBI</w:t>
      </w:r>
      <w:r w:rsidR="00DD1357" w:rsidRPr="00A31C5D">
        <w:rPr>
          <w:rFonts w:ascii="Arial" w:hAnsi="Arial" w:cs="Arial"/>
          <w:sz w:val="24"/>
          <w:szCs w:val="24"/>
        </w:rPr>
        <w:t xml:space="preserve"> </w:t>
      </w:r>
      <w:r w:rsidRPr="00A31C5D">
        <w:rPr>
          <w:rFonts w:ascii="Arial" w:hAnsi="Arial" w:cs="Arial"/>
          <w:sz w:val="24"/>
          <w:szCs w:val="24"/>
        </w:rPr>
        <w:t>1) are too low to draw definitive conclusions.</w:t>
      </w:r>
    </w:p>
    <w:p w14:paraId="31F7EC12" w14:textId="45239AD6" w:rsidR="00DE61E7" w:rsidRPr="00A31C5D" w:rsidRDefault="00BC66F4" w:rsidP="00A31C5D">
      <w:pPr>
        <w:spacing w:line="480" w:lineRule="auto"/>
        <w:rPr>
          <w:rFonts w:ascii="Arial" w:hAnsi="Arial" w:cs="Arial"/>
          <w:sz w:val="24"/>
          <w:szCs w:val="24"/>
        </w:rPr>
      </w:pPr>
      <w:r w:rsidRPr="00A31C5D">
        <w:rPr>
          <w:rFonts w:ascii="Arial" w:hAnsi="Arial" w:cs="Arial"/>
          <w:sz w:val="24"/>
          <w:szCs w:val="24"/>
        </w:rPr>
        <w:t>Results regarding the discriminative abilities of both scoring</w:t>
      </w:r>
      <w:r w:rsidR="009E08AE" w:rsidRPr="00A31C5D">
        <w:rPr>
          <w:rFonts w:ascii="Arial" w:hAnsi="Arial" w:cs="Arial"/>
          <w:sz w:val="24"/>
          <w:szCs w:val="24"/>
        </w:rPr>
        <w:t xml:space="preserve"> systems are reported on Table </w:t>
      </w:r>
      <w:r w:rsidR="00B25E2D" w:rsidRPr="00A31C5D">
        <w:rPr>
          <w:rFonts w:ascii="Arial" w:hAnsi="Arial" w:cs="Arial"/>
          <w:sz w:val="24"/>
          <w:szCs w:val="24"/>
        </w:rPr>
        <w:t>5</w:t>
      </w:r>
      <w:r w:rsidRPr="00A31C5D">
        <w:rPr>
          <w:rFonts w:ascii="Arial" w:hAnsi="Arial" w:cs="Arial"/>
          <w:sz w:val="24"/>
          <w:szCs w:val="24"/>
        </w:rPr>
        <w:t xml:space="preserve">. </w:t>
      </w:r>
      <w:r w:rsidR="00751FCB" w:rsidRPr="00A31C5D">
        <w:rPr>
          <w:rFonts w:ascii="Arial" w:hAnsi="Arial" w:cs="Arial"/>
          <w:sz w:val="24"/>
          <w:szCs w:val="24"/>
        </w:rPr>
        <w:t xml:space="preserve">CP was associated with less information loss than ALBI in the overall population as evidenced by a lower </w:t>
      </w:r>
      <w:r w:rsidR="00516F7E" w:rsidRPr="00A31C5D">
        <w:rPr>
          <w:rFonts w:ascii="Arial" w:hAnsi="Arial" w:cs="Arial"/>
          <w:sz w:val="24"/>
          <w:szCs w:val="24"/>
        </w:rPr>
        <w:t>AIC</w:t>
      </w:r>
      <w:r w:rsidR="00751FCB" w:rsidRPr="00A31C5D">
        <w:rPr>
          <w:rFonts w:ascii="Arial" w:hAnsi="Arial" w:cs="Arial"/>
          <w:sz w:val="24"/>
          <w:szCs w:val="24"/>
        </w:rPr>
        <w:t xml:space="preserve"> with a relative likelihood &lt;0.001. However</w:t>
      </w:r>
      <w:r w:rsidRPr="00A31C5D">
        <w:rPr>
          <w:rFonts w:ascii="Arial" w:hAnsi="Arial" w:cs="Arial"/>
          <w:sz w:val="24"/>
          <w:szCs w:val="24"/>
        </w:rPr>
        <w:t xml:space="preserve">, </w:t>
      </w:r>
      <w:r w:rsidR="00751FCB" w:rsidRPr="00A31C5D">
        <w:rPr>
          <w:rFonts w:ascii="Arial" w:hAnsi="Arial" w:cs="Arial"/>
          <w:sz w:val="24"/>
          <w:szCs w:val="24"/>
        </w:rPr>
        <w:t xml:space="preserve">this was not the case when only the CP class A population was considered. Moreover, </w:t>
      </w:r>
      <w:r w:rsidR="002614D9" w:rsidRPr="00A31C5D">
        <w:rPr>
          <w:rFonts w:ascii="Arial" w:hAnsi="Arial" w:cs="Arial"/>
          <w:sz w:val="24"/>
          <w:szCs w:val="24"/>
        </w:rPr>
        <w:t>discriminative abilities</w:t>
      </w:r>
      <w:r w:rsidRPr="00A31C5D">
        <w:rPr>
          <w:rFonts w:ascii="Arial" w:hAnsi="Arial" w:cs="Arial"/>
          <w:sz w:val="24"/>
          <w:szCs w:val="24"/>
        </w:rPr>
        <w:t xml:space="preserve"> of CP and ALBI were very similar</w:t>
      </w:r>
      <w:r w:rsidR="00BF2F7D" w:rsidRPr="00A31C5D">
        <w:rPr>
          <w:rFonts w:ascii="Arial" w:hAnsi="Arial" w:cs="Arial"/>
          <w:sz w:val="24"/>
          <w:szCs w:val="24"/>
        </w:rPr>
        <w:t xml:space="preserve"> as evidenced by </w:t>
      </w:r>
      <w:r w:rsidR="005F4F87" w:rsidRPr="00A31C5D">
        <w:rPr>
          <w:rFonts w:ascii="Arial" w:hAnsi="Arial" w:cs="Arial"/>
          <w:sz w:val="24"/>
          <w:szCs w:val="24"/>
        </w:rPr>
        <w:t>similar</w:t>
      </w:r>
      <w:r w:rsidR="00BF2F7D" w:rsidRPr="00A31C5D">
        <w:rPr>
          <w:rFonts w:ascii="Arial" w:hAnsi="Arial" w:cs="Arial"/>
          <w:sz w:val="24"/>
          <w:szCs w:val="24"/>
        </w:rPr>
        <w:t xml:space="preserve"> </w:t>
      </w:r>
      <w:r w:rsidR="008A4085" w:rsidRPr="00A31C5D">
        <w:rPr>
          <w:rFonts w:ascii="Arial" w:hAnsi="Arial" w:cs="Arial"/>
          <w:sz w:val="24"/>
          <w:szCs w:val="24"/>
        </w:rPr>
        <w:t>Harrell’s C</w:t>
      </w:r>
      <w:r w:rsidR="00BF2F7D" w:rsidRPr="00A31C5D">
        <w:rPr>
          <w:rFonts w:ascii="Arial" w:hAnsi="Arial" w:cs="Arial"/>
          <w:sz w:val="24"/>
          <w:szCs w:val="24"/>
        </w:rPr>
        <w:t xml:space="preserve"> statistics, either in the overall population or the CP class A population</w:t>
      </w:r>
      <w:r w:rsidR="006E4D03" w:rsidRPr="00A31C5D">
        <w:rPr>
          <w:rFonts w:ascii="Arial" w:hAnsi="Arial" w:cs="Arial"/>
          <w:sz w:val="24"/>
          <w:szCs w:val="24"/>
        </w:rPr>
        <w:t>, showing that both staging systems are equally able to accurately differentiate the prognosis of patients</w:t>
      </w:r>
      <w:r w:rsidR="00BF2F7D" w:rsidRPr="00A31C5D">
        <w:rPr>
          <w:rFonts w:ascii="Arial" w:hAnsi="Arial" w:cs="Arial"/>
          <w:sz w:val="24"/>
          <w:szCs w:val="24"/>
        </w:rPr>
        <w:t>.</w:t>
      </w:r>
      <w:r w:rsidR="0083232E" w:rsidRPr="00A31C5D">
        <w:rPr>
          <w:rFonts w:ascii="Arial" w:hAnsi="Arial" w:cs="Arial"/>
          <w:sz w:val="24"/>
          <w:szCs w:val="24"/>
        </w:rPr>
        <w:t xml:space="preserve"> </w:t>
      </w:r>
      <w:r w:rsidR="00574C04" w:rsidRPr="00A31C5D">
        <w:rPr>
          <w:rFonts w:ascii="Arial" w:hAnsi="Arial" w:cs="Arial"/>
          <w:sz w:val="24"/>
          <w:szCs w:val="24"/>
        </w:rPr>
        <w:t>Likewise, h</w:t>
      </w:r>
      <w:r w:rsidR="00BF2F7D" w:rsidRPr="00A31C5D">
        <w:rPr>
          <w:rFonts w:ascii="Arial" w:hAnsi="Arial" w:cs="Arial"/>
          <w:sz w:val="24"/>
          <w:szCs w:val="24"/>
        </w:rPr>
        <w:t>omogeneity of classes appeared different in the overall population, as illustrated by high</w:t>
      </w:r>
      <w:r w:rsidRPr="00A31C5D">
        <w:rPr>
          <w:rFonts w:ascii="Arial" w:hAnsi="Arial" w:cs="Arial"/>
          <w:sz w:val="24"/>
          <w:szCs w:val="24"/>
        </w:rPr>
        <w:t xml:space="preserve">er </w:t>
      </w:r>
      <w:r w:rsidR="00C05102" w:rsidRPr="00A31C5D">
        <w:rPr>
          <w:rFonts w:ascii="Arial" w:hAnsi="Arial" w:cs="Arial"/>
          <w:sz w:val="24"/>
          <w:szCs w:val="24"/>
        </w:rPr>
        <w:t>likelihood ratio score</w:t>
      </w:r>
      <w:r w:rsidRPr="00A31C5D">
        <w:rPr>
          <w:rFonts w:ascii="Arial" w:hAnsi="Arial" w:cs="Arial"/>
          <w:sz w:val="24"/>
          <w:szCs w:val="24"/>
        </w:rPr>
        <w:t xml:space="preserve"> for </w:t>
      </w:r>
      <w:r w:rsidR="00BF2F7D" w:rsidRPr="00A31C5D">
        <w:rPr>
          <w:rFonts w:ascii="Arial" w:hAnsi="Arial" w:cs="Arial"/>
          <w:sz w:val="24"/>
          <w:szCs w:val="24"/>
        </w:rPr>
        <w:t>CP</w:t>
      </w:r>
      <w:r w:rsidRPr="00A31C5D">
        <w:rPr>
          <w:rFonts w:ascii="Arial" w:hAnsi="Arial" w:cs="Arial"/>
          <w:sz w:val="24"/>
          <w:szCs w:val="24"/>
        </w:rPr>
        <w:t xml:space="preserve"> </w:t>
      </w:r>
      <w:r w:rsidR="002614D9" w:rsidRPr="00A31C5D">
        <w:rPr>
          <w:rFonts w:ascii="Arial" w:hAnsi="Arial" w:cs="Arial"/>
          <w:sz w:val="24"/>
          <w:szCs w:val="24"/>
        </w:rPr>
        <w:t>represent</w:t>
      </w:r>
      <w:r w:rsidRPr="00A31C5D">
        <w:rPr>
          <w:rFonts w:ascii="Arial" w:hAnsi="Arial" w:cs="Arial"/>
          <w:sz w:val="24"/>
          <w:szCs w:val="24"/>
        </w:rPr>
        <w:t xml:space="preserve">ing better homogeneity of the </w:t>
      </w:r>
      <w:r w:rsidR="00BF2F7D" w:rsidRPr="00A31C5D">
        <w:rPr>
          <w:rFonts w:ascii="Arial" w:hAnsi="Arial" w:cs="Arial"/>
          <w:sz w:val="24"/>
          <w:szCs w:val="24"/>
        </w:rPr>
        <w:t>CP</w:t>
      </w:r>
      <w:r w:rsidR="002614D9" w:rsidRPr="00A31C5D">
        <w:rPr>
          <w:rFonts w:ascii="Arial" w:hAnsi="Arial" w:cs="Arial"/>
          <w:sz w:val="24"/>
          <w:szCs w:val="24"/>
        </w:rPr>
        <w:t xml:space="preserve"> </w:t>
      </w:r>
      <w:r w:rsidRPr="00A31C5D">
        <w:rPr>
          <w:rFonts w:ascii="Arial" w:hAnsi="Arial" w:cs="Arial"/>
          <w:sz w:val="24"/>
          <w:szCs w:val="24"/>
        </w:rPr>
        <w:t>system</w:t>
      </w:r>
      <w:r w:rsidR="00BF2F7D" w:rsidRPr="00A31C5D">
        <w:rPr>
          <w:rFonts w:ascii="Arial" w:hAnsi="Arial" w:cs="Arial"/>
          <w:sz w:val="24"/>
          <w:szCs w:val="24"/>
        </w:rPr>
        <w:t xml:space="preserve"> in this population</w:t>
      </w:r>
      <w:r w:rsidR="00491970" w:rsidRPr="00A31C5D">
        <w:rPr>
          <w:rFonts w:ascii="Arial" w:hAnsi="Arial" w:cs="Arial"/>
          <w:sz w:val="24"/>
          <w:szCs w:val="24"/>
        </w:rPr>
        <w:t>, meaning that a same ALBI grade might group together patients with different</w:t>
      </w:r>
      <w:r w:rsidR="006E4D03" w:rsidRPr="00A31C5D">
        <w:rPr>
          <w:rFonts w:ascii="Arial" w:hAnsi="Arial" w:cs="Arial"/>
          <w:sz w:val="24"/>
          <w:szCs w:val="24"/>
        </w:rPr>
        <w:t xml:space="preserve"> </w:t>
      </w:r>
      <w:r w:rsidR="00491970" w:rsidRPr="00A31C5D">
        <w:rPr>
          <w:rFonts w:ascii="Arial" w:hAnsi="Arial" w:cs="Arial"/>
          <w:sz w:val="24"/>
          <w:szCs w:val="24"/>
        </w:rPr>
        <w:t>prognosis. H</w:t>
      </w:r>
      <w:r w:rsidRPr="00A31C5D">
        <w:rPr>
          <w:rFonts w:ascii="Arial" w:hAnsi="Arial" w:cs="Arial"/>
          <w:sz w:val="24"/>
          <w:szCs w:val="24"/>
        </w:rPr>
        <w:t xml:space="preserve">owever, </w:t>
      </w:r>
      <w:r w:rsidR="00491970" w:rsidRPr="00A31C5D">
        <w:rPr>
          <w:rFonts w:ascii="Arial" w:hAnsi="Arial" w:cs="Arial"/>
          <w:sz w:val="24"/>
          <w:szCs w:val="24"/>
        </w:rPr>
        <w:t>homogeneity was</w:t>
      </w:r>
      <w:r w:rsidRPr="00A31C5D">
        <w:rPr>
          <w:rFonts w:ascii="Arial" w:hAnsi="Arial" w:cs="Arial"/>
          <w:sz w:val="24"/>
          <w:szCs w:val="24"/>
        </w:rPr>
        <w:t xml:space="preserve"> similar </w:t>
      </w:r>
      <w:r w:rsidR="002614D9" w:rsidRPr="00A31C5D">
        <w:rPr>
          <w:rFonts w:ascii="Arial" w:hAnsi="Arial" w:cs="Arial"/>
          <w:sz w:val="24"/>
          <w:szCs w:val="24"/>
        </w:rPr>
        <w:t xml:space="preserve">between both scoring systems </w:t>
      </w:r>
      <w:r w:rsidRPr="00A31C5D">
        <w:rPr>
          <w:rFonts w:ascii="Arial" w:hAnsi="Arial" w:cs="Arial"/>
          <w:sz w:val="24"/>
          <w:szCs w:val="24"/>
        </w:rPr>
        <w:t xml:space="preserve">when focusing in the CP </w:t>
      </w:r>
      <w:r w:rsidR="00072F82" w:rsidRPr="00A31C5D">
        <w:rPr>
          <w:rFonts w:ascii="Arial" w:hAnsi="Arial" w:cs="Arial"/>
          <w:sz w:val="24"/>
          <w:szCs w:val="24"/>
        </w:rPr>
        <w:t xml:space="preserve">class </w:t>
      </w:r>
      <w:r w:rsidRPr="00A31C5D">
        <w:rPr>
          <w:rFonts w:ascii="Arial" w:hAnsi="Arial" w:cs="Arial"/>
          <w:sz w:val="24"/>
          <w:szCs w:val="24"/>
        </w:rPr>
        <w:t>A population.</w:t>
      </w:r>
      <w:r w:rsidR="00072F82" w:rsidRPr="00A31C5D">
        <w:rPr>
          <w:rFonts w:ascii="Arial" w:hAnsi="Arial" w:cs="Arial"/>
          <w:sz w:val="24"/>
          <w:szCs w:val="24"/>
        </w:rPr>
        <w:t xml:space="preserve"> </w:t>
      </w:r>
      <w:r w:rsidR="005F4F87" w:rsidRPr="00A31C5D">
        <w:rPr>
          <w:rFonts w:ascii="Arial" w:hAnsi="Arial" w:cs="Arial"/>
          <w:sz w:val="24"/>
          <w:szCs w:val="24"/>
        </w:rPr>
        <w:t xml:space="preserve">Similar results were found if CP scores provided by centers were used, rather than CP scores calculated. </w:t>
      </w:r>
      <w:r w:rsidR="00BF2F7D" w:rsidRPr="00A31C5D">
        <w:rPr>
          <w:rFonts w:ascii="Arial" w:hAnsi="Arial" w:cs="Arial"/>
          <w:sz w:val="24"/>
          <w:szCs w:val="24"/>
        </w:rPr>
        <w:t>Hence, the CP score</w:t>
      </w:r>
      <w:r w:rsidR="00751FCB" w:rsidRPr="00A31C5D">
        <w:rPr>
          <w:rFonts w:ascii="Arial" w:hAnsi="Arial" w:cs="Arial"/>
          <w:sz w:val="24"/>
          <w:szCs w:val="24"/>
        </w:rPr>
        <w:t xml:space="preserve"> might be more informative than ALBI in the overall population, but the CP score and</w:t>
      </w:r>
      <w:r w:rsidR="00BF2F7D" w:rsidRPr="00A31C5D">
        <w:rPr>
          <w:rFonts w:ascii="Arial" w:hAnsi="Arial" w:cs="Arial"/>
          <w:sz w:val="24"/>
          <w:szCs w:val="24"/>
        </w:rPr>
        <w:t xml:space="preserve"> the ALBI grade showed very similar prognostic abilities </w:t>
      </w:r>
      <w:r w:rsidR="0083232E" w:rsidRPr="00A31C5D">
        <w:rPr>
          <w:rFonts w:ascii="Arial" w:hAnsi="Arial" w:cs="Arial"/>
          <w:sz w:val="24"/>
          <w:szCs w:val="24"/>
        </w:rPr>
        <w:t>in the CP class A population</w:t>
      </w:r>
      <w:r w:rsidR="00BF2F7D" w:rsidRPr="00A31C5D">
        <w:rPr>
          <w:rFonts w:ascii="Arial" w:hAnsi="Arial" w:cs="Arial"/>
          <w:sz w:val="24"/>
          <w:szCs w:val="24"/>
        </w:rPr>
        <w:t>.</w:t>
      </w:r>
      <w:r w:rsidR="005F4F87" w:rsidRPr="00A31C5D">
        <w:rPr>
          <w:rFonts w:ascii="Arial" w:hAnsi="Arial" w:cs="Arial"/>
          <w:sz w:val="24"/>
          <w:szCs w:val="24"/>
        </w:rPr>
        <w:t xml:space="preserve"> </w:t>
      </w:r>
      <w:r w:rsidR="00DE61E7" w:rsidRPr="00A31C5D">
        <w:rPr>
          <w:rFonts w:ascii="Arial" w:hAnsi="Arial" w:cs="Arial"/>
          <w:sz w:val="24"/>
          <w:szCs w:val="24"/>
        </w:rPr>
        <w:br w:type="page"/>
      </w:r>
    </w:p>
    <w:p w14:paraId="69AEA149" w14:textId="3BB5367B" w:rsidR="000D6457" w:rsidRPr="00A31C5D" w:rsidRDefault="000D6457" w:rsidP="00A31C5D">
      <w:pPr>
        <w:spacing w:line="480" w:lineRule="auto"/>
        <w:rPr>
          <w:rFonts w:ascii="Arial" w:hAnsi="Arial" w:cs="Arial"/>
          <w:sz w:val="24"/>
          <w:szCs w:val="24"/>
        </w:rPr>
      </w:pPr>
      <w:r w:rsidRPr="00A31C5D">
        <w:rPr>
          <w:rFonts w:ascii="Arial" w:hAnsi="Arial" w:cs="Arial"/>
          <w:sz w:val="24"/>
          <w:szCs w:val="24"/>
        </w:rPr>
        <w:lastRenderedPageBreak/>
        <w:t>Discussion</w:t>
      </w:r>
    </w:p>
    <w:p w14:paraId="4F3CCA11" w14:textId="10421B68" w:rsidR="00DA1222" w:rsidRPr="00A31C5D" w:rsidRDefault="00DA1222" w:rsidP="00A31C5D">
      <w:pPr>
        <w:spacing w:line="480" w:lineRule="auto"/>
        <w:rPr>
          <w:rFonts w:ascii="Arial" w:hAnsi="Arial" w:cs="Arial"/>
          <w:sz w:val="24"/>
          <w:szCs w:val="24"/>
        </w:rPr>
      </w:pPr>
      <w:r w:rsidRPr="00A31C5D">
        <w:rPr>
          <w:rFonts w:ascii="Arial" w:hAnsi="Arial" w:cs="Arial"/>
          <w:sz w:val="24"/>
          <w:szCs w:val="24"/>
        </w:rPr>
        <w:t xml:space="preserve">In this large retrospective series of European patients treated with sorafenib for advanced HCC, we found that ALBI grade and CP sub-classification by points provide similar prognostic information when focusing on CP A population. The majority of patients classified as ALBI grade 1 were also classified as CP A5, while the patients classified as ALBI grade 2 showed a broader range of classification within CP scores, including many patients with CP B. To our knowledge, this is the first multicenter study comparing ALBI and CP sub-classification by points in a large number of European patients, and our findings are supported by those of </w:t>
      </w:r>
      <w:r w:rsidR="00FE77F7" w:rsidRPr="00A31C5D">
        <w:rPr>
          <w:rFonts w:ascii="Arial" w:hAnsi="Arial" w:cs="Arial"/>
          <w:sz w:val="24"/>
          <w:szCs w:val="24"/>
        </w:rPr>
        <w:t xml:space="preserve">two </w:t>
      </w:r>
      <w:r w:rsidRPr="00A31C5D">
        <w:rPr>
          <w:rFonts w:ascii="Arial" w:hAnsi="Arial" w:cs="Arial"/>
          <w:sz w:val="24"/>
          <w:szCs w:val="24"/>
        </w:rPr>
        <w:t xml:space="preserve">recently published </w:t>
      </w:r>
      <w:r w:rsidR="00FE77F7" w:rsidRPr="00A31C5D">
        <w:rPr>
          <w:rFonts w:ascii="Arial" w:hAnsi="Arial" w:cs="Arial"/>
          <w:sz w:val="24"/>
          <w:szCs w:val="24"/>
        </w:rPr>
        <w:t xml:space="preserve"> studies from Asia</w:t>
      </w:r>
      <w:r w:rsidRPr="00A31C5D">
        <w:rPr>
          <w:rFonts w:ascii="Arial" w:hAnsi="Arial" w:cs="Arial"/>
          <w:sz w:val="24"/>
          <w:szCs w:val="24"/>
        </w:rPr>
        <w:t xml:space="preserve"> </w:t>
      </w:r>
      <w:r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O1hqEKaD","properties":{"formattedCitation":"[12,13]","plainCitation":"[12,13]"},"citationItems":[{"id":2676,"uris":["http://zotero.org/users/587498/items/6WM5JEHF"],"uri":["http://zotero.org/users/587498/items/6WM5JEHF"],"itemData":{"id":2676,"type":"article-journal","title":"Liver function assessment according to the Albumin-Bilirubin (ALBI) grade in sorafenib-treated patients with advanced hepatocellular carcinoma","container-title":"Investigational New Drugs","page":"1257-1262","volume":"33","issue":"6","source":"PubMed","abstract":"BACKGROUND: The Albumin-Bilirubin (ALBI) grade has been proposed as a new, simple, and objective method of assessing liver function. However, there is lack of data in sorafenib-treated patients with advanced hepatocellular carcinoma (HCC).\nMETHODS: We evaluated the correlations between the ALBI grade and Child-Pugh score, adverse events, and survival in 89 patients with advanced HCC who were prospectively treated with sorafenib.\nRESULTS: Majority of patients with ALBI grade 1 (14/15 patients, 93%) had a Child-Pugh score of 5. Patients with ALBI grade 2 had a wide range of liver function according to the Child-Pugh scores, with scores of 5, 6, 7, and ≥ 8. We divided ALBI grade 2 patients into ALBI grade 2A and 2B groups according to the median ALBI score among patients with ALBI grade 2. Although no significant difference was observed, the incidence of liver dysfunction in sorafenib-treated patients with ALBI grades 1, 2A, and 2B was 7%, 19%, and 35%, respectively. Overall survival in the ALBI grade 2B group was significantly shorter than that in the ALBI grade 1 and 2A groups. Thus, ALBI grade 2B was an independent predictor of poor prognosis in addition to elevated serum aspartate aminotransferase levels, increased serum alpha-fetoprotein level, and macrovascular invasion.\nCONCLUSION: Sorafenib may be indicated for all patients with advanced HCC and ALBI grade 1 and for some with ALBI grade 2. The subdivision of patients with ALBI grade 2 increases the utility of ALBI in identifying patients indicated for sorafenib therapy.","DOI":"10.1007/s10637-015-0292-9","ISSN":"1573-0646","note":"PMID: 26462681","journalAbbreviation":"Invest New Drugs","language":"eng","author":[{"family":"Ogasawara","given":"Sadahisa"},{"family":"Chiba","given":"Tetsuhiro"},{"family":"Ooka","given":"Yoshihiko"},{"family":"Suzuki","given":"Eiichiro"},{"family":"Kanogawa","given":"Naoya"},{"family":"Saito","given":"Tomoko"},{"family":"Motoyama","given":"Tenyu"},{"family":"Tawada","given":"Akinobu"},{"family":"Kanai","given":"Fumihiko"},{"family":"Yokosuka","given":"Osamu"}],"issued":{"date-parts":[["2015",12]]},"PMID":"26462681"}},{"id":2674,"uris":["http://zotero.org/users/587498/items/SQ9MV8FQ"],"uri":["http://zotero.org/users/587498/items/SQ9MV8FQ"],"itemData":{"id":2674,"type":"article-journal","title":"Usefulness of albumin-bilirubin (ALBI) grade for evaluation of prognosis of 2584 Japanese patients with hepatocellular carcinoma","container-title":"Journal of Gastroenterology and Hepatology","source":"PubMed","abstract":"BACKGROUND/AIM: The Child-Pugh classification has some non-objective factors, with chronic hepatitis indistinguishable from early liver cirrhosis in Child-Pugh A. We retrospectively evaluated the efficacy of albumin-bilirubin (ALBI) grade, which has been proposed as a new classification for hepatic function, for grading HCC patients based on hepatic function and predicting their prognosis.\nMETHOD: From 2000 to 2014, 2584 naïve HCC (69.0±9.8 years old, 1850 males, 734 females, Child-Pugh class A:B:C=1871:558:155) were enrolled. TNM staging was determined using the classification of the Liver Cancer Study Group of Japan and ALBI grade, instead of Child-Pugh classification (ALBI-T score) (Table 1), and is similar to the Japan Integrated Staging (JIS) score. We retrospectively compared ALBI-T and JIS scores in these patients.\nRESULTS: Of patients classified as Child-Pugh A (n=1871), 1285 with 5 points were divided into 858 with ALBI grade 1 and 427 with grade 2, while 586 with 6 points were divided into 53 with grade 1 and 533 with grade 2. The ratio of ALBI grade 2 patients with a Child-Pugh score of 6 points (91.0%) was similar to that of those with 7 points (91.8%). Patients with a lower ALBI-T score (0-5 points) showed a better median survival time (MST) than those with a corresponding lower JIS score (137.7:83.2:53.4:27.4:5.0:1.4 vs. 97.6:74.9:39.7:15.0:4.0:1.0 months). This article is protected by copyright. All rights reserved.\nCONCLUSION: ALBI grade was found to be superior for distinguishing patients with better hepatic function. ALBI-T scoring may be a better total prognostic scoring system for predicting survival of Japanese patients with HCC.","DOI":"10.1111/jgh.13250","ISSN":"1440-1746","note":"PMID: 26647219","journalAbbreviation":"J. Gastroenterol. Hepatol.","language":"ENG","author":[{"family":"Hiraoka","given":"Atsushi"},{"family":"Kumada","given":"Takashi"},{"family":"Michitaka","given":"Kojiro"},{"family":"Toyoda","given":"Hidenori"},{"family":"Tada","given":"Toshifumi"},{"family":"Ueki","given":"Hidetaro"},{"family":"Kaneto","given":"Miho"},{"family":"Aibiki","given":"Toshihiko"},{"family":"Okudaira","given":"Tomonari"},{"family":"Kawakami","given":"Takamasa"},{"family":"Kawamura","given":"Tomoe"},{"family":"Yamago","given":"Hiroka"},{"family":"Suga","given":"Yoshifumi"},{"family":"Miyamoto","given":"Yuji"},{"family":"Tomida","given":"Hideomi"},{"family":"Azemoto","given":"Nobuaki"},{"family":"Mori","given":"Kenichirou"},{"family":"Miyata","given":"Hideki"},{"family":"Ninomiya","given":"Tomoyuki"},{"family":"Kawasaki","given":"Hideki"}],"issued":{"date-parts":[["2015",12,8]]},"PMID":"26647219"}}],"schema":"https://github.com/citation-style-language/schema/raw/master/csl-citation.json"} </w:instrText>
      </w:r>
      <w:r w:rsidRPr="00A31C5D">
        <w:rPr>
          <w:rFonts w:ascii="Arial" w:hAnsi="Arial" w:cs="Arial"/>
          <w:sz w:val="24"/>
          <w:szCs w:val="24"/>
        </w:rPr>
        <w:fldChar w:fldCharType="separate"/>
      </w:r>
      <w:r w:rsidR="00FE77F7" w:rsidRPr="00A31C5D">
        <w:rPr>
          <w:rFonts w:ascii="Arial" w:hAnsi="Arial" w:cs="Arial"/>
          <w:sz w:val="24"/>
          <w:szCs w:val="24"/>
        </w:rPr>
        <w:t>[12,13]</w:t>
      </w:r>
      <w:r w:rsidRPr="00A31C5D">
        <w:rPr>
          <w:rFonts w:ascii="Arial" w:hAnsi="Arial" w:cs="Arial"/>
          <w:sz w:val="24"/>
          <w:szCs w:val="24"/>
        </w:rPr>
        <w:fldChar w:fldCharType="end"/>
      </w:r>
      <w:r w:rsidRPr="00A31C5D">
        <w:rPr>
          <w:rFonts w:ascii="Arial" w:hAnsi="Arial" w:cs="Arial"/>
          <w:sz w:val="24"/>
          <w:szCs w:val="24"/>
        </w:rPr>
        <w:t xml:space="preserve">. </w:t>
      </w:r>
      <w:r w:rsidR="00FE77F7" w:rsidRPr="00A31C5D">
        <w:rPr>
          <w:rFonts w:ascii="Arial" w:hAnsi="Arial" w:cs="Arial"/>
          <w:sz w:val="24"/>
          <w:szCs w:val="24"/>
        </w:rPr>
        <w:t xml:space="preserve">Moreover, two recent studies originating from the same consortium showed that the incorporation of ALBI into the BCLC or Japan Integrated Staging (JIS) classification could add information over CP </w:t>
      </w:r>
      <w:r w:rsidR="00FE77F7"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coni1ru68","properties":{"formattedCitation":"[14,15]","plainCitation":"[14,15]"},"citationItems":[{"id":2670,"uris":["http://zotero.org/users/587498/items/77KH24DJ"],"uri":["http://zotero.org/users/587498/items/77KH24DJ"],"itemData":{"id":2670,"type":"article-journal","title":"Applicability of Albumin-Bilirubin-based Japan Integrated Staging (ALBI-T) score in hepatitis B-associated hepatocellular carcinoma","container-title":"Journal of Gastroenterology and Hepatology","source":"PubMed","abstract":"BACKGROUND &amp; AIMS: The Japan Integrated Staging (JIS) for hepatocellular carcinoma (HCC) has been extensively studied in hepatitis virus C-endemic Japanese population but seldom evaluated outside Japan, while Albumin-Bilirubin (ALBI)-based JIS (ALBI-T) has never been externally validated. We evaluate the prognostic significance of the ALBI-T score among Chinese patients with hepatitis virus B (HBV)-related HCC, and to explore its potential therapeutic application in selecting patients for appropriate treatments in addition to the Barcelona Clinic Liver Cancer (BCLC) recommendation.\nMETHODS: A cohort of 1222 HBV-associated HCC patients was evaluated to compare the prognostic performance of JIS and ALBI-T scores by homogeneity likelihood chi-square and corrected Akaike information criterion (AICc). In the subgroup analysis of each BCLC stage, Kaplan-Meier method and log-rank statistics were used to compare overall survival of patients undergoing different treatment options.\nRESULTS: The ALBI-T score showed better prognostic performance than the JIS score, which were indicated by homogeneity likelihood chi-squares (ALBI-T 580.12 vs. JIS 536.35) and AICs (ALBI-T 9836.57 vs. JIS 9880.23). Treatment options significantly influenced prognosis amongst patients of the same BCLC stage. With the use of ALBI-T score 4 as the cutoff, the current study identified that 14.7%, 25.2% and 28.6% of patients undergoing unnecessary therapy without survival advantage in BCLC stage B, C and D, respectively.\nCONCLUSIONS: The ALBI-T score is applicable to Chinese patients with HBV-related HCC to provide reasonable prognostic information as well as potentially helping clinicians to avoid offering non-beneficial aggressive treatments.","DOI":"10.1111/jgh.13339","ISSN":"1440-1746","note":"PMID: 26992142","journalAbbreviation":"J. Gastroenterol. Hepatol.","language":"ENG","author":[{"family":"Chan","given":"Anthony W. H."},{"family":"Chong","given":"Charing C. N."},{"family":"Mo","given":"Frankie K. F."},{"family":"Wong","given":"John"},{"family":"Yeo","given":"Winnie"},{"family":"Johnson","given":"Philip J."},{"family":"Yu","given":"Shuangni"},{"family":"Lai","given":"Paul B. S."},{"family":"Chan","given":"Anthony T. C."},{"family":"To","given":"Ka-Fai"},{"family":"Chan","given":"Stephen L."}],"issued":{"date-parts":[["2016",3,15]]},"PMID":"26992142"}},{"id":2672,"uris":["http://zotero.org/users/587498/items/W3B9RNA9"],"uri":["http://zotero.org/users/587498/items/W3B9RNA9"],"itemData":{"id":2672,"type":"article-journal","title":"Integration of albumin-bilirubin (ALBI) score into Barcelona clinic liver cancer (BCLC) system for hepatocellular carcinoma","container-title":"Journal of Gastroenterology and Hepatology","source":"PubMed","abstract":"BACKGROUND AND AIMS: The albumin-bilirubin (ALBI) grade is a recently reported, simpler, more objective and evidence-based alternative to the Child-Pugh (CP) score for hepatocellular carcinoma (HCC). We aimed to study whether ALBI grade could substitute for CP score in Barcelona Clinic Liver Cancer (BCLC) for HCC.\nMETHODS: An international multicentre cohort (n=3696) was accrued to compare the prognostic performance of the CP-based and ALBI-based BCLC system, in terms of homogeneity, discriminatory ability and monotonicity of gradients which were numerically reflected by homogeneity likelihood and linear trend chi-squares, and c-indices, respectively.\nRESULTS: ALBI grade performed as well as CP score when integrated into the BCLC staging system in terms of predicting clinical outcome of HCC regardless of regions, aetiology and treatment options. CP-based and ALBI-based BCLC systems were highly concordant with weighted kappa value of 0.917. All restaged patients showed significantly different clinical outcomes compared to their original stage classification. In particular, ALBI-based BCLC upstaged 83 (2.2%) patients from lower CP-based BCLC stages to ALBI-based BCLC stage D, whose median overall survival was only 3 months.\nCONCLUSIONS: The overall prognostic performance of ALBI-based and CP-based BCLC system was similar. It also potentially allows more precise patient selection for clinical trials on systemic agents. This article is protected by copyright. All rights reserved.","DOI":"10.1111/jgh.13291","ISSN":"1440-1746","note":"PMID: 26751608","journalAbbreviation":"J. Gastroenterol. Hepatol.","language":"ENG","author":[{"family":"Chan","given":"Anthony W. H."},{"family":"Kumada","given":"Takshi"},{"family":"Toyoda","given":"Hidenori"},{"family":"Tada","given":"Toshifumi"},{"family":"Chong","given":"Charing C. N."},{"family":"Mo","given":"Frankie K. F."},{"family":"Yeo","given":"Winnie"},{"family":"Johnson","given":"Philip J."},{"family":"Lai","given":"Paul B. S."},{"family":"Chan","given":"Anthony T. C."},{"family":"To","given":"Ka-Fai"},{"family":"Chan","given":"Stephen L."}],"issued":{"date-parts":[["2016",1,9]]},"PMID":"26751608"}}],"schema":"https://github.com/citation-style-language/schema/raw/master/csl-citation.json"} </w:instrText>
      </w:r>
      <w:r w:rsidR="00FE77F7" w:rsidRPr="00A31C5D">
        <w:rPr>
          <w:rFonts w:ascii="Arial" w:hAnsi="Arial" w:cs="Arial"/>
          <w:sz w:val="24"/>
          <w:szCs w:val="24"/>
        </w:rPr>
        <w:fldChar w:fldCharType="separate"/>
      </w:r>
      <w:r w:rsidR="00FE77F7" w:rsidRPr="00A31C5D">
        <w:rPr>
          <w:rFonts w:ascii="Arial" w:hAnsi="Arial" w:cs="Arial"/>
          <w:sz w:val="24"/>
          <w:szCs w:val="24"/>
        </w:rPr>
        <w:t>[14,15]</w:t>
      </w:r>
      <w:r w:rsidR="00FE77F7" w:rsidRPr="00A31C5D">
        <w:rPr>
          <w:rFonts w:ascii="Arial" w:hAnsi="Arial" w:cs="Arial"/>
          <w:sz w:val="24"/>
          <w:szCs w:val="24"/>
        </w:rPr>
        <w:fldChar w:fldCharType="end"/>
      </w:r>
      <w:r w:rsidR="00FE77F7" w:rsidRPr="00A31C5D">
        <w:rPr>
          <w:rFonts w:ascii="Arial" w:hAnsi="Arial" w:cs="Arial"/>
          <w:sz w:val="24"/>
          <w:szCs w:val="24"/>
        </w:rPr>
        <w:t>.</w:t>
      </w:r>
    </w:p>
    <w:p w14:paraId="6A20D4E6" w14:textId="77502FA4" w:rsidR="00DA1222" w:rsidRPr="00A31C5D" w:rsidRDefault="00DA1222" w:rsidP="00A31C5D">
      <w:pPr>
        <w:spacing w:line="480" w:lineRule="auto"/>
        <w:rPr>
          <w:rFonts w:ascii="Arial" w:hAnsi="Arial" w:cs="Arial"/>
          <w:sz w:val="24"/>
          <w:szCs w:val="24"/>
        </w:rPr>
      </w:pPr>
      <w:r w:rsidRPr="00A31C5D">
        <w:rPr>
          <w:rFonts w:ascii="Arial" w:hAnsi="Arial" w:cs="Arial"/>
          <w:sz w:val="24"/>
          <w:szCs w:val="24"/>
        </w:rPr>
        <w:t xml:space="preserve">The ALBI grade was developed as an evidence-based scoring system specifically for assessing liver function in patient with HCC and uses only albumin and bilirubin which are independently associated with OS </w:t>
      </w:r>
      <w:r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23i7lpkd3k","properties":{"formattedCitation":"[6]","plainCitation":"[6]"},"citationItems":[{"id":2269,"uris":["http://zotero.org/users/587498/items/KQ55G724"],"uri":["http://zotero.org/users/587498/items/KQ55G724"],"itemData":{"id":2269,"type":"article-journal","title":"Assessment of Liver Function in Patients With Hepatocellular Carcinoma: A New Evidence-Based Approach--The ALBI Grade","container-title":"Journal of Clinical Oncology","page":"550-558","volume":"33","issue":"6","source":"CrossRef","DOI":"10.1200/JCO.2014.57.9151","ISSN":"0732-183X, 1527-7755","shortTitle":"Assessment of Liver Function in Patients With Hepatocellular Carcinoma","language":"en","author":[{"family":"Johnson","given":"P. J."},{"family":"Berhane","given":"S."},{"family":"Kagebayashi","given":"C."},{"family":"Satomura","given":"S."},{"family":"Teng","given":"M."},{"family":"Reeves","given":"H. L."},{"family":"O'Beirne","given":"J."},{"family":"Fox","given":"R."},{"family":"Skowronska","given":"A."},{"family":"Palmer","given":"D."},{"family":"Yeo","given":"W."},{"family":"Mo","given":"F."},{"family":"Lai","given":"P."},{"family":"Inarrairaegui","given":"M."},{"family":"Chan","given":"S. L."},{"family":"Sangro","given":"B."},{"family":"Miksad","given":"R."},{"family":"Tada","given":"T."},{"family":"Kumada","given":"T."},{"family":"Toyoda","given":"H."}],"issued":{"date-parts":[["2015",2,20]]}}}],"schema":"https://github.com/citation-style-language/schema/raw/master/csl-citation.json"} </w:instrText>
      </w:r>
      <w:r w:rsidRPr="00A31C5D">
        <w:rPr>
          <w:rFonts w:ascii="Arial" w:hAnsi="Arial" w:cs="Arial"/>
          <w:sz w:val="24"/>
          <w:szCs w:val="24"/>
        </w:rPr>
        <w:fldChar w:fldCharType="separate"/>
      </w:r>
      <w:r w:rsidR="00FE77F7" w:rsidRPr="00A31C5D">
        <w:rPr>
          <w:rFonts w:ascii="Arial" w:hAnsi="Arial" w:cs="Arial"/>
          <w:sz w:val="24"/>
          <w:szCs w:val="24"/>
        </w:rPr>
        <w:t>[6]</w:t>
      </w:r>
      <w:r w:rsidRPr="00A31C5D">
        <w:rPr>
          <w:rFonts w:ascii="Arial" w:hAnsi="Arial" w:cs="Arial"/>
          <w:sz w:val="24"/>
          <w:szCs w:val="24"/>
        </w:rPr>
        <w:fldChar w:fldCharType="end"/>
      </w:r>
      <w:r w:rsidRPr="00A31C5D">
        <w:rPr>
          <w:rFonts w:ascii="Arial" w:hAnsi="Arial" w:cs="Arial"/>
          <w:sz w:val="24"/>
          <w:szCs w:val="24"/>
        </w:rPr>
        <w:t xml:space="preserve">. The formula derived from the model avoids subjectively chosen thresholds so that albumin and bilirubin are analyzed as continuous variable using international units rather than categorical variables. However, thresholds were introduced to allow the allocation of grade based on risk. Using a Japanese training set, the grades were defined to classify the 25% with the lowest risk of death as grade 1, those 10% with highest risk of death as grade 3 and those in between as grade 2. The model was then validated in independent international cohorts using different treatment modalities. The use of a formula might be judged cumbersome, but a nomogram and a heat map are provided, thus allowing easier use in a clinical setting. </w:t>
      </w:r>
    </w:p>
    <w:p w14:paraId="08947CE2" w14:textId="274BEC19" w:rsidR="00DA1222" w:rsidRPr="00A31C5D" w:rsidRDefault="00DA1222" w:rsidP="00A31C5D">
      <w:pPr>
        <w:spacing w:line="480" w:lineRule="auto"/>
        <w:rPr>
          <w:rFonts w:ascii="Arial" w:hAnsi="Arial" w:cs="Arial"/>
          <w:sz w:val="24"/>
          <w:szCs w:val="24"/>
        </w:rPr>
      </w:pPr>
      <w:r w:rsidRPr="00A31C5D">
        <w:rPr>
          <w:rFonts w:ascii="Arial" w:hAnsi="Arial" w:cs="Arial"/>
          <w:sz w:val="24"/>
          <w:szCs w:val="24"/>
        </w:rPr>
        <w:lastRenderedPageBreak/>
        <w:t>Conversely, and as already discussed in previous publications</w:t>
      </w:r>
      <w:r w:rsidR="00040C06" w:rsidRPr="00A31C5D">
        <w:rPr>
          <w:rFonts w:ascii="Arial" w:hAnsi="Arial" w:cs="Arial"/>
          <w:sz w:val="24"/>
          <w:szCs w:val="24"/>
        </w:rPr>
        <w:t xml:space="preserve"> </w:t>
      </w:r>
      <w:r w:rsidR="00040C06" w:rsidRPr="00A31C5D">
        <w:rPr>
          <w:rFonts w:ascii="Arial" w:hAnsi="Arial" w:cs="Arial"/>
          <w:sz w:val="24"/>
          <w:szCs w:val="24"/>
        </w:rPr>
        <w:fldChar w:fldCharType="begin"/>
      </w:r>
      <w:r w:rsidR="00040C06" w:rsidRPr="00A31C5D">
        <w:rPr>
          <w:rFonts w:ascii="Arial" w:hAnsi="Arial" w:cs="Arial"/>
          <w:sz w:val="24"/>
          <w:szCs w:val="24"/>
        </w:rPr>
        <w:instrText xml:space="preserve"> ADDIN ZOTERO_ITEM CSL_CITATION {"citationID":"2i50ql1abo","properties":{"formattedCitation":"[3,6]","plainCitation":"[3,6]"},"citationItems":[{"id":2265,"uris":["http://zotero.org/users/587498/items/DHBI8P4H"],"uri":["http://zotero.org/users/587498/items/DHBI8P4H"],"itemData":{"id":2265,"type":"article-journal","title":"Assessment of Prognosis of Cirrhosis","container-title":"Seminars in Liver Disease","page":"110-122","volume":"28","issue":"1","source":"CrossRef","DOI":"10.1055/s-2008-1040325","ISSN":"0272-8087, 1098-8971","language":"en","author":[{"family":"Durand","given":"François"},{"family":"Valla","given":"Dominique"}],"issued":{"date-parts":[["2008",2]]}}},{"id":2269,"uris":["http://zotero.org/users/587498/items/KQ55G724"],"uri":["http://zotero.org/users/587498/items/KQ55G724"],"itemData":{"id":2269,"type":"article-journal","title":"Assessment of Liver Function in Patients With Hepatocellular Carcinoma: A New Evidence-Based Approach--The ALBI Grade","container-title":"Journal of Clinical Oncology","page":"550-558","volume":"33","issue":"6","source":"CrossRef","DOI":"10.1200/JCO.2014.57.9151","ISSN":"0732-183X, 1527-7755","shortTitle":"Assessment of Liver Function in Patients With Hepatocellular Carcinoma","language":"en","author":[{"family":"Johnson","given":"P. J."},{"family":"Berhane","given":"S."},{"family":"Kagebayashi","given":"C."},{"family":"Satomura","given":"S."},{"family":"Teng","given":"M."},{"family":"Reeves","given":"H. L."},{"family":"O'Beirne","given":"J."},{"family":"Fox","given":"R."},{"family":"Skowronska","given":"A."},{"family":"Palmer","given":"D."},{"family":"Yeo","given":"W."},{"family":"Mo","given":"F."},{"family":"Lai","given":"P."},{"family":"Inarrairaegui","given":"M."},{"family":"Chan","given":"S. L."},{"family":"Sangro","given":"B."},{"family":"Miksad","given":"R."},{"family":"Tada","given":"T."},{"family":"Kumada","given":"T."},{"family":"Toyoda","given":"H."}],"issued":{"date-parts":[["2015",2,20]]}}}],"schema":"https://github.com/citation-style-language/schema/raw/master/csl-citation.json"} </w:instrText>
      </w:r>
      <w:r w:rsidR="00040C06" w:rsidRPr="00A31C5D">
        <w:rPr>
          <w:rFonts w:ascii="Arial" w:hAnsi="Arial" w:cs="Arial"/>
          <w:sz w:val="24"/>
          <w:szCs w:val="24"/>
        </w:rPr>
        <w:fldChar w:fldCharType="separate"/>
      </w:r>
      <w:r w:rsidR="00040C06" w:rsidRPr="00A31C5D">
        <w:rPr>
          <w:rFonts w:ascii="Arial" w:hAnsi="Arial" w:cs="Arial"/>
          <w:sz w:val="24"/>
          <w:szCs w:val="24"/>
        </w:rPr>
        <w:t>[3,6]</w:t>
      </w:r>
      <w:r w:rsidR="00040C06" w:rsidRPr="00A31C5D">
        <w:rPr>
          <w:rFonts w:ascii="Arial" w:hAnsi="Arial" w:cs="Arial"/>
          <w:sz w:val="24"/>
          <w:szCs w:val="24"/>
        </w:rPr>
        <w:fldChar w:fldCharType="end"/>
      </w:r>
      <w:r w:rsidRPr="00A31C5D">
        <w:rPr>
          <w:rFonts w:ascii="Arial" w:hAnsi="Arial" w:cs="Arial"/>
          <w:sz w:val="24"/>
          <w:szCs w:val="24"/>
        </w:rPr>
        <w:t xml:space="preserve">, the CP scoring system has several limitations for use in patients with HCC. First, it was developed using an empiric approach rather than evidence-based and was intended to be used to define the operative risk in cirrhotic patients with esophageal varices. Therefore it is not strictly applicable to non-cirrhotic patients with HCC. Second, two of the five factors that contribute to the CP score -clinical ascites and encephalopathy- are subjective and prone to error. Finally, the score gives similar weighting to parameters which may not be of similar prognostic importance. Despite these limitations, CP score consistently emerges as a significant prognostic factor in clinical series evaluating outcomes from therapeutic interventions. Given its widespread use, most publications do not define the CP </w:t>
      </w:r>
      <w:r w:rsidR="00040C06" w:rsidRPr="00A31C5D">
        <w:rPr>
          <w:rFonts w:ascii="Arial" w:hAnsi="Arial" w:cs="Arial"/>
          <w:sz w:val="24"/>
          <w:szCs w:val="24"/>
        </w:rPr>
        <w:fldChar w:fldCharType="begin"/>
      </w:r>
      <w:r w:rsidR="00040C06" w:rsidRPr="00A31C5D">
        <w:rPr>
          <w:rFonts w:ascii="Arial" w:hAnsi="Arial" w:cs="Arial"/>
          <w:sz w:val="24"/>
          <w:szCs w:val="24"/>
        </w:rPr>
        <w:instrText xml:space="preserve"> ADDIN ZOTERO_ITEM CSL_CITATION {"citationID":"13hi77l53g","properties":{"formattedCitation":"[16]","plainCitation":"[16]"},"citationItems":[{"id":2279,"uris":["http://zotero.org/users/587498/items/B5KDSF7I"],"uri":["http://zotero.org/users/587498/items/B5KDSF7I"],"itemData":{"id":2279,"type":"article-journal","title":"Prognostic role of Child-Pugh score 5 and 6 in hepatocellular carcinoma patients who underwent curative hepatic resection","container-title":"American Journal of Surgery","page":"199-205","volume":"209","issue":"1","source":"PubMed","abstract":"BACKGROUND: It is unclear whether Child-Pugh score discriminates a prognosis of the Child-Pugh A patients who underwent hepatic resection for hepatocellular carcinoma.\nMETHODS: Between April 2000 and March 2011, 361 patients with Child-Pugh A who underwent curative hepatectomy were divided into 2 groups: Child-Pugh score 5 points group (CPS5) and Child-Pugh score 6 points group (CPS6); both CPS5 (n = 274) and CPS6 (n = 87) groups were compared.\nRESULTS: Overall survival rates (1/2/5 years of the CPS5 and CPS6 groups were 90.9%/82.5%/62.4% and 80.6%/68.0%/47.6%, respectively) and disease-free survival rates (67.6%/51.8%/30.1% and 36.9%/16.0%/5.9%, respectively) showed that the CPS5 group was significantly better than the CPS6 group. Multivariate analysis revealed that Child-Pugh score at overall survival (P = .0125) and disease-free survival (P = .0103) was a significant prognostic factor.\nCONCLUSIONS: The overall survival and disease-free survival in Child-Pugh A showed quite a difference between the CPS5 and CPS6 groups. However, CPS5 and CPS6 may be a useful prognostic marker of hepatocellular carcinoma patients with hepatic resection.","DOI":"10.1016/j.amjsurg.2014.03.009","ISSN":"1879-1883","note":"PMID: 25312843","journalAbbreviation":"Am. J. Surg.","language":"eng","author":[{"family":"Okajima","given":"Chisato"},{"family":"Arii","given":"Shigeki"},{"family":"Tanaka","given":"Shinji"},{"family":"Matsumura","given":"Satoshi"},{"family":"Ban","given":"Daisuke"},{"family":"Ochiai","given":"Takanori"},{"family":"Irie","given":"Takumi"},{"family":"Kudo","given":"Atsushi"},{"family":"Nakamura","given":"Noriaki"},{"family":"Tanabe","given":"Minoru"}],"issued":{"date-parts":[["2015",1]]},"PMID":"25312843"}}],"schema":"https://github.com/citation-style-language/schema/raw/master/csl-citation.json"} </w:instrText>
      </w:r>
      <w:r w:rsidR="00040C06" w:rsidRPr="00A31C5D">
        <w:rPr>
          <w:rFonts w:ascii="Arial" w:hAnsi="Arial" w:cs="Arial"/>
          <w:sz w:val="24"/>
          <w:szCs w:val="24"/>
        </w:rPr>
        <w:fldChar w:fldCharType="separate"/>
      </w:r>
      <w:r w:rsidR="00040C06" w:rsidRPr="00A31C5D">
        <w:rPr>
          <w:rFonts w:ascii="Arial" w:hAnsi="Arial" w:cs="Arial"/>
          <w:sz w:val="24"/>
          <w:szCs w:val="24"/>
        </w:rPr>
        <w:t>[16]</w:t>
      </w:r>
      <w:r w:rsidR="00040C06" w:rsidRPr="00A31C5D">
        <w:rPr>
          <w:rFonts w:ascii="Arial" w:hAnsi="Arial" w:cs="Arial"/>
          <w:sz w:val="24"/>
          <w:szCs w:val="24"/>
        </w:rPr>
        <w:fldChar w:fldCharType="end"/>
      </w:r>
      <w:r w:rsidRPr="00A31C5D">
        <w:rPr>
          <w:rFonts w:ascii="Arial" w:hAnsi="Arial" w:cs="Arial"/>
          <w:sz w:val="24"/>
          <w:szCs w:val="24"/>
        </w:rPr>
        <w:t xml:space="preserve"> yet we found surprisingly significant discrepancies in scoring, illustrated by a 12% discordance between our score based on the raw data and the score provided by the participating centers. At least two explanations could be found for such high discrepancies. First, there is surprisingly no international consensus about CP scoring system, as illustrated by different thresholds proposed for bilirubin (34, 35, 50 or 51 µmol/L) </w:t>
      </w:r>
      <w:r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{"citationID":"UkBhCotD","properties":{"formattedCitation":"{\\rtf [5,9,17\\uc0\\u8211{}21]}","plainCitation":"[5,9,17–21]"},"citationItems":[{"id":2266,"uris":["http://zotero.org/users/587498/items/43JH9WER"],"uri":["http://zotero.org/users/587498/items/43JH9WER"],"itemData":{"id":2266,"type":"article-journal","title":"Transection of the oesophagus for bleeding oesophageal varices","container-title":"The British Journal of Surgery","page":"646-649","volume":"60","issue":"8","source":"PubMed","ISSN":"0007-1323","note":"PMID: 4541913","journalAbbreviation":"Br J Surg","language":"eng","author":[{"family":"Pugh","given":"R. N."},{"family":"Murray-Lyon","given":"I. M."},{"family":"Dawson","given":"J. L."},{"family":"Pietroni","given":"M. C."},{"family":"Williams","given":"R."}],"issued":{"date-parts":[["1973",8]]},"PMID":"4541913"}},{"id":2274,"uris":["http://zotero.org/users/587498/items/ZRVSXEUF"],"uri":["http://zotero.org/users/587498/items/ZRVSXEUF"],"itemData":{"id":2274,"type":"article-journal","title":"Prevention and management of gastroesophageal varices and variceal hemorrhage in cirrhosis","container-title":"Hepatology (Baltimore, Md.)","page":"922-938","volume":"46","issue":"3","source":"PubMed","DOI":"10.1002/hep.21907","ISSN":"0270-9139","note":"PMID: 17879356","journalAbbreviation":"Hepatology","language":"eng","author":[{"family":"Garcia-Tsao","given":"Guadalupe"},{"family":"Sanyal","given":"Arun J."},{"family":"Grace","given":"Norman D."},{"family":"Carey","given":"William"},{"literal":"Practice Guidelines Committee of the American Association for the Study of Liver Diseases"},{"literal":"Practice Parameters Committee of the American College of Gastroenterology"}],"issued":{"date-parts":[["2007",9]]},"PMID":"17879356"}},{"id":2281,"uris":["http://zotero.org/users/587498/items/AA89HAWZ"],"uri":["http://zotero.org/users/587498/items/AA89HAWZ"],"itemData":{"id":2281,"type":"article","title":"Wikipedia Child-Pugh entry: available at: http://en.wikipedia.org/wiki/Child-Pugh_score","author":[{"family":"Wikipedia","given":""}],"issued":{"date-parts":[["2015"]]}}},{"id":2282,"uris":["http://zotero.org/users/587498/items/52DDZ4N3"],"uri":["http://zotero.org/users/587498/items/52DDZ4N3"],"itemData":{"id":2282,"type":"article","title":"Medical Calculator, available at: http://www.mdcalc.com/child-pugh-score-for-cirrhosis-mortality/","author":[{"family":"MedCalc","given":""}],"issued":{"date-parts":[["2015"]]}}},{"id":2283,"uris":["http://zotero.org/users/587498/items/E8RM298W"],"uri":["http://zotero.org/users/587498/items/E8RM298W"],"itemData":{"id":2283,"type":"article","title":"NICE: What is the Child-Pugh score: available at: http://www.evidence.nhs.uk/search?q=%22What+is+the+Child+Pugh+score%22","author":[{"family":"NICE","given":""}],"issued":{"date-parts":[["2014"]]}}},{"id":2278,"uris":["http://zotero.org/users/587498/items/2W9TJHV4"],"uri":["http://zotero.org/users/587498/items/2W9TJHV4"],"itemData":{"id":2278,"type":"article","title":"Score de Child-Pugh; available at: www.snfge.org/download/file/fid/420","URL":"www.snfge.org/download/file/fid/420","author":[{"family":"SNFGE","given":""}],"issued":{"date-parts":[["2008"]]}}},{"id":2276,"uris":["http://zotero.org/users/587498/items/XEKG5VU8"],"uri":["http://zotero.org/users/587498/items/XEKG5VU8"],"itemData":{"id":2276,"type":"article-journal","title":"AASLD practice guidelines: Evaluation of the patient for liver transplantation","container-title":"Hepatology (Baltimore, Md.)","page":"1407-1432","volume":"41","issue":"6","source":"PubMed","DOI":"10.1002/hep.20704","ISSN":"0270-9139","note":"PMID: 15880505","shortTitle":"AASLD practice guidelines","journalAbbreviation":"Hepatology","language":"eng","author":[{"family":"Murray","given":"Karen F."},{"family":"Carithers","given":"Robert L."},{"literal":"AASLD"}],"issued":{"date-parts":[["2005",6]]},"PMID":"15880505"}}],"schema":"https://github.com/citation-style-language/schema/raw/master/csl-citation.json"} </w:instrText>
      </w:r>
      <w:r w:rsidRPr="00A31C5D">
        <w:rPr>
          <w:rFonts w:ascii="Arial" w:hAnsi="Arial" w:cs="Arial"/>
          <w:sz w:val="24"/>
          <w:szCs w:val="24"/>
        </w:rPr>
        <w:fldChar w:fldCharType="separate"/>
      </w:r>
      <w:r w:rsidR="00FE77F7" w:rsidRPr="00A31C5D">
        <w:rPr>
          <w:rFonts w:ascii="Arial" w:hAnsi="Arial" w:cs="Arial"/>
          <w:sz w:val="24"/>
          <w:szCs w:val="24"/>
        </w:rPr>
        <w:t>[5,9,17–21]</w:t>
      </w:r>
      <w:r w:rsidRPr="00A31C5D">
        <w:rPr>
          <w:rFonts w:ascii="Arial" w:hAnsi="Arial" w:cs="Arial"/>
          <w:sz w:val="24"/>
          <w:szCs w:val="24"/>
        </w:rPr>
        <w:fldChar w:fldCharType="end"/>
      </w:r>
      <w:r w:rsidRPr="00A31C5D">
        <w:rPr>
          <w:rFonts w:ascii="Arial" w:hAnsi="Arial" w:cs="Arial"/>
          <w:sz w:val="24"/>
          <w:szCs w:val="24"/>
        </w:rPr>
        <w:t>. Second, miscoding errors at the thresholds values are frequent, as presented by 39% of the patients with errors in our cohorts. Using only two variables, ALBI might be less prone to such coding-related errors. However, despite these miscoding of CP scores, the concordance between provided and calculated CP scores remained excellent with a kappa at 0.90, which is superior than kappa obtained for inter-observer variability judged acceptable in radiological evaluation, in the range of 0.50 to 0.60</w:t>
      </w:r>
      <w:r w:rsidR="00A31C5D" w:rsidRPr="00A31C5D">
        <w:rPr>
          <w:rFonts w:ascii="Arial" w:hAnsi="Arial" w:cs="Arial"/>
          <w:sz w:val="24"/>
          <w:szCs w:val="24"/>
        </w:rPr>
        <w:t xml:space="preserve"> </w:t>
      </w:r>
      <w:r w:rsidR="00A31C5D" w:rsidRPr="00A31C5D">
        <w:rPr>
          <w:rFonts w:ascii="Arial" w:hAnsi="Arial" w:cs="Arial"/>
          <w:sz w:val="24"/>
          <w:szCs w:val="24"/>
        </w:rPr>
        <w:fldChar w:fldCharType="begin"/>
      </w:r>
      <w:r w:rsidR="00A31C5D" w:rsidRPr="00A31C5D">
        <w:rPr>
          <w:rFonts w:ascii="Arial" w:hAnsi="Arial" w:cs="Arial"/>
          <w:sz w:val="24"/>
          <w:szCs w:val="24"/>
        </w:rPr>
        <w:instrText xml:space="preserve"> ADDIN ZOTERO_ITEM CSL_CITATION {"citationID":"b2djdjt1d","properties":{"formattedCitation":"[22,23]","plainCitation":"[22,23]"},"citationItems":[{"id":2475,"uris":["http://zotero.org/users/587498/items/IZND3GTE"],"uri":["http://zotero.org/users/587498/items/IZND3GTE"],"itemData":{"id":2475,"type":"article-journal","title":"Interobserver and intraobserver variability in the response evaluation of cancer therapy according to RECIST and WHO-criteria","container-title":"Acta Oncologica (Stockholm, Sweden)","page":"509-514","volume":"49","issue":"4","source":"PubMed","abstract":"BACKGROUND: Response Evaluation Criteria In Solid Tumors (RECIST) and WHO-criteria are used to evaluate treatment effects in clinical trials. The purpose of this study was to examine interobserver and intraobserver variations in radiological response assessment using these criteria.\nMATERIAL AND METHODS: Thirty-nine patients were eligible. Each patient's series of CT images were reviewed. Each patient was classified into one of four categories according RECIST and WHO-criteria. To examine interobserver variation, response classifications were independently obtained by two radiologists. One radiologist repeated the procedure on two additional different occasions to examine intraobserver variation. Kappa statistics was applied to examine agreement.\nRESULTS: Interobserver variation using RECIST and WHO-criteria were 0.53 (95% CI 0.33-0.72) and 0.60 (0.39-0.80), respectively. Response rates (RR) according to RECIST obtained by reader A and reader B were 33% and 21%, respectively. RR according to WHO-criteria obtained by reader A and reader B were 33% and 23% respectively. Intraobserver variation using RECIST and WHO-criteria ranged between 0.76-0.96 and 0.86-0.91, respectively.\nCONCLUSION: Radiological tumor response evaluation according to RECIST and WHO-criteria are subject to considerable inter- and intraobserver variability. Efforts are necessary to reduce inconsistencies from current response evaluation criteria.","DOI":"10.3109/02841861003705794","ISSN":"1651-226X","note":"PMID: 20397778","journalAbbreviation":"Acta Oncol","language":"eng","author":[{"family":"Suzuki","given":"Chikako"},{"family":"Torkzad","given":"Michael R."},{"family":"Jacobsson","given":"Hans"},{"family":"Aström","given":"Gunnar"},{"family":"Sundin","given":"Anders"},{"family":"Hatschek","given":"Thomas"},{"family":"Fujii","given":"Hirofumi"},{"family":"Blomqvist","given":"Lennart"}],"issued":{"date-parts":[["2010",5]]},"PMID":"20397778"}},{"id":2477,"uris":["http://zotero.org/users/587498/items/93NM3WHK"],"uri":["http://zotero.org/users/587498/items/93NM3WHK"],"itemData":{"id":2477,"type":"article-journal","title":"Reproducibility of mRECIST in assessing response to transarterial radioembolization therapy in hepatocellular carcinoma","container-title":"Hepatology (Baltimore, Md.)","source":"PubMed","abstract":"The purpose of our study was to evaluate the reproducibility of Modified Response Evaluation Criteria in Solid Tumors (mRECIST) in hepatocellular carcinoma (HCC) lesions undergoing transarterial radioembolization (TARE) therapy and to determine whether mRECIST reproducibility is affected by the enhancement pattern of HCC. One hundred and three HCC lesions from 103 patients treated with TARE were evaluated. The single longest diameter of viable tumor tissue was measured by two radiologists at baseline; response to therapy was evaluated according to mRECIST. The enhancement pattern of HCC lesions was correlated with their mRECIST response. The response rate between mRECIST and RECIST 1.1 was compared. Wilcoxon signed-rank test, paired t test, Lin's concordance correlation coefficient (ρc ), Bland-Altman plot, kappa statistics, and Fisher's exact test were used to assess intra- and interobserver reproducibilities and to compare response rates. There were better intra- than interobserver agreements in the measurement of single longest diameter of viable tumor tissue (bias = 0 cm intraobserver versus bias = 0.3 cm interobserver). For mRECIST, good intraobserver (ĸ = 0.70) and moderate interobserver (ĸ = 0.56) agreements were noted. The mRECIST response for HCC lesions with homogeneous enhancement at both baseline and follow-up imaging showed better intra- and interobserver agreements (ĸ = 0.77 and 0.60, respectively) than lesions with heterogeneous enhancement at both scans (ĸ = 0.54 and 0.40, respectively). In the early follow-up period mRECIST showed a significantly higher response rate than RECIST (40.8% versus 3.9%; P = 0.025).\nCONCLUSIONS: In HCC patients treated with TARE, mRECIST captures a significantly higher response rate compared with RECIST; it also demonstrates acceptable intra- and interobserver reproducibilities for HCC lesions treated with TARE, and mRECIST reproducibility may be lower for HCC lesions with heterogeneous distribution of the viable tumor tissue. (Hepatology 2015).","DOI":"10.1002/hep.27915","ISSN":"1527-3350","note":"PMID: 25999236","journalAbbreviation":"Hepatology","language":"ENG","author":[{"family":"Seyal","given":"Adeel R."},{"family":"Gonzalez-Guindalini","given":"Fernanda D."},{"family":"Arslanoglu","given":"Atilla"},{"family":"Harmath","given":"Carla B."},{"family":"Lewandowski","given":"Robert J."},{"family":"Salem","given":"Riad"},{"family":"Yaghmai","given":"Vahid"}],"issued":{"date-parts":[["2015",5,22]]},"PMID":"25999236"}}],"schema":"https://github.com/citation-style-language/schema/raw/master/csl-citation.json"} </w:instrText>
      </w:r>
      <w:r w:rsidR="00A31C5D" w:rsidRPr="00A31C5D">
        <w:rPr>
          <w:rFonts w:ascii="Arial" w:hAnsi="Arial" w:cs="Arial"/>
          <w:sz w:val="24"/>
          <w:szCs w:val="24"/>
        </w:rPr>
        <w:fldChar w:fldCharType="separate"/>
      </w:r>
      <w:r w:rsidR="00A31C5D" w:rsidRPr="00A31C5D">
        <w:rPr>
          <w:rFonts w:ascii="Arial" w:hAnsi="Arial" w:cs="Arial"/>
          <w:sz w:val="24"/>
          <w:szCs w:val="24"/>
        </w:rPr>
        <w:t>[22,23]</w:t>
      </w:r>
      <w:r w:rsidR="00A31C5D" w:rsidRPr="00A31C5D">
        <w:rPr>
          <w:rFonts w:ascii="Arial" w:hAnsi="Arial" w:cs="Arial"/>
          <w:sz w:val="24"/>
          <w:szCs w:val="24"/>
        </w:rPr>
        <w:fldChar w:fldCharType="end"/>
      </w:r>
      <w:r w:rsidRPr="00A31C5D">
        <w:rPr>
          <w:rFonts w:ascii="Arial" w:hAnsi="Arial" w:cs="Arial"/>
          <w:sz w:val="24"/>
          <w:szCs w:val="24"/>
        </w:rPr>
        <w:t xml:space="preserve">. </w:t>
      </w:r>
    </w:p>
    <w:p w14:paraId="4387B135" w14:textId="77777777" w:rsidR="00DA1222" w:rsidRPr="00A31C5D" w:rsidRDefault="00DA1222" w:rsidP="00A31C5D">
      <w:pPr>
        <w:spacing w:line="480" w:lineRule="auto"/>
        <w:rPr>
          <w:rFonts w:ascii="Arial" w:hAnsi="Arial" w:cs="Arial"/>
          <w:sz w:val="24"/>
          <w:szCs w:val="24"/>
        </w:rPr>
      </w:pPr>
      <w:r w:rsidRPr="00A31C5D">
        <w:rPr>
          <w:rFonts w:ascii="Arial" w:hAnsi="Arial" w:cs="Arial"/>
          <w:sz w:val="24"/>
          <w:szCs w:val="24"/>
        </w:rPr>
        <w:t xml:space="preserve">The respective roles of ALBI and CP in clinical practice and research need to be considered in view of our results. Broadly, these classifications have a potential role </w:t>
      </w:r>
      <w:r w:rsidRPr="00A31C5D">
        <w:rPr>
          <w:rFonts w:ascii="Arial" w:hAnsi="Arial" w:cs="Arial"/>
          <w:sz w:val="24"/>
          <w:szCs w:val="24"/>
        </w:rPr>
        <w:lastRenderedPageBreak/>
        <w:t>in patient selection and stratification, and to date, the majority of clinical trials in advanced HCC have included CP A disease as a key inclusion criteria.</w:t>
      </w:r>
    </w:p>
    <w:p w14:paraId="0D64A652" w14:textId="419D7589" w:rsidR="00DA1222" w:rsidRPr="00A31C5D" w:rsidRDefault="00DA1222" w:rsidP="00A31C5D">
      <w:pPr>
        <w:spacing w:line="480" w:lineRule="auto"/>
        <w:rPr>
          <w:rFonts w:ascii="Arial" w:hAnsi="Arial" w:cs="Arial"/>
          <w:sz w:val="24"/>
          <w:szCs w:val="24"/>
        </w:rPr>
      </w:pPr>
      <w:r w:rsidRPr="00A31C5D">
        <w:rPr>
          <w:rFonts w:ascii="Arial" w:hAnsi="Arial" w:cs="Arial"/>
          <w:sz w:val="24"/>
          <w:szCs w:val="24"/>
        </w:rPr>
        <w:t xml:space="preserve">Our results suggest that ALBI grade should not be used instead of CP as an inclusion criteria for clinical trials. First, the ALBI grade 2 has an intermediate prognosis (median OS of 6.6 months), but seems to encompass patients with quite different prognosis, as shown by higher loss of information and lower homogeneity for ALBI as compared with CP in the overall population, and illustrated by a median of 8.9 months for ALBI grade 2 – CP A5 vs 3.9 months for ALBI grade 2 – CP &gt;A6. This is probably related to the chosen design of ALBI grade 2, comprising patients between 25% and 90%-risk of death. </w:t>
      </w:r>
      <w:r w:rsidR="00FE77F7" w:rsidRPr="00A31C5D">
        <w:rPr>
          <w:rFonts w:ascii="Arial" w:hAnsi="Arial" w:cs="Arial"/>
          <w:sz w:val="24"/>
          <w:szCs w:val="24"/>
        </w:rPr>
        <w:t xml:space="preserve">Moreover, one might advocate to select only ALBI grade 1 CP A5 patients, as this population appears to have the best prognosis. However, that could </w:t>
      </w:r>
      <w:r w:rsidR="00666F48" w:rsidRPr="00A31C5D">
        <w:rPr>
          <w:rFonts w:ascii="Arial" w:hAnsi="Arial" w:cs="Arial"/>
          <w:sz w:val="24"/>
          <w:szCs w:val="24"/>
        </w:rPr>
        <w:t>exclude a significant number of</w:t>
      </w:r>
      <w:r w:rsidR="00FE77F7" w:rsidRPr="00A31C5D">
        <w:rPr>
          <w:rFonts w:ascii="Arial" w:hAnsi="Arial" w:cs="Arial"/>
          <w:sz w:val="24"/>
          <w:szCs w:val="24"/>
        </w:rPr>
        <w:t xml:space="preserve"> patients</w:t>
      </w:r>
      <w:r w:rsidR="00666F48" w:rsidRPr="00A31C5D">
        <w:rPr>
          <w:rFonts w:ascii="Arial" w:hAnsi="Arial" w:cs="Arial"/>
          <w:sz w:val="24"/>
          <w:szCs w:val="24"/>
        </w:rPr>
        <w:t xml:space="preserve"> who might otherwise benefit, as was demonstrated in the SHARP trail in which a survival advantage was demonstrated in both CP A5 and A6 patients. </w:t>
      </w:r>
      <w:r w:rsidRPr="00A31C5D">
        <w:rPr>
          <w:rFonts w:ascii="Arial" w:hAnsi="Arial" w:cs="Arial"/>
          <w:sz w:val="24"/>
          <w:szCs w:val="24"/>
        </w:rPr>
        <w:t>Second, excluding only patients with ALBI grade 3 would probably be less efficient than excluding patients with CP class B, as ALBI grade 2 also included 22% of patients classified as CP class B, associated with a worse prognosis with a median OS of only 3.9 months. Another area of debate is the appropriate evaluation of CP class B patients. This criterion is frequently used for exclusion from clinical trials. Some authors advocate similar treatment strategies for CP B7 patients as for CP A patients, when ascites is absent</w:t>
      </w:r>
      <w:r w:rsidR="00A31C5D" w:rsidRPr="00A31C5D">
        <w:rPr>
          <w:rFonts w:ascii="Arial" w:hAnsi="Arial" w:cs="Arial"/>
          <w:sz w:val="24"/>
          <w:szCs w:val="24"/>
        </w:rPr>
        <w:t xml:space="preserve"> </w:t>
      </w:r>
      <w:r w:rsidR="00A31C5D" w:rsidRPr="00A31C5D">
        <w:rPr>
          <w:rFonts w:ascii="Arial" w:hAnsi="Arial" w:cs="Arial"/>
          <w:sz w:val="24"/>
          <w:szCs w:val="24"/>
        </w:rPr>
        <w:fldChar w:fldCharType="begin"/>
      </w:r>
      <w:r w:rsidR="00A31C5D" w:rsidRPr="00A31C5D">
        <w:rPr>
          <w:rFonts w:ascii="Arial" w:hAnsi="Arial" w:cs="Arial"/>
          <w:sz w:val="24"/>
          <w:szCs w:val="24"/>
        </w:rPr>
        <w:instrText xml:space="preserve"> ADDIN ZOTERO_ITEM CSL_CITATION {"citationID":"1s396hg5p4","properties":{"formattedCitation":"[24]","plainCitation":"[24]"},"citationItems":[{"id":2284,"uris":["http://zotero.org/users/587498/items/ISK8UGZP"],"uri":["http://zotero.org/users/587498/items/ISK8UGZP"],"itemData":{"id":2284,"type":"article-journal","title":"Treatment of hepatocellular carcinoma in Child-Pugh B patients","container-title":"Digestive and Liver Disease: Official Journal of the Italian Society of Gastroenterology and the Italian Association for the Study of the Liver","page":"852-858","volume":"45","issue":"10","source":"PubMed","abstract":"BACKGROUND: The frequency with which patients in Child-Pugh B having hepatocellular carcinoma are treated following the international guidelines according to the Barcelona Clinic Liver Cancer stages is unknown.\nAIMS: To investigate treatment allocation for Child-Pugh B patients in different tumour stages, with particular interest in the intermediate stage.\nMETHODS: Patients were retrospectively identified from a consecutively collected series. Treatment was carried out primarily according to the guidelines.\nRESULTS: Of 86 Child-Pugh B patients, 45 were Barcelona early stage, of which the Child-Pugh scores were 46.7% B7, 33.3% B8, 20.0% B9; 27 patients were intermediate stage (B7 59.3%, B8 37.0% and B9 3.7% respectively), 12 were advanced (41.7% B7, 25.0% B8 and 33.3% B9) and 2 were terminal (both B9). In the intermediate stage, transarterial chemoembolization (or ablation) was performed in 68.8% of the Child-Pugh B7 patients, 50% of the B8 patients and 0% of the B9 patients. Median survival of the intermediate patients was 8.0 months (9.0 in B7 vs. 6.0 in -B8/B9, P=0.048). Survival of the intermediate stage patients undergoing chemoembolisation was 22.0 months in Child-Pugh B7 and 6.0 in B8.\nCONCLUSIONS: Approximately half of the intermediate stage patients can undergo locoregional treatment with good survival when in the Child-Pugh B7. The Child-Pugh numeric score impacts survival, suggesting that this tumour stage be refined.","DOI":"10.1016/j.dld.2013.03.002","ISSN":"1878-3562","note":"PMID: 23582346","journalAbbreviation":"Dig Liver Dis","language":"eng","author":[{"family":"Piscaglia","given":"Fabio"},{"family":"Terzi","given":"Eleonora"},{"family":"Cucchetti","given":"Alessandro"},{"family":"Trimarchi","given":"Chiara"},{"family":"Granito","given":"Alessandro"},{"family":"Leoni","given":"Simona"},{"family":"Marinelli","given":"Sara"},{"family":"Pini","given":"Patrizia"},{"family":"Bolondi","given":"Luigi"}],"issued":{"date-parts":[["2013",10]]},"PMID":"23582346"}}],"schema":"https://github.com/citation-style-language/schema/raw/master/csl-citation.json"} </w:instrText>
      </w:r>
      <w:r w:rsidR="00A31C5D" w:rsidRPr="00A31C5D">
        <w:rPr>
          <w:rFonts w:ascii="Arial" w:hAnsi="Arial" w:cs="Arial"/>
          <w:sz w:val="24"/>
          <w:szCs w:val="24"/>
        </w:rPr>
        <w:fldChar w:fldCharType="separate"/>
      </w:r>
      <w:r w:rsidR="00A31C5D" w:rsidRPr="00A31C5D">
        <w:rPr>
          <w:rFonts w:ascii="Arial" w:hAnsi="Arial" w:cs="Arial"/>
          <w:sz w:val="24"/>
          <w:szCs w:val="24"/>
        </w:rPr>
        <w:t>[24]</w:t>
      </w:r>
      <w:r w:rsidR="00A31C5D" w:rsidRPr="00A31C5D">
        <w:rPr>
          <w:rFonts w:ascii="Arial" w:hAnsi="Arial" w:cs="Arial"/>
          <w:sz w:val="24"/>
          <w:szCs w:val="24"/>
        </w:rPr>
        <w:fldChar w:fldCharType="end"/>
      </w:r>
      <w:r w:rsidRPr="00A31C5D">
        <w:rPr>
          <w:rFonts w:ascii="Arial" w:hAnsi="Arial" w:cs="Arial"/>
          <w:sz w:val="24"/>
          <w:szCs w:val="24"/>
        </w:rPr>
        <w:t xml:space="preserve">. However, in our cohort, we did not find any statistically or clinically significant difference in OS between patients classified as CP B7 vs CP &gt;B7. The role of sorafenib in HCC patients with CP B cirrhosis is under evaluation in 2 ongoing randomized controlled trials (PRODIGE 21 and BOOST trials) </w:t>
      </w:r>
      <w:r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vfv9ic39q","properties":{"formattedCitation":"[25,26]","plainCitation":"[25,26]"},"citationItems":[{"id":2286,"uris":["http://zotero.org/users/587498/items/UAWGK752"],"uri":["http://zotero.org/users/587498/items/UAWGK752"],"itemData":{"id":2286,"type":"article","title":"PRODIGE 21 trial: available at:https://clinicaltrials.gov/ct2/show/NCT01357486?term=child+b+sorafenib&amp;rank=1","author":[{"family":"Clinicaltrials.gov","given":""}],"issued":{"date-parts":[["2015"]]}}},{"id":2287,"uris":["http://zotero.org/users/587498/items/J8SCMCR3"],"uri":["http://zotero.org/users/587498/items/J8SCMCR3"],"itemData":{"id":2287,"type":"article","title":"BOOST trial: available at: https://clinicaltrials.gov/ct2/show/NCT01405573?term=child+b+sorafenib&amp;rank=3","author":[{"family":"Clinicaltrials.gov","given":""}],"issued":{"date-parts":[["2015"]]}}}],"schema":"https://github.com/citation-style-language/schema/raw/master/csl-citation.json"} </w:instrText>
      </w:r>
      <w:r w:rsidRPr="00A31C5D">
        <w:rPr>
          <w:rFonts w:ascii="Arial" w:hAnsi="Arial" w:cs="Arial"/>
          <w:sz w:val="24"/>
          <w:szCs w:val="24"/>
        </w:rPr>
        <w:fldChar w:fldCharType="separate"/>
      </w:r>
      <w:r w:rsidR="00FE77F7" w:rsidRPr="00A31C5D">
        <w:rPr>
          <w:rFonts w:ascii="Arial" w:hAnsi="Arial" w:cs="Arial"/>
          <w:sz w:val="24"/>
          <w:szCs w:val="24"/>
        </w:rPr>
        <w:t>[25,26]</w:t>
      </w:r>
      <w:r w:rsidRPr="00A31C5D">
        <w:rPr>
          <w:rFonts w:ascii="Arial" w:hAnsi="Arial" w:cs="Arial"/>
          <w:sz w:val="24"/>
          <w:szCs w:val="24"/>
        </w:rPr>
        <w:fldChar w:fldCharType="end"/>
      </w:r>
      <w:r w:rsidRPr="00A31C5D">
        <w:rPr>
          <w:rFonts w:ascii="Arial" w:hAnsi="Arial" w:cs="Arial"/>
          <w:sz w:val="24"/>
          <w:szCs w:val="24"/>
        </w:rPr>
        <w:t>.</w:t>
      </w:r>
    </w:p>
    <w:p w14:paraId="4C21E96E" w14:textId="77777777" w:rsidR="00DA1222" w:rsidRPr="00A31C5D" w:rsidRDefault="00DA1222" w:rsidP="00A31C5D">
      <w:pPr>
        <w:spacing w:line="480" w:lineRule="auto"/>
        <w:rPr>
          <w:rFonts w:ascii="Arial" w:hAnsi="Arial" w:cs="Arial"/>
          <w:sz w:val="24"/>
          <w:szCs w:val="24"/>
        </w:rPr>
      </w:pPr>
      <w:r w:rsidRPr="00A31C5D">
        <w:rPr>
          <w:rFonts w:ascii="Arial" w:hAnsi="Arial" w:cs="Arial"/>
          <w:sz w:val="24"/>
          <w:szCs w:val="24"/>
        </w:rPr>
        <w:lastRenderedPageBreak/>
        <w:t xml:space="preserve">Conversely, the comparison of both scores when restricted to CP class A patients showed that taken as a whole, ALBI grade 1 vs grade 2 was able to provide similar information as CP A5 vs A6, with the use of only 2 objective parameters rather than 5 parameters, some of them subjective, which suggests that ALBI might be preferred as a stratification factor. </w:t>
      </w:r>
    </w:p>
    <w:p w14:paraId="4C05049D" w14:textId="77777777" w:rsidR="00DA1222" w:rsidRPr="00A31C5D" w:rsidRDefault="00DA1222" w:rsidP="00A31C5D">
      <w:pPr>
        <w:spacing w:line="480" w:lineRule="auto"/>
        <w:rPr>
          <w:rFonts w:ascii="Arial" w:hAnsi="Arial" w:cs="Arial"/>
          <w:sz w:val="24"/>
          <w:szCs w:val="24"/>
        </w:rPr>
      </w:pPr>
      <w:r w:rsidRPr="00A31C5D">
        <w:rPr>
          <w:rFonts w:ascii="Arial" w:hAnsi="Arial" w:cs="Arial"/>
          <w:sz w:val="24"/>
          <w:szCs w:val="24"/>
        </w:rPr>
        <w:t>Limitations of our study comprise its retrospective nature, and the discrepancies between calculated and provided CP scores. Moreover, this study is limited to European centers, and patients treated with sorafenib, and results should be confirmed in other contexts.</w:t>
      </w:r>
    </w:p>
    <w:p w14:paraId="2A77C3F5" w14:textId="778EEB33" w:rsidR="00DA1222" w:rsidRPr="00A31C5D" w:rsidRDefault="00DA1222" w:rsidP="00A31C5D">
      <w:pPr>
        <w:spacing w:line="480" w:lineRule="auto"/>
        <w:rPr>
          <w:rFonts w:ascii="Arial" w:hAnsi="Arial" w:cs="Arial"/>
          <w:sz w:val="24"/>
          <w:szCs w:val="24"/>
        </w:rPr>
      </w:pPr>
      <w:r w:rsidRPr="00A31C5D">
        <w:rPr>
          <w:rFonts w:ascii="Arial" w:hAnsi="Arial" w:cs="Arial"/>
          <w:sz w:val="24"/>
          <w:szCs w:val="24"/>
        </w:rPr>
        <w:t>In conclusion, our findings support the continued use of CP class A as an inclusion criteria, but ALBI grade 1 vs 2 as a stratification factor for clinical trials of systemic therapy. Prospective studies will help to define further the relative benefits of ALBI and CP in different therapeutic contexts and inform clinical guidelines.</w:t>
      </w:r>
    </w:p>
    <w:p w14:paraId="1B1519EF" w14:textId="77777777" w:rsidR="00DA1222" w:rsidRPr="00A31C5D" w:rsidRDefault="00DA1222" w:rsidP="00A31C5D">
      <w:pPr>
        <w:spacing w:line="480" w:lineRule="auto"/>
        <w:rPr>
          <w:rFonts w:ascii="Arial" w:hAnsi="Arial" w:cs="Arial"/>
          <w:sz w:val="24"/>
          <w:szCs w:val="24"/>
        </w:rPr>
      </w:pPr>
    </w:p>
    <w:p w14:paraId="6CB5CF03" w14:textId="77777777" w:rsidR="00C05102" w:rsidRPr="00A31C5D" w:rsidRDefault="00C05102" w:rsidP="00A31C5D">
      <w:pPr>
        <w:spacing w:line="480" w:lineRule="auto"/>
        <w:rPr>
          <w:rFonts w:ascii="Arial" w:hAnsi="Arial" w:cs="Arial"/>
          <w:sz w:val="24"/>
          <w:szCs w:val="24"/>
        </w:rPr>
      </w:pPr>
      <w:r w:rsidRPr="00A31C5D">
        <w:rPr>
          <w:rFonts w:ascii="Arial" w:hAnsi="Arial" w:cs="Arial"/>
          <w:sz w:val="24"/>
          <w:szCs w:val="24"/>
        </w:rPr>
        <w:br w:type="page"/>
      </w:r>
    </w:p>
    <w:p w14:paraId="7272C126" w14:textId="2DF35FFA" w:rsidR="00684E99" w:rsidRPr="00A31C5D" w:rsidRDefault="00684E99" w:rsidP="00A31C5D">
      <w:pPr>
        <w:spacing w:line="480" w:lineRule="auto"/>
        <w:rPr>
          <w:rFonts w:ascii="Arial" w:hAnsi="Arial" w:cs="Arial"/>
          <w:sz w:val="24"/>
          <w:szCs w:val="24"/>
        </w:rPr>
      </w:pPr>
      <w:r w:rsidRPr="00A31C5D">
        <w:rPr>
          <w:rFonts w:ascii="Arial" w:hAnsi="Arial" w:cs="Arial"/>
          <w:sz w:val="24"/>
          <w:szCs w:val="24"/>
        </w:rPr>
        <w:lastRenderedPageBreak/>
        <w:t>Acknowledgments</w:t>
      </w:r>
    </w:p>
    <w:p w14:paraId="5036F2F6" w14:textId="220290B5" w:rsidR="00C05102" w:rsidRPr="00A31C5D" w:rsidRDefault="00684E99" w:rsidP="00A31C5D">
      <w:pPr>
        <w:spacing w:line="480" w:lineRule="auto"/>
        <w:rPr>
          <w:rFonts w:ascii="Arial" w:hAnsi="Arial" w:cs="Arial"/>
          <w:sz w:val="24"/>
          <w:szCs w:val="24"/>
        </w:rPr>
      </w:pPr>
      <w:r w:rsidRPr="00A31C5D">
        <w:rPr>
          <w:rFonts w:ascii="Arial" w:hAnsi="Arial" w:cs="Arial"/>
          <w:sz w:val="24"/>
          <w:szCs w:val="24"/>
        </w:rPr>
        <w:t>T</w:t>
      </w:r>
      <w:r w:rsidR="00F23A52" w:rsidRPr="00A31C5D">
        <w:rPr>
          <w:rFonts w:ascii="Arial" w:hAnsi="Arial" w:cs="Arial"/>
          <w:sz w:val="24"/>
          <w:szCs w:val="24"/>
        </w:rPr>
        <w:t xml:space="preserve">im </w:t>
      </w:r>
      <w:r w:rsidRPr="00A31C5D">
        <w:rPr>
          <w:rFonts w:ascii="Arial" w:hAnsi="Arial" w:cs="Arial"/>
          <w:sz w:val="24"/>
          <w:szCs w:val="24"/>
        </w:rPr>
        <w:t>M</w:t>
      </w:r>
      <w:r w:rsidR="00F23A52" w:rsidRPr="00A31C5D">
        <w:rPr>
          <w:rFonts w:ascii="Arial" w:hAnsi="Arial" w:cs="Arial"/>
          <w:sz w:val="24"/>
          <w:szCs w:val="24"/>
        </w:rPr>
        <w:t>eyer</w:t>
      </w:r>
      <w:r w:rsidRPr="00A31C5D">
        <w:rPr>
          <w:rFonts w:ascii="Arial" w:hAnsi="Arial" w:cs="Arial"/>
          <w:sz w:val="24"/>
          <w:szCs w:val="24"/>
        </w:rPr>
        <w:t xml:space="preserve"> is part funded by the NIHR Biomedical Research Centre at University College London Hospitals NHS Foundation Trust and University College London.</w:t>
      </w:r>
    </w:p>
    <w:p w14:paraId="42C75C0D" w14:textId="2CD2B305" w:rsidR="006F2B0A" w:rsidRPr="00A31C5D" w:rsidRDefault="00C05102" w:rsidP="00A31C5D">
      <w:pPr>
        <w:spacing w:line="480" w:lineRule="auto"/>
        <w:rPr>
          <w:rFonts w:ascii="Arial" w:hAnsi="Arial" w:cs="Arial"/>
          <w:sz w:val="24"/>
          <w:szCs w:val="24"/>
        </w:rPr>
      </w:pPr>
      <w:r w:rsidRPr="00A31C5D">
        <w:rPr>
          <w:rFonts w:ascii="Arial" w:hAnsi="Arial" w:cs="Arial"/>
          <w:sz w:val="24"/>
          <w:szCs w:val="24"/>
        </w:rPr>
        <w:t>J</w:t>
      </w:r>
      <w:r w:rsidR="00F23A52" w:rsidRPr="00A31C5D">
        <w:rPr>
          <w:rFonts w:ascii="Arial" w:hAnsi="Arial" w:cs="Arial"/>
          <w:sz w:val="24"/>
          <w:szCs w:val="24"/>
        </w:rPr>
        <w:t xml:space="preserve">ulien </w:t>
      </w:r>
      <w:r w:rsidRPr="00A31C5D">
        <w:rPr>
          <w:rFonts w:ascii="Arial" w:hAnsi="Arial" w:cs="Arial"/>
          <w:sz w:val="24"/>
          <w:szCs w:val="24"/>
        </w:rPr>
        <w:t>E</w:t>
      </w:r>
      <w:r w:rsidR="00F23A52" w:rsidRPr="00A31C5D">
        <w:rPr>
          <w:rFonts w:ascii="Arial" w:hAnsi="Arial" w:cs="Arial"/>
          <w:sz w:val="24"/>
          <w:szCs w:val="24"/>
        </w:rPr>
        <w:t>deline</w:t>
      </w:r>
      <w:r w:rsidRPr="00A31C5D">
        <w:rPr>
          <w:rFonts w:ascii="Arial" w:hAnsi="Arial" w:cs="Arial"/>
          <w:sz w:val="24"/>
          <w:szCs w:val="24"/>
        </w:rPr>
        <w:t xml:space="preserve"> received a research</w:t>
      </w:r>
      <w:r w:rsidR="00F23A52" w:rsidRPr="00A31C5D">
        <w:rPr>
          <w:rFonts w:ascii="Arial" w:hAnsi="Arial" w:cs="Arial"/>
          <w:sz w:val="24"/>
          <w:szCs w:val="24"/>
        </w:rPr>
        <w:t xml:space="preserve"> grant from Fondation de France.</w:t>
      </w:r>
      <w:r w:rsidR="006F2B0A" w:rsidRPr="00A31C5D">
        <w:rPr>
          <w:rFonts w:ascii="Arial" w:hAnsi="Arial" w:cs="Arial"/>
          <w:sz w:val="24"/>
          <w:szCs w:val="24"/>
        </w:rPr>
        <w:br w:type="page"/>
      </w:r>
    </w:p>
    <w:p w14:paraId="32DEC5AE" w14:textId="026A4AE1" w:rsidR="00717155" w:rsidRPr="00A31C5D" w:rsidRDefault="00717155" w:rsidP="00A31C5D">
      <w:pPr>
        <w:spacing w:line="480" w:lineRule="auto"/>
        <w:rPr>
          <w:rFonts w:ascii="Arial" w:hAnsi="Arial" w:cs="Arial"/>
          <w:sz w:val="24"/>
          <w:szCs w:val="24"/>
        </w:rPr>
      </w:pPr>
      <w:r w:rsidRPr="00A31C5D">
        <w:rPr>
          <w:rFonts w:ascii="Arial" w:hAnsi="Arial" w:cs="Arial"/>
          <w:sz w:val="24"/>
          <w:szCs w:val="24"/>
        </w:rPr>
        <w:lastRenderedPageBreak/>
        <w:t>References</w:t>
      </w:r>
    </w:p>
    <w:p w14:paraId="1D108B53" w14:textId="5E0E4313" w:rsidR="00A31C5D" w:rsidRPr="00A31C5D" w:rsidRDefault="00717155" w:rsidP="00A31C5D">
      <w:pPr>
        <w:pStyle w:val="Bibliography"/>
        <w:spacing w:line="480" w:lineRule="auto"/>
        <w:rPr>
          <w:rFonts w:ascii="Arial" w:hAnsi="Arial" w:cs="Arial"/>
          <w:sz w:val="24"/>
          <w:szCs w:val="24"/>
        </w:rPr>
      </w:pPr>
      <w:r w:rsidRPr="00A31C5D">
        <w:rPr>
          <w:rFonts w:ascii="Arial" w:hAnsi="Arial" w:cs="Arial"/>
          <w:sz w:val="24"/>
          <w:szCs w:val="24"/>
        </w:rPr>
        <w:fldChar w:fldCharType="begin"/>
      </w:r>
      <w:r w:rsidR="00FE77F7" w:rsidRPr="00A31C5D">
        <w:rPr>
          <w:rFonts w:ascii="Arial" w:hAnsi="Arial" w:cs="Arial"/>
          <w:sz w:val="24"/>
          <w:szCs w:val="24"/>
        </w:rPr>
        <w:instrText xml:space="preserve"> ADDIN ZOTERO_BIBL {"custom":[]} CSL_BIBLIOGRAPHY </w:instrText>
      </w:r>
      <w:r w:rsidRPr="00A31C5D">
        <w:rPr>
          <w:rFonts w:ascii="Arial" w:hAnsi="Arial" w:cs="Arial"/>
          <w:sz w:val="24"/>
          <w:szCs w:val="24"/>
          <w:lang w:val="en-GB"/>
        </w:rPr>
        <w:fldChar w:fldCharType="separate"/>
      </w:r>
      <w:r w:rsidR="00A31C5D" w:rsidRPr="00A31C5D">
        <w:rPr>
          <w:rFonts w:ascii="Arial" w:hAnsi="Arial" w:cs="Arial"/>
          <w:sz w:val="24"/>
          <w:szCs w:val="24"/>
        </w:rPr>
        <w:t xml:space="preserve">1. Torre LA, Bray F, Siegel RL, Ferlay J, Lortet-Tieulent J, Jemal A. Global cancer statistics, 2012: Global Cancer Statistics, 2012. CA. Cancer J. Clin. 2015; 65:87–108. </w:t>
      </w:r>
    </w:p>
    <w:p w14:paraId="1EBDA5B4"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2. EASL, EORTC, others. EASL–EORTC Clinical Practice Guidelines: management of hepatocellular carcinoma. J. Hepatol. 2012; 56:908–943. </w:t>
      </w:r>
    </w:p>
    <w:p w14:paraId="6C8AA6DB"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3. Durand F, Valla D. Assessment of Prognosis of Cirrhosis. Semin. Liver Dis. 2008; 28:110–122. </w:t>
      </w:r>
    </w:p>
    <w:p w14:paraId="1E300FCE" w14:textId="191AEAB2"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4. Malinchoc M, Kamath PS, Gordon FD, Peine CJ, Rank J, ter Borg PC. A model to predict poor survival in patients undergoing transjugular intrahepatic portosystemic shunts. Hepatol. 2000; 31:864–871. </w:t>
      </w:r>
    </w:p>
    <w:p w14:paraId="34DB0935"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5. Pugh RN, Murray-Lyon IM, Dawson JL, Pietroni MC, Williams R. Transection of the oesophagus for bleeding oesophageal varices. Br. J. Surg. 1973; 60:646–649. </w:t>
      </w:r>
    </w:p>
    <w:p w14:paraId="51FD1902"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6. Johnson PJ, Berhane S, Kagebayashi C, Satomura S, Teng M, Reeves HL, et al. Assessment of Liver Function in Patients With Hepatocellular Carcinoma: A New Evidence-Based Approach--The ALBI Grade. J. Clin. Oncol. 2015; 33:550–558. </w:t>
      </w:r>
    </w:p>
    <w:p w14:paraId="75B54AFF"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7. STROBE Statement: Home [Internet]. [cited 2015 Dec 9]; at &lt;http://strobe-statement.org/index.php?id=strobe-home&gt;</w:t>
      </w:r>
    </w:p>
    <w:p w14:paraId="470B20B5"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8. Trey C, Burns DG, Saunders SJ. Treatment of hepatic coma by exchange blood transfusion. N. Engl. J. Med. 1966; 274:473–481. </w:t>
      </w:r>
    </w:p>
    <w:p w14:paraId="10F29434" w14:textId="75077994"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9. Garcia-Tsao G, Sanyal AJ, Grace ND, Carey W, Practice Guidelines Committee of the American Association for the Study of Liver Diseases, Practice Parameters Committee of the American College of Gastroenterology. Prevention and </w:t>
      </w:r>
      <w:r w:rsidRPr="00A31C5D">
        <w:rPr>
          <w:rFonts w:ascii="Arial" w:hAnsi="Arial" w:cs="Arial"/>
          <w:sz w:val="24"/>
          <w:szCs w:val="24"/>
        </w:rPr>
        <w:lastRenderedPageBreak/>
        <w:t xml:space="preserve">management of gastroesophageal varices and variceal hemorrhage in cirrhosis. Hepatol. 2007; 46:922–938. </w:t>
      </w:r>
    </w:p>
    <w:p w14:paraId="452C3734" w14:textId="5D561BCA"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10. Ueno S, Tanabe G, Sako K, Hiwaki T, Hokotate H, Fukukura Y, et al. Discrimination value of the new western prognostic system (CLIP score) for hepatocellular carcinoma in 662 Japanese patients. Cancer of the Liver Italian Program. Hepatol. 2001; 34:529–534. </w:t>
      </w:r>
    </w:p>
    <w:p w14:paraId="4C4E9517" w14:textId="4B74F27E" w:rsidR="00A31C5D" w:rsidRPr="0014269D" w:rsidRDefault="00A31C5D" w:rsidP="00A31C5D">
      <w:pPr>
        <w:pStyle w:val="Bibliography"/>
        <w:spacing w:line="480" w:lineRule="auto"/>
        <w:rPr>
          <w:rFonts w:ascii="Arial" w:hAnsi="Arial" w:cs="Arial"/>
          <w:sz w:val="24"/>
          <w:szCs w:val="24"/>
          <w:lang w:val="fr-FR"/>
        </w:rPr>
      </w:pPr>
      <w:r w:rsidRPr="00A31C5D">
        <w:rPr>
          <w:rFonts w:ascii="Arial" w:hAnsi="Arial" w:cs="Arial"/>
          <w:sz w:val="24"/>
          <w:szCs w:val="24"/>
        </w:rPr>
        <w:t xml:space="preserve">11. Marrero JA, Fontana RJ, Barrat A, Askari F, Conjeevaram HS, Su GL, et al. Prognosis of hepatocellular carcinoma: comparison of 7 staging systems in an American cohort. </w:t>
      </w:r>
      <w:r w:rsidRPr="0014269D">
        <w:rPr>
          <w:rFonts w:ascii="Arial" w:hAnsi="Arial" w:cs="Arial"/>
          <w:sz w:val="24"/>
          <w:szCs w:val="24"/>
          <w:lang w:val="fr-FR"/>
        </w:rPr>
        <w:t xml:space="preserve">Hepatol. 2005; 41:707–716. </w:t>
      </w:r>
    </w:p>
    <w:p w14:paraId="7DBA6CF7" w14:textId="77777777" w:rsidR="00A31C5D" w:rsidRPr="00A31C5D" w:rsidRDefault="00A31C5D" w:rsidP="00A31C5D">
      <w:pPr>
        <w:pStyle w:val="Bibliography"/>
        <w:spacing w:line="480" w:lineRule="auto"/>
        <w:rPr>
          <w:rFonts w:ascii="Arial" w:hAnsi="Arial" w:cs="Arial"/>
          <w:sz w:val="24"/>
          <w:szCs w:val="24"/>
        </w:rPr>
      </w:pPr>
      <w:r w:rsidRPr="0014269D">
        <w:rPr>
          <w:rFonts w:ascii="Arial" w:hAnsi="Arial" w:cs="Arial"/>
          <w:sz w:val="24"/>
          <w:szCs w:val="24"/>
          <w:lang w:val="fr-FR"/>
        </w:rPr>
        <w:t xml:space="preserve">12. Ogasawara S, Chiba T, Ooka Y, Suzuki E, Kanogawa N, Saito T, et al. </w:t>
      </w:r>
      <w:r w:rsidRPr="00A31C5D">
        <w:rPr>
          <w:rFonts w:ascii="Arial" w:hAnsi="Arial" w:cs="Arial"/>
          <w:sz w:val="24"/>
          <w:szCs w:val="24"/>
        </w:rPr>
        <w:t xml:space="preserve">Liver function assessment according to the Albumin-Bilirubin (ALBI) grade in sorafenib-treated patients with advanced hepatocellular carcinoma. Invest. New Drugs. 2015; 33:1257–1262. </w:t>
      </w:r>
    </w:p>
    <w:p w14:paraId="73F34939"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13. Hiraoka A, Kumada T, Michitaka K, Toyoda H, Tada T, Ueki H, et al. Usefulness of albumin-bilirubin (ALBI) grade for evaluation of prognosis of 2584 Japanese patients with hepatocellular carcinoma. J. Gastroenterol. Hepatol. 2015; doi:10.1111/jgh.13250</w:t>
      </w:r>
    </w:p>
    <w:p w14:paraId="574CF589"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14. Chan AWH, Chong CCN, Mo FKF, Wong J, Yeo W, Johnson PJ, et al. Applicability of Albumin-Bilirubin-based Japan Integrated Staging (ALBI-T) score in hepatitis B-associated hepatocellular carcinoma. J. Gastroenterol. Hepatol. 2016; doi:10.1111/jgh.13339</w:t>
      </w:r>
    </w:p>
    <w:p w14:paraId="3E745CEA"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15. Chan AWH, Kumada T, Toyoda H, Tada T, Chong CCN, Mo FKF, et al. Integration of albumin-bilirubin (ALBI) score into Barcelona clinic liver cancer (BCLC) </w:t>
      </w:r>
      <w:r w:rsidRPr="00A31C5D">
        <w:rPr>
          <w:rFonts w:ascii="Arial" w:hAnsi="Arial" w:cs="Arial"/>
          <w:sz w:val="24"/>
          <w:szCs w:val="24"/>
        </w:rPr>
        <w:lastRenderedPageBreak/>
        <w:t>system for hepatocellular carcinoma. J. Gastroenterol. Hepatol. 2016; doi:10.1111/jgh.13291</w:t>
      </w:r>
    </w:p>
    <w:p w14:paraId="111D562D"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16. Okajima C, Arii S, Tanaka S, Matsumura S, Ban D, Ochiai T, et al. Prognostic role of Child-Pugh score 5 and 6 in hepatocellular carcinoma patients who underwent curative hepatic resection. Am. J. Surg. 2015; 209:199–205. </w:t>
      </w:r>
    </w:p>
    <w:p w14:paraId="2D7FB5AB"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17. Wikipedia. Wikipedia Child-Pugh entry: available at: http://en.wikipedia.org/wiki/Child-Pugh_score. 2015; </w:t>
      </w:r>
    </w:p>
    <w:p w14:paraId="1769393D"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18. MedCalc. Medical Calculator, available at: http://www.mdcalc.com/child-pugh-score-for-cirrhosis-mortality/. 2015; </w:t>
      </w:r>
    </w:p>
    <w:p w14:paraId="3AC5A404"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19. NICE. NICE: What is the Child-Pugh score: available at: http://www.evidence.nhs.uk/search?q=%22What+is+the+Child+Pugh+score%22. 2014; </w:t>
      </w:r>
    </w:p>
    <w:p w14:paraId="4B31F289"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20. SNFGE. Score de Child-Pugh; available at: www.snfge.org/download/file/fid/420 [Internet]. 2008; at &lt;www.snfge.org/download/file/fid/420&gt;</w:t>
      </w:r>
    </w:p>
    <w:p w14:paraId="56325DBD" w14:textId="6087AB01"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21. Murray KF, Carithers RL, AASLD. AASLD practice guidelines: Evaluation of the patient for liver transplantation. Hepatol. 2005; 41:1407–1432. </w:t>
      </w:r>
    </w:p>
    <w:p w14:paraId="6543120B" w14:textId="4FB84065"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22. Suzuki C, Torkzad MR, Jacobsson H, Aström G, Sundin A, Hatschek T, et al. Interobserver and intraobserver variability in the response evaluation of cancer therapy according to RECIST and WHO-criteria. Acta Oncol. 2010; 49:509–514. </w:t>
      </w:r>
    </w:p>
    <w:p w14:paraId="59182FE6" w14:textId="6A8B4645"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23. Seyal AR, Gonzalez-Guindalini FD, Arslanoglu A, Harmath CB, Lewandowski RJ, Salem R, et al. Reproducibility of mRECIST in assessing response to transarterial </w:t>
      </w:r>
      <w:r w:rsidRPr="00A31C5D">
        <w:rPr>
          <w:rFonts w:ascii="Arial" w:hAnsi="Arial" w:cs="Arial"/>
          <w:sz w:val="24"/>
          <w:szCs w:val="24"/>
        </w:rPr>
        <w:lastRenderedPageBreak/>
        <w:t>radioembolization therapy in hepatocellular carcinoma. Hepatol. 2015; doi:10.1002/hep.27915</w:t>
      </w:r>
    </w:p>
    <w:p w14:paraId="0FF266B8" w14:textId="7C13AE43"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24. Piscaglia F, Terzi E, Cucchetti A, Trimarchi C, Granito A, Leoni S, et al. Treatment of hepatocellular carcinoma in Child-Pugh B patients. Dig. Liver Dis. 2013; 45:852–858. </w:t>
      </w:r>
    </w:p>
    <w:p w14:paraId="615B645A"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25. Clinicaltrials.gov. PRODIGE 21 trial: available at:https://clinicaltrials.gov/ct2/show/NCT01357486?term=child+b+sorafenib&amp;rank=1. 2015; </w:t>
      </w:r>
    </w:p>
    <w:p w14:paraId="0A25C3CA" w14:textId="77777777" w:rsidR="00A31C5D" w:rsidRPr="00A31C5D" w:rsidRDefault="00A31C5D" w:rsidP="00A31C5D">
      <w:pPr>
        <w:pStyle w:val="Bibliography"/>
        <w:spacing w:line="480" w:lineRule="auto"/>
        <w:rPr>
          <w:rFonts w:ascii="Arial" w:hAnsi="Arial" w:cs="Arial"/>
          <w:sz w:val="24"/>
          <w:szCs w:val="24"/>
        </w:rPr>
      </w:pPr>
      <w:r w:rsidRPr="00A31C5D">
        <w:rPr>
          <w:rFonts w:ascii="Arial" w:hAnsi="Arial" w:cs="Arial"/>
          <w:sz w:val="24"/>
          <w:szCs w:val="24"/>
        </w:rPr>
        <w:t xml:space="preserve">26. Clinicaltrials.gov. BOOST trial: available at: https://clinicaltrials.gov/ct2/show/NCT01405573?term=child+b+sorafenib&amp;rank=3. 2015; </w:t>
      </w:r>
    </w:p>
    <w:p w14:paraId="61E0294D" w14:textId="109FC7E6" w:rsidR="002204FB" w:rsidRPr="00A31C5D" w:rsidRDefault="00717155" w:rsidP="00A31C5D">
      <w:pPr>
        <w:spacing w:line="480" w:lineRule="auto"/>
        <w:rPr>
          <w:rFonts w:ascii="Arial" w:hAnsi="Arial" w:cs="Arial"/>
          <w:sz w:val="24"/>
          <w:szCs w:val="24"/>
        </w:rPr>
      </w:pPr>
      <w:r w:rsidRPr="00A31C5D">
        <w:rPr>
          <w:rFonts w:ascii="Arial" w:hAnsi="Arial" w:cs="Arial"/>
          <w:sz w:val="24"/>
          <w:szCs w:val="24"/>
        </w:rPr>
        <w:fldChar w:fldCharType="end"/>
      </w:r>
      <w:r w:rsidR="002204FB" w:rsidRPr="00A31C5D">
        <w:rPr>
          <w:rFonts w:ascii="Arial" w:hAnsi="Arial" w:cs="Arial"/>
          <w:sz w:val="24"/>
          <w:szCs w:val="24"/>
        </w:rPr>
        <w:br w:type="page"/>
      </w:r>
    </w:p>
    <w:p w14:paraId="7CE8869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lastRenderedPageBreak/>
        <w:t>Table 1: Scoring used for the Child-Pugh classification (3, 5, 8)</w:t>
      </w:r>
    </w:p>
    <w:tbl>
      <w:tblPr>
        <w:tblStyle w:val="TableGrid"/>
        <w:tblW w:w="0" w:type="auto"/>
        <w:tblLook w:val="04A0" w:firstRow="1" w:lastRow="0" w:firstColumn="1" w:lastColumn="0" w:noHBand="0" w:noVBand="1"/>
      </w:tblPr>
      <w:tblGrid>
        <w:gridCol w:w="2265"/>
        <w:gridCol w:w="2265"/>
        <w:gridCol w:w="2266"/>
        <w:gridCol w:w="2266"/>
      </w:tblGrid>
      <w:tr w:rsidR="003907EC" w:rsidRPr="00A31C5D" w14:paraId="10BFAE1B" w14:textId="77777777" w:rsidTr="003907EC">
        <w:tc>
          <w:tcPr>
            <w:tcW w:w="2265" w:type="dxa"/>
            <w:tcBorders>
              <w:top w:val="single" w:sz="4" w:space="0" w:color="auto"/>
              <w:left w:val="single" w:sz="4" w:space="0" w:color="auto"/>
              <w:bottom w:val="single" w:sz="4" w:space="0" w:color="auto"/>
              <w:right w:val="single" w:sz="4" w:space="0" w:color="auto"/>
            </w:tcBorders>
          </w:tcPr>
          <w:p w14:paraId="7F8147D1" w14:textId="77777777" w:rsidR="003907EC" w:rsidRPr="00A31C5D" w:rsidRDefault="003907EC" w:rsidP="00A31C5D">
            <w:pPr>
              <w:spacing w:line="480" w:lineRule="auto"/>
              <w:rPr>
                <w:rFonts w:ascii="Arial" w:hAnsi="Arial" w:cs="Arial"/>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14:paraId="1DAD16D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 point</w:t>
            </w:r>
          </w:p>
        </w:tc>
        <w:tc>
          <w:tcPr>
            <w:tcW w:w="2266" w:type="dxa"/>
            <w:tcBorders>
              <w:top w:val="single" w:sz="4" w:space="0" w:color="auto"/>
              <w:left w:val="single" w:sz="4" w:space="0" w:color="auto"/>
              <w:bottom w:val="single" w:sz="4" w:space="0" w:color="auto"/>
              <w:right w:val="single" w:sz="4" w:space="0" w:color="auto"/>
            </w:tcBorders>
            <w:hideMark/>
          </w:tcPr>
          <w:p w14:paraId="1451D79A"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 points</w:t>
            </w:r>
          </w:p>
        </w:tc>
        <w:tc>
          <w:tcPr>
            <w:tcW w:w="2266" w:type="dxa"/>
            <w:tcBorders>
              <w:top w:val="single" w:sz="4" w:space="0" w:color="auto"/>
              <w:left w:val="single" w:sz="4" w:space="0" w:color="auto"/>
              <w:bottom w:val="single" w:sz="4" w:space="0" w:color="auto"/>
              <w:right w:val="single" w:sz="4" w:space="0" w:color="auto"/>
            </w:tcBorders>
            <w:hideMark/>
          </w:tcPr>
          <w:p w14:paraId="22C8E9D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3 points</w:t>
            </w:r>
          </w:p>
        </w:tc>
      </w:tr>
      <w:tr w:rsidR="003907EC" w:rsidRPr="00A31C5D" w14:paraId="148B3416" w14:textId="77777777" w:rsidTr="003907EC">
        <w:tc>
          <w:tcPr>
            <w:tcW w:w="2265" w:type="dxa"/>
            <w:tcBorders>
              <w:top w:val="single" w:sz="4" w:space="0" w:color="auto"/>
              <w:left w:val="single" w:sz="4" w:space="0" w:color="auto"/>
              <w:bottom w:val="single" w:sz="4" w:space="0" w:color="auto"/>
              <w:right w:val="single" w:sz="4" w:space="0" w:color="auto"/>
            </w:tcBorders>
            <w:hideMark/>
          </w:tcPr>
          <w:p w14:paraId="248702D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Albumin</w:t>
            </w:r>
          </w:p>
        </w:tc>
        <w:tc>
          <w:tcPr>
            <w:tcW w:w="2265" w:type="dxa"/>
            <w:tcBorders>
              <w:top w:val="single" w:sz="4" w:space="0" w:color="auto"/>
              <w:left w:val="single" w:sz="4" w:space="0" w:color="auto"/>
              <w:bottom w:val="single" w:sz="4" w:space="0" w:color="auto"/>
              <w:right w:val="single" w:sz="4" w:space="0" w:color="auto"/>
            </w:tcBorders>
            <w:hideMark/>
          </w:tcPr>
          <w:p w14:paraId="6A850BC8"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&gt; 35 g/L</w:t>
            </w:r>
          </w:p>
        </w:tc>
        <w:tc>
          <w:tcPr>
            <w:tcW w:w="2266" w:type="dxa"/>
            <w:tcBorders>
              <w:top w:val="single" w:sz="4" w:space="0" w:color="auto"/>
              <w:left w:val="single" w:sz="4" w:space="0" w:color="auto"/>
              <w:bottom w:val="single" w:sz="4" w:space="0" w:color="auto"/>
              <w:right w:val="single" w:sz="4" w:space="0" w:color="auto"/>
            </w:tcBorders>
            <w:hideMark/>
          </w:tcPr>
          <w:p w14:paraId="0D21E66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35-28 g/L</w:t>
            </w:r>
          </w:p>
        </w:tc>
        <w:tc>
          <w:tcPr>
            <w:tcW w:w="2266" w:type="dxa"/>
            <w:tcBorders>
              <w:top w:val="single" w:sz="4" w:space="0" w:color="auto"/>
              <w:left w:val="single" w:sz="4" w:space="0" w:color="auto"/>
              <w:bottom w:val="single" w:sz="4" w:space="0" w:color="auto"/>
              <w:right w:val="single" w:sz="4" w:space="0" w:color="auto"/>
            </w:tcBorders>
            <w:hideMark/>
          </w:tcPr>
          <w:p w14:paraId="6890C2B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&lt; 28 g/L</w:t>
            </w:r>
          </w:p>
        </w:tc>
      </w:tr>
      <w:tr w:rsidR="003907EC" w:rsidRPr="00A31C5D" w14:paraId="41F2035F" w14:textId="77777777" w:rsidTr="003907EC">
        <w:tc>
          <w:tcPr>
            <w:tcW w:w="2265" w:type="dxa"/>
            <w:tcBorders>
              <w:top w:val="single" w:sz="4" w:space="0" w:color="auto"/>
              <w:left w:val="single" w:sz="4" w:space="0" w:color="auto"/>
              <w:bottom w:val="single" w:sz="4" w:space="0" w:color="auto"/>
              <w:right w:val="single" w:sz="4" w:space="0" w:color="auto"/>
            </w:tcBorders>
            <w:hideMark/>
          </w:tcPr>
          <w:p w14:paraId="3B59F3A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Bilirubin</w:t>
            </w:r>
          </w:p>
        </w:tc>
        <w:tc>
          <w:tcPr>
            <w:tcW w:w="2265" w:type="dxa"/>
            <w:tcBorders>
              <w:top w:val="single" w:sz="4" w:space="0" w:color="auto"/>
              <w:left w:val="single" w:sz="4" w:space="0" w:color="auto"/>
              <w:bottom w:val="single" w:sz="4" w:space="0" w:color="auto"/>
              <w:right w:val="single" w:sz="4" w:space="0" w:color="auto"/>
            </w:tcBorders>
            <w:hideMark/>
          </w:tcPr>
          <w:p w14:paraId="04E5285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&lt; 34 mcmol/L</w:t>
            </w:r>
          </w:p>
        </w:tc>
        <w:tc>
          <w:tcPr>
            <w:tcW w:w="2266" w:type="dxa"/>
            <w:tcBorders>
              <w:top w:val="single" w:sz="4" w:space="0" w:color="auto"/>
              <w:left w:val="single" w:sz="4" w:space="0" w:color="auto"/>
              <w:bottom w:val="single" w:sz="4" w:space="0" w:color="auto"/>
              <w:right w:val="single" w:sz="4" w:space="0" w:color="auto"/>
            </w:tcBorders>
            <w:hideMark/>
          </w:tcPr>
          <w:p w14:paraId="6649167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34-51 mcmol/L</w:t>
            </w:r>
          </w:p>
        </w:tc>
        <w:tc>
          <w:tcPr>
            <w:tcW w:w="2266" w:type="dxa"/>
            <w:tcBorders>
              <w:top w:val="single" w:sz="4" w:space="0" w:color="auto"/>
              <w:left w:val="single" w:sz="4" w:space="0" w:color="auto"/>
              <w:bottom w:val="single" w:sz="4" w:space="0" w:color="auto"/>
              <w:right w:val="single" w:sz="4" w:space="0" w:color="auto"/>
            </w:tcBorders>
            <w:hideMark/>
          </w:tcPr>
          <w:p w14:paraId="1CF018B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&gt; 51 mcmol/L</w:t>
            </w:r>
          </w:p>
        </w:tc>
      </w:tr>
      <w:tr w:rsidR="003907EC" w:rsidRPr="00A31C5D" w14:paraId="3552383B" w14:textId="77777777" w:rsidTr="003907EC">
        <w:tc>
          <w:tcPr>
            <w:tcW w:w="2265" w:type="dxa"/>
            <w:tcBorders>
              <w:top w:val="single" w:sz="4" w:space="0" w:color="auto"/>
              <w:left w:val="single" w:sz="4" w:space="0" w:color="auto"/>
              <w:bottom w:val="single" w:sz="4" w:space="0" w:color="auto"/>
              <w:right w:val="single" w:sz="4" w:space="0" w:color="auto"/>
            </w:tcBorders>
            <w:hideMark/>
          </w:tcPr>
          <w:p w14:paraId="7C781EE3"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Coagulation:</w:t>
            </w:r>
          </w:p>
          <w:p w14:paraId="2745E054"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-INR</w:t>
            </w:r>
          </w:p>
          <w:p w14:paraId="3EBBC5B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-Prothrombin Time, as a percentage relative to control</w:t>
            </w:r>
          </w:p>
        </w:tc>
        <w:tc>
          <w:tcPr>
            <w:tcW w:w="2265" w:type="dxa"/>
            <w:tcBorders>
              <w:top w:val="single" w:sz="4" w:space="0" w:color="auto"/>
              <w:left w:val="single" w:sz="4" w:space="0" w:color="auto"/>
              <w:bottom w:val="single" w:sz="4" w:space="0" w:color="auto"/>
              <w:right w:val="single" w:sz="4" w:space="0" w:color="auto"/>
            </w:tcBorders>
          </w:tcPr>
          <w:p w14:paraId="449CD718" w14:textId="77777777" w:rsidR="003907EC" w:rsidRPr="00A31C5D" w:rsidRDefault="003907EC" w:rsidP="00A31C5D">
            <w:pPr>
              <w:spacing w:line="480" w:lineRule="auto"/>
              <w:rPr>
                <w:rFonts w:ascii="Arial" w:hAnsi="Arial" w:cs="Arial"/>
                <w:sz w:val="24"/>
                <w:szCs w:val="24"/>
              </w:rPr>
            </w:pPr>
          </w:p>
          <w:p w14:paraId="4FF496D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&lt; 1.7</w:t>
            </w:r>
          </w:p>
          <w:p w14:paraId="754BE89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&gt; 50%</w:t>
            </w:r>
          </w:p>
        </w:tc>
        <w:tc>
          <w:tcPr>
            <w:tcW w:w="2266" w:type="dxa"/>
            <w:tcBorders>
              <w:top w:val="single" w:sz="4" w:space="0" w:color="auto"/>
              <w:left w:val="single" w:sz="4" w:space="0" w:color="auto"/>
              <w:bottom w:val="single" w:sz="4" w:space="0" w:color="auto"/>
              <w:right w:val="single" w:sz="4" w:space="0" w:color="auto"/>
            </w:tcBorders>
          </w:tcPr>
          <w:p w14:paraId="7C268F97" w14:textId="77777777" w:rsidR="003907EC" w:rsidRPr="00A31C5D" w:rsidRDefault="003907EC" w:rsidP="00A31C5D">
            <w:pPr>
              <w:spacing w:line="480" w:lineRule="auto"/>
              <w:rPr>
                <w:rFonts w:ascii="Arial" w:hAnsi="Arial" w:cs="Arial"/>
                <w:sz w:val="24"/>
                <w:szCs w:val="24"/>
              </w:rPr>
            </w:pPr>
          </w:p>
          <w:p w14:paraId="6E5F909C"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1.7-2.3</w:t>
            </w:r>
          </w:p>
          <w:p w14:paraId="633B9B2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40-50%</w:t>
            </w:r>
          </w:p>
        </w:tc>
        <w:tc>
          <w:tcPr>
            <w:tcW w:w="2266" w:type="dxa"/>
            <w:tcBorders>
              <w:top w:val="single" w:sz="4" w:space="0" w:color="auto"/>
              <w:left w:val="single" w:sz="4" w:space="0" w:color="auto"/>
              <w:bottom w:val="single" w:sz="4" w:space="0" w:color="auto"/>
              <w:right w:val="single" w:sz="4" w:space="0" w:color="auto"/>
            </w:tcBorders>
          </w:tcPr>
          <w:p w14:paraId="00BBB8A1" w14:textId="77777777" w:rsidR="003907EC" w:rsidRPr="00A31C5D" w:rsidRDefault="003907EC" w:rsidP="00A31C5D">
            <w:pPr>
              <w:spacing w:line="480" w:lineRule="auto"/>
              <w:rPr>
                <w:rFonts w:ascii="Arial" w:hAnsi="Arial" w:cs="Arial"/>
                <w:sz w:val="24"/>
                <w:szCs w:val="24"/>
              </w:rPr>
            </w:pPr>
          </w:p>
          <w:p w14:paraId="3CA6B854"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&gt; 2.3</w:t>
            </w:r>
          </w:p>
          <w:p w14:paraId="62FA3F10"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&lt; 40%</w:t>
            </w:r>
          </w:p>
        </w:tc>
      </w:tr>
      <w:tr w:rsidR="003907EC" w:rsidRPr="00A31C5D" w14:paraId="7365F2AA" w14:textId="77777777" w:rsidTr="003907EC">
        <w:tc>
          <w:tcPr>
            <w:tcW w:w="2265" w:type="dxa"/>
            <w:tcBorders>
              <w:top w:val="single" w:sz="4" w:space="0" w:color="auto"/>
              <w:left w:val="single" w:sz="4" w:space="0" w:color="auto"/>
              <w:bottom w:val="single" w:sz="4" w:space="0" w:color="auto"/>
              <w:right w:val="single" w:sz="4" w:space="0" w:color="auto"/>
            </w:tcBorders>
            <w:hideMark/>
          </w:tcPr>
          <w:p w14:paraId="2E440D18"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Ascites</w:t>
            </w:r>
          </w:p>
        </w:tc>
        <w:tc>
          <w:tcPr>
            <w:tcW w:w="2265" w:type="dxa"/>
            <w:tcBorders>
              <w:top w:val="single" w:sz="4" w:space="0" w:color="auto"/>
              <w:left w:val="single" w:sz="4" w:space="0" w:color="auto"/>
              <w:bottom w:val="single" w:sz="4" w:space="0" w:color="auto"/>
              <w:right w:val="single" w:sz="4" w:space="0" w:color="auto"/>
            </w:tcBorders>
            <w:hideMark/>
          </w:tcPr>
          <w:p w14:paraId="03B72D83"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None</w:t>
            </w:r>
          </w:p>
        </w:tc>
        <w:tc>
          <w:tcPr>
            <w:tcW w:w="2266" w:type="dxa"/>
            <w:tcBorders>
              <w:top w:val="single" w:sz="4" w:space="0" w:color="auto"/>
              <w:left w:val="single" w:sz="4" w:space="0" w:color="auto"/>
              <w:bottom w:val="single" w:sz="4" w:space="0" w:color="auto"/>
              <w:right w:val="single" w:sz="4" w:space="0" w:color="auto"/>
            </w:tcBorders>
            <w:hideMark/>
          </w:tcPr>
          <w:p w14:paraId="25599B43"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Medically controlled</w:t>
            </w:r>
          </w:p>
        </w:tc>
        <w:tc>
          <w:tcPr>
            <w:tcW w:w="2266" w:type="dxa"/>
            <w:tcBorders>
              <w:top w:val="single" w:sz="4" w:space="0" w:color="auto"/>
              <w:left w:val="single" w:sz="4" w:space="0" w:color="auto"/>
              <w:bottom w:val="single" w:sz="4" w:space="0" w:color="auto"/>
              <w:right w:val="single" w:sz="4" w:space="0" w:color="auto"/>
            </w:tcBorders>
            <w:hideMark/>
          </w:tcPr>
          <w:p w14:paraId="79A6144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Refractory</w:t>
            </w:r>
          </w:p>
        </w:tc>
      </w:tr>
      <w:tr w:rsidR="003907EC" w:rsidRPr="00A31C5D" w14:paraId="50B2270B" w14:textId="77777777" w:rsidTr="003907EC">
        <w:tc>
          <w:tcPr>
            <w:tcW w:w="2265" w:type="dxa"/>
            <w:tcBorders>
              <w:top w:val="single" w:sz="4" w:space="0" w:color="auto"/>
              <w:left w:val="single" w:sz="4" w:space="0" w:color="auto"/>
              <w:bottom w:val="single" w:sz="4" w:space="0" w:color="auto"/>
              <w:right w:val="single" w:sz="4" w:space="0" w:color="auto"/>
            </w:tcBorders>
            <w:hideMark/>
          </w:tcPr>
          <w:p w14:paraId="291B4730" w14:textId="1FBF8996"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 xml:space="preserve">Encephalopathy </w:t>
            </w:r>
            <w:r w:rsidRPr="00A31C5D">
              <w:rPr>
                <w:rFonts w:ascii="Arial" w:hAnsi="Arial" w:cs="Arial"/>
                <w:sz w:val="24"/>
                <w:szCs w:val="24"/>
              </w:rPr>
              <w:fldChar w:fldCharType="begin"/>
            </w:r>
            <w:r w:rsidR="00FE77F7" w:rsidRPr="00A31C5D">
              <w:rPr>
                <w:rFonts w:ascii="Arial" w:hAnsi="Arial" w:cs="Arial"/>
                <w:sz w:val="24"/>
                <w:szCs w:val="24"/>
              </w:rPr>
              <w:instrText xml:space="preserve"> ADDIN ZOTERO_ITEM CSL_CITATION {"citationID":"1hig9ab02q","properties":{"formattedCitation":"[8]","plainCitation":"[8]"},"citationItems":[{"id":2272,"uris":["http://zotero.org/users/587498/items/R8P3HZIS"],"uri":["http://zotero.org/users/587498/items/R8P3HZIS"],"itemData":{"id":2272,"type":"article-journal","title":"Treatment of hepatic coma by exchange blood transfusion","container-title":"The New England Journal of Medicine","page":"473-481","volume":"274","issue":"9","source":"PubMed","DOI":"10.1056/NEJM196603032740901","ISSN":"0028-4793","note":"PMID: 5904286","journalAbbreviation":"N. Engl. J. Med.","language":"eng","author":[{"family":"Trey","given":"C."},{"family":"Burns","given":"D. G."},{"family":"Saunders","given":"S. J."}],"issued":{"date-parts":[["1966",3,3]]},"PMID":"5904286"}}],"schema":"https://github.com/citation-style-language/schema/raw/master/csl-citation.json"} </w:instrText>
            </w:r>
            <w:r w:rsidRPr="00A31C5D">
              <w:rPr>
                <w:rFonts w:ascii="Arial" w:hAnsi="Arial" w:cs="Arial"/>
                <w:sz w:val="24"/>
                <w:szCs w:val="24"/>
              </w:rPr>
              <w:fldChar w:fldCharType="separate"/>
            </w:r>
            <w:r w:rsidR="00FE77F7" w:rsidRPr="00A31C5D">
              <w:rPr>
                <w:rFonts w:ascii="Arial" w:hAnsi="Arial" w:cs="Arial"/>
                <w:sz w:val="24"/>
                <w:szCs w:val="24"/>
              </w:rPr>
              <w:t>[8]</w:t>
            </w:r>
            <w:r w:rsidRPr="00A31C5D">
              <w:rPr>
                <w:rFonts w:ascii="Arial" w:hAnsi="Arial" w:cs="Arial"/>
                <w:sz w:val="24"/>
                <w:szCs w:val="24"/>
              </w:rPr>
              <w:fldChar w:fldCharType="end"/>
            </w:r>
          </w:p>
        </w:tc>
        <w:tc>
          <w:tcPr>
            <w:tcW w:w="2265" w:type="dxa"/>
            <w:tcBorders>
              <w:top w:val="single" w:sz="4" w:space="0" w:color="auto"/>
              <w:left w:val="single" w:sz="4" w:space="0" w:color="auto"/>
              <w:bottom w:val="single" w:sz="4" w:space="0" w:color="auto"/>
              <w:right w:val="single" w:sz="4" w:space="0" w:color="auto"/>
            </w:tcBorders>
            <w:hideMark/>
          </w:tcPr>
          <w:p w14:paraId="1686D7C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None</w:t>
            </w:r>
          </w:p>
        </w:tc>
        <w:tc>
          <w:tcPr>
            <w:tcW w:w="2266" w:type="dxa"/>
            <w:tcBorders>
              <w:top w:val="single" w:sz="4" w:space="0" w:color="auto"/>
              <w:left w:val="single" w:sz="4" w:space="0" w:color="auto"/>
              <w:bottom w:val="single" w:sz="4" w:space="0" w:color="auto"/>
              <w:right w:val="single" w:sz="4" w:space="0" w:color="auto"/>
            </w:tcBorders>
            <w:hideMark/>
          </w:tcPr>
          <w:p w14:paraId="4E10B0E1"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Grade 1 or 2 (or medically controlled)</w:t>
            </w:r>
          </w:p>
        </w:tc>
        <w:tc>
          <w:tcPr>
            <w:tcW w:w="2266" w:type="dxa"/>
            <w:tcBorders>
              <w:top w:val="single" w:sz="4" w:space="0" w:color="auto"/>
              <w:left w:val="single" w:sz="4" w:space="0" w:color="auto"/>
              <w:bottom w:val="single" w:sz="4" w:space="0" w:color="auto"/>
              <w:right w:val="single" w:sz="4" w:space="0" w:color="auto"/>
            </w:tcBorders>
            <w:hideMark/>
          </w:tcPr>
          <w:p w14:paraId="715E7B6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Grade 3 or 4 (or refractory)</w:t>
            </w:r>
          </w:p>
        </w:tc>
      </w:tr>
    </w:tbl>
    <w:p w14:paraId="5D90A30B" w14:textId="77777777" w:rsidR="003907EC" w:rsidRPr="00A31C5D" w:rsidRDefault="003907EC" w:rsidP="00A31C5D">
      <w:pPr>
        <w:spacing w:line="480" w:lineRule="auto"/>
        <w:rPr>
          <w:rFonts w:ascii="Arial" w:hAnsi="Arial" w:cs="Arial"/>
          <w:sz w:val="24"/>
          <w:szCs w:val="24"/>
        </w:rPr>
      </w:pPr>
    </w:p>
    <w:p w14:paraId="10CBB2D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br w:type="page"/>
      </w:r>
    </w:p>
    <w:p w14:paraId="7199A844"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lastRenderedPageBreak/>
        <w:t>Table 2: Characteristics of the cohort</w:t>
      </w:r>
    </w:p>
    <w:tbl>
      <w:tblPr>
        <w:tblStyle w:val="TableGrid"/>
        <w:tblW w:w="0" w:type="auto"/>
        <w:tblLook w:val="04A0" w:firstRow="1" w:lastRow="0" w:firstColumn="1" w:lastColumn="0" w:noHBand="0" w:noVBand="1"/>
      </w:tblPr>
      <w:tblGrid>
        <w:gridCol w:w="4531"/>
        <w:gridCol w:w="4531"/>
      </w:tblGrid>
      <w:tr w:rsidR="003907EC" w:rsidRPr="00A31C5D" w14:paraId="43A816DA"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2ED92CB2"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Age (n=1019) median (range)</w:t>
            </w:r>
          </w:p>
        </w:tc>
        <w:tc>
          <w:tcPr>
            <w:tcW w:w="4531" w:type="dxa"/>
            <w:tcBorders>
              <w:top w:val="single" w:sz="4" w:space="0" w:color="auto"/>
              <w:left w:val="single" w:sz="4" w:space="0" w:color="auto"/>
              <w:bottom w:val="single" w:sz="4" w:space="0" w:color="auto"/>
              <w:right w:val="single" w:sz="4" w:space="0" w:color="auto"/>
            </w:tcBorders>
            <w:hideMark/>
          </w:tcPr>
          <w:p w14:paraId="5C946308"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67 (17-89)</w:t>
            </w:r>
          </w:p>
        </w:tc>
      </w:tr>
      <w:tr w:rsidR="003907EC" w:rsidRPr="00A31C5D" w14:paraId="3ED36A09"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2281871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Gender (n=945), male / female</w:t>
            </w:r>
          </w:p>
        </w:tc>
        <w:tc>
          <w:tcPr>
            <w:tcW w:w="4531" w:type="dxa"/>
            <w:tcBorders>
              <w:top w:val="single" w:sz="4" w:space="0" w:color="auto"/>
              <w:left w:val="single" w:sz="4" w:space="0" w:color="auto"/>
              <w:bottom w:val="single" w:sz="4" w:space="0" w:color="auto"/>
              <w:right w:val="single" w:sz="4" w:space="0" w:color="auto"/>
            </w:tcBorders>
            <w:hideMark/>
          </w:tcPr>
          <w:p w14:paraId="5E27FAF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810 (85.7%) / 135 (14.3%)</w:t>
            </w:r>
          </w:p>
        </w:tc>
      </w:tr>
      <w:tr w:rsidR="003907EC" w:rsidRPr="00A31C5D" w14:paraId="0A2CFD4A"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4F97BDBA"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Excessive alcohol consumption (n=921)</w:t>
            </w:r>
          </w:p>
        </w:tc>
        <w:tc>
          <w:tcPr>
            <w:tcW w:w="4531" w:type="dxa"/>
            <w:tcBorders>
              <w:top w:val="single" w:sz="4" w:space="0" w:color="auto"/>
              <w:left w:val="single" w:sz="4" w:space="0" w:color="auto"/>
              <w:bottom w:val="single" w:sz="4" w:space="0" w:color="auto"/>
              <w:right w:val="single" w:sz="4" w:space="0" w:color="auto"/>
            </w:tcBorders>
            <w:hideMark/>
          </w:tcPr>
          <w:p w14:paraId="0B5655FA"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375 (40.7%)</w:t>
            </w:r>
          </w:p>
        </w:tc>
      </w:tr>
      <w:tr w:rsidR="003907EC" w:rsidRPr="00A31C5D" w14:paraId="30C73E51"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7AFDAC7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Hepatitis B Virus (n=921)</w:t>
            </w:r>
          </w:p>
        </w:tc>
        <w:tc>
          <w:tcPr>
            <w:tcW w:w="4531" w:type="dxa"/>
            <w:tcBorders>
              <w:top w:val="single" w:sz="4" w:space="0" w:color="auto"/>
              <w:left w:val="single" w:sz="4" w:space="0" w:color="auto"/>
              <w:bottom w:val="single" w:sz="4" w:space="0" w:color="auto"/>
              <w:right w:val="single" w:sz="4" w:space="0" w:color="auto"/>
            </w:tcBorders>
            <w:hideMark/>
          </w:tcPr>
          <w:p w14:paraId="70CE2DFD"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81 (8.8%)</w:t>
            </w:r>
          </w:p>
        </w:tc>
      </w:tr>
      <w:tr w:rsidR="003907EC" w:rsidRPr="00A31C5D" w14:paraId="3E999015"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66AE898F"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Hepatitis C Virus (n=921)</w:t>
            </w:r>
          </w:p>
        </w:tc>
        <w:tc>
          <w:tcPr>
            <w:tcW w:w="4531" w:type="dxa"/>
            <w:tcBorders>
              <w:top w:val="single" w:sz="4" w:space="0" w:color="auto"/>
              <w:left w:val="single" w:sz="4" w:space="0" w:color="auto"/>
              <w:bottom w:val="single" w:sz="4" w:space="0" w:color="auto"/>
              <w:right w:val="single" w:sz="4" w:space="0" w:color="auto"/>
            </w:tcBorders>
            <w:hideMark/>
          </w:tcPr>
          <w:p w14:paraId="50E00E83"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164 (17.8%)</w:t>
            </w:r>
          </w:p>
        </w:tc>
      </w:tr>
      <w:tr w:rsidR="003907EC" w:rsidRPr="00A31C5D" w14:paraId="53175F19"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24393CF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Non-Alcoholic Steato-Hepatitis (n=921)</w:t>
            </w:r>
          </w:p>
        </w:tc>
        <w:tc>
          <w:tcPr>
            <w:tcW w:w="4531" w:type="dxa"/>
            <w:tcBorders>
              <w:top w:val="single" w:sz="4" w:space="0" w:color="auto"/>
              <w:left w:val="single" w:sz="4" w:space="0" w:color="auto"/>
              <w:bottom w:val="single" w:sz="4" w:space="0" w:color="auto"/>
              <w:right w:val="single" w:sz="4" w:space="0" w:color="auto"/>
            </w:tcBorders>
            <w:hideMark/>
          </w:tcPr>
          <w:p w14:paraId="42E4803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228 (24.8%)</w:t>
            </w:r>
          </w:p>
        </w:tc>
      </w:tr>
      <w:tr w:rsidR="003907EC" w:rsidRPr="00A31C5D" w14:paraId="1DAC1936"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42A826DC"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No identified cause (n=921)</w:t>
            </w:r>
          </w:p>
        </w:tc>
        <w:tc>
          <w:tcPr>
            <w:tcW w:w="4531" w:type="dxa"/>
            <w:tcBorders>
              <w:top w:val="single" w:sz="4" w:space="0" w:color="auto"/>
              <w:left w:val="single" w:sz="4" w:space="0" w:color="auto"/>
              <w:bottom w:val="single" w:sz="4" w:space="0" w:color="auto"/>
              <w:right w:val="single" w:sz="4" w:space="0" w:color="auto"/>
            </w:tcBorders>
            <w:hideMark/>
          </w:tcPr>
          <w:p w14:paraId="47E7AB8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258 (28.0%)</w:t>
            </w:r>
          </w:p>
        </w:tc>
      </w:tr>
      <w:tr w:rsidR="003907EC" w:rsidRPr="00A31C5D" w14:paraId="383946E8"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6E4FE4D0"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Albumin, g/L (n=967), median (range)</w:t>
            </w:r>
          </w:p>
        </w:tc>
        <w:tc>
          <w:tcPr>
            <w:tcW w:w="4531" w:type="dxa"/>
            <w:tcBorders>
              <w:top w:val="single" w:sz="4" w:space="0" w:color="auto"/>
              <w:left w:val="single" w:sz="4" w:space="0" w:color="auto"/>
              <w:bottom w:val="single" w:sz="4" w:space="0" w:color="auto"/>
              <w:right w:val="single" w:sz="4" w:space="0" w:color="auto"/>
            </w:tcBorders>
            <w:hideMark/>
          </w:tcPr>
          <w:p w14:paraId="0A09E23F"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37 (17-61)</w:t>
            </w:r>
          </w:p>
        </w:tc>
      </w:tr>
      <w:tr w:rsidR="003907EC" w:rsidRPr="00A31C5D" w14:paraId="62A6D288"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0861F8B8"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Bilirubin, mcmol/L (n=989), median (range)</w:t>
            </w:r>
          </w:p>
        </w:tc>
        <w:tc>
          <w:tcPr>
            <w:tcW w:w="4531" w:type="dxa"/>
            <w:tcBorders>
              <w:top w:val="single" w:sz="4" w:space="0" w:color="auto"/>
              <w:left w:val="single" w:sz="4" w:space="0" w:color="auto"/>
              <w:bottom w:val="single" w:sz="4" w:space="0" w:color="auto"/>
              <w:right w:val="single" w:sz="4" w:space="0" w:color="auto"/>
            </w:tcBorders>
            <w:hideMark/>
          </w:tcPr>
          <w:p w14:paraId="318F546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15 (3-436)</w:t>
            </w:r>
          </w:p>
        </w:tc>
      </w:tr>
      <w:tr w:rsidR="003907EC" w:rsidRPr="00A31C5D" w14:paraId="7DA440EF"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34E78BB1"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Previous treatment for HCC (n=857)</w:t>
            </w:r>
          </w:p>
        </w:tc>
        <w:tc>
          <w:tcPr>
            <w:tcW w:w="4531" w:type="dxa"/>
            <w:tcBorders>
              <w:top w:val="single" w:sz="4" w:space="0" w:color="auto"/>
              <w:left w:val="single" w:sz="4" w:space="0" w:color="auto"/>
              <w:bottom w:val="single" w:sz="4" w:space="0" w:color="auto"/>
              <w:right w:val="single" w:sz="4" w:space="0" w:color="auto"/>
            </w:tcBorders>
            <w:hideMark/>
          </w:tcPr>
          <w:p w14:paraId="31E6C870"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495 (57.8%)</w:t>
            </w:r>
          </w:p>
        </w:tc>
      </w:tr>
      <w:tr w:rsidR="003907EC" w:rsidRPr="00A31C5D" w14:paraId="3FBECE06"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215BFF4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Extra-Hepatic Spread (n=910)</w:t>
            </w:r>
          </w:p>
        </w:tc>
        <w:tc>
          <w:tcPr>
            <w:tcW w:w="4531" w:type="dxa"/>
            <w:tcBorders>
              <w:top w:val="single" w:sz="4" w:space="0" w:color="auto"/>
              <w:left w:val="single" w:sz="4" w:space="0" w:color="auto"/>
              <w:bottom w:val="single" w:sz="4" w:space="0" w:color="auto"/>
              <w:right w:val="single" w:sz="4" w:space="0" w:color="auto"/>
            </w:tcBorders>
            <w:hideMark/>
          </w:tcPr>
          <w:p w14:paraId="615CCA03"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338 (37.1%)</w:t>
            </w:r>
          </w:p>
        </w:tc>
      </w:tr>
      <w:tr w:rsidR="003907EC" w:rsidRPr="00A31C5D" w14:paraId="3C709A66"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15F29C7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Portal Vein Thrombosis (n=997)</w:t>
            </w:r>
          </w:p>
        </w:tc>
        <w:tc>
          <w:tcPr>
            <w:tcW w:w="4531" w:type="dxa"/>
            <w:tcBorders>
              <w:top w:val="single" w:sz="4" w:space="0" w:color="auto"/>
              <w:left w:val="single" w:sz="4" w:space="0" w:color="auto"/>
              <w:bottom w:val="single" w:sz="4" w:space="0" w:color="auto"/>
              <w:right w:val="single" w:sz="4" w:space="0" w:color="auto"/>
            </w:tcBorders>
            <w:hideMark/>
          </w:tcPr>
          <w:p w14:paraId="1769445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375 (37.6%)</w:t>
            </w:r>
          </w:p>
        </w:tc>
      </w:tr>
      <w:tr w:rsidR="003907EC" w:rsidRPr="00A31C5D" w14:paraId="63DCFD96"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46E00323"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Alpha-Feto Protein, ng/mL (n=978), median (range)</w:t>
            </w:r>
          </w:p>
        </w:tc>
        <w:tc>
          <w:tcPr>
            <w:tcW w:w="4531" w:type="dxa"/>
            <w:tcBorders>
              <w:top w:val="single" w:sz="4" w:space="0" w:color="auto"/>
              <w:left w:val="single" w:sz="4" w:space="0" w:color="auto"/>
              <w:bottom w:val="single" w:sz="4" w:space="0" w:color="auto"/>
              <w:right w:val="single" w:sz="4" w:space="0" w:color="auto"/>
            </w:tcBorders>
            <w:hideMark/>
          </w:tcPr>
          <w:p w14:paraId="1AE52584"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128 (0-849,553)</w:t>
            </w:r>
          </w:p>
        </w:tc>
      </w:tr>
      <w:tr w:rsidR="003907EC" w:rsidRPr="00A31C5D" w14:paraId="5C21882E"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2FF94C0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Performance status (n=902): 0/1/2/3</w:t>
            </w:r>
          </w:p>
        </w:tc>
        <w:tc>
          <w:tcPr>
            <w:tcW w:w="4531" w:type="dxa"/>
            <w:tcBorders>
              <w:top w:val="single" w:sz="4" w:space="0" w:color="auto"/>
              <w:left w:val="single" w:sz="4" w:space="0" w:color="auto"/>
              <w:bottom w:val="single" w:sz="4" w:space="0" w:color="auto"/>
              <w:right w:val="single" w:sz="4" w:space="0" w:color="auto"/>
            </w:tcBorders>
            <w:hideMark/>
          </w:tcPr>
          <w:p w14:paraId="09E61E3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389 (43.1%) / 399 (44.2%) / 109 (12.1%) / 5 (0.6%)</w:t>
            </w:r>
          </w:p>
        </w:tc>
      </w:tr>
      <w:tr w:rsidR="003907EC" w:rsidRPr="00A31C5D" w14:paraId="0335625D" w14:textId="77777777" w:rsidTr="003907EC">
        <w:tc>
          <w:tcPr>
            <w:tcW w:w="4531" w:type="dxa"/>
            <w:tcBorders>
              <w:top w:val="single" w:sz="4" w:space="0" w:color="auto"/>
              <w:left w:val="single" w:sz="4" w:space="0" w:color="auto"/>
              <w:bottom w:val="single" w:sz="4" w:space="0" w:color="auto"/>
              <w:right w:val="single" w:sz="4" w:space="0" w:color="auto"/>
            </w:tcBorders>
            <w:hideMark/>
          </w:tcPr>
          <w:p w14:paraId="0D723E02"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BCLC stage (n=910): A/B/C/D</w:t>
            </w:r>
          </w:p>
        </w:tc>
        <w:tc>
          <w:tcPr>
            <w:tcW w:w="4531" w:type="dxa"/>
            <w:tcBorders>
              <w:top w:val="single" w:sz="4" w:space="0" w:color="auto"/>
              <w:left w:val="single" w:sz="4" w:space="0" w:color="auto"/>
              <w:bottom w:val="single" w:sz="4" w:space="0" w:color="auto"/>
              <w:right w:val="single" w:sz="4" w:space="0" w:color="auto"/>
            </w:tcBorders>
            <w:hideMark/>
          </w:tcPr>
          <w:p w14:paraId="72C1786A"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11 (1.2%) / 178 (19.6%) / 711 (78.1%) / 10 (1.1%)</w:t>
            </w:r>
          </w:p>
        </w:tc>
      </w:tr>
    </w:tbl>
    <w:p w14:paraId="320B33F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BCLC: Barcelona Clinic for Liver Cancer; CP: Child-Pugh</w:t>
      </w:r>
    </w:p>
    <w:p w14:paraId="72D5950C" w14:textId="77777777" w:rsidR="003907EC" w:rsidRPr="00A31C5D" w:rsidRDefault="003907EC" w:rsidP="00A31C5D">
      <w:pPr>
        <w:spacing w:line="480" w:lineRule="auto"/>
        <w:rPr>
          <w:rFonts w:ascii="Arial" w:hAnsi="Arial" w:cs="Arial"/>
          <w:sz w:val="24"/>
          <w:szCs w:val="24"/>
        </w:rPr>
      </w:pPr>
    </w:p>
    <w:p w14:paraId="06C3EA0B"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br w:type="page"/>
      </w:r>
    </w:p>
    <w:p w14:paraId="546C9BE0"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lastRenderedPageBreak/>
        <w:t>Table 3: Correspondences between calculated Child-Pugh scores and ALBI grades (n=905):</w:t>
      </w:r>
    </w:p>
    <w:tbl>
      <w:tblPr>
        <w:tblStyle w:val="TableGrid"/>
        <w:tblW w:w="9343" w:type="dxa"/>
        <w:tblLook w:val="04A0" w:firstRow="1" w:lastRow="0" w:firstColumn="1" w:lastColumn="0" w:noHBand="0" w:noVBand="1"/>
      </w:tblPr>
      <w:tblGrid>
        <w:gridCol w:w="1167"/>
        <w:gridCol w:w="1168"/>
        <w:gridCol w:w="1168"/>
        <w:gridCol w:w="1168"/>
        <w:gridCol w:w="1168"/>
        <w:gridCol w:w="1168"/>
        <w:gridCol w:w="1168"/>
        <w:gridCol w:w="1168"/>
      </w:tblGrid>
      <w:tr w:rsidR="003907EC" w:rsidRPr="00A31C5D" w14:paraId="20A4061A" w14:textId="77777777" w:rsidTr="003907EC">
        <w:trPr>
          <w:trHeight w:val="1113"/>
        </w:trPr>
        <w:tc>
          <w:tcPr>
            <w:tcW w:w="1167" w:type="dxa"/>
            <w:tcBorders>
              <w:top w:val="single" w:sz="4" w:space="0" w:color="auto"/>
              <w:left w:val="single" w:sz="4" w:space="0" w:color="auto"/>
              <w:bottom w:val="single" w:sz="4" w:space="0" w:color="auto"/>
              <w:right w:val="single" w:sz="4" w:space="0" w:color="auto"/>
            </w:tcBorders>
          </w:tcPr>
          <w:p w14:paraId="65A4B0FF" w14:textId="77777777" w:rsidR="003907EC" w:rsidRPr="00A31C5D" w:rsidRDefault="003907EC" w:rsidP="00A31C5D">
            <w:pPr>
              <w:spacing w:line="480" w:lineRule="auto"/>
              <w:rPr>
                <w:rFonts w:ascii="Arial" w:hAnsi="Arial" w:cs="Arial"/>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14:paraId="7A27118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 A5</w:t>
            </w:r>
          </w:p>
        </w:tc>
        <w:tc>
          <w:tcPr>
            <w:tcW w:w="1168" w:type="dxa"/>
            <w:tcBorders>
              <w:top w:val="single" w:sz="4" w:space="0" w:color="auto"/>
              <w:left w:val="single" w:sz="4" w:space="0" w:color="auto"/>
              <w:bottom w:val="single" w:sz="4" w:space="0" w:color="auto"/>
              <w:right w:val="single" w:sz="4" w:space="0" w:color="auto"/>
            </w:tcBorders>
            <w:hideMark/>
          </w:tcPr>
          <w:p w14:paraId="47D97C81"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 A6</w:t>
            </w:r>
          </w:p>
        </w:tc>
        <w:tc>
          <w:tcPr>
            <w:tcW w:w="1168" w:type="dxa"/>
            <w:tcBorders>
              <w:top w:val="single" w:sz="4" w:space="0" w:color="auto"/>
              <w:left w:val="single" w:sz="4" w:space="0" w:color="auto"/>
              <w:bottom w:val="single" w:sz="4" w:space="0" w:color="auto"/>
              <w:right w:val="single" w:sz="4" w:space="0" w:color="auto"/>
            </w:tcBorders>
            <w:hideMark/>
          </w:tcPr>
          <w:p w14:paraId="7D8A4DE1"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 B7</w:t>
            </w:r>
          </w:p>
        </w:tc>
        <w:tc>
          <w:tcPr>
            <w:tcW w:w="1168" w:type="dxa"/>
            <w:tcBorders>
              <w:top w:val="single" w:sz="4" w:space="0" w:color="auto"/>
              <w:left w:val="single" w:sz="4" w:space="0" w:color="auto"/>
              <w:bottom w:val="single" w:sz="4" w:space="0" w:color="auto"/>
              <w:right w:val="single" w:sz="4" w:space="0" w:color="auto"/>
            </w:tcBorders>
            <w:hideMark/>
          </w:tcPr>
          <w:p w14:paraId="3DDABBF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 B8</w:t>
            </w:r>
          </w:p>
        </w:tc>
        <w:tc>
          <w:tcPr>
            <w:tcW w:w="1168" w:type="dxa"/>
            <w:tcBorders>
              <w:top w:val="single" w:sz="4" w:space="0" w:color="auto"/>
              <w:left w:val="single" w:sz="4" w:space="0" w:color="auto"/>
              <w:bottom w:val="single" w:sz="4" w:space="0" w:color="auto"/>
              <w:right w:val="single" w:sz="4" w:space="0" w:color="auto"/>
            </w:tcBorders>
            <w:hideMark/>
          </w:tcPr>
          <w:p w14:paraId="0B696C5D"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 B9</w:t>
            </w:r>
          </w:p>
        </w:tc>
        <w:tc>
          <w:tcPr>
            <w:tcW w:w="1168" w:type="dxa"/>
            <w:tcBorders>
              <w:top w:val="single" w:sz="4" w:space="0" w:color="auto"/>
              <w:left w:val="single" w:sz="4" w:space="0" w:color="auto"/>
              <w:bottom w:val="single" w:sz="4" w:space="0" w:color="auto"/>
              <w:right w:val="single" w:sz="4" w:space="0" w:color="auto"/>
            </w:tcBorders>
            <w:hideMark/>
          </w:tcPr>
          <w:p w14:paraId="666EF4C3"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 C10</w:t>
            </w:r>
          </w:p>
        </w:tc>
        <w:tc>
          <w:tcPr>
            <w:tcW w:w="1168" w:type="dxa"/>
            <w:tcBorders>
              <w:top w:val="single" w:sz="4" w:space="0" w:color="auto"/>
              <w:left w:val="single" w:sz="4" w:space="0" w:color="auto"/>
              <w:bottom w:val="single" w:sz="4" w:space="0" w:color="auto"/>
              <w:right w:val="single" w:sz="4" w:space="0" w:color="auto"/>
            </w:tcBorders>
            <w:hideMark/>
          </w:tcPr>
          <w:p w14:paraId="49B0D9E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 C11</w:t>
            </w:r>
          </w:p>
        </w:tc>
      </w:tr>
      <w:tr w:rsidR="003907EC" w:rsidRPr="00A31C5D" w14:paraId="01AA7EBF" w14:textId="77777777" w:rsidTr="003907EC">
        <w:trPr>
          <w:trHeight w:val="1128"/>
        </w:trPr>
        <w:tc>
          <w:tcPr>
            <w:tcW w:w="1167" w:type="dxa"/>
            <w:tcBorders>
              <w:top w:val="single" w:sz="4" w:space="0" w:color="auto"/>
              <w:left w:val="single" w:sz="4" w:space="0" w:color="auto"/>
              <w:bottom w:val="single" w:sz="4" w:space="0" w:color="auto"/>
              <w:right w:val="single" w:sz="4" w:space="0" w:color="auto"/>
            </w:tcBorders>
            <w:hideMark/>
          </w:tcPr>
          <w:p w14:paraId="4F8ADA1A"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ALBI grade 1</w:t>
            </w:r>
          </w:p>
        </w:tc>
        <w:tc>
          <w:tcPr>
            <w:tcW w:w="1168" w:type="dxa"/>
            <w:tcBorders>
              <w:top w:val="single" w:sz="4" w:space="0" w:color="auto"/>
              <w:left w:val="single" w:sz="4" w:space="0" w:color="auto"/>
              <w:bottom w:val="single" w:sz="4" w:space="0" w:color="auto"/>
              <w:right w:val="single" w:sz="4" w:space="0" w:color="auto"/>
            </w:tcBorders>
            <w:hideMark/>
          </w:tcPr>
          <w:p w14:paraId="1CDDFC4D"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277</w:t>
            </w:r>
          </w:p>
        </w:tc>
        <w:tc>
          <w:tcPr>
            <w:tcW w:w="1168" w:type="dxa"/>
            <w:tcBorders>
              <w:top w:val="single" w:sz="4" w:space="0" w:color="auto"/>
              <w:left w:val="single" w:sz="4" w:space="0" w:color="auto"/>
              <w:bottom w:val="single" w:sz="4" w:space="0" w:color="auto"/>
              <w:right w:val="single" w:sz="4" w:space="0" w:color="auto"/>
            </w:tcBorders>
            <w:hideMark/>
          </w:tcPr>
          <w:p w14:paraId="0B24DC2F"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23</w:t>
            </w:r>
          </w:p>
        </w:tc>
        <w:tc>
          <w:tcPr>
            <w:tcW w:w="1168" w:type="dxa"/>
            <w:tcBorders>
              <w:top w:val="single" w:sz="4" w:space="0" w:color="auto"/>
              <w:left w:val="single" w:sz="4" w:space="0" w:color="auto"/>
              <w:bottom w:val="single" w:sz="4" w:space="0" w:color="auto"/>
              <w:right w:val="single" w:sz="4" w:space="0" w:color="auto"/>
            </w:tcBorders>
            <w:hideMark/>
          </w:tcPr>
          <w:p w14:paraId="201FB21F"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14:paraId="7B0107D4"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w:t>
            </w:r>
          </w:p>
        </w:tc>
        <w:tc>
          <w:tcPr>
            <w:tcW w:w="1168" w:type="dxa"/>
            <w:tcBorders>
              <w:top w:val="single" w:sz="4" w:space="0" w:color="auto"/>
              <w:left w:val="single" w:sz="4" w:space="0" w:color="auto"/>
              <w:bottom w:val="single" w:sz="4" w:space="0" w:color="auto"/>
              <w:right w:val="single" w:sz="4" w:space="0" w:color="auto"/>
            </w:tcBorders>
            <w:hideMark/>
          </w:tcPr>
          <w:p w14:paraId="7196558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w:t>
            </w:r>
          </w:p>
        </w:tc>
        <w:tc>
          <w:tcPr>
            <w:tcW w:w="1168" w:type="dxa"/>
            <w:tcBorders>
              <w:top w:val="single" w:sz="4" w:space="0" w:color="auto"/>
              <w:left w:val="single" w:sz="4" w:space="0" w:color="auto"/>
              <w:bottom w:val="single" w:sz="4" w:space="0" w:color="auto"/>
              <w:right w:val="single" w:sz="4" w:space="0" w:color="auto"/>
            </w:tcBorders>
            <w:hideMark/>
          </w:tcPr>
          <w:p w14:paraId="2F5C5CFC"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w:t>
            </w:r>
          </w:p>
        </w:tc>
        <w:tc>
          <w:tcPr>
            <w:tcW w:w="1168" w:type="dxa"/>
            <w:tcBorders>
              <w:top w:val="single" w:sz="4" w:space="0" w:color="auto"/>
              <w:left w:val="single" w:sz="4" w:space="0" w:color="auto"/>
              <w:bottom w:val="single" w:sz="4" w:space="0" w:color="auto"/>
              <w:right w:val="single" w:sz="4" w:space="0" w:color="auto"/>
            </w:tcBorders>
            <w:hideMark/>
          </w:tcPr>
          <w:p w14:paraId="0567FEE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w:t>
            </w:r>
          </w:p>
        </w:tc>
      </w:tr>
      <w:tr w:rsidR="003907EC" w:rsidRPr="00A31C5D" w14:paraId="12E5C643" w14:textId="77777777" w:rsidTr="003907EC">
        <w:trPr>
          <w:trHeight w:val="1113"/>
        </w:trPr>
        <w:tc>
          <w:tcPr>
            <w:tcW w:w="1167" w:type="dxa"/>
            <w:tcBorders>
              <w:top w:val="single" w:sz="4" w:space="0" w:color="auto"/>
              <w:left w:val="single" w:sz="4" w:space="0" w:color="auto"/>
              <w:bottom w:val="single" w:sz="4" w:space="0" w:color="auto"/>
              <w:right w:val="single" w:sz="4" w:space="0" w:color="auto"/>
            </w:tcBorders>
            <w:hideMark/>
          </w:tcPr>
          <w:p w14:paraId="04CD19EA"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ALBI grade 2</w:t>
            </w:r>
          </w:p>
        </w:tc>
        <w:tc>
          <w:tcPr>
            <w:tcW w:w="1168" w:type="dxa"/>
            <w:tcBorders>
              <w:top w:val="single" w:sz="4" w:space="0" w:color="auto"/>
              <w:left w:val="single" w:sz="4" w:space="0" w:color="auto"/>
              <w:bottom w:val="single" w:sz="4" w:space="0" w:color="auto"/>
              <w:right w:val="single" w:sz="4" w:space="0" w:color="auto"/>
            </w:tcBorders>
            <w:hideMark/>
          </w:tcPr>
          <w:p w14:paraId="4B67E62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181</w:t>
            </w:r>
          </w:p>
        </w:tc>
        <w:tc>
          <w:tcPr>
            <w:tcW w:w="1168" w:type="dxa"/>
            <w:tcBorders>
              <w:top w:val="single" w:sz="4" w:space="0" w:color="auto"/>
              <w:left w:val="single" w:sz="4" w:space="0" w:color="auto"/>
              <w:bottom w:val="single" w:sz="4" w:space="0" w:color="auto"/>
              <w:right w:val="single" w:sz="4" w:space="0" w:color="auto"/>
            </w:tcBorders>
            <w:hideMark/>
          </w:tcPr>
          <w:p w14:paraId="6BF51CDB"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241</w:t>
            </w:r>
          </w:p>
        </w:tc>
        <w:tc>
          <w:tcPr>
            <w:tcW w:w="1168" w:type="dxa"/>
            <w:tcBorders>
              <w:top w:val="single" w:sz="4" w:space="0" w:color="auto"/>
              <w:left w:val="single" w:sz="4" w:space="0" w:color="auto"/>
              <w:bottom w:val="single" w:sz="4" w:space="0" w:color="auto"/>
              <w:right w:val="single" w:sz="4" w:space="0" w:color="auto"/>
            </w:tcBorders>
            <w:hideMark/>
          </w:tcPr>
          <w:p w14:paraId="3560DF0B"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87</w:t>
            </w:r>
          </w:p>
        </w:tc>
        <w:tc>
          <w:tcPr>
            <w:tcW w:w="1168" w:type="dxa"/>
            <w:tcBorders>
              <w:top w:val="single" w:sz="4" w:space="0" w:color="auto"/>
              <w:left w:val="single" w:sz="4" w:space="0" w:color="auto"/>
              <w:bottom w:val="single" w:sz="4" w:space="0" w:color="auto"/>
              <w:right w:val="single" w:sz="4" w:space="0" w:color="auto"/>
            </w:tcBorders>
            <w:hideMark/>
          </w:tcPr>
          <w:p w14:paraId="6059689C"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29</w:t>
            </w:r>
          </w:p>
        </w:tc>
        <w:tc>
          <w:tcPr>
            <w:tcW w:w="1168" w:type="dxa"/>
            <w:tcBorders>
              <w:top w:val="single" w:sz="4" w:space="0" w:color="auto"/>
              <w:left w:val="single" w:sz="4" w:space="0" w:color="auto"/>
              <w:bottom w:val="single" w:sz="4" w:space="0" w:color="auto"/>
              <w:right w:val="single" w:sz="4" w:space="0" w:color="auto"/>
            </w:tcBorders>
            <w:hideMark/>
          </w:tcPr>
          <w:p w14:paraId="610F0AAD"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6</w:t>
            </w:r>
          </w:p>
        </w:tc>
        <w:tc>
          <w:tcPr>
            <w:tcW w:w="1168" w:type="dxa"/>
            <w:tcBorders>
              <w:top w:val="single" w:sz="4" w:space="0" w:color="auto"/>
              <w:left w:val="single" w:sz="4" w:space="0" w:color="auto"/>
              <w:bottom w:val="single" w:sz="4" w:space="0" w:color="auto"/>
              <w:right w:val="single" w:sz="4" w:space="0" w:color="auto"/>
            </w:tcBorders>
            <w:hideMark/>
          </w:tcPr>
          <w:p w14:paraId="19197F2B"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w:t>
            </w:r>
          </w:p>
        </w:tc>
        <w:tc>
          <w:tcPr>
            <w:tcW w:w="1168" w:type="dxa"/>
            <w:tcBorders>
              <w:top w:val="single" w:sz="4" w:space="0" w:color="auto"/>
              <w:left w:val="single" w:sz="4" w:space="0" w:color="auto"/>
              <w:bottom w:val="single" w:sz="4" w:space="0" w:color="auto"/>
              <w:right w:val="single" w:sz="4" w:space="0" w:color="auto"/>
            </w:tcBorders>
            <w:hideMark/>
          </w:tcPr>
          <w:p w14:paraId="023052D1"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w:t>
            </w:r>
          </w:p>
        </w:tc>
      </w:tr>
      <w:tr w:rsidR="003907EC" w:rsidRPr="00A31C5D" w14:paraId="2E33AF5D" w14:textId="77777777" w:rsidTr="003907EC">
        <w:trPr>
          <w:trHeight w:val="1113"/>
        </w:trPr>
        <w:tc>
          <w:tcPr>
            <w:tcW w:w="1167" w:type="dxa"/>
            <w:tcBorders>
              <w:top w:val="single" w:sz="4" w:space="0" w:color="auto"/>
              <w:left w:val="single" w:sz="4" w:space="0" w:color="auto"/>
              <w:bottom w:val="single" w:sz="4" w:space="0" w:color="auto"/>
              <w:right w:val="single" w:sz="4" w:space="0" w:color="auto"/>
            </w:tcBorders>
            <w:hideMark/>
          </w:tcPr>
          <w:p w14:paraId="13F3C3DF"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ALBI grade 3</w:t>
            </w:r>
          </w:p>
        </w:tc>
        <w:tc>
          <w:tcPr>
            <w:tcW w:w="1168" w:type="dxa"/>
            <w:tcBorders>
              <w:top w:val="single" w:sz="4" w:space="0" w:color="auto"/>
              <w:left w:val="single" w:sz="4" w:space="0" w:color="auto"/>
              <w:bottom w:val="single" w:sz="4" w:space="0" w:color="auto"/>
              <w:right w:val="single" w:sz="4" w:space="0" w:color="auto"/>
            </w:tcBorders>
            <w:hideMark/>
          </w:tcPr>
          <w:p w14:paraId="09AE101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w:t>
            </w:r>
          </w:p>
        </w:tc>
        <w:tc>
          <w:tcPr>
            <w:tcW w:w="1168" w:type="dxa"/>
            <w:tcBorders>
              <w:top w:val="single" w:sz="4" w:space="0" w:color="auto"/>
              <w:left w:val="single" w:sz="4" w:space="0" w:color="auto"/>
              <w:bottom w:val="single" w:sz="4" w:space="0" w:color="auto"/>
              <w:right w:val="single" w:sz="4" w:space="0" w:color="auto"/>
            </w:tcBorders>
            <w:hideMark/>
          </w:tcPr>
          <w:p w14:paraId="75AC002B"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w:t>
            </w:r>
          </w:p>
        </w:tc>
        <w:tc>
          <w:tcPr>
            <w:tcW w:w="1168" w:type="dxa"/>
            <w:tcBorders>
              <w:top w:val="single" w:sz="4" w:space="0" w:color="auto"/>
              <w:left w:val="single" w:sz="4" w:space="0" w:color="auto"/>
              <w:bottom w:val="single" w:sz="4" w:space="0" w:color="auto"/>
              <w:right w:val="single" w:sz="4" w:space="0" w:color="auto"/>
            </w:tcBorders>
            <w:hideMark/>
          </w:tcPr>
          <w:p w14:paraId="628F6C34"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12</w:t>
            </w:r>
          </w:p>
        </w:tc>
        <w:tc>
          <w:tcPr>
            <w:tcW w:w="1168" w:type="dxa"/>
            <w:tcBorders>
              <w:top w:val="single" w:sz="4" w:space="0" w:color="auto"/>
              <w:left w:val="single" w:sz="4" w:space="0" w:color="auto"/>
              <w:bottom w:val="single" w:sz="4" w:space="0" w:color="auto"/>
              <w:right w:val="single" w:sz="4" w:space="0" w:color="auto"/>
            </w:tcBorders>
            <w:hideMark/>
          </w:tcPr>
          <w:p w14:paraId="3336E70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22</w:t>
            </w:r>
          </w:p>
        </w:tc>
        <w:tc>
          <w:tcPr>
            <w:tcW w:w="1168" w:type="dxa"/>
            <w:tcBorders>
              <w:top w:val="single" w:sz="4" w:space="0" w:color="auto"/>
              <w:left w:val="single" w:sz="4" w:space="0" w:color="auto"/>
              <w:bottom w:val="single" w:sz="4" w:space="0" w:color="auto"/>
              <w:right w:val="single" w:sz="4" w:space="0" w:color="auto"/>
            </w:tcBorders>
            <w:hideMark/>
          </w:tcPr>
          <w:p w14:paraId="5C49ACB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12</w:t>
            </w:r>
          </w:p>
        </w:tc>
        <w:tc>
          <w:tcPr>
            <w:tcW w:w="1168" w:type="dxa"/>
            <w:tcBorders>
              <w:top w:val="single" w:sz="4" w:space="0" w:color="auto"/>
              <w:left w:val="single" w:sz="4" w:space="0" w:color="auto"/>
              <w:bottom w:val="single" w:sz="4" w:space="0" w:color="auto"/>
              <w:right w:val="single" w:sz="4" w:space="0" w:color="auto"/>
            </w:tcBorders>
            <w:hideMark/>
          </w:tcPr>
          <w:p w14:paraId="1174CD84"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11</w:t>
            </w:r>
          </w:p>
        </w:tc>
        <w:tc>
          <w:tcPr>
            <w:tcW w:w="1168" w:type="dxa"/>
            <w:tcBorders>
              <w:top w:val="single" w:sz="4" w:space="0" w:color="auto"/>
              <w:left w:val="single" w:sz="4" w:space="0" w:color="auto"/>
              <w:bottom w:val="single" w:sz="4" w:space="0" w:color="auto"/>
              <w:right w:val="single" w:sz="4" w:space="0" w:color="auto"/>
            </w:tcBorders>
            <w:hideMark/>
          </w:tcPr>
          <w:p w14:paraId="48FD084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w:t>
            </w:r>
          </w:p>
        </w:tc>
      </w:tr>
    </w:tbl>
    <w:p w14:paraId="0FDB4A45" w14:textId="77777777" w:rsidR="003907EC" w:rsidRPr="00A31C5D" w:rsidRDefault="003907EC" w:rsidP="00A31C5D">
      <w:pPr>
        <w:spacing w:line="480" w:lineRule="auto"/>
        <w:rPr>
          <w:rFonts w:ascii="Arial" w:hAnsi="Arial" w:cs="Arial"/>
          <w:sz w:val="24"/>
          <w:szCs w:val="24"/>
        </w:rPr>
      </w:pPr>
    </w:p>
    <w:p w14:paraId="6ABCF77B"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br w:type="page"/>
      </w:r>
    </w:p>
    <w:p w14:paraId="6E6F0F4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lastRenderedPageBreak/>
        <w:t>Table 4: Median overall survival according to both Child-Pugh and ALBI classifications</w:t>
      </w:r>
    </w:p>
    <w:tbl>
      <w:tblPr>
        <w:tblStyle w:val="TableGrid"/>
        <w:tblW w:w="0" w:type="auto"/>
        <w:tblLook w:val="04A0" w:firstRow="1" w:lastRow="0" w:firstColumn="1" w:lastColumn="0" w:noHBand="0" w:noVBand="1"/>
      </w:tblPr>
      <w:tblGrid>
        <w:gridCol w:w="3020"/>
        <w:gridCol w:w="1937"/>
        <w:gridCol w:w="4105"/>
      </w:tblGrid>
      <w:tr w:rsidR="003907EC" w:rsidRPr="00A31C5D" w14:paraId="360B97EC" w14:textId="77777777" w:rsidTr="003907EC">
        <w:tc>
          <w:tcPr>
            <w:tcW w:w="3020" w:type="dxa"/>
            <w:tcBorders>
              <w:top w:val="single" w:sz="4" w:space="0" w:color="auto"/>
              <w:left w:val="single" w:sz="4" w:space="0" w:color="auto"/>
              <w:bottom w:val="single" w:sz="4" w:space="0" w:color="auto"/>
              <w:right w:val="single" w:sz="4" w:space="0" w:color="auto"/>
            </w:tcBorders>
            <w:hideMark/>
          </w:tcPr>
          <w:p w14:paraId="35AA490C"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Class</w:t>
            </w:r>
          </w:p>
        </w:tc>
        <w:tc>
          <w:tcPr>
            <w:tcW w:w="1937" w:type="dxa"/>
            <w:tcBorders>
              <w:top w:val="single" w:sz="4" w:space="0" w:color="auto"/>
              <w:left w:val="single" w:sz="4" w:space="0" w:color="auto"/>
              <w:bottom w:val="single" w:sz="4" w:space="0" w:color="auto"/>
              <w:right w:val="single" w:sz="4" w:space="0" w:color="auto"/>
            </w:tcBorders>
            <w:hideMark/>
          </w:tcPr>
          <w:p w14:paraId="60C12FF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n</w:t>
            </w:r>
          </w:p>
        </w:tc>
        <w:tc>
          <w:tcPr>
            <w:tcW w:w="4105" w:type="dxa"/>
            <w:tcBorders>
              <w:top w:val="single" w:sz="4" w:space="0" w:color="auto"/>
              <w:left w:val="single" w:sz="4" w:space="0" w:color="auto"/>
              <w:bottom w:val="single" w:sz="4" w:space="0" w:color="auto"/>
              <w:right w:val="single" w:sz="4" w:space="0" w:color="auto"/>
            </w:tcBorders>
            <w:hideMark/>
          </w:tcPr>
          <w:p w14:paraId="6E5B0CEB"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median OS (95%CI)</w:t>
            </w:r>
          </w:p>
        </w:tc>
      </w:tr>
      <w:tr w:rsidR="003907EC" w:rsidRPr="00A31C5D" w14:paraId="6FC50A50" w14:textId="77777777" w:rsidTr="003907EC">
        <w:tc>
          <w:tcPr>
            <w:tcW w:w="3020" w:type="dxa"/>
            <w:tcBorders>
              <w:top w:val="single" w:sz="4" w:space="0" w:color="auto"/>
              <w:left w:val="single" w:sz="4" w:space="0" w:color="auto"/>
              <w:bottom w:val="single" w:sz="4" w:space="0" w:color="auto"/>
              <w:right w:val="single" w:sz="4" w:space="0" w:color="auto"/>
            </w:tcBorders>
            <w:hideMark/>
          </w:tcPr>
          <w:p w14:paraId="75CFF8A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CP5-ALBI1</w:t>
            </w:r>
          </w:p>
        </w:tc>
        <w:tc>
          <w:tcPr>
            <w:tcW w:w="1937" w:type="dxa"/>
            <w:tcBorders>
              <w:top w:val="single" w:sz="4" w:space="0" w:color="auto"/>
              <w:left w:val="single" w:sz="4" w:space="0" w:color="auto"/>
              <w:bottom w:val="single" w:sz="4" w:space="0" w:color="auto"/>
              <w:right w:val="single" w:sz="4" w:space="0" w:color="auto"/>
            </w:tcBorders>
            <w:hideMark/>
          </w:tcPr>
          <w:p w14:paraId="4682CFD2"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277</w:t>
            </w:r>
          </w:p>
        </w:tc>
        <w:tc>
          <w:tcPr>
            <w:tcW w:w="4105" w:type="dxa"/>
            <w:tcBorders>
              <w:top w:val="single" w:sz="4" w:space="0" w:color="auto"/>
              <w:left w:val="single" w:sz="4" w:space="0" w:color="auto"/>
              <w:bottom w:val="single" w:sz="4" w:space="0" w:color="auto"/>
              <w:right w:val="single" w:sz="4" w:space="0" w:color="auto"/>
            </w:tcBorders>
            <w:hideMark/>
          </w:tcPr>
          <w:p w14:paraId="236B8B20"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11.6 (9.8-13.9)</w:t>
            </w:r>
          </w:p>
        </w:tc>
      </w:tr>
      <w:tr w:rsidR="003907EC" w:rsidRPr="00A31C5D" w14:paraId="0956A2D6" w14:textId="77777777" w:rsidTr="003907EC">
        <w:tc>
          <w:tcPr>
            <w:tcW w:w="3020" w:type="dxa"/>
            <w:tcBorders>
              <w:top w:val="single" w:sz="4" w:space="0" w:color="auto"/>
              <w:left w:val="single" w:sz="4" w:space="0" w:color="auto"/>
              <w:bottom w:val="single" w:sz="4" w:space="0" w:color="auto"/>
              <w:right w:val="single" w:sz="4" w:space="0" w:color="auto"/>
            </w:tcBorders>
            <w:hideMark/>
          </w:tcPr>
          <w:p w14:paraId="7529880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CP5-ALBI2</w:t>
            </w:r>
          </w:p>
        </w:tc>
        <w:tc>
          <w:tcPr>
            <w:tcW w:w="1937" w:type="dxa"/>
            <w:tcBorders>
              <w:top w:val="single" w:sz="4" w:space="0" w:color="auto"/>
              <w:left w:val="single" w:sz="4" w:space="0" w:color="auto"/>
              <w:bottom w:val="single" w:sz="4" w:space="0" w:color="auto"/>
              <w:right w:val="single" w:sz="4" w:space="0" w:color="auto"/>
            </w:tcBorders>
            <w:hideMark/>
          </w:tcPr>
          <w:p w14:paraId="5554AD8A"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181</w:t>
            </w:r>
          </w:p>
        </w:tc>
        <w:tc>
          <w:tcPr>
            <w:tcW w:w="4105" w:type="dxa"/>
            <w:tcBorders>
              <w:top w:val="single" w:sz="4" w:space="0" w:color="auto"/>
              <w:left w:val="single" w:sz="4" w:space="0" w:color="auto"/>
              <w:bottom w:val="single" w:sz="4" w:space="0" w:color="auto"/>
              <w:right w:val="single" w:sz="4" w:space="0" w:color="auto"/>
            </w:tcBorders>
            <w:hideMark/>
          </w:tcPr>
          <w:p w14:paraId="2C92731B"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8.6 (7.4-10.6)</w:t>
            </w:r>
          </w:p>
        </w:tc>
      </w:tr>
      <w:tr w:rsidR="003907EC" w:rsidRPr="00A31C5D" w14:paraId="32FFD6E2" w14:textId="77777777" w:rsidTr="003907EC">
        <w:tc>
          <w:tcPr>
            <w:tcW w:w="3020" w:type="dxa"/>
            <w:tcBorders>
              <w:top w:val="single" w:sz="4" w:space="0" w:color="auto"/>
              <w:left w:val="single" w:sz="4" w:space="0" w:color="auto"/>
              <w:bottom w:val="single" w:sz="4" w:space="0" w:color="auto"/>
              <w:right w:val="single" w:sz="4" w:space="0" w:color="auto"/>
            </w:tcBorders>
            <w:hideMark/>
          </w:tcPr>
          <w:p w14:paraId="5BB19EEB"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CP6-ALBI1</w:t>
            </w:r>
          </w:p>
        </w:tc>
        <w:tc>
          <w:tcPr>
            <w:tcW w:w="1937" w:type="dxa"/>
            <w:tcBorders>
              <w:top w:val="single" w:sz="4" w:space="0" w:color="auto"/>
              <w:left w:val="single" w:sz="4" w:space="0" w:color="auto"/>
              <w:bottom w:val="single" w:sz="4" w:space="0" w:color="auto"/>
              <w:right w:val="single" w:sz="4" w:space="0" w:color="auto"/>
            </w:tcBorders>
            <w:hideMark/>
          </w:tcPr>
          <w:p w14:paraId="482A7988"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23</w:t>
            </w:r>
          </w:p>
        </w:tc>
        <w:tc>
          <w:tcPr>
            <w:tcW w:w="4105" w:type="dxa"/>
            <w:tcBorders>
              <w:top w:val="single" w:sz="4" w:space="0" w:color="auto"/>
              <w:left w:val="single" w:sz="4" w:space="0" w:color="auto"/>
              <w:bottom w:val="single" w:sz="4" w:space="0" w:color="auto"/>
              <w:right w:val="single" w:sz="4" w:space="0" w:color="auto"/>
            </w:tcBorders>
            <w:hideMark/>
          </w:tcPr>
          <w:p w14:paraId="20854048"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7.9 (5.8-NA)</w:t>
            </w:r>
          </w:p>
        </w:tc>
      </w:tr>
      <w:tr w:rsidR="003907EC" w:rsidRPr="00A31C5D" w14:paraId="1765D150" w14:textId="77777777" w:rsidTr="003907EC">
        <w:tc>
          <w:tcPr>
            <w:tcW w:w="3020" w:type="dxa"/>
            <w:tcBorders>
              <w:top w:val="single" w:sz="4" w:space="0" w:color="auto"/>
              <w:left w:val="single" w:sz="4" w:space="0" w:color="auto"/>
              <w:bottom w:val="single" w:sz="4" w:space="0" w:color="auto"/>
              <w:right w:val="single" w:sz="4" w:space="0" w:color="auto"/>
            </w:tcBorders>
            <w:hideMark/>
          </w:tcPr>
          <w:p w14:paraId="1BE375F1"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CP6-ALBI2</w:t>
            </w:r>
          </w:p>
        </w:tc>
        <w:tc>
          <w:tcPr>
            <w:tcW w:w="1937" w:type="dxa"/>
            <w:tcBorders>
              <w:top w:val="single" w:sz="4" w:space="0" w:color="auto"/>
              <w:left w:val="single" w:sz="4" w:space="0" w:color="auto"/>
              <w:bottom w:val="single" w:sz="4" w:space="0" w:color="auto"/>
              <w:right w:val="single" w:sz="4" w:space="0" w:color="auto"/>
            </w:tcBorders>
            <w:hideMark/>
          </w:tcPr>
          <w:p w14:paraId="0030703A"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241</w:t>
            </w:r>
          </w:p>
        </w:tc>
        <w:tc>
          <w:tcPr>
            <w:tcW w:w="4105" w:type="dxa"/>
            <w:tcBorders>
              <w:top w:val="single" w:sz="4" w:space="0" w:color="auto"/>
              <w:left w:val="single" w:sz="4" w:space="0" w:color="auto"/>
              <w:bottom w:val="single" w:sz="4" w:space="0" w:color="auto"/>
              <w:right w:val="single" w:sz="4" w:space="0" w:color="auto"/>
            </w:tcBorders>
            <w:hideMark/>
          </w:tcPr>
          <w:p w14:paraId="5D4E1418"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6.9 (6.1-7.7)</w:t>
            </w:r>
          </w:p>
        </w:tc>
      </w:tr>
      <w:tr w:rsidR="003907EC" w:rsidRPr="00A31C5D" w14:paraId="5FBA601B" w14:textId="77777777" w:rsidTr="003907EC">
        <w:tc>
          <w:tcPr>
            <w:tcW w:w="3020" w:type="dxa"/>
            <w:tcBorders>
              <w:top w:val="single" w:sz="4" w:space="0" w:color="auto"/>
              <w:left w:val="single" w:sz="4" w:space="0" w:color="auto"/>
              <w:bottom w:val="single" w:sz="4" w:space="0" w:color="auto"/>
              <w:right w:val="single" w:sz="4" w:space="0" w:color="auto"/>
            </w:tcBorders>
            <w:hideMark/>
          </w:tcPr>
          <w:p w14:paraId="381B9DD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CP&gt;6-ALBI2</w:t>
            </w:r>
          </w:p>
        </w:tc>
        <w:tc>
          <w:tcPr>
            <w:tcW w:w="1937" w:type="dxa"/>
            <w:tcBorders>
              <w:top w:val="single" w:sz="4" w:space="0" w:color="auto"/>
              <w:left w:val="single" w:sz="4" w:space="0" w:color="auto"/>
              <w:bottom w:val="single" w:sz="4" w:space="0" w:color="auto"/>
              <w:right w:val="single" w:sz="4" w:space="0" w:color="auto"/>
            </w:tcBorders>
            <w:hideMark/>
          </w:tcPr>
          <w:p w14:paraId="1683084A"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122</w:t>
            </w:r>
          </w:p>
        </w:tc>
        <w:tc>
          <w:tcPr>
            <w:tcW w:w="4105" w:type="dxa"/>
            <w:tcBorders>
              <w:top w:val="single" w:sz="4" w:space="0" w:color="auto"/>
              <w:left w:val="single" w:sz="4" w:space="0" w:color="auto"/>
              <w:bottom w:val="single" w:sz="4" w:space="0" w:color="auto"/>
              <w:right w:val="single" w:sz="4" w:space="0" w:color="auto"/>
            </w:tcBorders>
            <w:hideMark/>
          </w:tcPr>
          <w:p w14:paraId="3BE1C7CA"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3.9 (3.3-5.4)</w:t>
            </w:r>
          </w:p>
        </w:tc>
      </w:tr>
      <w:tr w:rsidR="003907EC" w:rsidRPr="00A31C5D" w14:paraId="0510636C" w14:textId="77777777" w:rsidTr="003907EC">
        <w:tc>
          <w:tcPr>
            <w:tcW w:w="3020" w:type="dxa"/>
            <w:tcBorders>
              <w:top w:val="single" w:sz="4" w:space="0" w:color="auto"/>
              <w:left w:val="single" w:sz="4" w:space="0" w:color="auto"/>
              <w:bottom w:val="single" w:sz="4" w:space="0" w:color="auto"/>
              <w:right w:val="single" w:sz="4" w:space="0" w:color="auto"/>
            </w:tcBorders>
            <w:hideMark/>
          </w:tcPr>
          <w:p w14:paraId="0C05CFD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CP&gt;6-ALBI3</w:t>
            </w:r>
          </w:p>
        </w:tc>
        <w:tc>
          <w:tcPr>
            <w:tcW w:w="1937" w:type="dxa"/>
            <w:tcBorders>
              <w:top w:val="single" w:sz="4" w:space="0" w:color="auto"/>
              <w:left w:val="single" w:sz="4" w:space="0" w:color="auto"/>
              <w:bottom w:val="single" w:sz="4" w:space="0" w:color="auto"/>
              <w:right w:val="single" w:sz="4" w:space="0" w:color="auto"/>
            </w:tcBorders>
            <w:hideMark/>
          </w:tcPr>
          <w:p w14:paraId="56033163"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59</w:t>
            </w:r>
          </w:p>
        </w:tc>
        <w:tc>
          <w:tcPr>
            <w:tcW w:w="4105" w:type="dxa"/>
            <w:tcBorders>
              <w:top w:val="single" w:sz="4" w:space="0" w:color="auto"/>
              <w:left w:val="single" w:sz="4" w:space="0" w:color="auto"/>
              <w:bottom w:val="single" w:sz="4" w:space="0" w:color="auto"/>
              <w:right w:val="single" w:sz="4" w:space="0" w:color="auto"/>
            </w:tcBorders>
            <w:hideMark/>
          </w:tcPr>
          <w:p w14:paraId="538A8B5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3.0 (2.1-4.0)</w:t>
            </w:r>
          </w:p>
        </w:tc>
      </w:tr>
    </w:tbl>
    <w:p w14:paraId="60C2DF6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 Child-Pugh; OS: Overall Survival; NA: Not assessable</w:t>
      </w:r>
      <w:r w:rsidRPr="00A31C5D">
        <w:rPr>
          <w:rFonts w:ascii="Arial" w:hAnsi="Arial" w:cs="Arial"/>
          <w:sz w:val="24"/>
          <w:szCs w:val="24"/>
        </w:rPr>
        <w:br w:type="page"/>
      </w:r>
    </w:p>
    <w:p w14:paraId="2F0162F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lastRenderedPageBreak/>
        <w:t>Table 5: Discriminative abilities of Child-Pugh and ALBI scoring systems. A higher Harrell’s C statistics indicates higher discriminative ability (patients of different risk groups have higher difference in survival). A higher log likelihood ratio indicates higher homogeneity (similar survival between patients classifi</w:t>
      </w:r>
      <w:r w:rsidRPr="00A31C5D">
        <w:rPr>
          <w:rFonts w:ascii="Arial" w:hAnsi="Arial" w:cs="Arial"/>
          <w:sz w:val="24"/>
          <w:szCs w:val="24"/>
        </w:rPr>
        <w:softHyphen/>
        <w:t>ed in a same class). A lower Akaike information criterion indicates lower loss of information (the classification explaining most of the difference in prognosis between patients). The relative likelihood calculated represents the probability that ALBI minimizes information loss as effectively as CP.</w:t>
      </w:r>
    </w:p>
    <w:tbl>
      <w:tblPr>
        <w:tblStyle w:val="TableGrid"/>
        <w:tblW w:w="9110" w:type="dxa"/>
        <w:tblLook w:val="04A0" w:firstRow="1" w:lastRow="0" w:firstColumn="1" w:lastColumn="0" w:noHBand="0" w:noVBand="1"/>
      </w:tblPr>
      <w:tblGrid>
        <w:gridCol w:w="3539"/>
        <w:gridCol w:w="1418"/>
        <w:gridCol w:w="1275"/>
        <w:gridCol w:w="1418"/>
        <w:gridCol w:w="1460"/>
      </w:tblGrid>
      <w:tr w:rsidR="003907EC" w:rsidRPr="00A31C5D" w14:paraId="37B10763" w14:textId="77777777" w:rsidTr="003907EC">
        <w:tc>
          <w:tcPr>
            <w:tcW w:w="3539" w:type="dxa"/>
            <w:tcBorders>
              <w:top w:val="single" w:sz="4" w:space="0" w:color="auto"/>
              <w:left w:val="single" w:sz="4" w:space="0" w:color="auto"/>
              <w:bottom w:val="single" w:sz="4" w:space="0" w:color="auto"/>
              <w:right w:val="single" w:sz="4" w:space="0" w:color="auto"/>
            </w:tcBorders>
          </w:tcPr>
          <w:p w14:paraId="633E4A76" w14:textId="77777777" w:rsidR="003907EC" w:rsidRPr="00A31C5D" w:rsidRDefault="003907EC" w:rsidP="00A31C5D">
            <w:pPr>
              <w:spacing w:line="480" w:lineRule="auto"/>
              <w:rPr>
                <w:rFonts w:ascii="Arial" w:hAnsi="Arial" w:cs="Arial"/>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67BB7B90"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All patients (n=905)</w:t>
            </w:r>
          </w:p>
        </w:tc>
        <w:tc>
          <w:tcPr>
            <w:tcW w:w="2878" w:type="dxa"/>
            <w:gridSpan w:val="2"/>
            <w:tcBorders>
              <w:top w:val="single" w:sz="4" w:space="0" w:color="auto"/>
              <w:left w:val="single" w:sz="4" w:space="0" w:color="auto"/>
              <w:bottom w:val="single" w:sz="4" w:space="0" w:color="auto"/>
              <w:right w:val="single" w:sz="4" w:space="0" w:color="auto"/>
            </w:tcBorders>
            <w:hideMark/>
          </w:tcPr>
          <w:p w14:paraId="1E803654"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 A patients (n=722)</w:t>
            </w:r>
          </w:p>
        </w:tc>
      </w:tr>
      <w:tr w:rsidR="003907EC" w:rsidRPr="00A31C5D" w14:paraId="3A8490D8" w14:textId="77777777" w:rsidTr="003907EC">
        <w:tc>
          <w:tcPr>
            <w:tcW w:w="3539" w:type="dxa"/>
            <w:tcBorders>
              <w:top w:val="single" w:sz="4" w:space="0" w:color="auto"/>
              <w:left w:val="single" w:sz="4" w:space="0" w:color="auto"/>
              <w:bottom w:val="single" w:sz="4" w:space="0" w:color="auto"/>
              <w:right w:val="single" w:sz="4" w:space="0" w:color="auto"/>
            </w:tcBorders>
          </w:tcPr>
          <w:p w14:paraId="1D7536C3" w14:textId="77777777" w:rsidR="003907EC" w:rsidRPr="00A31C5D" w:rsidRDefault="003907EC" w:rsidP="00A31C5D">
            <w:pPr>
              <w:spacing w:line="48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4C2897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w:t>
            </w:r>
          </w:p>
        </w:tc>
        <w:tc>
          <w:tcPr>
            <w:tcW w:w="1275" w:type="dxa"/>
            <w:tcBorders>
              <w:top w:val="single" w:sz="4" w:space="0" w:color="auto"/>
              <w:left w:val="single" w:sz="4" w:space="0" w:color="auto"/>
              <w:bottom w:val="single" w:sz="4" w:space="0" w:color="auto"/>
              <w:right w:val="single" w:sz="4" w:space="0" w:color="auto"/>
            </w:tcBorders>
            <w:hideMark/>
          </w:tcPr>
          <w:p w14:paraId="2621788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ALBI</w:t>
            </w:r>
          </w:p>
        </w:tc>
        <w:tc>
          <w:tcPr>
            <w:tcW w:w="1418" w:type="dxa"/>
            <w:tcBorders>
              <w:top w:val="single" w:sz="4" w:space="0" w:color="auto"/>
              <w:left w:val="single" w:sz="4" w:space="0" w:color="auto"/>
              <w:bottom w:val="single" w:sz="4" w:space="0" w:color="auto"/>
              <w:right w:val="single" w:sz="4" w:space="0" w:color="auto"/>
            </w:tcBorders>
            <w:hideMark/>
          </w:tcPr>
          <w:p w14:paraId="6D1966AC"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CP</w:t>
            </w:r>
          </w:p>
        </w:tc>
        <w:tc>
          <w:tcPr>
            <w:tcW w:w="1460" w:type="dxa"/>
            <w:tcBorders>
              <w:top w:val="single" w:sz="4" w:space="0" w:color="auto"/>
              <w:left w:val="single" w:sz="4" w:space="0" w:color="auto"/>
              <w:bottom w:val="single" w:sz="4" w:space="0" w:color="auto"/>
              <w:right w:val="single" w:sz="4" w:space="0" w:color="auto"/>
            </w:tcBorders>
            <w:hideMark/>
          </w:tcPr>
          <w:p w14:paraId="0284C4F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ALBI</w:t>
            </w:r>
          </w:p>
        </w:tc>
      </w:tr>
      <w:tr w:rsidR="003907EC" w:rsidRPr="00A31C5D" w14:paraId="5DD98651" w14:textId="77777777" w:rsidTr="003907EC">
        <w:tc>
          <w:tcPr>
            <w:tcW w:w="3539" w:type="dxa"/>
            <w:tcBorders>
              <w:top w:val="single" w:sz="4" w:space="0" w:color="auto"/>
              <w:left w:val="single" w:sz="4" w:space="0" w:color="auto"/>
              <w:bottom w:val="single" w:sz="4" w:space="0" w:color="auto"/>
              <w:right w:val="single" w:sz="4" w:space="0" w:color="auto"/>
            </w:tcBorders>
            <w:hideMark/>
          </w:tcPr>
          <w:p w14:paraId="0AB57DE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Harrell’s C statistic</w:t>
            </w:r>
          </w:p>
        </w:tc>
        <w:tc>
          <w:tcPr>
            <w:tcW w:w="1418" w:type="dxa"/>
            <w:tcBorders>
              <w:top w:val="single" w:sz="4" w:space="0" w:color="auto"/>
              <w:left w:val="single" w:sz="4" w:space="0" w:color="auto"/>
              <w:bottom w:val="single" w:sz="4" w:space="0" w:color="auto"/>
              <w:right w:val="single" w:sz="4" w:space="0" w:color="auto"/>
            </w:tcBorders>
            <w:hideMark/>
          </w:tcPr>
          <w:p w14:paraId="6FAB995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0.61</w:t>
            </w:r>
          </w:p>
        </w:tc>
        <w:tc>
          <w:tcPr>
            <w:tcW w:w="1275" w:type="dxa"/>
            <w:tcBorders>
              <w:top w:val="single" w:sz="4" w:space="0" w:color="auto"/>
              <w:left w:val="single" w:sz="4" w:space="0" w:color="auto"/>
              <w:bottom w:val="single" w:sz="4" w:space="0" w:color="auto"/>
              <w:right w:val="single" w:sz="4" w:space="0" w:color="auto"/>
            </w:tcBorders>
            <w:hideMark/>
          </w:tcPr>
          <w:p w14:paraId="2526DF6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0.60</w:t>
            </w:r>
          </w:p>
        </w:tc>
        <w:tc>
          <w:tcPr>
            <w:tcW w:w="1418" w:type="dxa"/>
            <w:tcBorders>
              <w:top w:val="single" w:sz="4" w:space="0" w:color="auto"/>
              <w:left w:val="single" w:sz="4" w:space="0" w:color="auto"/>
              <w:bottom w:val="single" w:sz="4" w:space="0" w:color="auto"/>
              <w:right w:val="single" w:sz="4" w:space="0" w:color="auto"/>
            </w:tcBorders>
            <w:hideMark/>
          </w:tcPr>
          <w:p w14:paraId="5F550D77"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0.56</w:t>
            </w:r>
          </w:p>
        </w:tc>
        <w:tc>
          <w:tcPr>
            <w:tcW w:w="1460" w:type="dxa"/>
            <w:tcBorders>
              <w:top w:val="single" w:sz="4" w:space="0" w:color="auto"/>
              <w:left w:val="single" w:sz="4" w:space="0" w:color="auto"/>
              <w:bottom w:val="single" w:sz="4" w:space="0" w:color="auto"/>
              <w:right w:val="single" w:sz="4" w:space="0" w:color="auto"/>
            </w:tcBorders>
            <w:hideMark/>
          </w:tcPr>
          <w:p w14:paraId="5CF27E06"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0.57</w:t>
            </w:r>
          </w:p>
        </w:tc>
      </w:tr>
      <w:tr w:rsidR="003907EC" w:rsidRPr="00A31C5D" w14:paraId="0D73E973" w14:textId="77777777" w:rsidTr="003907EC">
        <w:tc>
          <w:tcPr>
            <w:tcW w:w="3539" w:type="dxa"/>
            <w:tcBorders>
              <w:top w:val="single" w:sz="4" w:space="0" w:color="auto"/>
              <w:left w:val="single" w:sz="4" w:space="0" w:color="auto"/>
              <w:bottom w:val="single" w:sz="4" w:space="0" w:color="auto"/>
              <w:right w:val="single" w:sz="4" w:space="0" w:color="auto"/>
            </w:tcBorders>
            <w:hideMark/>
          </w:tcPr>
          <w:p w14:paraId="7D02BEF8"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Log likelihood ratio</w:t>
            </w:r>
          </w:p>
        </w:tc>
        <w:tc>
          <w:tcPr>
            <w:tcW w:w="1418" w:type="dxa"/>
            <w:tcBorders>
              <w:top w:val="single" w:sz="4" w:space="0" w:color="auto"/>
              <w:left w:val="single" w:sz="4" w:space="0" w:color="auto"/>
              <w:bottom w:val="single" w:sz="4" w:space="0" w:color="auto"/>
              <w:right w:val="single" w:sz="4" w:space="0" w:color="auto"/>
            </w:tcBorders>
            <w:hideMark/>
          </w:tcPr>
          <w:p w14:paraId="6D651F5C"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90.7</w:t>
            </w:r>
          </w:p>
        </w:tc>
        <w:tc>
          <w:tcPr>
            <w:tcW w:w="1275" w:type="dxa"/>
            <w:tcBorders>
              <w:top w:val="single" w:sz="4" w:space="0" w:color="auto"/>
              <w:left w:val="single" w:sz="4" w:space="0" w:color="auto"/>
              <w:bottom w:val="single" w:sz="4" w:space="0" w:color="auto"/>
              <w:right w:val="single" w:sz="4" w:space="0" w:color="auto"/>
            </w:tcBorders>
            <w:hideMark/>
          </w:tcPr>
          <w:p w14:paraId="5B71029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68.3</w:t>
            </w:r>
          </w:p>
        </w:tc>
        <w:tc>
          <w:tcPr>
            <w:tcW w:w="1418" w:type="dxa"/>
            <w:tcBorders>
              <w:top w:val="single" w:sz="4" w:space="0" w:color="auto"/>
              <w:left w:val="single" w:sz="4" w:space="0" w:color="auto"/>
              <w:bottom w:val="single" w:sz="4" w:space="0" w:color="auto"/>
              <w:right w:val="single" w:sz="4" w:space="0" w:color="auto"/>
            </w:tcBorders>
            <w:hideMark/>
          </w:tcPr>
          <w:p w14:paraId="197CF934"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29.0</w:t>
            </w:r>
          </w:p>
        </w:tc>
        <w:tc>
          <w:tcPr>
            <w:tcW w:w="1460" w:type="dxa"/>
            <w:tcBorders>
              <w:top w:val="single" w:sz="4" w:space="0" w:color="auto"/>
              <w:left w:val="single" w:sz="4" w:space="0" w:color="auto"/>
              <w:bottom w:val="single" w:sz="4" w:space="0" w:color="auto"/>
              <w:right w:val="single" w:sz="4" w:space="0" w:color="auto"/>
            </w:tcBorders>
            <w:hideMark/>
          </w:tcPr>
          <w:p w14:paraId="6A71090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26.3</w:t>
            </w:r>
          </w:p>
        </w:tc>
      </w:tr>
      <w:tr w:rsidR="003907EC" w:rsidRPr="00A31C5D" w14:paraId="6A005CE4" w14:textId="77777777" w:rsidTr="003907EC">
        <w:tc>
          <w:tcPr>
            <w:tcW w:w="3539" w:type="dxa"/>
            <w:tcBorders>
              <w:top w:val="single" w:sz="4" w:space="0" w:color="auto"/>
              <w:left w:val="single" w:sz="4" w:space="0" w:color="auto"/>
              <w:bottom w:val="single" w:sz="4" w:space="0" w:color="auto"/>
              <w:right w:val="single" w:sz="4" w:space="0" w:color="auto"/>
            </w:tcBorders>
            <w:hideMark/>
          </w:tcPr>
          <w:p w14:paraId="32CF9215"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AIC</w:t>
            </w:r>
          </w:p>
        </w:tc>
        <w:tc>
          <w:tcPr>
            <w:tcW w:w="1418" w:type="dxa"/>
            <w:tcBorders>
              <w:top w:val="single" w:sz="4" w:space="0" w:color="auto"/>
              <w:left w:val="single" w:sz="4" w:space="0" w:color="auto"/>
              <w:bottom w:val="single" w:sz="4" w:space="0" w:color="auto"/>
              <w:right w:val="single" w:sz="4" w:space="0" w:color="auto"/>
            </w:tcBorders>
            <w:hideMark/>
          </w:tcPr>
          <w:p w14:paraId="6023F709"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8876</w:t>
            </w:r>
          </w:p>
        </w:tc>
        <w:tc>
          <w:tcPr>
            <w:tcW w:w="1275" w:type="dxa"/>
            <w:tcBorders>
              <w:top w:val="single" w:sz="4" w:space="0" w:color="auto"/>
              <w:left w:val="single" w:sz="4" w:space="0" w:color="auto"/>
              <w:bottom w:val="single" w:sz="4" w:space="0" w:color="auto"/>
              <w:right w:val="single" w:sz="4" w:space="0" w:color="auto"/>
            </w:tcBorders>
            <w:hideMark/>
          </w:tcPr>
          <w:p w14:paraId="5EC8F214"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8898</w:t>
            </w:r>
          </w:p>
        </w:tc>
        <w:tc>
          <w:tcPr>
            <w:tcW w:w="1418" w:type="dxa"/>
            <w:tcBorders>
              <w:top w:val="single" w:sz="4" w:space="0" w:color="auto"/>
              <w:left w:val="single" w:sz="4" w:space="0" w:color="auto"/>
              <w:bottom w:val="single" w:sz="4" w:space="0" w:color="auto"/>
              <w:right w:val="single" w:sz="4" w:space="0" w:color="auto"/>
            </w:tcBorders>
            <w:hideMark/>
          </w:tcPr>
          <w:p w14:paraId="5DFBD2FD"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6649</w:t>
            </w:r>
          </w:p>
        </w:tc>
        <w:tc>
          <w:tcPr>
            <w:tcW w:w="1460" w:type="dxa"/>
            <w:tcBorders>
              <w:top w:val="single" w:sz="4" w:space="0" w:color="auto"/>
              <w:left w:val="single" w:sz="4" w:space="0" w:color="auto"/>
              <w:bottom w:val="single" w:sz="4" w:space="0" w:color="auto"/>
              <w:right w:val="single" w:sz="4" w:space="0" w:color="auto"/>
            </w:tcBorders>
            <w:hideMark/>
          </w:tcPr>
          <w:p w14:paraId="20DA1911"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6652</w:t>
            </w:r>
          </w:p>
        </w:tc>
      </w:tr>
      <w:tr w:rsidR="003907EC" w:rsidRPr="00A31C5D" w14:paraId="362526A1" w14:textId="77777777" w:rsidTr="003907EC">
        <w:tc>
          <w:tcPr>
            <w:tcW w:w="3539" w:type="dxa"/>
            <w:tcBorders>
              <w:top w:val="single" w:sz="4" w:space="0" w:color="auto"/>
              <w:left w:val="single" w:sz="4" w:space="0" w:color="auto"/>
              <w:bottom w:val="single" w:sz="4" w:space="0" w:color="auto"/>
              <w:right w:val="single" w:sz="4" w:space="0" w:color="auto"/>
            </w:tcBorders>
            <w:hideMark/>
          </w:tcPr>
          <w:p w14:paraId="2AF88E1E"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Relative likelihood of ALBI equivalence of AIC comparatively to CP</w:t>
            </w:r>
          </w:p>
        </w:tc>
        <w:tc>
          <w:tcPr>
            <w:tcW w:w="2693" w:type="dxa"/>
            <w:gridSpan w:val="2"/>
            <w:tcBorders>
              <w:top w:val="single" w:sz="4" w:space="0" w:color="auto"/>
              <w:left w:val="single" w:sz="4" w:space="0" w:color="auto"/>
              <w:bottom w:val="single" w:sz="4" w:space="0" w:color="auto"/>
              <w:right w:val="single" w:sz="4" w:space="0" w:color="auto"/>
            </w:tcBorders>
            <w:hideMark/>
          </w:tcPr>
          <w:p w14:paraId="1C70CEF8"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&lt;0.001</w:t>
            </w:r>
          </w:p>
        </w:tc>
        <w:tc>
          <w:tcPr>
            <w:tcW w:w="2878" w:type="dxa"/>
            <w:gridSpan w:val="2"/>
            <w:tcBorders>
              <w:top w:val="single" w:sz="4" w:space="0" w:color="auto"/>
              <w:left w:val="single" w:sz="4" w:space="0" w:color="auto"/>
              <w:bottom w:val="single" w:sz="4" w:space="0" w:color="auto"/>
              <w:right w:val="single" w:sz="4" w:space="0" w:color="auto"/>
            </w:tcBorders>
            <w:hideMark/>
          </w:tcPr>
          <w:p w14:paraId="2EC0D12B"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0.22</w:t>
            </w:r>
          </w:p>
        </w:tc>
      </w:tr>
    </w:tbl>
    <w:p w14:paraId="4A47B751" w14:textId="77777777" w:rsidR="003907EC" w:rsidRPr="00A31C5D" w:rsidRDefault="003907EC" w:rsidP="00A31C5D">
      <w:pPr>
        <w:spacing w:line="480" w:lineRule="auto"/>
        <w:rPr>
          <w:rFonts w:ascii="Arial" w:hAnsi="Arial" w:cs="Arial"/>
          <w:sz w:val="24"/>
          <w:szCs w:val="24"/>
        </w:rPr>
      </w:pPr>
      <w:r w:rsidRPr="00A31C5D">
        <w:rPr>
          <w:rFonts w:ascii="Arial" w:hAnsi="Arial" w:cs="Arial"/>
          <w:sz w:val="24"/>
          <w:szCs w:val="24"/>
        </w:rPr>
        <w:t>AIC: Akaike Information Criterion; CP: Child-Pugh</w:t>
      </w:r>
    </w:p>
    <w:p w14:paraId="42B574FC" w14:textId="77777777" w:rsidR="003907EC" w:rsidRPr="00A31C5D" w:rsidRDefault="003907EC" w:rsidP="00A31C5D">
      <w:pPr>
        <w:spacing w:line="480" w:lineRule="auto"/>
        <w:rPr>
          <w:rFonts w:ascii="Arial" w:hAnsi="Arial" w:cs="Arial"/>
          <w:sz w:val="24"/>
          <w:szCs w:val="24"/>
        </w:rPr>
      </w:pPr>
    </w:p>
    <w:p w14:paraId="49B5018C" w14:textId="77777777" w:rsidR="003907EC" w:rsidRPr="00A31C5D" w:rsidRDefault="003907EC" w:rsidP="00A31C5D">
      <w:pPr>
        <w:spacing w:line="480" w:lineRule="auto"/>
        <w:rPr>
          <w:rFonts w:ascii="Arial" w:hAnsi="Arial" w:cs="Arial"/>
          <w:sz w:val="24"/>
          <w:szCs w:val="24"/>
        </w:rPr>
      </w:pPr>
    </w:p>
    <w:p w14:paraId="7952F5A5" w14:textId="77777777" w:rsidR="003907EC" w:rsidRPr="00A31C5D" w:rsidRDefault="003907EC" w:rsidP="007746C8">
      <w:pPr>
        <w:spacing w:line="480" w:lineRule="auto"/>
        <w:rPr>
          <w:rFonts w:ascii="Arial" w:hAnsi="Arial" w:cs="Arial"/>
          <w:sz w:val="24"/>
          <w:szCs w:val="24"/>
        </w:rPr>
      </w:pPr>
      <w:r w:rsidRPr="00A31C5D">
        <w:rPr>
          <w:rFonts w:ascii="Arial" w:hAnsi="Arial" w:cs="Arial"/>
          <w:sz w:val="24"/>
          <w:szCs w:val="24"/>
        </w:rPr>
        <w:br w:type="page"/>
      </w:r>
    </w:p>
    <w:p w14:paraId="4F30A281" w14:textId="3C508D8C" w:rsidR="002E5B48" w:rsidRPr="00A31C5D" w:rsidRDefault="00B21AF1" w:rsidP="00A31C5D">
      <w:pPr>
        <w:spacing w:line="480" w:lineRule="auto"/>
        <w:rPr>
          <w:rFonts w:ascii="Arial" w:hAnsi="Arial" w:cs="Arial"/>
          <w:sz w:val="24"/>
          <w:szCs w:val="24"/>
        </w:rPr>
      </w:pPr>
      <w:r w:rsidRPr="00A31C5D">
        <w:rPr>
          <w:rFonts w:ascii="Arial" w:hAnsi="Arial" w:cs="Arial"/>
          <w:sz w:val="24"/>
          <w:szCs w:val="24"/>
        </w:rPr>
        <w:lastRenderedPageBreak/>
        <w:t>Figures legends:</w:t>
      </w:r>
    </w:p>
    <w:p w14:paraId="60EE3F6C" w14:textId="5EB38F85" w:rsidR="00BD4E2A" w:rsidRPr="00A31C5D" w:rsidRDefault="00FA2D03" w:rsidP="00A31C5D">
      <w:pPr>
        <w:spacing w:line="480" w:lineRule="auto"/>
        <w:rPr>
          <w:rFonts w:ascii="Arial" w:hAnsi="Arial" w:cs="Arial"/>
          <w:sz w:val="24"/>
          <w:szCs w:val="24"/>
        </w:rPr>
      </w:pPr>
      <w:r w:rsidRPr="00A31C5D">
        <w:rPr>
          <w:rFonts w:ascii="Arial" w:hAnsi="Arial" w:cs="Arial"/>
          <w:b/>
          <w:sz w:val="24"/>
          <w:szCs w:val="24"/>
        </w:rPr>
        <w:t>Fig</w:t>
      </w:r>
      <w:r w:rsidR="009E1469" w:rsidRPr="00A31C5D">
        <w:rPr>
          <w:rFonts w:ascii="Arial" w:hAnsi="Arial" w:cs="Arial"/>
          <w:b/>
          <w:sz w:val="24"/>
          <w:szCs w:val="24"/>
        </w:rPr>
        <w:t>.</w:t>
      </w:r>
      <w:r w:rsidRPr="00A31C5D">
        <w:rPr>
          <w:rFonts w:ascii="Arial" w:hAnsi="Arial" w:cs="Arial"/>
          <w:b/>
          <w:sz w:val="24"/>
          <w:szCs w:val="24"/>
        </w:rPr>
        <w:t xml:space="preserve"> 1:</w:t>
      </w:r>
      <w:r w:rsidRPr="00A31C5D">
        <w:rPr>
          <w:rFonts w:ascii="Arial" w:hAnsi="Arial" w:cs="Arial"/>
          <w:sz w:val="24"/>
          <w:szCs w:val="24"/>
        </w:rPr>
        <w:t xml:space="preserve"> </w:t>
      </w:r>
      <w:r w:rsidR="00A36F05" w:rsidRPr="00A31C5D">
        <w:rPr>
          <w:rFonts w:ascii="Arial" w:hAnsi="Arial" w:cs="Arial"/>
          <w:sz w:val="24"/>
          <w:szCs w:val="24"/>
        </w:rPr>
        <w:t>Flow-chart</w:t>
      </w:r>
      <w:r w:rsidRPr="00A31C5D">
        <w:rPr>
          <w:rFonts w:ascii="Arial" w:hAnsi="Arial" w:cs="Arial"/>
          <w:sz w:val="24"/>
          <w:szCs w:val="24"/>
        </w:rPr>
        <w:t xml:space="preserve"> diagram of patients included in the study</w:t>
      </w:r>
      <w:r w:rsidR="00A5481B" w:rsidRPr="00A31C5D">
        <w:rPr>
          <w:rFonts w:ascii="Arial" w:hAnsi="Arial" w:cs="Arial"/>
          <w:sz w:val="24"/>
          <w:szCs w:val="24"/>
        </w:rPr>
        <w:t>.</w:t>
      </w:r>
    </w:p>
    <w:p w14:paraId="17D71B70" w14:textId="4F3F7208" w:rsidR="00B21AF1" w:rsidRPr="00A31C5D" w:rsidRDefault="001848D0" w:rsidP="00A31C5D">
      <w:pPr>
        <w:spacing w:line="480" w:lineRule="auto"/>
        <w:rPr>
          <w:rFonts w:ascii="Arial" w:hAnsi="Arial" w:cs="Arial"/>
          <w:sz w:val="24"/>
          <w:szCs w:val="24"/>
        </w:rPr>
      </w:pPr>
      <w:r w:rsidRPr="00A31C5D">
        <w:rPr>
          <w:rFonts w:ascii="Arial" w:hAnsi="Arial" w:cs="Arial"/>
          <w:b/>
          <w:sz w:val="24"/>
          <w:szCs w:val="24"/>
        </w:rPr>
        <w:t>Fig</w:t>
      </w:r>
      <w:r w:rsidR="009E1469" w:rsidRPr="00A31C5D">
        <w:rPr>
          <w:rFonts w:ascii="Arial" w:hAnsi="Arial" w:cs="Arial"/>
          <w:b/>
          <w:sz w:val="24"/>
          <w:szCs w:val="24"/>
        </w:rPr>
        <w:t>.</w:t>
      </w:r>
      <w:r w:rsidRPr="00A31C5D">
        <w:rPr>
          <w:rFonts w:ascii="Arial" w:hAnsi="Arial" w:cs="Arial"/>
          <w:b/>
          <w:sz w:val="24"/>
          <w:szCs w:val="24"/>
        </w:rPr>
        <w:t xml:space="preserve"> 2</w:t>
      </w:r>
      <w:r w:rsidR="00B21AF1" w:rsidRPr="00A31C5D">
        <w:rPr>
          <w:rFonts w:ascii="Arial" w:hAnsi="Arial" w:cs="Arial"/>
          <w:b/>
          <w:sz w:val="24"/>
          <w:szCs w:val="24"/>
        </w:rPr>
        <w:t>:</w:t>
      </w:r>
      <w:r w:rsidR="00B21AF1" w:rsidRPr="00A31C5D">
        <w:rPr>
          <w:rFonts w:ascii="Arial" w:hAnsi="Arial" w:cs="Arial"/>
          <w:sz w:val="24"/>
          <w:szCs w:val="24"/>
        </w:rPr>
        <w:t xml:space="preserve"> Overall survival according to (A) Child-Pugh scores and (B) ALBI grade.</w:t>
      </w:r>
    </w:p>
    <w:p w14:paraId="64F527E6" w14:textId="43651682" w:rsidR="00C039DE" w:rsidRPr="00A31C5D" w:rsidRDefault="00C039DE" w:rsidP="00A31C5D">
      <w:pPr>
        <w:spacing w:line="480" w:lineRule="auto"/>
        <w:rPr>
          <w:rFonts w:ascii="Arial" w:hAnsi="Arial" w:cs="Arial"/>
          <w:sz w:val="24"/>
          <w:szCs w:val="24"/>
        </w:rPr>
      </w:pPr>
      <w:r w:rsidRPr="00A31C5D">
        <w:rPr>
          <w:rFonts w:ascii="Arial" w:hAnsi="Arial" w:cs="Arial"/>
          <w:b/>
          <w:sz w:val="24"/>
          <w:szCs w:val="24"/>
        </w:rPr>
        <w:t>Fig</w:t>
      </w:r>
      <w:r w:rsidR="009E1469" w:rsidRPr="00A31C5D">
        <w:rPr>
          <w:rFonts w:ascii="Arial" w:hAnsi="Arial" w:cs="Arial"/>
          <w:b/>
          <w:sz w:val="24"/>
          <w:szCs w:val="24"/>
        </w:rPr>
        <w:t>.</w:t>
      </w:r>
      <w:r w:rsidRPr="00A31C5D">
        <w:rPr>
          <w:rFonts w:ascii="Arial" w:hAnsi="Arial" w:cs="Arial"/>
          <w:b/>
          <w:sz w:val="24"/>
          <w:szCs w:val="24"/>
        </w:rPr>
        <w:t xml:space="preserve"> </w:t>
      </w:r>
      <w:r w:rsidR="001848D0" w:rsidRPr="00A31C5D">
        <w:rPr>
          <w:rFonts w:ascii="Arial" w:hAnsi="Arial" w:cs="Arial"/>
          <w:b/>
          <w:sz w:val="24"/>
          <w:szCs w:val="24"/>
        </w:rPr>
        <w:t>3</w:t>
      </w:r>
      <w:r w:rsidRPr="00A31C5D">
        <w:rPr>
          <w:rFonts w:ascii="Arial" w:hAnsi="Arial" w:cs="Arial"/>
          <w:b/>
          <w:sz w:val="24"/>
          <w:szCs w:val="24"/>
        </w:rPr>
        <w:t>:</w:t>
      </w:r>
      <w:r w:rsidR="00C95B2A" w:rsidRPr="00A31C5D">
        <w:rPr>
          <w:rFonts w:ascii="Arial" w:hAnsi="Arial" w:cs="Arial"/>
          <w:sz w:val="24"/>
          <w:szCs w:val="24"/>
        </w:rPr>
        <w:t xml:space="preserve"> Overall Survival according to Child-Pugh score (A and B) in patients classified as (A) ALBI grade 1 and (B) ALBI grade 2, and according to ALBI grade (C, D and E) in patients classified as (C) Child-Pugh A5, (D) Child-Pugh A6 and (E) Child-Pugh B7 or more.</w:t>
      </w:r>
    </w:p>
    <w:p w14:paraId="2C08A143" w14:textId="272DC4AB" w:rsidR="00C039DE" w:rsidRPr="00A31C5D" w:rsidRDefault="00C039DE" w:rsidP="00A31C5D">
      <w:pPr>
        <w:spacing w:line="480" w:lineRule="auto"/>
        <w:rPr>
          <w:rFonts w:ascii="Arial" w:hAnsi="Arial" w:cs="Arial"/>
          <w:sz w:val="24"/>
          <w:szCs w:val="24"/>
        </w:rPr>
      </w:pPr>
    </w:p>
    <w:sectPr w:rsidR="00C039DE" w:rsidRPr="00A31C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B56B8" w14:textId="77777777" w:rsidR="00481E59" w:rsidRDefault="00481E59" w:rsidP="00F906DB">
      <w:pPr>
        <w:spacing w:after="0" w:line="240" w:lineRule="auto"/>
      </w:pPr>
      <w:r>
        <w:separator/>
      </w:r>
    </w:p>
  </w:endnote>
  <w:endnote w:type="continuationSeparator" w:id="0">
    <w:p w14:paraId="0CE69B7A" w14:textId="77777777" w:rsidR="00481E59" w:rsidRDefault="00481E59" w:rsidP="00F9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928850"/>
      <w:docPartObj>
        <w:docPartGallery w:val="Page Numbers (Bottom of Page)"/>
        <w:docPartUnique/>
      </w:docPartObj>
    </w:sdtPr>
    <w:sdtEndPr/>
    <w:sdtContent>
      <w:p w14:paraId="3F7086BE" w14:textId="58A8E284" w:rsidR="00FE77F7" w:rsidRDefault="00FE77F7">
        <w:pPr>
          <w:pStyle w:val="Footer"/>
          <w:jc w:val="right"/>
        </w:pPr>
        <w:r>
          <w:fldChar w:fldCharType="begin"/>
        </w:r>
        <w:r>
          <w:instrText>PAGE   \* MERGEFORMAT</w:instrText>
        </w:r>
        <w:r>
          <w:fldChar w:fldCharType="separate"/>
        </w:r>
        <w:r w:rsidR="008A37B4" w:rsidRPr="008A37B4">
          <w:rPr>
            <w:noProof/>
            <w:lang w:val="fr-FR"/>
          </w:rPr>
          <w:t>1</w:t>
        </w:r>
        <w:r>
          <w:fldChar w:fldCharType="end"/>
        </w:r>
      </w:p>
    </w:sdtContent>
  </w:sdt>
  <w:p w14:paraId="23C567F6" w14:textId="77777777" w:rsidR="00FE77F7" w:rsidRDefault="00FE7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47590" w14:textId="77777777" w:rsidR="00481E59" w:rsidRDefault="00481E59" w:rsidP="00F906DB">
      <w:pPr>
        <w:spacing w:after="0" w:line="240" w:lineRule="auto"/>
      </w:pPr>
      <w:r>
        <w:separator/>
      </w:r>
    </w:p>
  </w:footnote>
  <w:footnote w:type="continuationSeparator" w:id="0">
    <w:p w14:paraId="454864E0" w14:textId="77777777" w:rsidR="00481E59" w:rsidRDefault="00481E59" w:rsidP="00F90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57"/>
    <w:rsid w:val="00006138"/>
    <w:rsid w:val="00015112"/>
    <w:rsid w:val="000153D9"/>
    <w:rsid w:val="0002601D"/>
    <w:rsid w:val="000362AC"/>
    <w:rsid w:val="00040C06"/>
    <w:rsid w:val="00045464"/>
    <w:rsid w:val="0005075C"/>
    <w:rsid w:val="00056974"/>
    <w:rsid w:val="000711F7"/>
    <w:rsid w:val="00072F82"/>
    <w:rsid w:val="000A1322"/>
    <w:rsid w:val="000B706B"/>
    <w:rsid w:val="000D24CD"/>
    <w:rsid w:val="000D2CB3"/>
    <w:rsid w:val="000D30BA"/>
    <w:rsid w:val="000D6457"/>
    <w:rsid w:val="000E76A6"/>
    <w:rsid w:val="001016B5"/>
    <w:rsid w:val="00105E09"/>
    <w:rsid w:val="0012302B"/>
    <w:rsid w:val="0013378C"/>
    <w:rsid w:val="00136108"/>
    <w:rsid w:val="0014269D"/>
    <w:rsid w:val="0016211D"/>
    <w:rsid w:val="00163021"/>
    <w:rsid w:val="0016431F"/>
    <w:rsid w:val="00165151"/>
    <w:rsid w:val="00165370"/>
    <w:rsid w:val="00171995"/>
    <w:rsid w:val="001848D0"/>
    <w:rsid w:val="0019328F"/>
    <w:rsid w:val="001A66B6"/>
    <w:rsid w:val="001B3EFA"/>
    <w:rsid w:val="001C1191"/>
    <w:rsid w:val="001C3D20"/>
    <w:rsid w:val="001E4916"/>
    <w:rsid w:val="00205727"/>
    <w:rsid w:val="002204FB"/>
    <w:rsid w:val="00234810"/>
    <w:rsid w:val="002414EF"/>
    <w:rsid w:val="00244889"/>
    <w:rsid w:val="00244CDC"/>
    <w:rsid w:val="002614D9"/>
    <w:rsid w:val="002877E6"/>
    <w:rsid w:val="00287F5F"/>
    <w:rsid w:val="00295854"/>
    <w:rsid w:val="002A546E"/>
    <w:rsid w:val="002B04C6"/>
    <w:rsid w:val="002B7553"/>
    <w:rsid w:val="002D5ED4"/>
    <w:rsid w:val="002E5B48"/>
    <w:rsid w:val="002F4451"/>
    <w:rsid w:val="003129E2"/>
    <w:rsid w:val="003339FE"/>
    <w:rsid w:val="00340BD7"/>
    <w:rsid w:val="00377A5E"/>
    <w:rsid w:val="00381F47"/>
    <w:rsid w:val="003907EC"/>
    <w:rsid w:val="003A30CF"/>
    <w:rsid w:val="003B677D"/>
    <w:rsid w:val="003B7AEE"/>
    <w:rsid w:val="003D11F3"/>
    <w:rsid w:val="003D38B9"/>
    <w:rsid w:val="003D5237"/>
    <w:rsid w:val="003D767A"/>
    <w:rsid w:val="003F6353"/>
    <w:rsid w:val="003F64A8"/>
    <w:rsid w:val="00413EBF"/>
    <w:rsid w:val="004149EE"/>
    <w:rsid w:val="00425C09"/>
    <w:rsid w:val="00427093"/>
    <w:rsid w:val="004356E3"/>
    <w:rsid w:val="00441009"/>
    <w:rsid w:val="00455AC6"/>
    <w:rsid w:val="00462FAE"/>
    <w:rsid w:val="00481E59"/>
    <w:rsid w:val="00482273"/>
    <w:rsid w:val="00490324"/>
    <w:rsid w:val="00491970"/>
    <w:rsid w:val="004A235C"/>
    <w:rsid w:val="004A3E62"/>
    <w:rsid w:val="004B089D"/>
    <w:rsid w:val="004B2E2C"/>
    <w:rsid w:val="004F3A50"/>
    <w:rsid w:val="00512F97"/>
    <w:rsid w:val="00516F7E"/>
    <w:rsid w:val="00522493"/>
    <w:rsid w:val="00527A17"/>
    <w:rsid w:val="00536CEB"/>
    <w:rsid w:val="00544304"/>
    <w:rsid w:val="005615C4"/>
    <w:rsid w:val="00574C04"/>
    <w:rsid w:val="00581ECA"/>
    <w:rsid w:val="005952E1"/>
    <w:rsid w:val="005A55DC"/>
    <w:rsid w:val="005D04F7"/>
    <w:rsid w:val="005E02B2"/>
    <w:rsid w:val="005E6713"/>
    <w:rsid w:val="005E6A5A"/>
    <w:rsid w:val="005F0579"/>
    <w:rsid w:val="005F25D5"/>
    <w:rsid w:val="005F4F87"/>
    <w:rsid w:val="005F5ADA"/>
    <w:rsid w:val="0060248A"/>
    <w:rsid w:val="00621720"/>
    <w:rsid w:val="006240D2"/>
    <w:rsid w:val="006334E9"/>
    <w:rsid w:val="0064337B"/>
    <w:rsid w:val="0065112E"/>
    <w:rsid w:val="00657ACF"/>
    <w:rsid w:val="00665C00"/>
    <w:rsid w:val="006665F3"/>
    <w:rsid w:val="00666F48"/>
    <w:rsid w:val="006720B3"/>
    <w:rsid w:val="00684E99"/>
    <w:rsid w:val="006A4ADB"/>
    <w:rsid w:val="006A676C"/>
    <w:rsid w:val="006B7AE6"/>
    <w:rsid w:val="006C5CB1"/>
    <w:rsid w:val="006D581E"/>
    <w:rsid w:val="006D58D6"/>
    <w:rsid w:val="006E4D03"/>
    <w:rsid w:val="006F2089"/>
    <w:rsid w:val="006F21FD"/>
    <w:rsid w:val="006F2B0A"/>
    <w:rsid w:val="00713952"/>
    <w:rsid w:val="00717155"/>
    <w:rsid w:val="00725291"/>
    <w:rsid w:val="007367FF"/>
    <w:rsid w:val="0074189E"/>
    <w:rsid w:val="00751FCB"/>
    <w:rsid w:val="00772C4C"/>
    <w:rsid w:val="007746C8"/>
    <w:rsid w:val="00782F8E"/>
    <w:rsid w:val="0079298E"/>
    <w:rsid w:val="007C1A17"/>
    <w:rsid w:val="007D0C84"/>
    <w:rsid w:val="007D5953"/>
    <w:rsid w:val="007F0080"/>
    <w:rsid w:val="00831D53"/>
    <w:rsid w:val="0083232E"/>
    <w:rsid w:val="008366DD"/>
    <w:rsid w:val="00846176"/>
    <w:rsid w:val="00855B81"/>
    <w:rsid w:val="00856CBC"/>
    <w:rsid w:val="00857197"/>
    <w:rsid w:val="00864926"/>
    <w:rsid w:val="00864B25"/>
    <w:rsid w:val="008A37B4"/>
    <w:rsid w:val="008A4085"/>
    <w:rsid w:val="008B788E"/>
    <w:rsid w:val="008C3F30"/>
    <w:rsid w:val="008C7C74"/>
    <w:rsid w:val="008D3D98"/>
    <w:rsid w:val="008D4109"/>
    <w:rsid w:val="008E136D"/>
    <w:rsid w:val="008E1A8C"/>
    <w:rsid w:val="008E3D75"/>
    <w:rsid w:val="008F2833"/>
    <w:rsid w:val="009219D8"/>
    <w:rsid w:val="00922DC2"/>
    <w:rsid w:val="009267C1"/>
    <w:rsid w:val="00930790"/>
    <w:rsid w:val="00966853"/>
    <w:rsid w:val="009763D0"/>
    <w:rsid w:val="009827E6"/>
    <w:rsid w:val="00984EAF"/>
    <w:rsid w:val="009C34B7"/>
    <w:rsid w:val="009C53BD"/>
    <w:rsid w:val="009E08AE"/>
    <w:rsid w:val="009E0B02"/>
    <w:rsid w:val="009E1469"/>
    <w:rsid w:val="009E26DD"/>
    <w:rsid w:val="009E2A89"/>
    <w:rsid w:val="009F0126"/>
    <w:rsid w:val="00A02F9C"/>
    <w:rsid w:val="00A07DFB"/>
    <w:rsid w:val="00A16086"/>
    <w:rsid w:val="00A23C70"/>
    <w:rsid w:val="00A31C5D"/>
    <w:rsid w:val="00A34D70"/>
    <w:rsid w:val="00A36F05"/>
    <w:rsid w:val="00A5481B"/>
    <w:rsid w:val="00A746F4"/>
    <w:rsid w:val="00A778F6"/>
    <w:rsid w:val="00A94B5F"/>
    <w:rsid w:val="00AA2014"/>
    <w:rsid w:val="00AB039F"/>
    <w:rsid w:val="00AC6DB2"/>
    <w:rsid w:val="00AC7680"/>
    <w:rsid w:val="00AF5A4A"/>
    <w:rsid w:val="00B03FF0"/>
    <w:rsid w:val="00B11405"/>
    <w:rsid w:val="00B21AF1"/>
    <w:rsid w:val="00B25E2D"/>
    <w:rsid w:val="00B376CB"/>
    <w:rsid w:val="00B604A8"/>
    <w:rsid w:val="00B73520"/>
    <w:rsid w:val="00B82136"/>
    <w:rsid w:val="00B91A9B"/>
    <w:rsid w:val="00B954B9"/>
    <w:rsid w:val="00BA3D32"/>
    <w:rsid w:val="00BB0837"/>
    <w:rsid w:val="00BB3ADF"/>
    <w:rsid w:val="00BC66F4"/>
    <w:rsid w:val="00BC7F8B"/>
    <w:rsid w:val="00BD0B1E"/>
    <w:rsid w:val="00BD4E2A"/>
    <w:rsid w:val="00BF2F7D"/>
    <w:rsid w:val="00C039DE"/>
    <w:rsid w:val="00C05102"/>
    <w:rsid w:val="00C22061"/>
    <w:rsid w:val="00C2425A"/>
    <w:rsid w:val="00C47BED"/>
    <w:rsid w:val="00C5207A"/>
    <w:rsid w:val="00C524CB"/>
    <w:rsid w:val="00C626B0"/>
    <w:rsid w:val="00C7239E"/>
    <w:rsid w:val="00C73B60"/>
    <w:rsid w:val="00C82B61"/>
    <w:rsid w:val="00C91811"/>
    <w:rsid w:val="00C95B2A"/>
    <w:rsid w:val="00CA4410"/>
    <w:rsid w:val="00CA774B"/>
    <w:rsid w:val="00CB784D"/>
    <w:rsid w:val="00CC3844"/>
    <w:rsid w:val="00D2069E"/>
    <w:rsid w:val="00D245F6"/>
    <w:rsid w:val="00D60056"/>
    <w:rsid w:val="00D71166"/>
    <w:rsid w:val="00D762DC"/>
    <w:rsid w:val="00DA1222"/>
    <w:rsid w:val="00DC116A"/>
    <w:rsid w:val="00DC5D48"/>
    <w:rsid w:val="00DD1357"/>
    <w:rsid w:val="00DE3A93"/>
    <w:rsid w:val="00DE61E7"/>
    <w:rsid w:val="00DF6D41"/>
    <w:rsid w:val="00E033CE"/>
    <w:rsid w:val="00E27481"/>
    <w:rsid w:val="00E34789"/>
    <w:rsid w:val="00E419D7"/>
    <w:rsid w:val="00E52207"/>
    <w:rsid w:val="00E5469C"/>
    <w:rsid w:val="00E564E8"/>
    <w:rsid w:val="00E62505"/>
    <w:rsid w:val="00E7452C"/>
    <w:rsid w:val="00E74B19"/>
    <w:rsid w:val="00E76170"/>
    <w:rsid w:val="00E86C62"/>
    <w:rsid w:val="00E93829"/>
    <w:rsid w:val="00EA508C"/>
    <w:rsid w:val="00EA7AA6"/>
    <w:rsid w:val="00EB67B0"/>
    <w:rsid w:val="00ED603B"/>
    <w:rsid w:val="00EF69F2"/>
    <w:rsid w:val="00F12490"/>
    <w:rsid w:val="00F167BC"/>
    <w:rsid w:val="00F23A52"/>
    <w:rsid w:val="00F262E2"/>
    <w:rsid w:val="00F30C72"/>
    <w:rsid w:val="00F3685D"/>
    <w:rsid w:val="00F41CEC"/>
    <w:rsid w:val="00F906DB"/>
    <w:rsid w:val="00FA2D03"/>
    <w:rsid w:val="00FE77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A3C0F"/>
  <w15:docId w15:val="{F5EDDAD4-93E6-4CB9-AE39-625DB494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AE6"/>
    <w:rPr>
      <w:sz w:val="16"/>
      <w:szCs w:val="16"/>
    </w:rPr>
  </w:style>
  <w:style w:type="paragraph" w:styleId="CommentText">
    <w:name w:val="annotation text"/>
    <w:basedOn w:val="Normal"/>
    <w:link w:val="CommentTextChar"/>
    <w:uiPriority w:val="99"/>
    <w:semiHidden/>
    <w:unhideWhenUsed/>
    <w:rsid w:val="006B7AE6"/>
    <w:pPr>
      <w:spacing w:line="240" w:lineRule="auto"/>
    </w:pPr>
    <w:rPr>
      <w:sz w:val="20"/>
      <w:szCs w:val="20"/>
    </w:rPr>
  </w:style>
  <w:style w:type="character" w:customStyle="1" w:styleId="CommentTextChar">
    <w:name w:val="Comment Text Char"/>
    <w:basedOn w:val="DefaultParagraphFont"/>
    <w:link w:val="CommentText"/>
    <w:uiPriority w:val="99"/>
    <w:semiHidden/>
    <w:rsid w:val="006B7AE6"/>
    <w:rPr>
      <w:sz w:val="20"/>
      <w:szCs w:val="20"/>
    </w:rPr>
  </w:style>
  <w:style w:type="paragraph" w:styleId="CommentSubject">
    <w:name w:val="annotation subject"/>
    <w:basedOn w:val="CommentText"/>
    <w:next w:val="CommentText"/>
    <w:link w:val="CommentSubjectChar"/>
    <w:uiPriority w:val="99"/>
    <w:semiHidden/>
    <w:unhideWhenUsed/>
    <w:rsid w:val="006B7AE6"/>
    <w:rPr>
      <w:b/>
      <w:bCs/>
    </w:rPr>
  </w:style>
  <w:style w:type="character" w:customStyle="1" w:styleId="CommentSubjectChar">
    <w:name w:val="Comment Subject Char"/>
    <w:basedOn w:val="CommentTextChar"/>
    <w:link w:val="CommentSubject"/>
    <w:uiPriority w:val="99"/>
    <w:semiHidden/>
    <w:rsid w:val="006B7AE6"/>
    <w:rPr>
      <w:b/>
      <w:bCs/>
      <w:sz w:val="20"/>
      <w:szCs w:val="20"/>
    </w:rPr>
  </w:style>
  <w:style w:type="paragraph" w:styleId="BalloonText">
    <w:name w:val="Balloon Text"/>
    <w:basedOn w:val="Normal"/>
    <w:link w:val="BalloonTextChar"/>
    <w:uiPriority w:val="99"/>
    <w:semiHidden/>
    <w:unhideWhenUsed/>
    <w:rsid w:val="006B7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E6"/>
    <w:rPr>
      <w:rFonts w:ascii="Segoe UI" w:hAnsi="Segoe UI" w:cs="Segoe UI"/>
      <w:sz w:val="18"/>
      <w:szCs w:val="18"/>
    </w:rPr>
  </w:style>
  <w:style w:type="paragraph" w:styleId="Bibliography">
    <w:name w:val="Bibliography"/>
    <w:basedOn w:val="Normal"/>
    <w:next w:val="Normal"/>
    <w:uiPriority w:val="37"/>
    <w:unhideWhenUsed/>
    <w:rsid w:val="00BA3D32"/>
    <w:pPr>
      <w:spacing w:after="240" w:line="240" w:lineRule="auto"/>
    </w:pPr>
  </w:style>
  <w:style w:type="paragraph" w:styleId="PlainText">
    <w:name w:val="Plain Text"/>
    <w:basedOn w:val="Normal"/>
    <w:link w:val="PlainTextChar"/>
    <w:uiPriority w:val="99"/>
    <w:unhideWhenUsed/>
    <w:rsid w:val="00AF5A4A"/>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F5A4A"/>
    <w:rPr>
      <w:rFonts w:ascii="Calibri" w:hAnsi="Calibri"/>
      <w:szCs w:val="21"/>
      <w:lang w:val="en-GB"/>
    </w:rPr>
  </w:style>
  <w:style w:type="paragraph" w:styleId="ListParagraph">
    <w:name w:val="List Paragraph"/>
    <w:basedOn w:val="Normal"/>
    <w:uiPriority w:val="34"/>
    <w:qFormat/>
    <w:rsid w:val="00AF5A4A"/>
    <w:pPr>
      <w:ind w:left="720"/>
      <w:contextualSpacing/>
    </w:pPr>
  </w:style>
  <w:style w:type="paragraph" w:styleId="Header">
    <w:name w:val="header"/>
    <w:basedOn w:val="Normal"/>
    <w:link w:val="HeaderChar"/>
    <w:uiPriority w:val="99"/>
    <w:unhideWhenUsed/>
    <w:rsid w:val="00F906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6DB"/>
    <w:rPr>
      <w:lang w:val="en-US"/>
    </w:rPr>
  </w:style>
  <w:style w:type="paragraph" w:styleId="Footer">
    <w:name w:val="footer"/>
    <w:basedOn w:val="Normal"/>
    <w:link w:val="FooterChar"/>
    <w:uiPriority w:val="99"/>
    <w:unhideWhenUsed/>
    <w:rsid w:val="00F906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6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7443">
      <w:bodyDiv w:val="1"/>
      <w:marLeft w:val="0"/>
      <w:marRight w:val="0"/>
      <w:marTop w:val="0"/>
      <w:marBottom w:val="0"/>
      <w:divBdr>
        <w:top w:val="none" w:sz="0" w:space="0" w:color="auto"/>
        <w:left w:val="none" w:sz="0" w:space="0" w:color="auto"/>
        <w:bottom w:val="none" w:sz="0" w:space="0" w:color="auto"/>
        <w:right w:val="none" w:sz="0" w:space="0" w:color="auto"/>
      </w:divBdr>
      <w:divsChild>
        <w:div w:id="737171927">
          <w:marLeft w:val="0"/>
          <w:marRight w:val="0"/>
          <w:marTop w:val="0"/>
          <w:marBottom w:val="0"/>
          <w:divBdr>
            <w:top w:val="none" w:sz="0" w:space="0" w:color="auto"/>
            <w:left w:val="none" w:sz="0" w:space="0" w:color="auto"/>
            <w:bottom w:val="none" w:sz="0" w:space="0" w:color="auto"/>
            <w:right w:val="none" w:sz="0" w:space="0" w:color="auto"/>
          </w:divBdr>
          <w:divsChild>
            <w:div w:id="1255354956">
              <w:marLeft w:val="0"/>
              <w:marRight w:val="0"/>
              <w:marTop w:val="0"/>
              <w:marBottom w:val="0"/>
              <w:divBdr>
                <w:top w:val="none" w:sz="0" w:space="0" w:color="auto"/>
                <w:left w:val="none" w:sz="0" w:space="0" w:color="auto"/>
                <w:bottom w:val="none" w:sz="0" w:space="0" w:color="auto"/>
                <w:right w:val="none" w:sz="0" w:space="0" w:color="auto"/>
              </w:divBdr>
              <w:divsChild>
                <w:div w:id="124390366">
                  <w:marLeft w:val="0"/>
                  <w:marRight w:val="0"/>
                  <w:marTop w:val="900"/>
                  <w:marBottom w:val="0"/>
                  <w:divBdr>
                    <w:top w:val="none" w:sz="0" w:space="0" w:color="auto"/>
                    <w:left w:val="none" w:sz="0" w:space="0" w:color="auto"/>
                    <w:bottom w:val="none" w:sz="0" w:space="0" w:color="auto"/>
                    <w:right w:val="none" w:sz="0" w:space="0" w:color="auto"/>
                  </w:divBdr>
                  <w:divsChild>
                    <w:div w:id="485784792">
                      <w:marLeft w:val="0"/>
                      <w:marRight w:val="0"/>
                      <w:marTop w:val="0"/>
                      <w:marBottom w:val="0"/>
                      <w:divBdr>
                        <w:top w:val="none" w:sz="0" w:space="0" w:color="auto"/>
                        <w:left w:val="none" w:sz="0" w:space="0" w:color="auto"/>
                        <w:bottom w:val="none" w:sz="0" w:space="0" w:color="auto"/>
                        <w:right w:val="none" w:sz="0" w:space="0" w:color="auto"/>
                      </w:divBdr>
                      <w:divsChild>
                        <w:div w:id="534002289">
                          <w:marLeft w:val="0"/>
                          <w:marRight w:val="0"/>
                          <w:marTop w:val="0"/>
                          <w:marBottom w:val="0"/>
                          <w:divBdr>
                            <w:top w:val="none" w:sz="0" w:space="0" w:color="auto"/>
                            <w:left w:val="none" w:sz="0" w:space="0" w:color="auto"/>
                            <w:bottom w:val="none" w:sz="0" w:space="0" w:color="auto"/>
                            <w:right w:val="none" w:sz="0" w:space="0" w:color="auto"/>
                          </w:divBdr>
                          <w:divsChild>
                            <w:div w:id="1283657096">
                              <w:marLeft w:val="0"/>
                              <w:marRight w:val="0"/>
                              <w:marTop w:val="450"/>
                              <w:marBottom w:val="450"/>
                              <w:divBdr>
                                <w:top w:val="none" w:sz="0" w:space="0" w:color="auto"/>
                                <w:left w:val="none" w:sz="0" w:space="0" w:color="auto"/>
                                <w:bottom w:val="none" w:sz="0" w:space="0" w:color="auto"/>
                                <w:right w:val="none" w:sz="0" w:space="0" w:color="auto"/>
                              </w:divBdr>
                              <w:divsChild>
                                <w:div w:id="1124232658">
                                  <w:marLeft w:val="0"/>
                                  <w:marRight w:val="0"/>
                                  <w:marTop w:val="600"/>
                                  <w:marBottom w:val="0"/>
                                  <w:divBdr>
                                    <w:top w:val="none" w:sz="0" w:space="0" w:color="auto"/>
                                    <w:left w:val="none" w:sz="0" w:space="0" w:color="auto"/>
                                    <w:bottom w:val="none" w:sz="0" w:space="0" w:color="auto"/>
                                    <w:right w:val="none" w:sz="0" w:space="0" w:color="auto"/>
                                  </w:divBdr>
                                  <w:divsChild>
                                    <w:div w:id="893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281553">
      <w:bodyDiv w:val="1"/>
      <w:marLeft w:val="0"/>
      <w:marRight w:val="0"/>
      <w:marTop w:val="0"/>
      <w:marBottom w:val="0"/>
      <w:divBdr>
        <w:top w:val="none" w:sz="0" w:space="0" w:color="auto"/>
        <w:left w:val="none" w:sz="0" w:space="0" w:color="auto"/>
        <w:bottom w:val="none" w:sz="0" w:space="0" w:color="auto"/>
        <w:right w:val="none" w:sz="0" w:space="0" w:color="auto"/>
      </w:divBdr>
    </w:div>
    <w:div w:id="876308928">
      <w:bodyDiv w:val="1"/>
      <w:marLeft w:val="0"/>
      <w:marRight w:val="0"/>
      <w:marTop w:val="0"/>
      <w:marBottom w:val="0"/>
      <w:divBdr>
        <w:top w:val="none" w:sz="0" w:space="0" w:color="auto"/>
        <w:left w:val="none" w:sz="0" w:space="0" w:color="auto"/>
        <w:bottom w:val="none" w:sz="0" w:space="0" w:color="auto"/>
        <w:right w:val="none" w:sz="0" w:space="0" w:color="auto"/>
      </w:divBdr>
    </w:div>
    <w:div w:id="1830443462">
      <w:bodyDiv w:val="1"/>
      <w:marLeft w:val="0"/>
      <w:marRight w:val="0"/>
      <w:marTop w:val="0"/>
      <w:marBottom w:val="0"/>
      <w:divBdr>
        <w:top w:val="none" w:sz="0" w:space="0" w:color="auto"/>
        <w:left w:val="none" w:sz="0" w:space="0" w:color="auto"/>
        <w:bottom w:val="none" w:sz="0" w:space="0" w:color="auto"/>
        <w:right w:val="none" w:sz="0" w:space="0" w:color="auto"/>
      </w:divBdr>
      <w:divsChild>
        <w:div w:id="553008061">
          <w:marLeft w:val="0"/>
          <w:marRight w:val="0"/>
          <w:marTop w:val="0"/>
          <w:marBottom w:val="0"/>
          <w:divBdr>
            <w:top w:val="none" w:sz="0" w:space="0" w:color="auto"/>
            <w:left w:val="none" w:sz="0" w:space="0" w:color="auto"/>
            <w:bottom w:val="none" w:sz="0" w:space="0" w:color="auto"/>
            <w:right w:val="none" w:sz="0" w:space="0" w:color="auto"/>
          </w:divBdr>
        </w:div>
        <w:div w:id="1037000280">
          <w:marLeft w:val="0"/>
          <w:marRight w:val="0"/>
          <w:marTop w:val="0"/>
          <w:marBottom w:val="0"/>
          <w:divBdr>
            <w:top w:val="none" w:sz="0" w:space="0" w:color="auto"/>
            <w:left w:val="none" w:sz="0" w:space="0" w:color="auto"/>
            <w:bottom w:val="none" w:sz="0" w:space="0" w:color="auto"/>
            <w:right w:val="none" w:sz="0" w:space="0" w:color="auto"/>
          </w:divBdr>
        </w:div>
        <w:div w:id="1814130123">
          <w:marLeft w:val="0"/>
          <w:marRight w:val="0"/>
          <w:marTop w:val="0"/>
          <w:marBottom w:val="0"/>
          <w:divBdr>
            <w:top w:val="none" w:sz="0" w:space="0" w:color="auto"/>
            <w:left w:val="none" w:sz="0" w:space="0" w:color="auto"/>
            <w:bottom w:val="none" w:sz="0" w:space="0" w:color="auto"/>
            <w:right w:val="none" w:sz="0" w:space="0" w:color="auto"/>
          </w:divBdr>
        </w:div>
        <w:div w:id="1909419644">
          <w:marLeft w:val="0"/>
          <w:marRight w:val="0"/>
          <w:marTop w:val="0"/>
          <w:marBottom w:val="0"/>
          <w:divBdr>
            <w:top w:val="none" w:sz="0" w:space="0" w:color="auto"/>
            <w:left w:val="none" w:sz="0" w:space="0" w:color="auto"/>
            <w:bottom w:val="none" w:sz="0" w:space="0" w:color="auto"/>
            <w:right w:val="none" w:sz="0" w:space="0" w:color="auto"/>
          </w:divBdr>
        </w:div>
      </w:divsChild>
    </w:div>
    <w:div w:id="18892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D7DC-9058-49E6-A4B5-F9276A03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12972</Words>
  <Characters>73946</Characters>
  <Application>Microsoft Office Word</Application>
  <DocSecurity>0</DocSecurity>
  <Lines>616</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Christie NHS Foundation Trust</Company>
  <LinksUpToDate>false</LinksUpToDate>
  <CharactersWithSpaces>86745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Edeline</dc:creator>
  <cp:keywords/>
  <dc:description/>
  <cp:lastModifiedBy>Johnson, Philip</cp:lastModifiedBy>
  <cp:revision>3</cp:revision>
  <dcterms:created xsi:type="dcterms:W3CDTF">2016-11-16T14:07:00Z</dcterms:created>
  <dcterms:modified xsi:type="dcterms:W3CDTF">2016-11-16T14:07:00Z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zotero-version="4.0.29.8"&gt;&lt;session id="8kbtPlCp"/&gt;&lt;style id="http://www.zotero.org/styles/liver-international"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