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C0" w:rsidRPr="001B304D" w:rsidRDefault="005C2962" w:rsidP="008100A8">
      <w:pPr>
        <w:spacing w:after="0" w:line="480" w:lineRule="auto"/>
        <w:jc w:val="center"/>
        <w:rPr>
          <w:b/>
          <w:sz w:val="24"/>
          <w:szCs w:val="24"/>
        </w:rPr>
      </w:pPr>
      <w:r w:rsidRPr="001B304D">
        <w:rPr>
          <w:b/>
          <w:sz w:val="24"/>
          <w:szCs w:val="24"/>
        </w:rPr>
        <w:t>Religious Symbols</w:t>
      </w:r>
    </w:p>
    <w:p w:rsidR="00C41C8D" w:rsidRPr="001B304D" w:rsidRDefault="00C41C8D" w:rsidP="008100A8">
      <w:pPr>
        <w:spacing w:after="0" w:line="480" w:lineRule="auto"/>
        <w:jc w:val="both"/>
        <w:rPr>
          <w:sz w:val="24"/>
          <w:szCs w:val="24"/>
        </w:rPr>
      </w:pPr>
    </w:p>
    <w:p w:rsidR="00AC2DF3" w:rsidRPr="001B304D" w:rsidRDefault="00AC2DF3" w:rsidP="008100A8">
      <w:pPr>
        <w:spacing w:after="0" w:line="480" w:lineRule="auto"/>
        <w:jc w:val="both"/>
        <w:rPr>
          <w:sz w:val="24"/>
          <w:szCs w:val="24"/>
        </w:rPr>
      </w:pPr>
    </w:p>
    <w:p w:rsidR="00947AFD" w:rsidRPr="001B304D" w:rsidRDefault="00947AFD" w:rsidP="008100A8">
      <w:pPr>
        <w:spacing w:after="0" w:line="480" w:lineRule="auto"/>
        <w:jc w:val="both"/>
        <w:rPr>
          <w:sz w:val="24"/>
          <w:szCs w:val="24"/>
          <w:u w:val="single"/>
        </w:rPr>
      </w:pPr>
      <w:r w:rsidRPr="001B304D">
        <w:rPr>
          <w:sz w:val="24"/>
          <w:szCs w:val="24"/>
          <w:u w:val="single"/>
        </w:rPr>
        <w:t>Abstract</w:t>
      </w:r>
    </w:p>
    <w:p w:rsidR="00AC2DF3" w:rsidRPr="001B304D" w:rsidRDefault="00AC2DF3" w:rsidP="008100A8">
      <w:pPr>
        <w:spacing w:after="0" w:line="480" w:lineRule="auto"/>
        <w:jc w:val="both"/>
        <w:rPr>
          <w:sz w:val="24"/>
          <w:szCs w:val="24"/>
        </w:rPr>
      </w:pPr>
      <w:r w:rsidRPr="001B304D">
        <w:rPr>
          <w:sz w:val="24"/>
          <w:szCs w:val="24"/>
        </w:rPr>
        <w:t xml:space="preserve">In this essay, I survey the different </w:t>
      </w:r>
      <w:r w:rsidR="005227B5" w:rsidRPr="001B304D">
        <w:rPr>
          <w:sz w:val="24"/>
          <w:szCs w:val="24"/>
        </w:rPr>
        <w:t>uses</w:t>
      </w:r>
      <w:r w:rsidRPr="001B304D">
        <w:rPr>
          <w:sz w:val="24"/>
          <w:szCs w:val="24"/>
        </w:rPr>
        <w:t xml:space="preserve"> of</w:t>
      </w:r>
      <w:r w:rsidR="005227B5" w:rsidRPr="001B304D">
        <w:rPr>
          <w:sz w:val="24"/>
          <w:szCs w:val="24"/>
        </w:rPr>
        <w:t xml:space="preserve"> the concept of the</w:t>
      </w:r>
      <w:r w:rsidRPr="001B304D">
        <w:rPr>
          <w:sz w:val="24"/>
          <w:szCs w:val="24"/>
        </w:rPr>
        <w:t xml:space="preserve"> symbol at play in</w:t>
      </w:r>
      <w:r w:rsidR="005227B5" w:rsidRPr="001B304D">
        <w:rPr>
          <w:sz w:val="24"/>
          <w:szCs w:val="24"/>
        </w:rPr>
        <w:t xml:space="preserve"> the</w:t>
      </w:r>
      <w:r w:rsidRPr="001B304D">
        <w:rPr>
          <w:sz w:val="24"/>
          <w:szCs w:val="24"/>
        </w:rPr>
        <w:t xml:space="preserve"> philosophy of religion. Considering</w:t>
      </w:r>
      <w:r w:rsidR="005227B5" w:rsidRPr="001B304D">
        <w:rPr>
          <w:sz w:val="24"/>
          <w:szCs w:val="24"/>
        </w:rPr>
        <w:t xml:space="preserve"> that historically theories of the symbol have frequently had significant</w:t>
      </w:r>
      <w:r w:rsidRPr="001B304D">
        <w:rPr>
          <w:sz w:val="24"/>
          <w:szCs w:val="24"/>
        </w:rPr>
        <w:t xml:space="preserve"> religious </w:t>
      </w:r>
      <w:r w:rsidR="005227B5" w:rsidRPr="001B304D">
        <w:rPr>
          <w:sz w:val="24"/>
          <w:szCs w:val="24"/>
        </w:rPr>
        <w:t>presuppositions</w:t>
      </w:r>
      <w:r w:rsidRPr="001B304D">
        <w:rPr>
          <w:sz w:val="24"/>
          <w:szCs w:val="24"/>
        </w:rPr>
        <w:t xml:space="preserve"> and implications, I suggest that one </w:t>
      </w:r>
      <w:r w:rsidR="005227B5" w:rsidRPr="001B304D">
        <w:rPr>
          <w:sz w:val="24"/>
          <w:szCs w:val="24"/>
        </w:rPr>
        <w:t>might</w:t>
      </w:r>
      <w:r w:rsidRPr="001B304D">
        <w:rPr>
          <w:sz w:val="24"/>
          <w:szCs w:val="24"/>
        </w:rPr>
        <w:t xml:space="preserve"> expect that the symbol would play a significant role in </w:t>
      </w:r>
      <w:r w:rsidR="005227B5" w:rsidRPr="001B304D">
        <w:rPr>
          <w:sz w:val="24"/>
          <w:szCs w:val="24"/>
        </w:rPr>
        <w:t>current research</w:t>
      </w:r>
      <w:r w:rsidRPr="001B304D">
        <w:rPr>
          <w:sz w:val="24"/>
          <w:szCs w:val="24"/>
        </w:rPr>
        <w:t>. This is not the case,</w:t>
      </w:r>
      <w:r w:rsidR="005227B5" w:rsidRPr="001B304D">
        <w:rPr>
          <w:sz w:val="24"/>
          <w:szCs w:val="24"/>
        </w:rPr>
        <w:t xml:space="preserve"> however,</w:t>
      </w:r>
      <w:r w:rsidRPr="001B304D">
        <w:rPr>
          <w:sz w:val="24"/>
          <w:szCs w:val="24"/>
        </w:rPr>
        <w:t xml:space="preserve"> since the very specific metaphysical, linguistic and theological pre</w:t>
      </w:r>
      <w:r w:rsidR="005227B5" w:rsidRPr="001B304D">
        <w:rPr>
          <w:sz w:val="24"/>
          <w:szCs w:val="24"/>
        </w:rPr>
        <w:t>mises</w:t>
      </w:r>
      <w:r w:rsidRPr="001B304D">
        <w:rPr>
          <w:sz w:val="24"/>
          <w:szCs w:val="24"/>
        </w:rPr>
        <w:t xml:space="preserve"> that have traditionally informed muc</w:t>
      </w:r>
      <w:r w:rsidR="00133B50" w:rsidRPr="001B304D">
        <w:rPr>
          <w:sz w:val="24"/>
          <w:szCs w:val="24"/>
        </w:rPr>
        <w:t>h theorisation of the symbol tend to be</w:t>
      </w:r>
      <w:r w:rsidRPr="001B304D">
        <w:rPr>
          <w:sz w:val="24"/>
          <w:szCs w:val="24"/>
        </w:rPr>
        <w:t xml:space="preserve"> unpopular </w:t>
      </w:r>
      <w:r w:rsidR="005227B5" w:rsidRPr="001B304D">
        <w:rPr>
          <w:sz w:val="24"/>
          <w:szCs w:val="24"/>
        </w:rPr>
        <w:t>today</w:t>
      </w:r>
      <w:r w:rsidRPr="001B304D">
        <w:rPr>
          <w:sz w:val="24"/>
          <w:szCs w:val="24"/>
        </w:rPr>
        <w:t xml:space="preserve">. </w:t>
      </w:r>
      <w:r w:rsidR="00133B50" w:rsidRPr="001B304D">
        <w:rPr>
          <w:sz w:val="24"/>
          <w:szCs w:val="24"/>
        </w:rPr>
        <w:t xml:space="preserve">The main exception is </w:t>
      </w:r>
      <w:proofErr w:type="spellStart"/>
      <w:r w:rsidR="00133B50" w:rsidRPr="001B304D">
        <w:rPr>
          <w:sz w:val="24"/>
          <w:szCs w:val="24"/>
        </w:rPr>
        <w:t>Peircean</w:t>
      </w:r>
      <w:proofErr w:type="spellEnd"/>
      <w:r w:rsidR="00133B50" w:rsidRPr="001B304D">
        <w:rPr>
          <w:sz w:val="24"/>
          <w:szCs w:val="24"/>
        </w:rPr>
        <w:t xml:space="preserve"> symbolics which has recently been re-appropriated by a variety of philosophical fields, including philosophy of religion. For further contexts for contemporary deployments of the symbol</w:t>
      </w:r>
      <w:r w:rsidRPr="001B304D">
        <w:rPr>
          <w:sz w:val="24"/>
          <w:szCs w:val="24"/>
        </w:rPr>
        <w:t xml:space="preserve">, I look to contemporary public and legal debates concerning the right to wear religious symbols as </w:t>
      </w:r>
      <w:r w:rsidR="00947AFD" w:rsidRPr="001B304D">
        <w:rPr>
          <w:sz w:val="24"/>
          <w:szCs w:val="24"/>
        </w:rPr>
        <w:t xml:space="preserve">an area of research </w:t>
      </w:r>
      <w:r w:rsidR="005227B5" w:rsidRPr="001B304D">
        <w:rPr>
          <w:sz w:val="24"/>
          <w:szCs w:val="24"/>
        </w:rPr>
        <w:t xml:space="preserve">unjustly </w:t>
      </w:r>
      <w:r w:rsidR="00947AFD" w:rsidRPr="001B304D">
        <w:rPr>
          <w:sz w:val="24"/>
          <w:szCs w:val="24"/>
        </w:rPr>
        <w:t>neglec</w:t>
      </w:r>
      <w:r w:rsidR="005227B5" w:rsidRPr="001B304D">
        <w:rPr>
          <w:sz w:val="24"/>
          <w:szCs w:val="24"/>
        </w:rPr>
        <w:t>ted by philosophers of religion:</w:t>
      </w:r>
      <w:r w:rsidR="00947AFD" w:rsidRPr="001B304D">
        <w:rPr>
          <w:sz w:val="24"/>
          <w:szCs w:val="24"/>
        </w:rPr>
        <w:t xml:space="preserve"> much of the inchoate conceptual work being done in the legal cases </w:t>
      </w:r>
      <w:r w:rsidR="005227B5" w:rsidRPr="001B304D">
        <w:rPr>
          <w:sz w:val="24"/>
          <w:szCs w:val="24"/>
        </w:rPr>
        <w:t>themselves</w:t>
      </w:r>
      <w:r w:rsidR="00947AFD" w:rsidRPr="001B304D">
        <w:rPr>
          <w:sz w:val="24"/>
          <w:szCs w:val="24"/>
        </w:rPr>
        <w:t xml:space="preserve"> would naturally feed into academic philosophical discussion</w:t>
      </w:r>
      <w:r w:rsidR="00133B50" w:rsidRPr="001B304D">
        <w:rPr>
          <w:sz w:val="24"/>
          <w:szCs w:val="24"/>
        </w:rPr>
        <w:t xml:space="preserve"> of the symbol</w:t>
      </w:r>
      <w:r w:rsidR="00947AFD" w:rsidRPr="001B304D">
        <w:rPr>
          <w:sz w:val="24"/>
          <w:szCs w:val="24"/>
        </w:rPr>
        <w:t>.</w:t>
      </w:r>
    </w:p>
    <w:p w:rsidR="00AC2DF3" w:rsidRPr="001B304D" w:rsidRDefault="00AC2DF3" w:rsidP="008100A8">
      <w:pPr>
        <w:spacing w:after="0" w:line="480" w:lineRule="auto"/>
        <w:jc w:val="both"/>
        <w:rPr>
          <w:sz w:val="24"/>
          <w:szCs w:val="24"/>
        </w:rPr>
      </w:pPr>
    </w:p>
    <w:p w:rsidR="00947AFD" w:rsidRPr="001B304D" w:rsidRDefault="00947AFD" w:rsidP="008100A8">
      <w:pPr>
        <w:spacing w:after="0" w:line="480" w:lineRule="auto"/>
        <w:jc w:val="both"/>
        <w:rPr>
          <w:sz w:val="24"/>
          <w:szCs w:val="24"/>
        </w:rPr>
      </w:pPr>
    </w:p>
    <w:p w:rsidR="00AC2DF3" w:rsidRPr="001B304D" w:rsidRDefault="00947AFD" w:rsidP="008100A8">
      <w:pPr>
        <w:spacing w:after="0" w:line="480" w:lineRule="auto"/>
        <w:jc w:val="center"/>
        <w:rPr>
          <w:sz w:val="24"/>
          <w:szCs w:val="24"/>
        </w:rPr>
      </w:pPr>
      <w:r w:rsidRPr="001B304D">
        <w:rPr>
          <w:sz w:val="24"/>
          <w:szCs w:val="24"/>
        </w:rPr>
        <w:t>*</w:t>
      </w:r>
    </w:p>
    <w:p w:rsidR="00AC2DF3" w:rsidRPr="001B304D" w:rsidRDefault="00AC2DF3" w:rsidP="008100A8">
      <w:pPr>
        <w:spacing w:after="0" w:line="480" w:lineRule="auto"/>
        <w:jc w:val="both"/>
        <w:rPr>
          <w:sz w:val="24"/>
          <w:szCs w:val="24"/>
        </w:rPr>
      </w:pPr>
    </w:p>
    <w:p w:rsidR="00947AFD" w:rsidRPr="001B304D" w:rsidRDefault="00947AFD" w:rsidP="008100A8">
      <w:pPr>
        <w:spacing w:after="0" w:line="480" w:lineRule="auto"/>
        <w:jc w:val="both"/>
        <w:rPr>
          <w:sz w:val="24"/>
          <w:szCs w:val="24"/>
        </w:rPr>
      </w:pPr>
    </w:p>
    <w:p w:rsidR="009A33D2" w:rsidRPr="001B304D" w:rsidRDefault="00FD1F1E" w:rsidP="008100A8">
      <w:pPr>
        <w:spacing w:after="0" w:line="480" w:lineRule="auto"/>
        <w:jc w:val="both"/>
        <w:rPr>
          <w:i/>
          <w:sz w:val="24"/>
          <w:szCs w:val="24"/>
        </w:rPr>
      </w:pPr>
      <w:r w:rsidRPr="001B304D">
        <w:rPr>
          <w:sz w:val="24"/>
          <w:szCs w:val="24"/>
        </w:rPr>
        <w:t>‘</w:t>
      </w:r>
      <w:r w:rsidR="009A33D2" w:rsidRPr="001B304D">
        <w:rPr>
          <w:sz w:val="24"/>
          <w:szCs w:val="24"/>
        </w:rPr>
        <w:t>Symbol</w:t>
      </w:r>
      <w:r w:rsidRPr="001B304D">
        <w:rPr>
          <w:sz w:val="24"/>
          <w:szCs w:val="24"/>
        </w:rPr>
        <w:t>’</w:t>
      </w:r>
      <w:r w:rsidR="009A33D2" w:rsidRPr="001B304D">
        <w:rPr>
          <w:sz w:val="24"/>
          <w:szCs w:val="24"/>
        </w:rPr>
        <w:t xml:space="preserve"> is one of the more </w:t>
      </w:r>
      <w:proofErr w:type="spellStart"/>
      <w:r w:rsidR="009A33D2" w:rsidRPr="001B304D">
        <w:rPr>
          <w:sz w:val="24"/>
          <w:szCs w:val="24"/>
        </w:rPr>
        <w:t>polysemic</w:t>
      </w:r>
      <w:proofErr w:type="spellEnd"/>
      <w:r w:rsidR="009A33D2" w:rsidRPr="001B304D">
        <w:rPr>
          <w:sz w:val="24"/>
          <w:szCs w:val="24"/>
        </w:rPr>
        <w:t xml:space="preserve"> terms in </w:t>
      </w:r>
      <w:r w:rsidR="00CD1B14" w:rsidRPr="001B304D">
        <w:rPr>
          <w:sz w:val="24"/>
          <w:szCs w:val="24"/>
        </w:rPr>
        <w:t>philosophical discourse</w:t>
      </w:r>
      <w:r w:rsidR="008E5C77" w:rsidRPr="001B304D">
        <w:rPr>
          <w:sz w:val="24"/>
          <w:szCs w:val="24"/>
        </w:rPr>
        <w:t>.</w:t>
      </w:r>
      <w:r w:rsidR="00AD2B4D" w:rsidRPr="001B304D">
        <w:rPr>
          <w:sz w:val="24"/>
          <w:szCs w:val="24"/>
        </w:rPr>
        <w:t xml:space="preserve"> </w:t>
      </w:r>
      <w:proofErr w:type="spellStart"/>
      <w:r w:rsidR="00F43C18" w:rsidRPr="001B304D">
        <w:rPr>
          <w:sz w:val="24"/>
          <w:szCs w:val="24"/>
          <w:lang w:val="fr-FR"/>
        </w:rPr>
        <w:t>Lalande’s</w:t>
      </w:r>
      <w:proofErr w:type="spellEnd"/>
      <w:r w:rsidR="00F43C18" w:rsidRPr="001B304D">
        <w:rPr>
          <w:sz w:val="24"/>
          <w:szCs w:val="24"/>
          <w:lang w:val="fr-FR"/>
        </w:rPr>
        <w:t xml:space="preserve"> 1926 </w:t>
      </w:r>
      <w:r w:rsidR="004428FC" w:rsidRPr="001B304D">
        <w:rPr>
          <w:i/>
          <w:sz w:val="24"/>
          <w:szCs w:val="24"/>
          <w:lang w:val="fr-FR"/>
        </w:rPr>
        <w:t>Vocabulaire techniqu</w:t>
      </w:r>
      <w:bookmarkStart w:id="0" w:name="_GoBack"/>
      <w:bookmarkEnd w:id="0"/>
      <w:r w:rsidR="004428FC" w:rsidRPr="001B304D">
        <w:rPr>
          <w:i/>
          <w:sz w:val="24"/>
          <w:szCs w:val="24"/>
          <w:lang w:val="fr-FR"/>
        </w:rPr>
        <w:t>e et critique de la philosophie</w:t>
      </w:r>
      <w:r w:rsidR="004428FC" w:rsidRPr="001B304D">
        <w:rPr>
          <w:sz w:val="24"/>
          <w:szCs w:val="24"/>
          <w:lang w:val="fr-FR"/>
        </w:rPr>
        <w:t xml:space="preserve"> </w:t>
      </w:r>
      <w:proofErr w:type="spellStart"/>
      <w:r w:rsidR="00AD2B4D" w:rsidRPr="001B304D">
        <w:rPr>
          <w:sz w:val="24"/>
          <w:szCs w:val="24"/>
          <w:lang w:val="fr-FR"/>
        </w:rPr>
        <w:t>lists</w:t>
      </w:r>
      <w:proofErr w:type="spellEnd"/>
      <w:r w:rsidR="00AD2B4D" w:rsidRPr="001B304D">
        <w:rPr>
          <w:sz w:val="24"/>
          <w:szCs w:val="24"/>
          <w:lang w:val="fr-FR"/>
        </w:rPr>
        <w:t xml:space="preserve"> </w:t>
      </w:r>
      <w:proofErr w:type="spellStart"/>
      <w:r w:rsidR="004428FC" w:rsidRPr="001B304D">
        <w:rPr>
          <w:sz w:val="24"/>
          <w:szCs w:val="24"/>
          <w:lang w:val="fr-FR"/>
        </w:rPr>
        <w:t>eleven</w:t>
      </w:r>
      <w:proofErr w:type="spellEnd"/>
      <w:r w:rsidR="005227B5" w:rsidRPr="001B304D">
        <w:rPr>
          <w:sz w:val="24"/>
          <w:szCs w:val="24"/>
          <w:lang w:val="fr-FR"/>
        </w:rPr>
        <w:t xml:space="preserve"> </w:t>
      </w:r>
      <w:proofErr w:type="spellStart"/>
      <w:r w:rsidR="005227B5" w:rsidRPr="001B304D">
        <w:rPr>
          <w:sz w:val="24"/>
          <w:szCs w:val="24"/>
          <w:lang w:val="fr-FR"/>
        </w:rPr>
        <w:t>very</w:t>
      </w:r>
      <w:proofErr w:type="spellEnd"/>
      <w:r w:rsidR="004428FC" w:rsidRPr="001B304D">
        <w:rPr>
          <w:sz w:val="24"/>
          <w:szCs w:val="24"/>
          <w:lang w:val="fr-FR"/>
        </w:rPr>
        <w:t xml:space="preserve"> </w:t>
      </w:r>
      <w:proofErr w:type="spellStart"/>
      <w:r w:rsidR="004428FC" w:rsidRPr="001B304D">
        <w:rPr>
          <w:sz w:val="24"/>
          <w:szCs w:val="24"/>
          <w:lang w:val="fr-FR"/>
        </w:rPr>
        <w:t>different</w:t>
      </w:r>
      <w:proofErr w:type="spellEnd"/>
      <w:r w:rsidR="004428FC" w:rsidRPr="001B304D">
        <w:rPr>
          <w:sz w:val="24"/>
          <w:szCs w:val="24"/>
          <w:lang w:val="fr-FR"/>
        </w:rPr>
        <w:t xml:space="preserve"> </w:t>
      </w:r>
      <w:proofErr w:type="spellStart"/>
      <w:r w:rsidR="004428FC" w:rsidRPr="001B304D">
        <w:rPr>
          <w:sz w:val="24"/>
          <w:szCs w:val="24"/>
          <w:lang w:val="fr-FR"/>
        </w:rPr>
        <w:t>definitions</w:t>
      </w:r>
      <w:proofErr w:type="spellEnd"/>
      <w:r w:rsidR="004428FC" w:rsidRPr="001B304D">
        <w:rPr>
          <w:sz w:val="24"/>
          <w:szCs w:val="24"/>
          <w:lang w:val="fr-FR"/>
        </w:rPr>
        <w:t xml:space="preserve"> of the </w:t>
      </w:r>
      <w:proofErr w:type="spellStart"/>
      <w:r w:rsidR="008E5C77" w:rsidRPr="001B304D">
        <w:rPr>
          <w:sz w:val="24"/>
          <w:szCs w:val="24"/>
          <w:lang w:val="fr-FR"/>
        </w:rPr>
        <w:t>term</w:t>
      </w:r>
      <w:proofErr w:type="spellEnd"/>
      <w:r w:rsidR="008E5C77" w:rsidRPr="001B304D">
        <w:rPr>
          <w:sz w:val="24"/>
          <w:szCs w:val="24"/>
          <w:lang w:val="fr-FR"/>
        </w:rPr>
        <w:t>.</w:t>
      </w:r>
      <w:r w:rsidR="00DB7EDE" w:rsidRPr="001B304D">
        <w:rPr>
          <w:rStyle w:val="FootnoteReference"/>
          <w:sz w:val="24"/>
          <w:szCs w:val="24"/>
        </w:rPr>
        <w:footnoteReference w:id="1"/>
      </w:r>
      <w:r w:rsidR="004428FC" w:rsidRPr="001B304D">
        <w:rPr>
          <w:sz w:val="24"/>
          <w:szCs w:val="24"/>
          <w:lang w:val="fr-FR"/>
        </w:rPr>
        <w:t xml:space="preserve"> </w:t>
      </w:r>
      <w:r w:rsidR="004428FC" w:rsidRPr="001B304D">
        <w:rPr>
          <w:sz w:val="24"/>
          <w:szCs w:val="24"/>
        </w:rPr>
        <w:t>Moreover, while the notion of the symbol</w:t>
      </w:r>
      <w:r w:rsidR="009A33D2" w:rsidRPr="001B304D">
        <w:rPr>
          <w:sz w:val="24"/>
          <w:szCs w:val="24"/>
        </w:rPr>
        <w:t xml:space="preserve"> is equally at home in linguist</w:t>
      </w:r>
      <w:r w:rsidR="00CD1B14" w:rsidRPr="001B304D">
        <w:rPr>
          <w:sz w:val="24"/>
          <w:szCs w:val="24"/>
        </w:rPr>
        <w:t xml:space="preserve">ics, </w:t>
      </w:r>
      <w:r w:rsidR="00CD1B14" w:rsidRPr="001B304D">
        <w:rPr>
          <w:sz w:val="24"/>
          <w:szCs w:val="24"/>
        </w:rPr>
        <w:lastRenderedPageBreak/>
        <w:t xml:space="preserve">philosophy of </w:t>
      </w:r>
      <w:r w:rsidR="00133B50" w:rsidRPr="001B304D">
        <w:rPr>
          <w:sz w:val="24"/>
          <w:szCs w:val="24"/>
        </w:rPr>
        <w:t>mathematics or</w:t>
      </w:r>
      <w:r w:rsidR="00CD1B14" w:rsidRPr="001B304D">
        <w:rPr>
          <w:sz w:val="24"/>
          <w:szCs w:val="24"/>
        </w:rPr>
        <w:t xml:space="preserve"> anthro</w:t>
      </w:r>
      <w:r w:rsidRPr="001B304D">
        <w:rPr>
          <w:sz w:val="24"/>
          <w:szCs w:val="24"/>
        </w:rPr>
        <w:t>pology, historically many</w:t>
      </w:r>
      <w:r w:rsidR="008E5C77" w:rsidRPr="001B304D">
        <w:rPr>
          <w:sz w:val="24"/>
          <w:szCs w:val="24"/>
        </w:rPr>
        <w:t xml:space="preserve"> of these divergent</w:t>
      </w:r>
      <w:r w:rsidR="00CD1B14" w:rsidRPr="001B304D">
        <w:rPr>
          <w:sz w:val="24"/>
          <w:szCs w:val="24"/>
        </w:rPr>
        <w:t xml:space="preserve"> theoretical elaborations of the symbol have occurred </w:t>
      </w:r>
      <w:r w:rsidRPr="001B304D">
        <w:rPr>
          <w:sz w:val="24"/>
          <w:szCs w:val="24"/>
        </w:rPr>
        <w:t>with</w:t>
      </w:r>
      <w:r w:rsidR="00CD1B14" w:rsidRPr="001B304D">
        <w:rPr>
          <w:sz w:val="24"/>
          <w:szCs w:val="24"/>
        </w:rPr>
        <w:t>in relig</w:t>
      </w:r>
      <w:r w:rsidR="00683179" w:rsidRPr="001B304D">
        <w:rPr>
          <w:sz w:val="24"/>
          <w:szCs w:val="24"/>
        </w:rPr>
        <w:t>ious and theological contexts—</w:t>
      </w:r>
      <w:r w:rsidR="00CD1B14" w:rsidRPr="001B304D">
        <w:rPr>
          <w:sz w:val="24"/>
          <w:szCs w:val="24"/>
        </w:rPr>
        <w:t>or, at the very least,</w:t>
      </w:r>
      <w:r w:rsidR="008E5C77" w:rsidRPr="001B304D">
        <w:rPr>
          <w:sz w:val="24"/>
          <w:szCs w:val="24"/>
        </w:rPr>
        <w:t xml:space="preserve"> these</w:t>
      </w:r>
      <w:r w:rsidRPr="001B304D">
        <w:rPr>
          <w:sz w:val="24"/>
          <w:szCs w:val="24"/>
        </w:rPr>
        <w:t xml:space="preserve"> theories of the symbol have had</w:t>
      </w:r>
      <w:r w:rsidR="00CD1B14" w:rsidRPr="001B304D">
        <w:rPr>
          <w:sz w:val="24"/>
          <w:szCs w:val="24"/>
        </w:rPr>
        <w:t xml:space="preserve"> significant implications for religious and</w:t>
      </w:r>
      <w:r w:rsidRPr="001B304D">
        <w:rPr>
          <w:sz w:val="24"/>
          <w:szCs w:val="24"/>
        </w:rPr>
        <w:t xml:space="preserve"> theological </w:t>
      </w:r>
      <w:r w:rsidR="008E5C77" w:rsidRPr="001B304D">
        <w:rPr>
          <w:sz w:val="24"/>
          <w:szCs w:val="24"/>
        </w:rPr>
        <w:t>thinking</w:t>
      </w:r>
      <w:r w:rsidR="00CD1B14" w:rsidRPr="001B304D">
        <w:rPr>
          <w:sz w:val="24"/>
          <w:szCs w:val="24"/>
        </w:rPr>
        <w:t xml:space="preserve">. One need only recall two of the traditionally more </w:t>
      </w:r>
      <w:r w:rsidR="00C34B62" w:rsidRPr="001B304D">
        <w:rPr>
          <w:sz w:val="24"/>
          <w:szCs w:val="24"/>
        </w:rPr>
        <w:t>frequent</w:t>
      </w:r>
      <w:r w:rsidR="00CD1B14" w:rsidRPr="001B304D">
        <w:rPr>
          <w:sz w:val="24"/>
          <w:szCs w:val="24"/>
        </w:rPr>
        <w:t xml:space="preserve"> uses of ‘symbol’—as a way of interpreting the</w:t>
      </w:r>
      <w:r w:rsidR="00C34B62" w:rsidRPr="001B304D">
        <w:rPr>
          <w:sz w:val="24"/>
          <w:szCs w:val="24"/>
        </w:rPr>
        <w:t xml:space="preserve"> God-world relation in the</w:t>
      </w:r>
      <w:r w:rsidR="00CD1B14" w:rsidRPr="001B304D">
        <w:rPr>
          <w:sz w:val="24"/>
          <w:szCs w:val="24"/>
        </w:rPr>
        <w:t xml:space="preserve"> Eucharist and as a common name for the Christian creeds—to </w:t>
      </w:r>
      <w:r w:rsidR="005227B5" w:rsidRPr="001B304D">
        <w:rPr>
          <w:sz w:val="24"/>
          <w:szCs w:val="24"/>
        </w:rPr>
        <w:t>illustrate</w:t>
      </w:r>
      <w:r w:rsidR="00CD1B14" w:rsidRPr="001B304D">
        <w:rPr>
          <w:sz w:val="24"/>
          <w:szCs w:val="24"/>
        </w:rPr>
        <w:t xml:space="preserve"> the complex intertwining of religion and the history of symbolism. Nevertheless, the contemporary situation looks very different and, in this</w:t>
      </w:r>
      <w:r w:rsidR="00501ABC" w:rsidRPr="001B304D">
        <w:rPr>
          <w:sz w:val="24"/>
          <w:szCs w:val="24"/>
        </w:rPr>
        <w:t xml:space="preserve"> review, I </w:t>
      </w:r>
      <w:r w:rsidR="000B15CA" w:rsidRPr="001B304D">
        <w:rPr>
          <w:sz w:val="24"/>
          <w:szCs w:val="24"/>
        </w:rPr>
        <w:t>argue that the legacy of these</w:t>
      </w:r>
      <w:r w:rsidR="00CD1B14" w:rsidRPr="001B304D">
        <w:rPr>
          <w:sz w:val="24"/>
          <w:szCs w:val="24"/>
        </w:rPr>
        <w:t xml:space="preserve"> theologically- and religiously-oriented theories of the symbol in recent </w:t>
      </w:r>
      <w:r w:rsidR="005227B5" w:rsidRPr="001B304D">
        <w:rPr>
          <w:sz w:val="24"/>
          <w:szCs w:val="24"/>
        </w:rPr>
        <w:t>research in the philosophy of religion</w:t>
      </w:r>
      <w:r w:rsidR="000B15CA" w:rsidRPr="001B304D">
        <w:rPr>
          <w:sz w:val="24"/>
          <w:szCs w:val="24"/>
        </w:rPr>
        <w:t xml:space="preserve"> is</w:t>
      </w:r>
      <w:r w:rsidR="00133B50" w:rsidRPr="001B304D">
        <w:rPr>
          <w:sz w:val="24"/>
          <w:szCs w:val="24"/>
        </w:rPr>
        <w:t>—notwithstanding one or two exceptions—</w:t>
      </w:r>
      <w:r w:rsidR="000B15CA" w:rsidRPr="001B304D">
        <w:rPr>
          <w:sz w:val="24"/>
          <w:szCs w:val="24"/>
        </w:rPr>
        <w:t>minimal</w:t>
      </w:r>
      <w:r w:rsidRPr="001B304D">
        <w:rPr>
          <w:sz w:val="24"/>
          <w:szCs w:val="24"/>
        </w:rPr>
        <w:t>. I</w:t>
      </w:r>
      <w:r w:rsidR="00CD1B14" w:rsidRPr="001B304D">
        <w:rPr>
          <w:sz w:val="24"/>
          <w:szCs w:val="24"/>
        </w:rPr>
        <w:t>nstead</w:t>
      </w:r>
      <w:r w:rsidRPr="001B304D">
        <w:rPr>
          <w:sz w:val="24"/>
          <w:szCs w:val="24"/>
        </w:rPr>
        <w:t>, I suggest that</w:t>
      </w:r>
      <w:r w:rsidR="00CD1B14" w:rsidRPr="001B304D">
        <w:rPr>
          <w:sz w:val="24"/>
          <w:szCs w:val="24"/>
        </w:rPr>
        <w:t xml:space="preserve"> discussion of religious symbolism in current philosophy of religion should be recalibrated around a much more pressing contemporary concern: the </w:t>
      </w:r>
      <w:r w:rsidR="00B736D9" w:rsidRPr="001B304D">
        <w:rPr>
          <w:sz w:val="24"/>
          <w:szCs w:val="24"/>
        </w:rPr>
        <w:t>political, legal and existential ramification</w:t>
      </w:r>
      <w:r w:rsidRPr="001B304D">
        <w:rPr>
          <w:sz w:val="24"/>
          <w:szCs w:val="24"/>
        </w:rPr>
        <w:t xml:space="preserve">s of </w:t>
      </w:r>
      <w:r w:rsidR="000B15CA" w:rsidRPr="001B304D">
        <w:rPr>
          <w:sz w:val="24"/>
          <w:szCs w:val="24"/>
        </w:rPr>
        <w:t>wearing</w:t>
      </w:r>
      <w:r w:rsidRPr="001B304D">
        <w:rPr>
          <w:sz w:val="24"/>
          <w:szCs w:val="24"/>
        </w:rPr>
        <w:t xml:space="preserve"> religious symbols in </w:t>
      </w:r>
      <w:r w:rsidR="000B15CA" w:rsidRPr="001B304D">
        <w:rPr>
          <w:sz w:val="24"/>
          <w:szCs w:val="24"/>
        </w:rPr>
        <w:t>the public sphere</w:t>
      </w:r>
      <w:r w:rsidRPr="001B304D">
        <w:rPr>
          <w:sz w:val="24"/>
          <w:szCs w:val="24"/>
        </w:rPr>
        <w:t>.</w:t>
      </w:r>
      <w:r w:rsidR="00B736D9" w:rsidRPr="001B304D">
        <w:rPr>
          <w:sz w:val="24"/>
          <w:szCs w:val="24"/>
        </w:rPr>
        <w:t xml:space="preserve"> </w:t>
      </w:r>
      <w:r w:rsidRPr="001B304D">
        <w:rPr>
          <w:sz w:val="24"/>
          <w:szCs w:val="24"/>
        </w:rPr>
        <w:t>P</w:t>
      </w:r>
      <w:r w:rsidR="00B736D9" w:rsidRPr="001B304D">
        <w:rPr>
          <w:sz w:val="24"/>
          <w:szCs w:val="24"/>
        </w:rPr>
        <w:t>ublic</w:t>
      </w:r>
      <w:r w:rsidRPr="001B304D">
        <w:rPr>
          <w:sz w:val="24"/>
          <w:szCs w:val="24"/>
        </w:rPr>
        <w:t xml:space="preserve"> and legal</w:t>
      </w:r>
      <w:r w:rsidR="00B736D9" w:rsidRPr="001B304D">
        <w:rPr>
          <w:sz w:val="24"/>
          <w:szCs w:val="24"/>
        </w:rPr>
        <w:t xml:space="preserve"> disco</w:t>
      </w:r>
      <w:r w:rsidRPr="001B304D">
        <w:rPr>
          <w:sz w:val="24"/>
          <w:szCs w:val="24"/>
        </w:rPr>
        <w:t xml:space="preserve">urse around the </w:t>
      </w:r>
      <w:r w:rsidR="00501ABC" w:rsidRPr="001B304D">
        <w:rPr>
          <w:sz w:val="24"/>
          <w:szCs w:val="24"/>
        </w:rPr>
        <w:t>right</w:t>
      </w:r>
      <w:r w:rsidR="00B736D9" w:rsidRPr="001B304D">
        <w:rPr>
          <w:sz w:val="24"/>
          <w:szCs w:val="24"/>
        </w:rPr>
        <w:t xml:space="preserve"> to use such symbols</w:t>
      </w:r>
      <w:r w:rsidRPr="001B304D">
        <w:rPr>
          <w:sz w:val="24"/>
          <w:szCs w:val="24"/>
        </w:rPr>
        <w:t xml:space="preserve"> already contains</w:t>
      </w:r>
      <w:r w:rsidR="008849A7" w:rsidRPr="001B304D">
        <w:rPr>
          <w:sz w:val="24"/>
          <w:szCs w:val="24"/>
        </w:rPr>
        <w:t xml:space="preserve"> many inchoate theoretical concepts and distinctions</w:t>
      </w:r>
      <w:r w:rsidRPr="001B304D">
        <w:rPr>
          <w:sz w:val="24"/>
          <w:szCs w:val="24"/>
        </w:rPr>
        <w:t>,</w:t>
      </w:r>
      <w:r w:rsidR="008849A7" w:rsidRPr="001B304D">
        <w:rPr>
          <w:sz w:val="24"/>
          <w:szCs w:val="24"/>
        </w:rPr>
        <w:t xml:space="preserve"> and philosophical work could prove useful in cashing them out.</w:t>
      </w:r>
      <w:r w:rsidR="00B736D9" w:rsidRPr="001B304D">
        <w:rPr>
          <w:sz w:val="24"/>
          <w:szCs w:val="24"/>
        </w:rPr>
        <w:t xml:space="preserve"> I return to this topic in the second-half of the review paper.</w:t>
      </w:r>
    </w:p>
    <w:p w:rsidR="002F35B8" w:rsidRPr="001B304D" w:rsidRDefault="00133B50" w:rsidP="002F35B8">
      <w:pPr>
        <w:spacing w:after="0" w:line="480" w:lineRule="auto"/>
        <w:jc w:val="both"/>
        <w:rPr>
          <w:sz w:val="24"/>
          <w:szCs w:val="24"/>
        </w:rPr>
      </w:pPr>
      <w:r w:rsidRPr="001B304D">
        <w:rPr>
          <w:sz w:val="24"/>
          <w:szCs w:val="24"/>
        </w:rPr>
        <w:tab/>
        <w:t>The two parts of what follows th</w:t>
      </w:r>
      <w:r w:rsidR="00C9400D" w:rsidRPr="001B304D">
        <w:rPr>
          <w:sz w:val="24"/>
          <w:szCs w:val="24"/>
        </w:rPr>
        <w:t>erefore</w:t>
      </w:r>
      <w:r w:rsidRPr="001B304D">
        <w:rPr>
          <w:sz w:val="24"/>
          <w:szCs w:val="24"/>
        </w:rPr>
        <w:t xml:space="preserve"> survey very different terrain: the first, genealogies of the symbol; the second, contemporary discussions in legal theory. In the conclusion, I justify this juxtaposition with reference to a suggestion in the recent literature that </w:t>
      </w:r>
      <w:r w:rsidR="002F35B8" w:rsidRPr="001B304D">
        <w:rPr>
          <w:sz w:val="24"/>
          <w:szCs w:val="24"/>
        </w:rPr>
        <w:t>deployments of</w:t>
      </w:r>
      <w:r w:rsidRPr="001B304D">
        <w:rPr>
          <w:sz w:val="24"/>
          <w:szCs w:val="24"/>
        </w:rPr>
        <w:t xml:space="preserve"> </w:t>
      </w:r>
      <w:r w:rsidR="002F35B8" w:rsidRPr="001B304D">
        <w:rPr>
          <w:sz w:val="24"/>
          <w:szCs w:val="24"/>
        </w:rPr>
        <w:t>‘</w:t>
      </w:r>
      <w:r w:rsidRPr="001B304D">
        <w:rPr>
          <w:sz w:val="24"/>
          <w:szCs w:val="24"/>
        </w:rPr>
        <w:t>symbol</w:t>
      </w:r>
      <w:r w:rsidR="002F35B8" w:rsidRPr="001B304D">
        <w:rPr>
          <w:sz w:val="24"/>
          <w:szCs w:val="24"/>
        </w:rPr>
        <w:t>’ in legal cases remain</w:t>
      </w:r>
      <w:r w:rsidRPr="001B304D">
        <w:rPr>
          <w:sz w:val="24"/>
          <w:szCs w:val="24"/>
        </w:rPr>
        <w:t xml:space="preserve"> implicitly reliant on the conceptual history of the symbol—thus enacting Gadamer’s claim that</w:t>
      </w:r>
      <w:r w:rsidR="002F35B8" w:rsidRPr="001B304D">
        <w:rPr>
          <w:sz w:val="24"/>
          <w:szCs w:val="24"/>
        </w:rPr>
        <w:t>,</w:t>
      </w:r>
      <w:r w:rsidRPr="001B304D">
        <w:rPr>
          <w:sz w:val="24"/>
          <w:szCs w:val="24"/>
        </w:rPr>
        <w:t xml:space="preserve"> </w:t>
      </w:r>
      <w:r w:rsidR="002F35B8" w:rsidRPr="001B304D">
        <w:rPr>
          <w:sz w:val="24"/>
          <w:szCs w:val="24"/>
        </w:rPr>
        <w:t>‘Concepts such as… “</w:t>
      </w:r>
      <w:proofErr w:type="gramStart"/>
      <w:r w:rsidR="002F35B8" w:rsidRPr="001B304D">
        <w:rPr>
          <w:sz w:val="24"/>
          <w:szCs w:val="24"/>
        </w:rPr>
        <w:t>symbol</w:t>
      </w:r>
      <w:proofErr w:type="gramEnd"/>
      <w:r w:rsidR="002F35B8" w:rsidRPr="001B304D">
        <w:rPr>
          <w:sz w:val="24"/>
          <w:szCs w:val="24"/>
        </w:rPr>
        <w:t>”, which we take to be self-evident, contain a wealth of history.’ (9)</w:t>
      </w:r>
    </w:p>
    <w:p w:rsidR="008849A7" w:rsidRPr="001B304D" w:rsidRDefault="008849A7" w:rsidP="008100A8">
      <w:pPr>
        <w:spacing w:after="0" w:line="480" w:lineRule="auto"/>
        <w:rPr>
          <w:sz w:val="24"/>
          <w:szCs w:val="24"/>
        </w:rPr>
      </w:pPr>
    </w:p>
    <w:p w:rsidR="009A33D2" w:rsidRPr="001B304D" w:rsidRDefault="009A33D2" w:rsidP="008100A8">
      <w:pPr>
        <w:spacing w:after="0" w:line="480" w:lineRule="auto"/>
        <w:rPr>
          <w:sz w:val="24"/>
          <w:szCs w:val="24"/>
          <w:u w:val="single"/>
        </w:rPr>
      </w:pPr>
      <w:r w:rsidRPr="001B304D">
        <w:rPr>
          <w:sz w:val="24"/>
          <w:szCs w:val="24"/>
          <w:u w:val="single"/>
        </w:rPr>
        <w:t>[1] Religious Symbols in Theory</w:t>
      </w:r>
    </w:p>
    <w:p w:rsidR="008849A7" w:rsidRPr="001B304D" w:rsidRDefault="008849A7" w:rsidP="008100A8">
      <w:pPr>
        <w:spacing w:after="0" w:line="480" w:lineRule="auto"/>
        <w:jc w:val="both"/>
        <w:rPr>
          <w:sz w:val="24"/>
          <w:szCs w:val="24"/>
        </w:rPr>
      </w:pPr>
      <w:r w:rsidRPr="001B304D">
        <w:rPr>
          <w:sz w:val="24"/>
          <w:szCs w:val="24"/>
        </w:rPr>
        <w:t>To begin, I provide a brief classificatory survey of the traditional ways in which theories of the symbol have impinged on</w:t>
      </w:r>
      <w:r w:rsidR="005227B5" w:rsidRPr="001B304D">
        <w:rPr>
          <w:sz w:val="24"/>
          <w:szCs w:val="24"/>
        </w:rPr>
        <w:t xml:space="preserve"> the</w:t>
      </w:r>
      <w:r w:rsidR="002F35B8" w:rsidRPr="001B304D">
        <w:rPr>
          <w:sz w:val="24"/>
          <w:szCs w:val="24"/>
        </w:rPr>
        <w:t xml:space="preserve"> philosophy of religion.</w:t>
      </w:r>
    </w:p>
    <w:p w:rsidR="009A33D2" w:rsidRPr="001B304D" w:rsidRDefault="009A33D2" w:rsidP="008100A8">
      <w:pPr>
        <w:spacing w:after="0" w:line="480" w:lineRule="auto"/>
        <w:rPr>
          <w:sz w:val="24"/>
          <w:szCs w:val="24"/>
        </w:rPr>
      </w:pPr>
    </w:p>
    <w:p w:rsidR="009A33D2" w:rsidRPr="001B304D" w:rsidRDefault="009A33D2" w:rsidP="008100A8">
      <w:pPr>
        <w:spacing w:after="0" w:line="480" w:lineRule="auto"/>
        <w:rPr>
          <w:sz w:val="24"/>
          <w:szCs w:val="24"/>
        </w:rPr>
      </w:pPr>
      <w:r w:rsidRPr="001B304D">
        <w:rPr>
          <w:sz w:val="24"/>
          <w:szCs w:val="24"/>
        </w:rPr>
        <w:t xml:space="preserve">[1.1] </w:t>
      </w:r>
      <w:r w:rsidR="000867CF" w:rsidRPr="001B304D">
        <w:rPr>
          <w:sz w:val="24"/>
          <w:szCs w:val="24"/>
        </w:rPr>
        <w:t>Evocations of the Transcendent</w:t>
      </w:r>
    </w:p>
    <w:p w:rsidR="00C7778A" w:rsidRPr="001B304D" w:rsidRDefault="00131DC1" w:rsidP="008100A8">
      <w:pPr>
        <w:spacing w:after="0" w:line="480" w:lineRule="auto"/>
        <w:jc w:val="both"/>
        <w:rPr>
          <w:sz w:val="24"/>
          <w:szCs w:val="24"/>
        </w:rPr>
      </w:pPr>
      <w:r w:rsidRPr="001B304D">
        <w:rPr>
          <w:sz w:val="24"/>
          <w:szCs w:val="24"/>
        </w:rPr>
        <w:t>Historically, the notion</w:t>
      </w:r>
      <w:r w:rsidR="00C7778A" w:rsidRPr="001B304D">
        <w:rPr>
          <w:sz w:val="24"/>
          <w:szCs w:val="24"/>
        </w:rPr>
        <w:t xml:space="preserve"> of the symbol that has proven most significant </w:t>
      </w:r>
      <w:r w:rsidRPr="001B304D">
        <w:rPr>
          <w:sz w:val="24"/>
          <w:szCs w:val="24"/>
        </w:rPr>
        <w:t xml:space="preserve">in religious contexts is </w:t>
      </w:r>
      <w:r w:rsidR="00501ABC" w:rsidRPr="001B304D">
        <w:rPr>
          <w:sz w:val="24"/>
          <w:szCs w:val="24"/>
        </w:rPr>
        <w:t xml:space="preserve">that of </w:t>
      </w:r>
      <w:r w:rsidRPr="001B304D">
        <w:rPr>
          <w:sz w:val="24"/>
          <w:szCs w:val="24"/>
        </w:rPr>
        <w:t xml:space="preserve">the symbol </w:t>
      </w:r>
      <w:r w:rsidR="00C7778A" w:rsidRPr="001B304D">
        <w:rPr>
          <w:sz w:val="24"/>
          <w:szCs w:val="24"/>
        </w:rPr>
        <w:t>as a vestige of transcendence. One</w:t>
      </w:r>
      <w:r w:rsidRPr="001B304D">
        <w:rPr>
          <w:sz w:val="24"/>
          <w:szCs w:val="24"/>
        </w:rPr>
        <w:t xml:space="preserve"> initially</w:t>
      </w:r>
      <w:r w:rsidR="00C7778A" w:rsidRPr="001B304D">
        <w:rPr>
          <w:sz w:val="24"/>
          <w:szCs w:val="24"/>
        </w:rPr>
        <w:t xml:space="preserve"> finds this in neo-Platonic sources</w:t>
      </w:r>
      <w:r w:rsidR="00C437C6" w:rsidRPr="001B304D">
        <w:rPr>
          <w:sz w:val="24"/>
          <w:szCs w:val="24"/>
        </w:rPr>
        <w:t>: Proclus</w:t>
      </w:r>
      <w:r w:rsidRPr="001B304D">
        <w:rPr>
          <w:sz w:val="24"/>
          <w:szCs w:val="24"/>
        </w:rPr>
        <w:t xml:space="preserve"> defines</w:t>
      </w:r>
      <w:r w:rsidR="00C437C6" w:rsidRPr="001B304D">
        <w:rPr>
          <w:sz w:val="24"/>
          <w:szCs w:val="24"/>
        </w:rPr>
        <w:t xml:space="preserve"> the symbol as ‘heavenly things on earth in a terrestrial form’ and Iamblichus sp</w:t>
      </w:r>
      <w:r w:rsidRPr="001B304D">
        <w:rPr>
          <w:sz w:val="24"/>
          <w:szCs w:val="24"/>
        </w:rPr>
        <w:t>eaks</w:t>
      </w:r>
      <w:r w:rsidR="00C437C6" w:rsidRPr="001B304D">
        <w:rPr>
          <w:sz w:val="24"/>
          <w:szCs w:val="24"/>
        </w:rPr>
        <w:t xml:space="preserve"> of ‘the ineffable power of the gods to which these symbols point’.</w:t>
      </w:r>
      <w:r w:rsidR="0083661C" w:rsidRPr="001B304D">
        <w:rPr>
          <w:sz w:val="24"/>
          <w:szCs w:val="24"/>
        </w:rPr>
        <w:t xml:space="preserve"> (</w:t>
      </w:r>
      <w:r w:rsidR="004F634D" w:rsidRPr="001B304D">
        <w:rPr>
          <w:sz w:val="24"/>
          <w:szCs w:val="24"/>
        </w:rPr>
        <w:t xml:space="preserve">Quoted in </w:t>
      </w:r>
      <w:proofErr w:type="spellStart"/>
      <w:r w:rsidR="004F634D" w:rsidRPr="001B304D">
        <w:rPr>
          <w:sz w:val="24"/>
          <w:szCs w:val="24"/>
        </w:rPr>
        <w:t>Halmi</w:t>
      </w:r>
      <w:proofErr w:type="spellEnd"/>
      <w:r w:rsidR="004F634D" w:rsidRPr="001B304D">
        <w:rPr>
          <w:sz w:val="24"/>
          <w:szCs w:val="24"/>
        </w:rPr>
        <w:t xml:space="preserve"> </w:t>
      </w:r>
      <w:r w:rsidR="00AD2B4D" w:rsidRPr="001B304D">
        <w:rPr>
          <w:sz w:val="24"/>
          <w:szCs w:val="24"/>
        </w:rPr>
        <w:t>107</w:t>
      </w:r>
      <w:r w:rsidR="0083661C" w:rsidRPr="001B304D">
        <w:rPr>
          <w:sz w:val="24"/>
          <w:szCs w:val="24"/>
        </w:rPr>
        <w:t>)</w:t>
      </w:r>
      <w:r w:rsidR="0083661C" w:rsidRPr="001B304D">
        <w:rPr>
          <w:rStyle w:val="FootnoteReference"/>
          <w:sz w:val="24"/>
          <w:szCs w:val="24"/>
        </w:rPr>
        <w:footnoteReference w:id="2"/>
      </w:r>
      <w:r w:rsidR="00C437C6" w:rsidRPr="001B304D">
        <w:rPr>
          <w:sz w:val="24"/>
          <w:szCs w:val="24"/>
        </w:rPr>
        <w:t xml:space="preserve"> As the historian of the symbol, B.A. </w:t>
      </w:r>
      <w:proofErr w:type="spellStart"/>
      <w:r w:rsidR="00C437C6" w:rsidRPr="001B304D">
        <w:rPr>
          <w:sz w:val="24"/>
          <w:szCs w:val="24"/>
        </w:rPr>
        <w:t>S</w:t>
      </w:r>
      <w:r w:rsidR="00C9017F" w:rsidRPr="001B304D">
        <w:rPr>
          <w:rFonts w:cs="Times New Roman"/>
          <w:sz w:val="24"/>
          <w:szCs w:val="24"/>
        </w:rPr>
        <w:t>ø</w:t>
      </w:r>
      <w:r w:rsidR="00C437C6" w:rsidRPr="001B304D">
        <w:rPr>
          <w:rFonts w:cs="Times New Roman"/>
          <w:sz w:val="24"/>
          <w:szCs w:val="24"/>
        </w:rPr>
        <w:t>r</w:t>
      </w:r>
      <w:r w:rsidR="00C437C6" w:rsidRPr="001B304D">
        <w:rPr>
          <w:sz w:val="24"/>
          <w:szCs w:val="24"/>
        </w:rPr>
        <w:t>ensen</w:t>
      </w:r>
      <w:proofErr w:type="spellEnd"/>
      <w:r w:rsidR="00501ABC" w:rsidRPr="001B304D">
        <w:rPr>
          <w:sz w:val="24"/>
          <w:szCs w:val="24"/>
        </w:rPr>
        <w:t>,</w:t>
      </w:r>
      <w:r w:rsidR="00C437C6" w:rsidRPr="001B304D">
        <w:rPr>
          <w:sz w:val="24"/>
          <w:szCs w:val="24"/>
        </w:rPr>
        <w:t xml:space="preserve"> puts it, ‘Symbol was used in theosophical, alchemistic and neo-Platonic writings to refer to religious or magical signs of divine secrets.’ (18) This </w:t>
      </w:r>
      <w:r w:rsidRPr="001B304D">
        <w:rPr>
          <w:sz w:val="24"/>
          <w:szCs w:val="24"/>
        </w:rPr>
        <w:t>figuration of the symbol</w:t>
      </w:r>
      <w:r w:rsidR="00C437C6" w:rsidRPr="001B304D">
        <w:rPr>
          <w:sz w:val="24"/>
          <w:szCs w:val="24"/>
        </w:rPr>
        <w:t xml:space="preserve"> was</w:t>
      </w:r>
      <w:r w:rsidRPr="001B304D">
        <w:rPr>
          <w:sz w:val="24"/>
          <w:szCs w:val="24"/>
        </w:rPr>
        <w:t xml:space="preserve"> decisively resurrected</w:t>
      </w:r>
      <w:r w:rsidR="00C437C6" w:rsidRPr="001B304D">
        <w:rPr>
          <w:sz w:val="24"/>
          <w:szCs w:val="24"/>
        </w:rPr>
        <w:t xml:space="preserve"> in 1790s Germany where first Ka</w:t>
      </w:r>
      <w:r w:rsidRPr="001B304D">
        <w:rPr>
          <w:sz w:val="24"/>
          <w:szCs w:val="24"/>
        </w:rPr>
        <w:t>nt in his</w:t>
      </w:r>
      <w:r w:rsidR="006978E5" w:rsidRPr="001B304D">
        <w:rPr>
          <w:sz w:val="24"/>
          <w:szCs w:val="24"/>
        </w:rPr>
        <w:t xml:space="preserve"> </w:t>
      </w:r>
      <w:r w:rsidR="006978E5" w:rsidRPr="001B304D">
        <w:rPr>
          <w:i/>
          <w:sz w:val="24"/>
          <w:szCs w:val="24"/>
        </w:rPr>
        <w:t>Critique of Judgment</w:t>
      </w:r>
      <w:r w:rsidR="006978E5" w:rsidRPr="001B304D">
        <w:rPr>
          <w:sz w:val="24"/>
          <w:szCs w:val="24"/>
        </w:rPr>
        <w:t xml:space="preserve"> </w:t>
      </w:r>
      <w:r w:rsidR="004F634D" w:rsidRPr="001B304D">
        <w:rPr>
          <w:sz w:val="24"/>
          <w:szCs w:val="24"/>
        </w:rPr>
        <w:t>(</w:t>
      </w:r>
      <w:r w:rsidR="00AD2B4D" w:rsidRPr="001B304D">
        <w:rPr>
          <w:sz w:val="24"/>
          <w:szCs w:val="24"/>
        </w:rPr>
        <w:t>§59</w:t>
      </w:r>
      <w:r w:rsidR="00147E81" w:rsidRPr="001B304D">
        <w:rPr>
          <w:sz w:val="24"/>
          <w:szCs w:val="24"/>
        </w:rPr>
        <w:t xml:space="preserve">) </w:t>
      </w:r>
      <w:r w:rsidR="006978E5" w:rsidRPr="001B304D">
        <w:rPr>
          <w:sz w:val="24"/>
          <w:szCs w:val="24"/>
        </w:rPr>
        <w:t xml:space="preserve">and then Goethe in </w:t>
      </w:r>
      <w:r w:rsidR="00C437C6" w:rsidRPr="001B304D">
        <w:rPr>
          <w:sz w:val="24"/>
          <w:szCs w:val="24"/>
        </w:rPr>
        <w:t>correspondence with Schiller</w:t>
      </w:r>
      <w:r w:rsidR="004F634D" w:rsidRPr="001B304D">
        <w:rPr>
          <w:sz w:val="24"/>
          <w:szCs w:val="24"/>
        </w:rPr>
        <w:t xml:space="preserve"> (</w:t>
      </w:r>
      <w:r w:rsidR="00AD2B4D" w:rsidRPr="001B304D">
        <w:rPr>
          <w:sz w:val="24"/>
          <w:szCs w:val="24"/>
        </w:rPr>
        <w:t>1:372-3</w:t>
      </w:r>
      <w:r w:rsidR="00147E81" w:rsidRPr="001B304D">
        <w:rPr>
          <w:sz w:val="24"/>
          <w:szCs w:val="24"/>
        </w:rPr>
        <w:t>)</w:t>
      </w:r>
      <w:r w:rsidR="00C437C6" w:rsidRPr="001B304D">
        <w:rPr>
          <w:sz w:val="24"/>
          <w:szCs w:val="24"/>
        </w:rPr>
        <w:t xml:space="preserve"> revived the idea that the symbol points to something transcendent.</w:t>
      </w:r>
      <w:r w:rsidR="006978E5" w:rsidRPr="001B304D">
        <w:rPr>
          <w:sz w:val="24"/>
          <w:szCs w:val="24"/>
        </w:rPr>
        <w:t xml:space="preserve"> Here, however, </w:t>
      </w:r>
      <w:r w:rsidRPr="001B304D">
        <w:rPr>
          <w:sz w:val="24"/>
          <w:szCs w:val="24"/>
        </w:rPr>
        <w:t>symbolism</w:t>
      </w:r>
      <w:r w:rsidR="006978E5" w:rsidRPr="001B304D">
        <w:rPr>
          <w:sz w:val="24"/>
          <w:szCs w:val="24"/>
        </w:rPr>
        <w:t xml:space="preserve"> was often circumscribed to the domain</w:t>
      </w:r>
      <w:r w:rsidR="002F35B8" w:rsidRPr="001B304D">
        <w:rPr>
          <w:sz w:val="24"/>
          <w:szCs w:val="24"/>
        </w:rPr>
        <w:t xml:space="preserve"> of art</w:t>
      </w:r>
      <w:r w:rsidR="00163505" w:rsidRPr="001B304D">
        <w:rPr>
          <w:sz w:val="24"/>
          <w:szCs w:val="24"/>
        </w:rPr>
        <w:t xml:space="preserve">, describing a particular form of </w:t>
      </w:r>
      <w:r w:rsidRPr="001B304D">
        <w:rPr>
          <w:sz w:val="24"/>
          <w:szCs w:val="24"/>
        </w:rPr>
        <w:t xml:space="preserve">aesthetic </w:t>
      </w:r>
      <w:r w:rsidR="00163505" w:rsidRPr="001B304D">
        <w:rPr>
          <w:sz w:val="24"/>
          <w:szCs w:val="24"/>
        </w:rPr>
        <w:t>signification:</w:t>
      </w:r>
      <w:r w:rsidR="006978E5" w:rsidRPr="001B304D">
        <w:rPr>
          <w:sz w:val="24"/>
          <w:szCs w:val="24"/>
        </w:rPr>
        <w:t xml:space="preserve"> the symbol was</w:t>
      </w:r>
      <w:r w:rsidR="00163505" w:rsidRPr="001B304D">
        <w:rPr>
          <w:sz w:val="24"/>
          <w:szCs w:val="24"/>
        </w:rPr>
        <w:t xml:space="preserve"> defined as</w:t>
      </w:r>
      <w:r w:rsidR="006978E5" w:rsidRPr="001B304D">
        <w:rPr>
          <w:sz w:val="24"/>
          <w:szCs w:val="24"/>
        </w:rPr>
        <w:t xml:space="preserve"> a sensible feature of the artwork </w:t>
      </w:r>
      <w:r w:rsidR="00163505" w:rsidRPr="001B304D">
        <w:rPr>
          <w:sz w:val="24"/>
          <w:szCs w:val="24"/>
        </w:rPr>
        <w:t xml:space="preserve">that </w:t>
      </w:r>
      <w:r w:rsidR="006978E5" w:rsidRPr="001B304D">
        <w:rPr>
          <w:sz w:val="24"/>
          <w:szCs w:val="24"/>
        </w:rPr>
        <w:t>evoked the supersensible. It is not surprising, therefore, that contemporary discussions of ‘the Romantic symbol’ tend to treat it as an instance of the secularisation thesis: a repetition</w:t>
      </w:r>
      <w:r w:rsidR="0083661C" w:rsidRPr="001B304D">
        <w:rPr>
          <w:sz w:val="24"/>
          <w:szCs w:val="24"/>
        </w:rPr>
        <w:t xml:space="preserve"> </w:t>
      </w:r>
      <w:r w:rsidR="00AD2B4D" w:rsidRPr="001B304D">
        <w:rPr>
          <w:sz w:val="24"/>
          <w:szCs w:val="24"/>
        </w:rPr>
        <w:t>(Barth</w:t>
      </w:r>
      <w:r w:rsidR="0083661C" w:rsidRPr="001B304D">
        <w:rPr>
          <w:sz w:val="24"/>
          <w:szCs w:val="24"/>
        </w:rPr>
        <w:t>)</w:t>
      </w:r>
      <w:r w:rsidR="006978E5" w:rsidRPr="001B304D">
        <w:rPr>
          <w:sz w:val="24"/>
          <w:szCs w:val="24"/>
        </w:rPr>
        <w:t xml:space="preserve"> or displacement</w:t>
      </w:r>
      <w:r w:rsidR="0083661C" w:rsidRPr="001B304D">
        <w:rPr>
          <w:sz w:val="24"/>
          <w:szCs w:val="24"/>
        </w:rPr>
        <w:t xml:space="preserve"> (</w:t>
      </w:r>
      <w:proofErr w:type="spellStart"/>
      <w:r w:rsidR="0083661C" w:rsidRPr="001B304D">
        <w:rPr>
          <w:sz w:val="24"/>
          <w:szCs w:val="24"/>
        </w:rPr>
        <w:t>Halmi</w:t>
      </w:r>
      <w:proofErr w:type="spellEnd"/>
      <w:r w:rsidR="0083661C" w:rsidRPr="001B304D">
        <w:rPr>
          <w:sz w:val="24"/>
          <w:szCs w:val="24"/>
        </w:rPr>
        <w:t>)</w:t>
      </w:r>
      <w:r w:rsidR="006978E5" w:rsidRPr="001B304D">
        <w:rPr>
          <w:sz w:val="24"/>
          <w:szCs w:val="24"/>
        </w:rPr>
        <w:t xml:space="preserve"> of theological concepts in a non-theological context. As </w:t>
      </w:r>
      <w:proofErr w:type="spellStart"/>
      <w:r w:rsidR="006978E5" w:rsidRPr="001B304D">
        <w:rPr>
          <w:sz w:val="24"/>
          <w:szCs w:val="24"/>
        </w:rPr>
        <w:t>Blumenberg</w:t>
      </w:r>
      <w:proofErr w:type="spellEnd"/>
      <w:r w:rsidR="006978E5" w:rsidRPr="001B304D">
        <w:rPr>
          <w:sz w:val="24"/>
          <w:szCs w:val="24"/>
        </w:rPr>
        <w:t xml:space="preserve"> definitively put it, </w:t>
      </w:r>
      <w:r w:rsidR="00AE3FB9" w:rsidRPr="001B304D">
        <w:rPr>
          <w:sz w:val="24"/>
          <w:szCs w:val="24"/>
        </w:rPr>
        <w:t>‘Probably nothing in the terminology of aesthetics is as instructive in regard to the problematic of secularisation as is the concept of a “symbol”.’</w:t>
      </w:r>
      <w:r w:rsidR="004F634D" w:rsidRPr="001B304D">
        <w:rPr>
          <w:sz w:val="24"/>
          <w:szCs w:val="24"/>
        </w:rPr>
        <w:t xml:space="preserve"> (</w:t>
      </w:r>
      <w:r w:rsidR="00C9017F" w:rsidRPr="001B304D">
        <w:rPr>
          <w:sz w:val="24"/>
          <w:szCs w:val="24"/>
        </w:rPr>
        <w:t>111</w:t>
      </w:r>
      <w:r w:rsidR="0083661C" w:rsidRPr="001B304D">
        <w:rPr>
          <w:sz w:val="24"/>
          <w:szCs w:val="24"/>
        </w:rPr>
        <w:t>)</w:t>
      </w:r>
    </w:p>
    <w:p w:rsidR="006978E5" w:rsidRPr="001B304D" w:rsidRDefault="006978E5" w:rsidP="008100A8">
      <w:pPr>
        <w:spacing w:after="0" w:line="480" w:lineRule="auto"/>
        <w:jc w:val="both"/>
        <w:rPr>
          <w:sz w:val="24"/>
          <w:szCs w:val="24"/>
        </w:rPr>
      </w:pPr>
      <w:r w:rsidRPr="001B304D">
        <w:rPr>
          <w:sz w:val="24"/>
          <w:szCs w:val="24"/>
        </w:rPr>
        <w:tab/>
        <w:t xml:space="preserve">In the twentieth century, the theological background to this conception of the symbol has led to polarised reactions between those who see its religiously-charged history as a boon and those </w:t>
      </w:r>
      <w:r w:rsidR="00501ABC" w:rsidRPr="001B304D">
        <w:rPr>
          <w:sz w:val="24"/>
          <w:szCs w:val="24"/>
        </w:rPr>
        <w:t>who wish</w:t>
      </w:r>
      <w:r w:rsidRPr="001B304D">
        <w:rPr>
          <w:sz w:val="24"/>
          <w:szCs w:val="24"/>
        </w:rPr>
        <w:t xml:space="preserve"> to eradicate it from </w:t>
      </w:r>
      <w:r w:rsidR="00131DC1" w:rsidRPr="001B304D">
        <w:rPr>
          <w:sz w:val="24"/>
          <w:szCs w:val="24"/>
        </w:rPr>
        <w:t>theoretical</w:t>
      </w:r>
      <w:r w:rsidRPr="001B304D">
        <w:rPr>
          <w:sz w:val="24"/>
          <w:szCs w:val="24"/>
        </w:rPr>
        <w:t xml:space="preserve"> discourse for </w:t>
      </w:r>
      <w:r w:rsidR="00501ABC" w:rsidRPr="001B304D">
        <w:rPr>
          <w:sz w:val="24"/>
          <w:szCs w:val="24"/>
        </w:rPr>
        <w:t>the very same</w:t>
      </w:r>
      <w:r w:rsidRPr="001B304D">
        <w:rPr>
          <w:sz w:val="24"/>
          <w:szCs w:val="24"/>
        </w:rPr>
        <w:t xml:space="preserve"> reason. On the former side stands </w:t>
      </w:r>
      <w:proofErr w:type="spellStart"/>
      <w:r w:rsidRPr="001B304D">
        <w:rPr>
          <w:sz w:val="24"/>
          <w:szCs w:val="24"/>
        </w:rPr>
        <w:t>Gadamer</w:t>
      </w:r>
      <w:proofErr w:type="spellEnd"/>
      <w:r w:rsidR="004F634D" w:rsidRPr="001B304D">
        <w:rPr>
          <w:sz w:val="24"/>
          <w:szCs w:val="24"/>
        </w:rPr>
        <w:t xml:space="preserve"> (</w:t>
      </w:r>
      <w:r w:rsidR="00C9017F" w:rsidRPr="001B304D">
        <w:rPr>
          <w:sz w:val="24"/>
          <w:szCs w:val="24"/>
        </w:rPr>
        <w:t>62-74</w:t>
      </w:r>
      <w:r w:rsidR="0083661C" w:rsidRPr="001B304D">
        <w:rPr>
          <w:sz w:val="24"/>
          <w:szCs w:val="24"/>
        </w:rPr>
        <w:t>)</w:t>
      </w:r>
      <w:r w:rsidRPr="001B304D">
        <w:rPr>
          <w:sz w:val="24"/>
          <w:szCs w:val="24"/>
        </w:rPr>
        <w:t xml:space="preserve"> who, following </w:t>
      </w:r>
      <w:proofErr w:type="gramStart"/>
      <w:r w:rsidRPr="001B304D">
        <w:rPr>
          <w:sz w:val="24"/>
          <w:szCs w:val="24"/>
        </w:rPr>
        <w:t>Müller,</w:t>
      </w:r>
      <w:proofErr w:type="gramEnd"/>
      <w:r w:rsidRPr="001B304D">
        <w:rPr>
          <w:sz w:val="24"/>
          <w:szCs w:val="24"/>
        </w:rPr>
        <w:t xml:space="preserve"> </w:t>
      </w:r>
      <w:r w:rsidR="00163505" w:rsidRPr="001B304D">
        <w:rPr>
          <w:sz w:val="24"/>
          <w:szCs w:val="24"/>
        </w:rPr>
        <w:t xml:space="preserve">sees in the symbol an example of the historical richness of terminology that can be exploited for the purposes of renewing the </w:t>
      </w:r>
      <w:r w:rsidR="00163505" w:rsidRPr="001B304D">
        <w:rPr>
          <w:sz w:val="24"/>
          <w:szCs w:val="24"/>
        </w:rPr>
        <w:lastRenderedPageBreak/>
        <w:t>aesthetic tradition. On the</w:t>
      </w:r>
      <w:r w:rsidR="001F6B54" w:rsidRPr="001B304D">
        <w:rPr>
          <w:sz w:val="24"/>
          <w:szCs w:val="24"/>
        </w:rPr>
        <w:t xml:space="preserve"> latter side stand</w:t>
      </w:r>
      <w:r w:rsidR="00163505" w:rsidRPr="001B304D">
        <w:rPr>
          <w:sz w:val="24"/>
          <w:szCs w:val="24"/>
        </w:rPr>
        <w:t xml:space="preserve"> </w:t>
      </w:r>
      <w:r w:rsidR="00AE3FB9" w:rsidRPr="001B304D">
        <w:rPr>
          <w:sz w:val="24"/>
          <w:szCs w:val="24"/>
        </w:rPr>
        <w:t xml:space="preserve">Walter Benjamin, </w:t>
      </w:r>
      <w:r w:rsidR="00163505" w:rsidRPr="001B304D">
        <w:rPr>
          <w:sz w:val="24"/>
          <w:szCs w:val="24"/>
        </w:rPr>
        <w:t>Paul de Man</w:t>
      </w:r>
      <w:r w:rsidR="0083661C" w:rsidRPr="001B304D">
        <w:rPr>
          <w:sz w:val="24"/>
          <w:szCs w:val="24"/>
        </w:rPr>
        <w:t xml:space="preserve"> </w:t>
      </w:r>
      <w:r w:rsidR="00163505" w:rsidRPr="001B304D">
        <w:rPr>
          <w:sz w:val="24"/>
          <w:szCs w:val="24"/>
        </w:rPr>
        <w:t>and M</w:t>
      </w:r>
      <w:r w:rsidR="00C95CD4" w:rsidRPr="001B304D">
        <w:rPr>
          <w:sz w:val="24"/>
          <w:szCs w:val="24"/>
        </w:rPr>
        <w:t xml:space="preserve">ichael </w:t>
      </w:r>
      <w:proofErr w:type="spellStart"/>
      <w:r w:rsidR="00C95CD4" w:rsidRPr="001B304D">
        <w:rPr>
          <w:sz w:val="24"/>
          <w:szCs w:val="24"/>
        </w:rPr>
        <w:t>Titzmann</w:t>
      </w:r>
      <w:proofErr w:type="spellEnd"/>
      <w:r w:rsidR="00C95CD4" w:rsidRPr="001B304D">
        <w:rPr>
          <w:sz w:val="24"/>
          <w:szCs w:val="24"/>
        </w:rPr>
        <w:t xml:space="preserve"> who attacked this</w:t>
      </w:r>
      <w:r w:rsidR="00163505" w:rsidRPr="001B304D">
        <w:rPr>
          <w:sz w:val="24"/>
          <w:szCs w:val="24"/>
        </w:rPr>
        <w:t xml:space="preserve"> notion of the symbol as a falsification of </w:t>
      </w:r>
      <w:r w:rsidR="001F6B54" w:rsidRPr="001B304D">
        <w:rPr>
          <w:sz w:val="24"/>
          <w:szCs w:val="24"/>
        </w:rPr>
        <w:t xml:space="preserve">the way meaning </w:t>
      </w:r>
      <w:r w:rsidR="00C95CD4" w:rsidRPr="001B304D">
        <w:rPr>
          <w:sz w:val="24"/>
          <w:szCs w:val="24"/>
        </w:rPr>
        <w:t xml:space="preserve">actually </w:t>
      </w:r>
      <w:r w:rsidR="001F6B54" w:rsidRPr="001B304D">
        <w:rPr>
          <w:sz w:val="24"/>
          <w:szCs w:val="24"/>
        </w:rPr>
        <w:t xml:space="preserve">works. </w:t>
      </w:r>
      <w:r w:rsidR="00AE3FB9" w:rsidRPr="001B304D">
        <w:rPr>
          <w:sz w:val="24"/>
          <w:szCs w:val="24"/>
        </w:rPr>
        <w:t>According to Benjamin, for instance, aesthetic theories of the symbol are ‘illegitimate’, ‘distorted’ and ‘destructive’</w:t>
      </w:r>
      <w:r w:rsidR="004F634D" w:rsidRPr="001B304D">
        <w:rPr>
          <w:sz w:val="24"/>
          <w:szCs w:val="24"/>
        </w:rPr>
        <w:t xml:space="preserve"> (</w:t>
      </w:r>
      <w:r w:rsidR="00CB44EF" w:rsidRPr="001B304D">
        <w:rPr>
          <w:sz w:val="24"/>
          <w:szCs w:val="24"/>
        </w:rPr>
        <w:t>159-61</w:t>
      </w:r>
      <w:r w:rsidR="00147E81" w:rsidRPr="001B304D">
        <w:rPr>
          <w:sz w:val="24"/>
          <w:szCs w:val="24"/>
        </w:rPr>
        <w:t>)</w:t>
      </w:r>
      <w:r w:rsidR="00AE3FB9" w:rsidRPr="001B304D">
        <w:rPr>
          <w:sz w:val="24"/>
          <w:szCs w:val="24"/>
        </w:rPr>
        <w:t>. D</w:t>
      </w:r>
      <w:r w:rsidR="001F6B54" w:rsidRPr="001B304D">
        <w:rPr>
          <w:sz w:val="24"/>
          <w:szCs w:val="24"/>
        </w:rPr>
        <w:t xml:space="preserve">e Man’s </w:t>
      </w:r>
      <w:r w:rsidR="00501ABC" w:rsidRPr="001B304D">
        <w:rPr>
          <w:sz w:val="24"/>
          <w:szCs w:val="24"/>
        </w:rPr>
        <w:t>critique</w:t>
      </w:r>
      <w:r w:rsidR="004F634D" w:rsidRPr="001B304D">
        <w:rPr>
          <w:sz w:val="24"/>
          <w:szCs w:val="24"/>
        </w:rPr>
        <w:t xml:space="preserve"> in </w:t>
      </w:r>
      <w:r w:rsidR="004F634D" w:rsidRPr="001B304D">
        <w:rPr>
          <w:i/>
          <w:sz w:val="24"/>
          <w:szCs w:val="24"/>
        </w:rPr>
        <w:t>Blindness and Insight</w:t>
      </w:r>
      <w:r w:rsidR="00AE3FB9" w:rsidRPr="001B304D">
        <w:rPr>
          <w:sz w:val="24"/>
          <w:szCs w:val="24"/>
        </w:rPr>
        <w:t xml:space="preserve"> is the most celebrated: for him, the symbol</w:t>
      </w:r>
      <w:r w:rsidR="00C95CD4" w:rsidRPr="001B304D">
        <w:rPr>
          <w:sz w:val="24"/>
          <w:szCs w:val="24"/>
        </w:rPr>
        <w:t xml:space="preserve"> exemplifies</w:t>
      </w:r>
      <w:r w:rsidR="001F6B54" w:rsidRPr="001B304D">
        <w:rPr>
          <w:sz w:val="24"/>
          <w:szCs w:val="24"/>
        </w:rPr>
        <w:t xml:space="preserve"> a pernicious ‘aesthetic ideology’. De Man is particularly sceptical of the use of organic imagery to describe the way the symbol signifies in </w:t>
      </w:r>
      <w:r w:rsidR="00501ABC" w:rsidRPr="001B304D">
        <w:rPr>
          <w:sz w:val="24"/>
          <w:szCs w:val="24"/>
        </w:rPr>
        <w:t>Romantic theories</w:t>
      </w:r>
      <w:r w:rsidR="00AE3FB9" w:rsidRPr="001B304D">
        <w:rPr>
          <w:sz w:val="24"/>
          <w:szCs w:val="24"/>
        </w:rPr>
        <w:t xml:space="preserve">. He writes, </w:t>
      </w:r>
      <w:r w:rsidR="00C95CD4" w:rsidRPr="001B304D">
        <w:rPr>
          <w:sz w:val="24"/>
          <w:szCs w:val="24"/>
        </w:rPr>
        <w:t>such usage</w:t>
      </w:r>
      <w:r w:rsidR="00AE3FB9" w:rsidRPr="001B304D">
        <w:rPr>
          <w:sz w:val="24"/>
          <w:szCs w:val="24"/>
        </w:rPr>
        <w:t xml:space="preserve"> ‘seem</w:t>
      </w:r>
      <w:r w:rsidR="00C95CD4" w:rsidRPr="001B304D">
        <w:rPr>
          <w:sz w:val="24"/>
          <w:szCs w:val="24"/>
        </w:rPr>
        <w:t>[s]</w:t>
      </w:r>
      <w:r w:rsidR="00AE3FB9" w:rsidRPr="001B304D">
        <w:rPr>
          <w:sz w:val="24"/>
          <w:szCs w:val="24"/>
        </w:rPr>
        <w:t xml:space="preserve"> to come so close to giving in completely to the nostalgia for the object that it becomes difficult to distinguish between object and image.’</w:t>
      </w:r>
      <w:r w:rsidR="0083661C" w:rsidRPr="001B304D">
        <w:rPr>
          <w:sz w:val="24"/>
          <w:szCs w:val="24"/>
        </w:rPr>
        <w:t xml:space="preserve"> (</w:t>
      </w:r>
      <w:r w:rsidR="004F634D" w:rsidRPr="001B304D">
        <w:rPr>
          <w:i/>
          <w:sz w:val="24"/>
          <w:szCs w:val="24"/>
        </w:rPr>
        <w:t>The Rhetoric of Romanticism</w:t>
      </w:r>
      <w:r w:rsidR="00C9017F" w:rsidRPr="001B304D">
        <w:rPr>
          <w:sz w:val="24"/>
          <w:szCs w:val="24"/>
        </w:rPr>
        <w:t xml:space="preserve"> 9</w:t>
      </w:r>
      <w:r w:rsidR="0083661C" w:rsidRPr="001B304D">
        <w:rPr>
          <w:sz w:val="24"/>
          <w:szCs w:val="24"/>
        </w:rPr>
        <w:t>)</w:t>
      </w:r>
    </w:p>
    <w:p w:rsidR="001F6B54" w:rsidRPr="001B304D" w:rsidRDefault="001F6B54" w:rsidP="008100A8">
      <w:pPr>
        <w:spacing w:after="0" w:line="480" w:lineRule="auto"/>
        <w:jc w:val="both"/>
        <w:rPr>
          <w:sz w:val="24"/>
          <w:szCs w:val="24"/>
        </w:rPr>
      </w:pPr>
      <w:r w:rsidRPr="001B304D">
        <w:rPr>
          <w:sz w:val="24"/>
          <w:szCs w:val="24"/>
        </w:rPr>
        <w:tab/>
        <w:t xml:space="preserve">The late twentieth-century </w:t>
      </w:r>
      <w:r w:rsidR="00501ABC" w:rsidRPr="001B304D">
        <w:rPr>
          <w:sz w:val="24"/>
          <w:szCs w:val="24"/>
        </w:rPr>
        <w:t>Anglophone</w:t>
      </w:r>
      <w:r w:rsidRPr="001B304D">
        <w:rPr>
          <w:sz w:val="24"/>
          <w:szCs w:val="24"/>
        </w:rPr>
        <w:t xml:space="preserve"> reception of this aesthetic symbol</w:t>
      </w:r>
      <w:r w:rsidR="00C95CD4" w:rsidRPr="001B304D">
        <w:rPr>
          <w:sz w:val="24"/>
          <w:szCs w:val="24"/>
        </w:rPr>
        <w:t xml:space="preserve"> can be divided neatly into </w:t>
      </w:r>
      <w:r w:rsidRPr="001B304D">
        <w:rPr>
          <w:sz w:val="24"/>
          <w:szCs w:val="24"/>
        </w:rPr>
        <w:t>period</w:t>
      </w:r>
      <w:r w:rsidR="00C95CD4" w:rsidRPr="001B304D">
        <w:rPr>
          <w:sz w:val="24"/>
          <w:szCs w:val="24"/>
        </w:rPr>
        <w:t>s</w:t>
      </w:r>
      <w:r w:rsidRPr="001B304D">
        <w:rPr>
          <w:sz w:val="24"/>
          <w:szCs w:val="24"/>
        </w:rPr>
        <w:t xml:space="preserve"> before and that after de Man’s influential attack. </w:t>
      </w:r>
      <w:r w:rsidR="00F81269" w:rsidRPr="001B304D">
        <w:rPr>
          <w:sz w:val="24"/>
          <w:szCs w:val="24"/>
        </w:rPr>
        <w:t xml:space="preserve">Beforehand, there </w:t>
      </w:r>
      <w:r w:rsidR="00C95CD4" w:rsidRPr="001B304D">
        <w:rPr>
          <w:sz w:val="24"/>
          <w:szCs w:val="24"/>
        </w:rPr>
        <w:t>had been</w:t>
      </w:r>
      <w:r w:rsidR="00F81269" w:rsidRPr="001B304D">
        <w:rPr>
          <w:sz w:val="24"/>
          <w:szCs w:val="24"/>
        </w:rPr>
        <w:t xml:space="preserve"> a general acceptance of the symbol as a useful, if indeterminate category for understanding how meaning works (Tindall, Hayes). Afterwards, however, the symbol has come to be disdained as a secularised instance of the worst kinds of ontotheology and identity-thinking</w:t>
      </w:r>
      <w:r w:rsidR="004F634D" w:rsidRPr="001B304D">
        <w:rPr>
          <w:sz w:val="24"/>
          <w:szCs w:val="24"/>
        </w:rPr>
        <w:t xml:space="preserve"> (e.g. </w:t>
      </w:r>
      <w:proofErr w:type="spellStart"/>
      <w:r w:rsidR="004F634D" w:rsidRPr="001B304D">
        <w:rPr>
          <w:sz w:val="24"/>
          <w:szCs w:val="24"/>
        </w:rPr>
        <w:t>Seyhan</w:t>
      </w:r>
      <w:proofErr w:type="spellEnd"/>
      <w:r w:rsidR="0083661C" w:rsidRPr="001B304D">
        <w:rPr>
          <w:sz w:val="24"/>
          <w:szCs w:val="24"/>
        </w:rPr>
        <w:t>)</w:t>
      </w:r>
      <w:r w:rsidR="00F81269" w:rsidRPr="001B304D">
        <w:rPr>
          <w:sz w:val="24"/>
          <w:szCs w:val="24"/>
        </w:rPr>
        <w:t xml:space="preserve">—and concomitant with this has been an attempt to reread the writings of Goethe, Coleridge and other purported theorists of the symbol, such that much less emphasis is placed on their </w:t>
      </w:r>
      <w:r w:rsidR="00C95CD4" w:rsidRPr="001B304D">
        <w:rPr>
          <w:sz w:val="24"/>
          <w:szCs w:val="24"/>
        </w:rPr>
        <w:t>deployment of</w:t>
      </w:r>
      <w:r w:rsidR="00F81269" w:rsidRPr="001B304D">
        <w:rPr>
          <w:sz w:val="24"/>
          <w:szCs w:val="24"/>
        </w:rPr>
        <w:t xml:space="preserve"> this concept in its fully-blown form.</w:t>
      </w:r>
      <w:r w:rsidR="00AE3FB9" w:rsidRPr="001B304D">
        <w:rPr>
          <w:sz w:val="24"/>
          <w:szCs w:val="24"/>
        </w:rPr>
        <w:t xml:space="preserve"> Among these revisionist works, O’Brien</w:t>
      </w:r>
      <w:r w:rsidR="004F634D" w:rsidRPr="001B304D">
        <w:rPr>
          <w:sz w:val="24"/>
          <w:szCs w:val="24"/>
        </w:rPr>
        <w:t xml:space="preserve"> (</w:t>
      </w:r>
      <w:r w:rsidR="00C9017F" w:rsidRPr="001B304D">
        <w:rPr>
          <w:sz w:val="24"/>
          <w:szCs w:val="24"/>
        </w:rPr>
        <w:t>347</w:t>
      </w:r>
      <w:r w:rsidR="0083661C" w:rsidRPr="001B304D">
        <w:rPr>
          <w:sz w:val="24"/>
          <w:szCs w:val="24"/>
        </w:rPr>
        <w:t>)</w:t>
      </w:r>
      <w:r w:rsidR="00AE3FB9" w:rsidRPr="001B304D">
        <w:rPr>
          <w:sz w:val="24"/>
          <w:szCs w:val="24"/>
        </w:rPr>
        <w:t xml:space="preserve"> distinguishes Novalis’ minimalist use of the symbol from the fully-blown ‘Idealist’ version present in Goethe and elsewhere; Whistler argues that Schelling’s theory of the symbol is ‘peculiar’ in that it makes no reference to what is transcendent and</w:t>
      </w:r>
      <w:r w:rsidR="00C95CD4" w:rsidRPr="001B304D">
        <w:rPr>
          <w:sz w:val="24"/>
          <w:szCs w:val="24"/>
        </w:rPr>
        <w:t xml:space="preserve"> is, in fact, </w:t>
      </w:r>
      <w:r w:rsidR="00AE3FB9" w:rsidRPr="001B304D">
        <w:rPr>
          <w:sz w:val="24"/>
          <w:szCs w:val="24"/>
        </w:rPr>
        <w:t xml:space="preserve">an instance of his </w:t>
      </w:r>
      <w:r w:rsidR="00C95CD4" w:rsidRPr="001B304D">
        <w:rPr>
          <w:sz w:val="24"/>
          <w:szCs w:val="24"/>
        </w:rPr>
        <w:t>thoroughgoing</w:t>
      </w:r>
      <w:r w:rsidR="00AE3FB9" w:rsidRPr="001B304D">
        <w:rPr>
          <w:sz w:val="24"/>
          <w:szCs w:val="24"/>
        </w:rPr>
        <w:t xml:space="preserve"> naturalism; and Krueger</w:t>
      </w:r>
      <w:r w:rsidR="004F634D" w:rsidRPr="001B304D">
        <w:rPr>
          <w:sz w:val="24"/>
          <w:szCs w:val="24"/>
        </w:rPr>
        <w:t xml:space="preserve"> </w:t>
      </w:r>
      <w:r w:rsidR="00AE3FB9" w:rsidRPr="001B304D">
        <w:rPr>
          <w:sz w:val="24"/>
          <w:szCs w:val="24"/>
        </w:rPr>
        <w:t>has s</w:t>
      </w:r>
      <w:r w:rsidR="00C95CD4" w:rsidRPr="001B304D">
        <w:rPr>
          <w:sz w:val="24"/>
          <w:szCs w:val="24"/>
        </w:rPr>
        <w:t>uggested</w:t>
      </w:r>
      <w:r w:rsidR="00AE3FB9" w:rsidRPr="001B304D">
        <w:rPr>
          <w:sz w:val="24"/>
          <w:szCs w:val="24"/>
        </w:rPr>
        <w:t xml:space="preserve"> that Goethe has many competing conceptions of the symbol at play in his various </w:t>
      </w:r>
      <w:r w:rsidR="00AE3FB9" w:rsidRPr="001B304D">
        <w:rPr>
          <w:sz w:val="24"/>
          <w:szCs w:val="24"/>
        </w:rPr>
        <w:lastRenderedPageBreak/>
        <w:t>theoretical writings, and that very few of them correspond to the traditional ‘romantic symbol’ described above.</w:t>
      </w:r>
      <w:r w:rsidR="0083661C" w:rsidRPr="001B304D">
        <w:rPr>
          <w:rStyle w:val="FootnoteReference"/>
          <w:sz w:val="24"/>
          <w:szCs w:val="24"/>
        </w:rPr>
        <w:footnoteReference w:id="3"/>
      </w:r>
    </w:p>
    <w:p w:rsidR="00642B9D" w:rsidRPr="001B304D" w:rsidRDefault="00642B9D" w:rsidP="008100A8">
      <w:pPr>
        <w:spacing w:after="0" w:line="480" w:lineRule="auto"/>
        <w:jc w:val="both"/>
        <w:rPr>
          <w:sz w:val="24"/>
          <w:szCs w:val="24"/>
        </w:rPr>
      </w:pPr>
      <w:r w:rsidRPr="001B304D">
        <w:rPr>
          <w:sz w:val="24"/>
          <w:szCs w:val="24"/>
        </w:rPr>
        <w:tab/>
        <w:t xml:space="preserve">A similar story can be told about the reception of this </w:t>
      </w:r>
      <w:r w:rsidR="00501ABC" w:rsidRPr="001B304D">
        <w:rPr>
          <w:sz w:val="24"/>
          <w:szCs w:val="24"/>
        </w:rPr>
        <w:t>notion</w:t>
      </w:r>
      <w:r w:rsidRPr="001B304D">
        <w:rPr>
          <w:sz w:val="24"/>
          <w:szCs w:val="24"/>
        </w:rPr>
        <w:t xml:space="preserve"> of the symbol in philosophy </w:t>
      </w:r>
      <w:r w:rsidR="00C9017F" w:rsidRPr="001B304D">
        <w:rPr>
          <w:sz w:val="24"/>
          <w:szCs w:val="24"/>
        </w:rPr>
        <w:t>of religion. Prior to the mid-eightie</w:t>
      </w:r>
      <w:r w:rsidRPr="001B304D">
        <w:rPr>
          <w:sz w:val="24"/>
          <w:szCs w:val="24"/>
        </w:rPr>
        <w:t xml:space="preserve">s, many philosophers had been comfortable borrowing ‘symbol’ from aesthetics to describe the way in which theological and religious languages </w:t>
      </w:r>
      <w:r w:rsidR="00501ABC" w:rsidRPr="001B304D">
        <w:rPr>
          <w:sz w:val="24"/>
          <w:szCs w:val="24"/>
        </w:rPr>
        <w:t>evoke</w:t>
      </w:r>
      <w:r w:rsidR="00C95CD4" w:rsidRPr="001B304D">
        <w:rPr>
          <w:sz w:val="24"/>
          <w:szCs w:val="24"/>
        </w:rPr>
        <w:t xml:space="preserve"> the transcendent</w:t>
      </w:r>
      <w:r w:rsidR="008669E3" w:rsidRPr="001B304D">
        <w:rPr>
          <w:sz w:val="24"/>
          <w:szCs w:val="24"/>
        </w:rPr>
        <w:t xml:space="preserve"> (e.g. </w:t>
      </w:r>
      <w:proofErr w:type="spellStart"/>
      <w:r w:rsidR="008669E3" w:rsidRPr="001B304D">
        <w:rPr>
          <w:sz w:val="24"/>
          <w:szCs w:val="24"/>
        </w:rPr>
        <w:t>Macquarrie</w:t>
      </w:r>
      <w:proofErr w:type="spellEnd"/>
      <w:r w:rsidR="00B62C0F" w:rsidRPr="001B304D">
        <w:rPr>
          <w:sz w:val="24"/>
          <w:szCs w:val="24"/>
        </w:rPr>
        <w:t>, Rowe</w:t>
      </w:r>
      <w:r w:rsidR="008669E3" w:rsidRPr="001B304D">
        <w:rPr>
          <w:sz w:val="24"/>
          <w:szCs w:val="24"/>
        </w:rPr>
        <w:t>)</w:t>
      </w:r>
      <w:r w:rsidRPr="001B304D">
        <w:rPr>
          <w:sz w:val="24"/>
          <w:szCs w:val="24"/>
        </w:rPr>
        <w:t>. Such deployments of ‘symbol’ remained fairly ill-defined and loose, but nonetheless common.</w:t>
      </w:r>
      <w:r w:rsidR="00C95CD4" w:rsidRPr="001B304D">
        <w:rPr>
          <w:sz w:val="24"/>
          <w:szCs w:val="24"/>
        </w:rPr>
        <w:t xml:space="preserve"> Since this time, however, it has become</w:t>
      </w:r>
      <w:r w:rsidRPr="001B304D">
        <w:rPr>
          <w:sz w:val="24"/>
          <w:szCs w:val="24"/>
        </w:rPr>
        <w:t xml:space="preserve"> extremely rare to come across descriptions of religious language as symbolic in ways that are explicitly</w:t>
      </w:r>
      <w:r w:rsidR="00501ABC" w:rsidRPr="001B304D">
        <w:rPr>
          <w:sz w:val="24"/>
          <w:szCs w:val="24"/>
        </w:rPr>
        <w:t xml:space="preserve"> indebted to its neoplatonic or</w:t>
      </w:r>
      <w:r w:rsidRPr="001B304D">
        <w:rPr>
          <w:sz w:val="24"/>
          <w:szCs w:val="24"/>
        </w:rPr>
        <w:t xml:space="preserve"> romantic history. Other traditional categories, such as metaphor, analogy and even allegory, have enjoyed a renaissance at symbolism’s expense</w:t>
      </w:r>
      <w:r w:rsidR="00B62C0F" w:rsidRPr="001B304D">
        <w:rPr>
          <w:sz w:val="24"/>
          <w:szCs w:val="24"/>
        </w:rPr>
        <w:t xml:space="preserve"> (Burrell, </w:t>
      </w:r>
      <w:proofErr w:type="spellStart"/>
      <w:r w:rsidR="00B62C0F" w:rsidRPr="001B304D">
        <w:rPr>
          <w:sz w:val="24"/>
          <w:szCs w:val="24"/>
        </w:rPr>
        <w:t>Jost</w:t>
      </w:r>
      <w:proofErr w:type="spellEnd"/>
      <w:r w:rsidR="00B62C0F" w:rsidRPr="001B304D">
        <w:rPr>
          <w:sz w:val="24"/>
          <w:szCs w:val="24"/>
        </w:rPr>
        <w:t xml:space="preserve"> and Olmsted, </w:t>
      </w:r>
      <w:proofErr w:type="spellStart"/>
      <w:r w:rsidR="00B62C0F" w:rsidRPr="001B304D">
        <w:rPr>
          <w:sz w:val="24"/>
          <w:szCs w:val="24"/>
        </w:rPr>
        <w:t>McFague</w:t>
      </w:r>
      <w:proofErr w:type="spellEnd"/>
      <w:r w:rsidR="00B62C0F" w:rsidRPr="001B304D">
        <w:rPr>
          <w:sz w:val="24"/>
          <w:szCs w:val="24"/>
        </w:rPr>
        <w:t xml:space="preserve">, Soskice, </w:t>
      </w:r>
      <w:proofErr w:type="spellStart"/>
      <w:r w:rsidR="00B62C0F" w:rsidRPr="001B304D">
        <w:rPr>
          <w:sz w:val="24"/>
          <w:szCs w:val="24"/>
        </w:rPr>
        <w:t>Stiver</w:t>
      </w:r>
      <w:proofErr w:type="spellEnd"/>
      <w:r w:rsidR="00B62C0F" w:rsidRPr="001B304D">
        <w:rPr>
          <w:sz w:val="24"/>
          <w:szCs w:val="24"/>
        </w:rPr>
        <w:t>)</w:t>
      </w:r>
      <w:r w:rsidRPr="001B304D">
        <w:rPr>
          <w:sz w:val="24"/>
          <w:szCs w:val="24"/>
        </w:rPr>
        <w:t>.</w:t>
      </w:r>
    </w:p>
    <w:p w:rsidR="00BF2D16" w:rsidRPr="001B304D" w:rsidRDefault="00BF2D16" w:rsidP="008100A8">
      <w:pPr>
        <w:spacing w:after="0" w:line="480" w:lineRule="auto"/>
        <w:rPr>
          <w:sz w:val="24"/>
          <w:szCs w:val="24"/>
        </w:rPr>
      </w:pPr>
    </w:p>
    <w:p w:rsidR="009A33D2" w:rsidRPr="001B304D" w:rsidRDefault="009A33D2" w:rsidP="008100A8">
      <w:pPr>
        <w:spacing w:after="0" w:line="480" w:lineRule="auto"/>
        <w:rPr>
          <w:sz w:val="24"/>
          <w:szCs w:val="24"/>
        </w:rPr>
      </w:pPr>
      <w:r w:rsidRPr="001B304D">
        <w:rPr>
          <w:sz w:val="24"/>
          <w:szCs w:val="24"/>
        </w:rPr>
        <w:t xml:space="preserve">[1.2] </w:t>
      </w:r>
      <w:r w:rsidR="000867CF" w:rsidRPr="001B304D">
        <w:rPr>
          <w:sz w:val="24"/>
          <w:szCs w:val="24"/>
        </w:rPr>
        <w:t>Meaning-Laden Perception</w:t>
      </w:r>
    </w:p>
    <w:p w:rsidR="00053F0B" w:rsidRPr="001B304D" w:rsidRDefault="00F17905" w:rsidP="008100A8">
      <w:pPr>
        <w:spacing w:after="0" w:line="480" w:lineRule="auto"/>
        <w:jc w:val="both"/>
        <w:rPr>
          <w:sz w:val="24"/>
          <w:szCs w:val="24"/>
        </w:rPr>
      </w:pPr>
      <w:r w:rsidRPr="001B304D">
        <w:rPr>
          <w:sz w:val="24"/>
          <w:szCs w:val="24"/>
        </w:rPr>
        <w:t>In the early and mid-twenti</w:t>
      </w:r>
      <w:r w:rsidR="00003D31" w:rsidRPr="001B304D">
        <w:rPr>
          <w:sz w:val="24"/>
          <w:szCs w:val="24"/>
        </w:rPr>
        <w:t xml:space="preserve">eth century, the concept of </w:t>
      </w:r>
      <w:r w:rsidRPr="001B304D">
        <w:rPr>
          <w:sz w:val="24"/>
          <w:szCs w:val="24"/>
        </w:rPr>
        <w:t>symbol</w:t>
      </w:r>
      <w:r w:rsidR="00003D31" w:rsidRPr="001B304D">
        <w:rPr>
          <w:sz w:val="24"/>
          <w:szCs w:val="24"/>
        </w:rPr>
        <w:t>isation</w:t>
      </w:r>
      <w:r w:rsidRPr="001B304D">
        <w:rPr>
          <w:sz w:val="24"/>
          <w:szCs w:val="24"/>
        </w:rPr>
        <w:t xml:space="preserve"> became extremely common in German and American discussions of </w:t>
      </w:r>
      <w:r w:rsidR="009052DA" w:rsidRPr="001B304D">
        <w:rPr>
          <w:sz w:val="24"/>
          <w:szCs w:val="24"/>
        </w:rPr>
        <w:t>cognition</w:t>
      </w:r>
      <w:r w:rsidRPr="001B304D">
        <w:rPr>
          <w:sz w:val="24"/>
          <w:szCs w:val="24"/>
        </w:rPr>
        <w:t>. This obviously owed much to Kantian and romantic descriptions of the symbol; howe</w:t>
      </w:r>
      <w:r w:rsidR="009052DA" w:rsidRPr="001B304D">
        <w:rPr>
          <w:sz w:val="24"/>
          <w:szCs w:val="24"/>
        </w:rPr>
        <w:t xml:space="preserve">ver, </w:t>
      </w:r>
      <w:r w:rsidR="00564B80" w:rsidRPr="001B304D">
        <w:rPr>
          <w:sz w:val="24"/>
          <w:szCs w:val="24"/>
        </w:rPr>
        <w:t>the stress laid on</w:t>
      </w:r>
      <w:r w:rsidR="009052DA" w:rsidRPr="001B304D">
        <w:rPr>
          <w:sz w:val="24"/>
          <w:szCs w:val="24"/>
        </w:rPr>
        <w:t xml:space="preserve"> </w:t>
      </w:r>
      <w:r w:rsidRPr="001B304D">
        <w:rPr>
          <w:sz w:val="24"/>
          <w:szCs w:val="24"/>
        </w:rPr>
        <w:t>symbol</w:t>
      </w:r>
      <w:r w:rsidR="009052DA" w:rsidRPr="001B304D">
        <w:rPr>
          <w:sz w:val="24"/>
          <w:szCs w:val="24"/>
        </w:rPr>
        <w:t>isation</w:t>
      </w:r>
      <w:r w:rsidRPr="001B304D">
        <w:rPr>
          <w:sz w:val="24"/>
          <w:szCs w:val="24"/>
        </w:rPr>
        <w:t xml:space="preserve"> was</w:t>
      </w:r>
      <w:r w:rsidR="00564B80" w:rsidRPr="001B304D">
        <w:rPr>
          <w:sz w:val="24"/>
          <w:szCs w:val="24"/>
        </w:rPr>
        <w:t xml:space="preserve"> now</w:t>
      </w:r>
      <w:r w:rsidRPr="001B304D">
        <w:rPr>
          <w:sz w:val="24"/>
          <w:szCs w:val="24"/>
        </w:rPr>
        <w:t xml:space="preserve"> d</w:t>
      </w:r>
      <w:r w:rsidR="009052DA" w:rsidRPr="001B304D">
        <w:rPr>
          <w:sz w:val="24"/>
          <w:szCs w:val="24"/>
        </w:rPr>
        <w:t>ecidedly different: it was to be</w:t>
      </w:r>
      <w:r w:rsidR="00564B80" w:rsidRPr="001B304D">
        <w:rPr>
          <w:sz w:val="24"/>
          <w:szCs w:val="24"/>
        </w:rPr>
        <w:t xml:space="preserve"> identified as an epistemic activity, </w:t>
      </w:r>
      <w:r w:rsidR="009052DA" w:rsidRPr="001B304D">
        <w:rPr>
          <w:sz w:val="24"/>
          <w:szCs w:val="24"/>
        </w:rPr>
        <w:t>a mode of holistic perception and</w:t>
      </w:r>
      <w:r w:rsidR="00564B80" w:rsidRPr="001B304D">
        <w:rPr>
          <w:sz w:val="24"/>
          <w:szCs w:val="24"/>
        </w:rPr>
        <w:t xml:space="preserve"> knowledge-construction.</w:t>
      </w:r>
      <w:r w:rsidR="00C57AA9" w:rsidRPr="001B304D">
        <w:rPr>
          <w:sz w:val="24"/>
          <w:szCs w:val="24"/>
        </w:rPr>
        <w:t xml:space="preserve"> And the purpose of </w:t>
      </w:r>
      <w:r w:rsidR="00501ABC" w:rsidRPr="001B304D">
        <w:rPr>
          <w:sz w:val="24"/>
          <w:szCs w:val="24"/>
        </w:rPr>
        <w:t>this emphasis</w:t>
      </w:r>
      <w:r w:rsidR="00C57AA9" w:rsidRPr="001B304D">
        <w:rPr>
          <w:sz w:val="24"/>
          <w:szCs w:val="24"/>
        </w:rPr>
        <w:t xml:space="preserve"> on acts of symbolisation in cognition wa</w:t>
      </w:r>
      <w:r w:rsidR="009052DA" w:rsidRPr="001B304D">
        <w:rPr>
          <w:sz w:val="24"/>
          <w:szCs w:val="24"/>
        </w:rPr>
        <w:t xml:space="preserve">s to counter the representation </w:t>
      </w:r>
      <w:r w:rsidR="00C57AA9" w:rsidRPr="001B304D">
        <w:rPr>
          <w:sz w:val="24"/>
          <w:szCs w:val="24"/>
        </w:rPr>
        <w:t>paradigm</w:t>
      </w:r>
      <w:r w:rsidR="009052DA" w:rsidRPr="001B304D">
        <w:rPr>
          <w:sz w:val="24"/>
          <w:szCs w:val="24"/>
        </w:rPr>
        <w:t xml:space="preserve"> for cognition</w:t>
      </w:r>
      <w:r w:rsidR="00C57AA9" w:rsidRPr="001B304D">
        <w:rPr>
          <w:sz w:val="24"/>
          <w:szCs w:val="24"/>
        </w:rPr>
        <w:t xml:space="preserve"> prevalent in neo-Kantianism and its offshoots. That is, </w:t>
      </w:r>
      <w:r w:rsidR="00501ABC" w:rsidRPr="001B304D">
        <w:rPr>
          <w:sz w:val="24"/>
          <w:szCs w:val="24"/>
        </w:rPr>
        <w:t>such a</w:t>
      </w:r>
      <w:r w:rsidR="00003D31" w:rsidRPr="001B304D">
        <w:rPr>
          <w:sz w:val="24"/>
          <w:szCs w:val="24"/>
        </w:rPr>
        <w:t xml:space="preserve"> concept of symbolisation was seen to provide a way of </w:t>
      </w:r>
      <w:r w:rsidR="002F35B8" w:rsidRPr="001B304D">
        <w:rPr>
          <w:sz w:val="24"/>
          <w:szCs w:val="24"/>
        </w:rPr>
        <w:t>modelling</w:t>
      </w:r>
      <w:r w:rsidR="00003D31" w:rsidRPr="001B304D">
        <w:rPr>
          <w:sz w:val="24"/>
          <w:szCs w:val="24"/>
        </w:rPr>
        <w:t xml:space="preserve"> the activity of the mind not only in converting sense-data into concepts, but in the very initial perception of the world.</w:t>
      </w:r>
      <w:r w:rsidR="00DA4657" w:rsidRPr="001B304D">
        <w:rPr>
          <w:sz w:val="24"/>
          <w:szCs w:val="24"/>
        </w:rPr>
        <w:t xml:space="preserve"> In Langer’s words, ‘</w:t>
      </w:r>
      <w:proofErr w:type="gramStart"/>
      <w:r w:rsidR="00DA4657" w:rsidRPr="001B304D">
        <w:rPr>
          <w:sz w:val="24"/>
          <w:szCs w:val="24"/>
        </w:rPr>
        <w:t>Both</w:t>
      </w:r>
      <w:proofErr w:type="gramEnd"/>
      <w:r w:rsidR="00DA4657" w:rsidRPr="001B304D">
        <w:rPr>
          <w:sz w:val="24"/>
          <w:szCs w:val="24"/>
        </w:rPr>
        <w:t xml:space="preserve"> abstraction and interpretation are intuitive</w:t>
      </w:r>
      <w:r w:rsidR="00501ABC" w:rsidRPr="001B304D">
        <w:rPr>
          <w:sz w:val="24"/>
          <w:szCs w:val="24"/>
        </w:rPr>
        <w:t xml:space="preserve"> …</w:t>
      </w:r>
      <w:r w:rsidR="00DA4657" w:rsidRPr="001B304D">
        <w:rPr>
          <w:sz w:val="24"/>
          <w:szCs w:val="24"/>
        </w:rPr>
        <w:t xml:space="preserve"> They lie at the base of all human mentality, and are the roots from which both lan</w:t>
      </w:r>
      <w:r w:rsidR="004F634D" w:rsidRPr="001B304D">
        <w:rPr>
          <w:sz w:val="24"/>
          <w:szCs w:val="24"/>
        </w:rPr>
        <w:t>guage and art take rise.’ (</w:t>
      </w:r>
      <w:r w:rsidR="004F634D" w:rsidRPr="001B304D">
        <w:rPr>
          <w:i/>
          <w:sz w:val="24"/>
          <w:szCs w:val="24"/>
        </w:rPr>
        <w:t xml:space="preserve">Feeling and Form </w:t>
      </w:r>
      <w:r w:rsidR="00DA4657" w:rsidRPr="001B304D">
        <w:rPr>
          <w:sz w:val="24"/>
          <w:szCs w:val="24"/>
        </w:rPr>
        <w:t>378)</w:t>
      </w:r>
      <w:r w:rsidR="00FC7280" w:rsidRPr="001B304D">
        <w:rPr>
          <w:sz w:val="24"/>
          <w:szCs w:val="24"/>
        </w:rPr>
        <w:t xml:space="preserve"> As</w:t>
      </w:r>
      <w:r w:rsidR="004F634D" w:rsidRPr="001B304D">
        <w:rPr>
          <w:sz w:val="24"/>
          <w:szCs w:val="24"/>
        </w:rPr>
        <w:t xml:space="preserve"> </w:t>
      </w:r>
      <w:proofErr w:type="spellStart"/>
      <w:r w:rsidR="004F634D" w:rsidRPr="001B304D">
        <w:rPr>
          <w:sz w:val="24"/>
          <w:szCs w:val="24"/>
        </w:rPr>
        <w:t>Hoel</w:t>
      </w:r>
      <w:proofErr w:type="spellEnd"/>
      <w:r w:rsidR="004F634D" w:rsidRPr="001B304D">
        <w:rPr>
          <w:sz w:val="24"/>
          <w:szCs w:val="24"/>
        </w:rPr>
        <w:t xml:space="preserve"> has </w:t>
      </w:r>
      <w:r w:rsidR="004F634D" w:rsidRPr="001B304D">
        <w:rPr>
          <w:sz w:val="24"/>
          <w:szCs w:val="24"/>
        </w:rPr>
        <w:lastRenderedPageBreak/>
        <w:t>recently put it (</w:t>
      </w:r>
      <w:r w:rsidR="00FC7280" w:rsidRPr="001B304D">
        <w:rPr>
          <w:sz w:val="24"/>
          <w:szCs w:val="24"/>
        </w:rPr>
        <w:t>81) of Cassirer’s</w:t>
      </w:r>
      <w:r w:rsidR="00DA4657" w:rsidRPr="001B304D">
        <w:rPr>
          <w:sz w:val="24"/>
          <w:szCs w:val="24"/>
        </w:rPr>
        <w:t xml:space="preserve"> version of the claim</w:t>
      </w:r>
      <w:r w:rsidR="00FC7280" w:rsidRPr="001B304D">
        <w:rPr>
          <w:sz w:val="24"/>
          <w:szCs w:val="24"/>
        </w:rPr>
        <w:t xml:space="preserve">, ‘the result is a </w:t>
      </w:r>
      <w:proofErr w:type="spellStart"/>
      <w:r w:rsidR="00FC7280" w:rsidRPr="001B304D">
        <w:rPr>
          <w:sz w:val="24"/>
          <w:szCs w:val="24"/>
        </w:rPr>
        <w:t>reconceived</w:t>
      </w:r>
      <w:proofErr w:type="spellEnd"/>
      <w:r w:rsidR="00FC7280" w:rsidRPr="001B304D">
        <w:rPr>
          <w:sz w:val="24"/>
          <w:szCs w:val="24"/>
        </w:rPr>
        <w:t xml:space="preserve"> notion of conceptuality that incorporates the intuitive factor.’</w:t>
      </w:r>
      <w:r w:rsidR="00003D31" w:rsidRPr="001B304D">
        <w:rPr>
          <w:sz w:val="24"/>
          <w:szCs w:val="24"/>
        </w:rPr>
        <w:t xml:space="preserve"> Meanings were therefore not adde</w:t>
      </w:r>
      <w:r w:rsidR="009052DA" w:rsidRPr="001B304D">
        <w:rPr>
          <w:sz w:val="24"/>
          <w:szCs w:val="24"/>
        </w:rPr>
        <w:t>d through secondary processes in</w:t>
      </w:r>
      <w:r w:rsidR="00003D31" w:rsidRPr="001B304D">
        <w:rPr>
          <w:sz w:val="24"/>
          <w:szCs w:val="24"/>
        </w:rPr>
        <w:t xml:space="preserve"> the understanding, but </w:t>
      </w:r>
      <w:r w:rsidR="009052DA" w:rsidRPr="001B304D">
        <w:rPr>
          <w:sz w:val="24"/>
          <w:szCs w:val="24"/>
        </w:rPr>
        <w:t>negotiated</w:t>
      </w:r>
      <w:r w:rsidR="00003D31" w:rsidRPr="001B304D">
        <w:rPr>
          <w:sz w:val="24"/>
          <w:szCs w:val="24"/>
        </w:rPr>
        <w:t xml:space="preserve"> in the lived world from the very beginning</w:t>
      </w:r>
      <w:r w:rsidR="00FC7280" w:rsidRPr="001B304D">
        <w:rPr>
          <w:sz w:val="24"/>
          <w:szCs w:val="24"/>
        </w:rPr>
        <w:t xml:space="preserve"> as</w:t>
      </w:r>
      <w:r w:rsidR="009052DA" w:rsidRPr="001B304D">
        <w:rPr>
          <w:sz w:val="24"/>
          <w:szCs w:val="24"/>
        </w:rPr>
        <w:t xml:space="preserve"> part of</w:t>
      </w:r>
      <w:r w:rsidR="00FC7280" w:rsidRPr="001B304D">
        <w:rPr>
          <w:sz w:val="24"/>
          <w:szCs w:val="24"/>
        </w:rPr>
        <w:t xml:space="preserve"> a ‘living totality’</w:t>
      </w:r>
      <w:r w:rsidR="00003D31" w:rsidRPr="001B304D">
        <w:rPr>
          <w:sz w:val="24"/>
          <w:szCs w:val="24"/>
        </w:rPr>
        <w:t>. Knowledge-through-symbolisation thus quickly led to discussion</w:t>
      </w:r>
      <w:r w:rsidR="009052DA" w:rsidRPr="001B304D">
        <w:rPr>
          <w:sz w:val="24"/>
          <w:szCs w:val="24"/>
        </w:rPr>
        <w:t>s</w:t>
      </w:r>
      <w:r w:rsidR="00003D31" w:rsidRPr="001B304D">
        <w:rPr>
          <w:sz w:val="24"/>
          <w:szCs w:val="24"/>
        </w:rPr>
        <w:t xml:space="preserve"> of the role of embodiment, social conditions and </w:t>
      </w:r>
      <w:r w:rsidR="009052DA" w:rsidRPr="001B304D">
        <w:rPr>
          <w:sz w:val="24"/>
          <w:szCs w:val="24"/>
        </w:rPr>
        <w:t>existential comportment</w:t>
      </w:r>
      <w:r w:rsidR="00003D31" w:rsidRPr="001B304D">
        <w:rPr>
          <w:sz w:val="24"/>
          <w:szCs w:val="24"/>
        </w:rPr>
        <w:t xml:space="preserve"> in cognition.</w:t>
      </w:r>
    </w:p>
    <w:p w:rsidR="00053F0B" w:rsidRPr="001B304D" w:rsidRDefault="00003D31" w:rsidP="008100A8">
      <w:pPr>
        <w:spacing w:after="0" w:line="480" w:lineRule="auto"/>
        <w:jc w:val="both"/>
        <w:rPr>
          <w:sz w:val="24"/>
          <w:szCs w:val="24"/>
        </w:rPr>
      </w:pPr>
      <w:r w:rsidRPr="001B304D">
        <w:rPr>
          <w:sz w:val="24"/>
          <w:szCs w:val="24"/>
        </w:rPr>
        <w:tab/>
        <w:t>Such a line of reasoning was popularised by Ernst Cassirer</w:t>
      </w:r>
      <w:r w:rsidR="00B74DF9" w:rsidRPr="001B304D">
        <w:rPr>
          <w:sz w:val="24"/>
          <w:szCs w:val="24"/>
        </w:rPr>
        <w:t xml:space="preserve">, </w:t>
      </w:r>
      <w:r w:rsidRPr="001B304D">
        <w:rPr>
          <w:sz w:val="24"/>
          <w:szCs w:val="24"/>
        </w:rPr>
        <w:t>Susan Langer</w:t>
      </w:r>
      <w:r w:rsidR="00FC7280" w:rsidRPr="001B304D">
        <w:rPr>
          <w:sz w:val="24"/>
          <w:szCs w:val="24"/>
        </w:rPr>
        <w:t xml:space="preserve"> </w:t>
      </w:r>
      <w:r w:rsidR="00B74DF9" w:rsidRPr="001B304D">
        <w:rPr>
          <w:sz w:val="24"/>
          <w:szCs w:val="24"/>
        </w:rPr>
        <w:t xml:space="preserve">and </w:t>
      </w:r>
      <w:r w:rsidR="00AE1455" w:rsidRPr="001B304D">
        <w:rPr>
          <w:sz w:val="24"/>
          <w:szCs w:val="24"/>
        </w:rPr>
        <w:t xml:space="preserve">subsequently </w:t>
      </w:r>
      <w:r w:rsidR="00B74DF9" w:rsidRPr="001B304D">
        <w:rPr>
          <w:sz w:val="24"/>
          <w:szCs w:val="24"/>
        </w:rPr>
        <w:t>Kenneth Burke</w:t>
      </w:r>
      <w:r w:rsidRPr="001B304D">
        <w:rPr>
          <w:sz w:val="24"/>
          <w:szCs w:val="24"/>
        </w:rPr>
        <w:t>; however, from the point of view of philosophy of religion, its most significant exponent was Paul Tillich.</w:t>
      </w:r>
      <w:r w:rsidR="00C91374" w:rsidRPr="001B304D">
        <w:rPr>
          <w:sz w:val="24"/>
          <w:szCs w:val="24"/>
        </w:rPr>
        <w:t xml:space="preserve"> Tillich repeats many of the claims concerning the symbol’s evocation of the transcendent that one f</w:t>
      </w:r>
      <w:r w:rsidR="00D3413D" w:rsidRPr="001B304D">
        <w:rPr>
          <w:sz w:val="24"/>
          <w:szCs w:val="24"/>
        </w:rPr>
        <w:t xml:space="preserve">inds in the romantic tradition, </w:t>
      </w:r>
      <w:r w:rsidR="00C91374" w:rsidRPr="001B304D">
        <w:rPr>
          <w:sz w:val="24"/>
          <w:szCs w:val="24"/>
        </w:rPr>
        <w:t>which is not surprising considering his two doctoral theses</w:t>
      </w:r>
      <w:r w:rsidR="00C9017F" w:rsidRPr="001B304D">
        <w:rPr>
          <w:sz w:val="24"/>
          <w:szCs w:val="24"/>
        </w:rPr>
        <w:t xml:space="preserve"> </w:t>
      </w:r>
      <w:r w:rsidR="00C91374" w:rsidRPr="001B304D">
        <w:rPr>
          <w:sz w:val="24"/>
          <w:szCs w:val="24"/>
        </w:rPr>
        <w:t>were on Schelling</w:t>
      </w:r>
      <w:r w:rsidR="00D3413D" w:rsidRPr="001B304D">
        <w:rPr>
          <w:sz w:val="24"/>
          <w:szCs w:val="24"/>
        </w:rPr>
        <w:t xml:space="preserve"> </w:t>
      </w:r>
      <w:r w:rsidR="009052DA" w:rsidRPr="001B304D">
        <w:rPr>
          <w:sz w:val="24"/>
          <w:szCs w:val="24"/>
        </w:rPr>
        <w:t>(</w:t>
      </w:r>
      <w:r w:rsidR="00D3413D" w:rsidRPr="001B304D">
        <w:rPr>
          <w:sz w:val="24"/>
          <w:szCs w:val="24"/>
        </w:rPr>
        <w:t>whose own theory of the symbol is spelt out in detail in his posthumously published lectures o</w:t>
      </w:r>
      <w:r w:rsidR="00C9017F" w:rsidRPr="001B304D">
        <w:rPr>
          <w:sz w:val="24"/>
          <w:szCs w:val="24"/>
        </w:rPr>
        <w:t>n the philosophy of art (§39, §73</w:t>
      </w:r>
      <w:r w:rsidR="00D3413D" w:rsidRPr="001B304D">
        <w:rPr>
          <w:sz w:val="24"/>
          <w:szCs w:val="24"/>
        </w:rPr>
        <w:t>)</w:t>
      </w:r>
      <w:r w:rsidR="009052DA" w:rsidRPr="001B304D">
        <w:rPr>
          <w:sz w:val="24"/>
          <w:szCs w:val="24"/>
        </w:rPr>
        <w:t>)</w:t>
      </w:r>
      <w:r w:rsidR="00D3413D" w:rsidRPr="001B304D">
        <w:rPr>
          <w:sz w:val="24"/>
          <w:szCs w:val="24"/>
        </w:rPr>
        <w:t xml:space="preserve">. </w:t>
      </w:r>
      <w:r w:rsidR="00951E9D" w:rsidRPr="001B304D">
        <w:rPr>
          <w:sz w:val="24"/>
          <w:szCs w:val="24"/>
        </w:rPr>
        <w:t>Thus, Tillich is insistent that symbols have an ‘innate power… to point bey</w:t>
      </w:r>
      <w:r w:rsidR="004F634D" w:rsidRPr="001B304D">
        <w:rPr>
          <w:sz w:val="24"/>
          <w:szCs w:val="24"/>
        </w:rPr>
        <w:t>ond their ordinary sense.’ (</w:t>
      </w:r>
      <w:r w:rsidR="004F634D" w:rsidRPr="001B304D">
        <w:rPr>
          <w:i/>
          <w:sz w:val="24"/>
          <w:szCs w:val="24"/>
        </w:rPr>
        <w:t>Main Works</w:t>
      </w:r>
      <w:r w:rsidR="00951E9D" w:rsidRPr="001B304D">
        <w:rPr>
          <w:sz w:val="24"/>
          <w:szCs w:val="24"/>
        </w:rPr>
        <w:t xml:space="preserve"> </w:t>
      </w:r>
      <w:r w:rsidR="004F634D" w:rsidRPr="001B304D">
        <w:rPr>
          <w:sz w:val="24"/>
          <w:szCs w:val="24"/>
        </w:rPr>
        <w:t>1:</w:t>
      </w:r>
      <w:r w:rsidR="00951E9D" w:rsidRPr="001B304D">
        <w:rPr>
          <w:sz w:val="24"/>
          <w:szCs w:val="24"/>
        </w:rPr>
        <w:t xml:space="preserve">254) </w:t>
      </w:r>
      <w:r w:rsidR="00D3413D" w:rsidRPr="001B304D">
        <w:rPr>
          <w:sz w:val="24"/>
          <w:szCs w:val="24"/>
        </w:rPr>
        <w:t>H</w:t>
      </w:r>
      <w:r w:rsidR="00C91374" w:rsidRPr="001B304D">
        <w:rPr>
          <w:sz w:val="24"/>
          <w:szCs w:val="24"/>
        </w:rPr>
        <w:t>owever, there is</w:t>
      </w:r>
      <w:r w:rsidR="00951E9D" w:rsidRPr="001B304D">
        <w:rPr>
          <w:sz w:val="24"/>
          <w:szCs w:val="24"/>
        </w:rPr>
        <w:t xml:space="preserve"> also</w:t>
      </w:r>
      <w:r w:rsidR="00C91374" w:rsidRPr="001B304D">
        <w:rPr>
          <w:sz w:val="24"/>
          <w:szCs w:val="24"/>
        </w:rPr>
        <w:t xml:space="preserve"> a new emphasis in his work on two aspects of symbolisation that bring it close</w:t>
      </w:r>
      <w:r w:rsidR="00BA3F28" w:rsidRPr="001B304D">
        <w:rPr>
          <w:sz w:val="24"/>
          <w:szCs w:val="24"/>
        </w:rPr>
        <w:t xml:space="preserve"> to that of Cassirer and Langer.</w:t>
      </w:r>
      <w:r w:rsidR="00C91374" w:rsidRPr="001B304D">
        <w:rPr>
          <w:sz w:val="24"/>
          <w:szCs w:val="24"/>
        </w:rPr>
        <w:t xml:space="preserve"> </w:t>
      </w:r>
      <w:r w:rsidR="00BA3F28" w:rsidRPr="001B304D">
        <w:rPr>
          <w:sz w:val="24"/>
          <w:szCs w:val="24"/>
        </w:rPr>
        <w:t>First, Tillich calls attention to the non-objectifying way in which symbols present their referent: God does not become a being or a thing by being symbolised, rather He is cognised as the non-</w:t>
      </w:r>
      <w:proofErr w:type="spellStart"/>
      <w:r w:rsidR="00BA3F28" w:rsidRPr="001B304D">
        <w:rPr>
          <w:sz w:val="24"/>
          <w:szCs w:val="24"/>
        </w:rPr>
        <w:t>objectifiable</w:t>
      </w:r>
      <w:proofErr w:type="spellEnd"/>
      <w:r w:rsidR="00BA3F28" w:rsidRPr="001B304D">
        <w:rPr>
          <w:sz w:val="24"/>
          <w:szCs w:val="24"/>
        </w:rPr>
        <w:t xml:space="preserve"> horizon of both objects and subjects. What is known in a symbol is not a discrete object in the world, but the more indistinct conditions of worldliness. </w:t>
      </w:r>
      <w:r w:rsidR="00246679" w:rsidRPr="001B304D">
        <w:rPr>
          <w:sz w:val="24"/>
          <w:szCs w:val="24"/>
        </w:rPr>
        <w:t>Second, Tillich charts the ways in which communities develop, deploy and then discard pa</w:t>
      </w:r>
      <w:r w:rsidR="002F35B8" w:rsidRPr="001B304D">
        <w:rPr>
          <w:sz w:val="24"/>
          <w:szCs w:val="24"/>
        </w:rPr>
        <w:t>rticular symbols, such as God the</w:t>
      </w:r>
      <w:r w:rsidR="00246679" w:rsidRPr="001B304D">
        <w:rPr>
          <w:sz w:val="24"/>
          <w:szCs w:val="24"/>
        </w:rPr>
        <w:t xml:space="preserve"> Father</w:t>
      </w:r>
      <w:r w:rsidR="00951E9D" w:rsidRPr="001B304D">
        <w:rPr>
          <w:sz w:val="24"/>
          <w:szCs w:val="24"/>
        </w:rPr>
        <w:t>. He writes,</w:t>
      </w:r>
      <w:r w:rsidR="00246679" w:rsidRPr="001B304D">
        <w:rPr>
          <w:sz w:val="24"/>
          <w:szCs w:val="24"/>
        </w:rPr>
        <w:t xml:space="preserve"> </w:t>
      </w:r>
      <w:r w:rsidR="00951E9D" w:rsidRPr="001B304D">
        <w:rPr>
          <w:sz w:val="24"/>
        </w:rPr>
        <w:t xml:space="preserve">‘symbols </w:t>
      </w:r>
      <w:r w:rsidR="00501ABC" w:rsidRPr="001B304D">
        <w:rPr>
          <w:sz w:val="24"/>
        </w:rPr>
        <w:t>are born and die’, for they</w:t>
      </w:r>
      <w:r w:rsidR="00951E9D" w:rsidRPr="001B304D">
        <w:rPr>
          <w:sz w:val="24"/>
        </w:rPr>
        <w:t xml:space="preserve"> retain power only insofar as they are recognised by a ‘group unconscious’ (</w:t>
      </w:r>
      <w:r w:rsidR="004F634D" w:rsidRPr="001B304D">
        <w:rPr>
          <w:i/>
          <w:sz w:val="24"/>
        </w:rPr>
        <w:t>ibid.</w:t>
      </w:r>
      <w:r w:rsidR="00951E9D" w:rsidRPr="001B304D">
        <w:rPr>
          <w:sz w:val="24"/>
        </w:rPr>
        <w:t xml:space="preserve"> 398), and goes on to</w:t>
      </w:r>
      <w:r w:rsidR="00246679" w:rsidRPr="001B304D">
        <w:rPr>
          <w:sz w:val="24"/>
          <w:szCs w:val="24"/>
        </w:rPr>
        <w:t xml:space="preserve"> </w:t>
      </w:r>
      <w:r w:rsidR="00951E9D" w:rsidRPr="001B304D">
        <w:rPr>
          <w:sz w:val="24"/>
          <w:szCs w:val="24"/>
        </w:rPr>
        <w:t>provide</w:t>
      </w:r>
      <w:r w:rsidR="00246679" w:rsidRPr="001B304D">
        <w:rPr>
          <w:sz w:val="24"/>
          <w:szCs w:val="24"/>
        </w:rPr>
        <w:t xml:space="preserve"> numerous description</w:t>
      </w:r>
      <w:r w:rsidR="009052DA" w:rsidRPr="001B304D">
        <w:rPr>
          <w:sz w:val="24"/>
          <w:szCs w:val="24"/>
        </w:rPr>
        <w:t>s of the life-cycle of symbols—</w:t>
      </w:r>
      <w:r w:rsidR="00246679" w:rsidRPr="001B304D">
        <w:rPr>
          <w:sz w:val="24"/>
          <w:szCs w:val="24"/>
        </w:rPr>
        <w:t>thereby emphasising their social construction.</w:t>
      </w:r>
    </w:p>
    <w:p w:rsidR="00246679" w:rsidRPr="001B304D" w:rsidRDefault="00246679" w:rsidP="008100A8">
      <w:pPr>
        <w:spacing w:after="0" w:line="480" w:lineRule="auto"/>
        <w:jc w:val="both"/>
        <w:rPr>
          <w:sz w:val="24"/>
          <w:szCs w:val="24"/>
        </w:rPr>
      </w:pPr>
      <w:r w:rsidRPr="001B304D">
        <w:rPr>
          <w:sz w:val="24"/>
          <w:szCs w:val="24"/>
        </w:rPr>
        <w:lastRenderedPageBreak/>
        <w:tab/>
        <w:t>Over the last twenty years, there have been sporadic attempts to return to the insights of Cassirer</w:t>
      </w:r>
      <w:r w:rsidR="004F634D" w:rsidRPr="001B304D">
        <w:rPr>
          <w:sz w:val="24"/>
          <w:szCs w:val="24"/>
        </w:rPr>
        <w:t xml:space="preserve"> (e.g. Brock, </w:t>
      </w:r>
      <w:proofErr w:type="spellStart"/>
      <w:r w:rsidR="004F634D" w:rsidRPr="001B304D">
        <w:rPr>
          <w:sz w:val="24"/>
          <w:szCs w:val="24"/>
        </w:rPr>
        <w:t>Hoel</w:t>
      </w:r>
      <w:proofErr w:type="spellEnd"/>
      <w:r w:rsidR="002B53B0" w:rsidRPr="001B304D">
        <w:rPr>
          <w:sz w:val="24"/>
          <w:szCs w:val="24"/>
        </w:rPr>
        <w:t>)</w:t>
      </w:r>
      <w:r w:rsidRPr="001B304D">
        <w:rPr>
          <w:sz w:val="24"/>
          <w:szCs w:val="24"/>
        </w:rPr>
        <w:t xml:space="preserve"> and Langer</w:t>
      </w:r>
      <w:r w:rsidR="004F634D" w:rsidRPr="001B304D">
        <w:rPr>
          <w:sz w:val="24"/>
          <w:szCs w:val="24"/>
        </w:rPr>
        <w:t xml:space="preserve"> (e.g. Innis</w:t>
      </w:r>
      <w:r w:rsidR="002B53B0" w:rsidRPr="001B304D">
        <w:rPr>
          <w:sz w:val="24"/>
          <w:szCs w:val="24"/>
        </w:rPr>
        <w:t>)</w:t>
      </w:r>
      <w:r w:rsidRPr="001B304D">
        <w:rPr>
          <w:sz w:val="24"/>
          <w:szCs w:val="24"/>
        </w:rPr>
        <w:t xml:space="preserve">, although never in the context of philosophy of religion, and Tillich is only gradually coming to be reconsidered in light of contemporary </w:t>
      </w:r>
      <w:r w:rsidR="002F35B8" w:rsidRPr="001B304D">
        <w:rPr>
          <w:sz w:val="24"/>
          <w:szCs w:val="24"/>
        </w:rPr>
        <w:t>concerns</w:t>
      </w:r>
      <w:r w:rsidR="009052DA" w:rsidRPr="001B304D">
        <w:rPr>
          <w:sz w:val="24"/>
          <w:szCs w:val="24"/>
        </w:rPr>
        <w:t xml:space="preserve"> (Manning)</w:t>
      </w:r>
      <w:r w:rsidRPr="001B304D">
        <w:rPr>
          <w:sz w:val="24"/>
          <w:szCs w:val="24"/>
        </w:rPr>
        <w:t>. Indeed, the legacy of these early twentieth-century theorists of symbol</w:t>
      </w:r>
      <w:r w:rsidR="009052DA" w:rsidRPr="001B304D">
        <w:rPr>
          <w:sz w:val="24"/>
          <w:szCs w:val="24"/>
        </w:rPr>
        <w:t>isation</w:t>
      </w:r>
      <w:r w:rsidRPr="001B304D">
        <w:rPr>
          <w:sz w:val="24"/>
          <w:szCs w:val="24"/>
        </w:rPr>
        <w:t xml:space="preserve"> is practically non-existent in current philosophy of religion. </w:t>
      </w:r>
      <w:r w:rsidR="00E1035A" w:rsidRPr="001B304D">
        <w:rPr>
          <w:sz w:val="24"/>
          <w:szCs w:val="24"/>
        </w:rPr>
        <w:t>There is</w:t>
      </w:r>
      <w:r w:rsidR="00C9400D" w:rsidRPr="001B304D">
        <w:rPr>
          <w:sz w:val="24"/>
          <w:szCs w:val="24"/>
        </w:rPr>
        <w:t>, however,</w:t>
      </w:r>
      <w:r w:rsidR="00E1035A" w:rsidRPr="001B304D">
        <w:rPr>
          <w:sz w:val="24"/>
          <w:szCs w:val="24"/>
        </w:rPr>
        <w:t xml:space="preserve"> one major exception </w:t>
      </w:r>
      <w:r w:rsidR="00C9400D" w:rsidRPr="001B304D">
        <w:rPr>
          <w:sz w:val="24"/>
          <w:szCs w:val="24"/>
        </w:rPr>
        <w:t>to this:</w:t>
      </w:r>
      <w:r w:rsidR="00E1035A" w:rsidRPr="001B304D">
        <w:rPr>
          <w:sz w:val="24"/>
          <w:szCs w:val="24"/>
        </w:rPr>
        <w:t xml:space="preserve"> the contemporary usage of </w:t>
      </w:r>
      <w:proofErr w:type="spellStart"/>
      <w:r w:rsidR="00E1035A" w:rsidRPr="001B304D">
        <w:rPr>
          <w:sz w:val="24"/>
          <w:szCs w:val="24"/>
        </w:rPr>
        <w:t>Peircean</w:t>
      </w:r>
      <w:proofErr w:type="spellEnd"/>
      <w:r w:rsidR="00E1035A" w:rsidRPr="001B304D">
        <w:rPr>
          <w:sz w:val="24"/>
          <w:szCs w:val="24"/>
        </w:rPr>
        <w:t xml:space="preserve"> symbolics. The recovery of Peirce’s work has been a broad movement over the last decade informing a vast array of philosophical fields</w:t>
      </w:r>
      <w:r w:rsidR="00B41AED" w:rsidRPr="001B304D">
        <w:rPr>
          <w:sz w:val="24"/>
          <w:szCs w:val="24"/>
        </w:rPr>
        <w:t xml:space="preserve"> (</w:t>
      </w:r>
      <w:proofErr w:type="spellStart"/>
      <w:r w:rsidR="00B41AED" w:rsidRPr="001B304D">
        <w:rPr>
          <w:sz w:val="24"/>
          <w:szCs w:val="24"/>
        </w:rPr>
        <w:t>Ketner</w:t>
      </w:r>
      <w:proofErr w:type="spellEnd"/>
      <w:r w:rsidR="00B41AED" w:rsidRPr="001B304D">
        <w:rPr>
          <w:sz w:val="24"/>
          <w:szCs w:val="24"/>
        </w:rPr>
        <w:t xml:space="preserve">, </w:t>
      </w:r>
      <w:r w:rsidR="00215237" w:rsidRPr="001B304D">
        <w:rPr>
          <w:sz w:val="24"/>
          <w:szCs w:val="24"/>
        </w:rPr>
        <w:t>Short)</w:t>
      </w:r>
      <w:r w:rsidR="00E1035A" w:rsidRPr="001B304D">
        <w:rPr>
          <w:sz w:val="24"/>
          <w:szCs w:val="24"/>
        </w:rPr>
        <w:t>, and so, in general, the charting of its effects stands beyond the scope of this essay. Its impact in philosophy of religion</w:t>
      </w:r>
      <w:r w:rsidR="00215237" w:rsidRPr="001B304D">
        <w:rPr>
          <w:sz w:val="24"/>
          <w:szCs w:val="24"/>
        </w:rPr>
        <w:t>, though, has been considerable:</w:t>
      </w:r>
      <w:r w:rsidRPr="001B304D">
        <w:rPr>
          <w:sz w:val="24"/>
          <w:szCs w:val="24"/>
        </w:rPr>
        <w:t xml:space="preserve"> Robinson and Southgate</w:t>
      </w:r>
      <w:r w:rsidR="009052DA" w:rsidRPr="001B304D">
        <w:rPr>
          <w:sz w:val="24"/>
          <w:szCs w:val="24"/>
        </w:rPr>
        <w:t>, for example,</w:t>
      </w:r>
      <w:r w:rsidRPr="001B304D">
        <w:rPr>
          <w:sz w:val="24"/>
          <w:szCs w:val="24"/>
        </w:rPr>
        <w:t xml:space="preserve"> have reread Peirce in order to expound a hermeneutics of theological symbols responsive to shifting scientific paradigms</w:t>
      </w:r>
      <w:r w:rsidR="00B763AA" w:rsidRPr="001B304D">
        <w:rPr>
          <w:sz w:val="24"/>
          <w:szCs w:val="24"/>
        </w:rPr>
        <w:t>. As Ron Shultz</w:t>
      </w:r>
      <w:r w:rsidR="002B53B0" w:rsidRPr="001B304D">
        <w:rPr>
          <w:sz w:val="24"/>
          <w:szCs w:val="24"/>
        </w:rPr>
        <w:t xml:space="preserve"> </w:t>
      </w:r>
      <w:r w:rsidR="009052DA" w:rsidRPr="001B304D">
        <w:rPr>
          <w:sz w:val="24"/>
          <w:szCs w:val="24"/>
        </w:rPr>
        <w:t>points out, in this regard their</w:t>
      </w:r>
      <w:r w:rsidR="00B763AA" w:rsidRPr="001B304D">
        <w:rPr>
          <w:sz w:val="24"/>
          <w:szCs w:val="24"/>
        </w:rPr>
        <w:t xml:space="preserve"> project bears similarities to Robert C. Neville’s </w:t>
      </w:r>
      <w:r w:rsidR="00B74DF9" w:rsidRPr="001B304D">
        <w:rPr>
          <w:sz w:val="24"/>
          <w:szCs w:val="24"/>
        </w:rPr>
        <w:t>ongoing attempts</w:t>
      </w:r>
      <w:r w:rsidR="002B53B0" w:rsidRPr="001B304D">
        <w:rPr>
          <w:sz w:val="24"/>
          <w:szCs w:val="24"/>
        </w:rPr>
        <w:t xml:space="preserve"> </w:t>
      </w:r>
      <w:r w:rsidR="00B74DF9" w:rsidRPr="001B304D">
        <w:rPr>
          <w:sz w:val="24"/>
          <w:szCs w:val="24"/>
        </w:rPr>
        <w:t xml:space="preserve">to transform theological symbols. Both projects take up Tillich’s concerns with the transitory nature of religious symbols and their ability to speak of the divine in a non-objectifying manner; however, </w:t>
      </w:r>
      <w:r w:rsidR="00873E68" w:rsidRPr="001B304D">
        <w:rPr>
          <w:sz w:val="24"/>
          <w:szCs w:val="24"/>
        </w:rPr>
        <w:t xml:space="preserve">they transfer these features of the symbol </w:t>
      </w:r>
      <w:r w:rsidR="009052DA" w:rsidRPr="001B304D">
        <w:rPr>
          <w:sz w:val="24"/>
          <w:szCs w:val="24"/>
        </w:rPr>
        <w:t>in</w:t>
      </w:r>
      <w:r w:rsidR="00873E68" w:rsidRPr="001B304D">
        <w:rPr>
          <w:sz w:val="24"/>
          <w:szCs w:val="24"/>
        </w:rPr>
        <w:t>to pragmatist and scientific contexts.</w:t>
      </w:r>
      <w:r w:rsidR="00215237" w:rsidRPr="001B304D">
        <w:rPr>
          <w:sz w:val="24"/>
          <w:szCs w:val="24"/>
        </w:rPr>
        <w:t xml:space="preserve"> This, then, is one place where traditional conceptions of the symbol—in this case, Peirce’s symbolics—can be identified as impacting on contemporary discussions in philosophy of religion.</w:t>
      </w:r>
    </w:p>
    <w:p w:rsidR="00BF2D16" w:rsidRPr="001B304D" w:rsidRDefault="00BF2D16" w:rsidP="008100A8">
      <w:pPr>
        <w:spacing w:after="0" w:line="480" w:lineRule="auto"/>
        <w:rPr>
          <w:sz w:val="24"/>
          <w:szCs w:val="24"/>
        </w:rPr>
      </w:pPr>
    </w:p>
    <w:p w:rsidR="009A33D2" w:rsidRPr="001B304D" w:rsidRDefault="009A33D2" w:rsidP="008100A8">
      <w:pPr>
        <w:spacing w:after="0" w:line="480" w:lineRule="auto"/>
        <w:rPr>
          <w:sz w:val="24"/>
          <w:szCs w:val="24"/>
        </w:rPr>
      </w:pPr>
      <w:r w:rsidRPr="001B304D">
        <w:rPr>
          <w:sz w:val="24"/>
          <w:szCs w:val="24"/>
        </w:rPr>
        <w:t xml:space="preserve">[1.3] </w:t>
      </w:r>
      <w:r w:rsidR="000E37D2" w:rsidRPr="001B304D">
        <w:rPr>
          <w:sz w:val="24"/>
          <w:szCs w:val="24"/>
        </w:rPr>
        <w:t>Late Structuralist Symbolics</w:t>
      </w:r>
    </w:p>
    <w:p w:rsidR="00873E68" w:rsidRPr="001B304D" w:rsidRDefault="001C0464" w:rsidP="008100A8">
      <w:pPr>
        <w:spacing w:after="0" w:line="480" w:lineRule="auto"/>
        <w:jc w:val="both"/>
        <w:rPr>
          <w:sz w:val="24"/>
          <w:szCs w:val="24"/>
        </w:rPr>
      </w:pPr>
      <w:r w:rsidRPr="001B304D">
        <w:rPr>
          <w:sz w:val="24"/>
          <w:szCs w:val="24"/>
        </w:rPr>
        <w:t xml:space="preserve">A third </w:t>
      </w:r>
      <w:r w:rsidR="00215237" w:rsidRPr="001B304D">
        <w:rPr>
          <w:sz w:val="24"/>
          <w:szCs w:val="24"/>
        </w:rPr>
        <w:t xml:space="preserve">kind of </w:t>
      </w:r>
      <w:r w:rsidRPr="001B304D">
        <w:rPr>
          <w:sz w:val="24"/>
          <w:szCs w:val="24"/>
        </w:rPr>
        <w:t>the</w:t>
      </w:r>
      <w:r w:rsidR="00BD0067" w:rsidRPr="001B304D">
        <w:rPr>
          <w:sz w:val="24"/>
          <w:szCs w:val="24"/>
        </w:rPr>
        <w:t>ory of the</w:t>
      </w:r>
      <w:r w:rsidRPr="001B304D">
        <w:rPr>
          <w:sz w:val="24"/>
          <w:szCs w:val="24"/>
        </w:rPr>
        <w:t xml:space="preserve"> symbol with religious implications is to be found in late structuralist writings in post-war France. In the 1970s, both Gérard </w:t>
      </w:r>
      <w:proofErr w:type="spellStart"/>
      <w:r w:rsidRPr="001B304D">
        <w:rPr>
          <w:sz w:val="24"/>
          <w:szCs w:val="24"/>
        </w:rPr>
        <w:t>Genette</w:t>
      </w:r>
      <w:proofErr w:type="spellEnd"/>
      <w:r w:rsidRPr="001B304D">
        <w:rPr>
          <w:sz w:val="24"/>
          <w:szCs w:val="24"/>
        </w:rPr>
        <w:t xml:space="preserve"> and </w:t>
      </w:r>
      <w:proofErr w:type="spellStart"/>
      <w:r w:rsidRPr="001B304D">
        <w:rPr>
          <w:sz w:val="24"/>
          <w:szCs w:val="24"/>
        </w:rPr>
        <w:t>Tzvetan</w:t>
      </w:r>
      <w:proofErr w:type="spellEnd"/>
      <w:r w:rsidRPr="001B304D">
        <w:rPr>
          <w:sz w:val="24"/>
          <w:szCs w:val="24"/>
        </w:rPr>
        <w:t xml:space="preserve"> Todorov shifted away from the description of synchronic systems of linguistic difference</w:t>
      </w:r>
      <w:r w:rsidR="00BD0067" w:rsidRPr="001B304D">
        <w:rPr>
          <w:sz w:val="24"/>
          <w:szCs w:val="24"/>
        </w:rPr>
        <w:t>,</w:t>
      </w:r>
      <w:r w:rsidRPr="001B304D">
        <w:rPr>
          <w:sz w:val="24"/>
          <w:szCs w:val="24"/>
        </w:rPr>
        <w:t xml:space="preserve"> based on Saussurean presuppositions</w:t>
      </w:r>
      <w:r w:rsidR="00BD0067" w:rsidRPr="001B304D">
        <w:rPr>
          <w:sz w:val="24"/>
          <w:szCs w:val="24"/>
        </w:rPr>
        <w:t>,</w:t>
      </w:r>
      <w:r w:rsidRPr="001B304D">
        <w:rPr>
          <w:sz w:val="24"/>
          <w:szCs w:val="24"/>
        </w:rPr>
        <w:t xml:space="preserve"> to consider alternative accounts of mean</w:t>
      </w:r>
      <w:r w:rsidR="00215237" w:rsidRPr="001B304D">
        <w:rPr>
          <w:sz w:val="24"/>
          <w:szCs w:val="24"/>
        </w:rPr>
        <w:t>ing-acquisition from</w:t>
      </w:r>
      <w:r w:rsidRPr="001B304D">
        <w:rPr>
          <w:sz w:val="24"/>
          <w:szCs w:val="24"/>
        </w:rPr>
        <w:t xml:space="preserve"> the history of linguistic thought. </w:t>
      </w:r>
      <w:r w:rsidR="00215237" w:rsidRPr="001B304D">
        <w:rPr>
          <w:sz w:val="24"/>
          <w:szCs w:val="24"/>
        </w:rPr>
        <w:t>Evidently</w:t>
      </w:r>
      <w:r w:rsidRPr="001B304D">
        <w:rPr>
          <w:sz w:val="24"/>
          <w:szCs w:val="24"/>
        </w:rPr>
        <w:t xml:space="preserve">, such accounts are often theological in tenor. </w:t>
      </w:r>
      <w:proofErr w:type="gramStart"/>
      <w:r w:rsidRPr="001B304D">
        <w:rPr>
          <w:sz w:val="24"/>
          <w:szCs w:val="24"/>
        </w:rPr>
        <w:lastRenderedPageBreak/>
        <w:t>For example, in</w:t>
      </w:r>
      <w:r w:rsidR="00BD0067" w:rsidRPr="001B304D">
        <w:rPr>
          <w:i/>
          <w:sz w:val="24"/>
          <w:szCs w:val="24"/>
        </w:rPr>
        <w:t xml:space="preserve"> </w:t>
      </w:r>
      <w:proofErr w:type="spellStart"/>
      <w:r w:rsidR="00BD0067" w:rsidRPr="001B304D">
        <w:rPr>
          <w:i/>
          <w:sz w:val="24"/>
          <w:szCs w:val="24"/>
        </w:rPr>
        <w:t>Mimologics</w:t>
      </w:r>
      <w:proofErr w:type="spellEnd"/>
      <w:r w:rsidR="00BD0067" w:rsidRPr="001B304D">
        <w:rPr>
          <w:sz w:val="24"/>
          <w:szCs w:val="24"/>
        </w:rPr>
        <w:t>,</w:t>
      </w:r>
      <w:r w:rsidRPr="001B304D">
        <w:rPr>
          <w:sz w:val="24"/>
          <w:szCs w:val="24"/>
        </w:rPr>
        <w:t xml:space="preserve"> his history of </w:t>
      </w:r>
      <w:proofErr w:type="spellStart"/>
      <w:r w:rsidRPr="001B304D">
        <w:rPr>
          <w:sz w:val="24"/>
          <w:szCs w:val="24"/>
        </w:rPr>
        <w:t>Cratylism</w:t>
      </w:r>
      <w:proofErr w:type="spellEnd"/>
      <w:r w:rsidRPr="001B304D">
        <w:rPr>
          <w:sz w:val="24"/>
          <w:szCs w:val="24"/>
        </w:rPr>
        <w:t xml:space="preserve"> (the view that </w:t>
      </w:r>
      <w:r w:rsidR="00F43C18" w:rsidRPr="001B304D">
        <w:rPr>
          <w:sz w:val="24"/>
          <w:szCs w:val="24"/>
        </w:rPr>
        <w:t xml:space="preserve">the </w:t>
      </w:r>
      <w:r w:rsidRPr="001B304D">
        <w:rPr>
          <w:sz w:val="24"/>
          <w:szCs w:val="24"/>
        </w:rPr>
        <w:t xml:space="preserve">sign </w:t>
      </w:r>
      <w:r w:rsidR="00F43C18" w:rsidRPr="001B304D">
        <w:rPr>
          <w:sz w:val="24"/>
          <w:szCs w:val="24"/>
        </w:rPr>
        <w:t>in some way imitates its referent</w:t>
      </w:r>
      <w:r w:rsidRPr="001B304D">
        <w:rPr>
          <w:sz w:val="24"/>
          <w:szCs w:val="24"/>
        </w:rPr>
        <w:t xml:space="preserve">), </w:t>
      </w:r>
      <w:proofErr w:type="spellStart"/>
      <w:r w:rsidR="00F43C18" w:rsidRPr="001B304D">
        <w:rPr>
          <w:sz w:val="24"/>
          <w:szCs w:val="24"/>
        </w:rPr>
        <w:t>Genette</w:t>
      </w:r>
      <w:proofErr w:type="spellEnd"/>
      <w:r w:rsidR="00F43C18" w:rsidRPr="001B304D">
        <w:rPr>
          <w:sz w:val="24"/>
          <w:szCs w:val="24"/>
        </w:rPr>
        <w:t xml:space="preserve"> dwells on Augustine’s theory of signs, as does Todorov in his </w:t>
      </w:r>
      <w:r w:rsidR="00F43C18" w:rsidRPr="001B304D">
        <w:rPr>
          <w:i/>
          <w:sz w:val="24"/>
          <w:szCs w:val="24"/>
        </w:rPr>
        <w:t>Theories of the Symbol</w:t>
      </w:r>
      <w:r w:rsidR="007761F6" w:rsidRPr="001B304D">
        <w:rPr>
          <w:i/>
          <w:sz w:val="24"/>
          <w:szCs w:val="24"/>
        </w:rPr>
        <w:t xml:space="preserve"> </w:t>
      </w:r>
      <w:r w:rsidR="004F634D" w:rsidRPr="001B304D">
        <w:rPr>
          <w:sz w:val="24"/>
          <w:szCs w:val="24"/>
        </w:rPr>
        <w:t>(</w:t>
      </w:r>
      <w:r w:rsidR="00C526E1" w:rsidRPr="001B304D">
        <w:rPr>
          <w:sz w:val="24"/>
          <w:szCs w:val="24"/>
        </w:rPr>
        <w:t>35-78</w:t>
      </w:r>
      <w:r w:rsidR="007761F6" w:rsidRPr="001B304D">
        <w:rPr>
          <w:sz w:val="24"/>
          <w:szCs w:val="24"/>
        </w:rPr>
        <w:t>)</w:t>
      </w:r>
      <w:r w:rsidR="00F43C18" w:rsidRPr="001B304D">
        <w:rPr>
          <w:sz w:val="24"/>
          <w:szCs w:val="24"/>
        </w:rPr>
        <w:t>.</w:t>
      </w:r>
      <w:proofErr w:type="gramEnd"/>
      <w:r w:rsidR="00F43C18" w:rsidRPr="001B304D">
        <w:rPr>
          <w:sz w:val="24"/>
          <w:szCs w:val="24"/>
        </w:rPr>
        <w:t xml:space="preserve"> </w:t>
      </w:r>
      <w:r w:rsidR="00BD0067" w:rsidRPr="001B304D">
        <w:rPr>
          <w:sz w:val="24"/>
          <w:szCs w:val="24"/>
        </w:rPr>
        <w:t xml:space="preserve">In </w:t>
      </w:r>
      <w:r w:rsidR="00BD0067" w:rsidRPr="001B304D">
        <w:rPr>
          <w:i/>
          <w:sz w:val="24"/>
          <w:szCs w:val="24"/>
        </w:rPr>
        <w:t>Symbolism and Interpretation</w:t>
      </w:r>
      <w:r w:rsidR="00215237" w:rsidRPr="001B304D">
        <w:rPr>
          <w:sz w:val="24"/>
          <w:szCs w:val="24"/>
        </w:rPr>
        <w:t>,</w:t>
      </w:r>
      <w:r w:rsidR="00BD0067" w:rsidRPr="001B304D">
        <w:rPr>
          <w:sz w:val="24"/>
          <w:szCs w:val="24"/>
        </w:rPr>
        <w:t xml:space="preserve"> Todorov then</w:t>
      </w:r>
      <w:r w:rsidR="00AE3FB9" w:rsidRPr="001B304D">
        <w:rPr>
          <w:sz w:val="24"/>
          <w:szCs w:val="24"/>
        </w:rPr>
        <w:t xml:space="preserve"> develops this alternative symbolics drawn from the history of linguistic thought into a general theory of signification.</w:t>
      </w:r>
      <w:r w:rsidR="00AE3FB9" w:rsidRPr="001B304D">
        <w:rPr>
          <w:i/>
          <w:sz w:val="24"/>
          <w:szCs w:val="24"/>
        </w:rPr>
        <w:t xml:space="preserve"> </w:t>
      </w:r>
      <w:r w:rsidR="00F43C18" w:rsidRPr="001B304D">
        <w:rPr>
          <w:sz w:val="24"/>
          <w:szCs w:val="24"/>
        </w:rPr>
        <w:t xml:space="preserve">There is something similar here to Gadamer’s project in </w:t>
      </w:r>
      <w:r w:rsidR="00F43C18" w:rsidRPr="001B304D">
        <w:rPr>
          <w:i/>
          <w:sz w:val="24"/>
          <w:szCs w:val="24"/>
        </w:rPr>
        <w:t>Truth and Method</w:t>
      </w:r>
      <w:r w:rsidR="00BD0067" w:rsidRPr="001B304D">
        <w:rPr>
          <w:sz w:val="24"/>
          <w:szCs w:val="24"/>
        </w:rPr>
        <w:t>,</w:t>
      </w:r>
      <w:r w:rsidR="00F43C18" w:rsidRPr="001B304D">
        <w:rPr>
          <w:sz w:val="24"/>
          <w:szCs w:val="24"/>
        </w:rPr>
        <w:t xml:space="preserve"> mentioned earlier</w:t>
      </w:r>
      <w:r w:rsidR="00BD0067" w:rsidRPr="001B304D">
        <w:rPr>
          <w:sz w:val="24"/>
          <w:szCs w:val="24"/>
        </w:rPr>
        <w:t>,</w:t>
      </w:r>
      <w:r w:rsidR="00F43C18" w:rsidRPr="001B304D">
        <w:rPr>
          <w:sz w:val="24"/>
          <w:szCs w:val="24"/>
        </w:rPr>
        <w:t xml:space="preserve"> to use the historical resources</w:t>
      </w:r>
      <w:r w:rsidR="00BD0067" w:rsidRPr="001B304D">
        <w:rPr>
          <w:sz w:val="24"/>
          <w:szCs w:val="24"/>
        </w:rPr>
        <w:t xml:space="preserve"> of the symbol</w:t>
      </w:r>
      <w:r w:rsidR="00F43C18" w:rsidRPr="001B304D">
        <w:rPr>
          <w:sz w:val="24"/>
          <w:szCs w:val="24"/>
        </w:rPr>
        <w:t xml:space="preserve"> to do something different with hermeneutics. Both Todorov and </w:t>
      </w:r>
      <w:proofErr w:type="spellStart"/>
      <w:r w:rsidR="00F43C18" w:rsidRPr="001B304D">
        <w:rPr>
          <w:sz w:val="24"/>
          <w:szCs w:val="24"/>
        </w:rPr>
        <w:t>Genette</w:t>
      </w:r>
      <w:proofErr w:type="spellEnd"/>
      <w:r w:rsidR="00F43C18" w:rsidRPr="001B304D">
        <w:rPr>
          <w:sz w:val="24"/>
          <w:szCs w:val="24"/>
        </w:rPr>
        <w:t xml:space="preserve"> develop a symbolics as a means to experiment in heterodox forms of linguistics, although, as Umberto Eco observed</w:t>
      </w:r>
      <w:r w:rsidR="00BD0067" w:rsidRPr="001B304D">
        <w:rPr>
          <w:sz w:val="24"/>
          <w:szCs w:val="24"/>
        </w:rPr>
        <w:t xml:space="preserve"> (137)</w:t>
      </w:r>
      <w:r w:rsidR="00F43C18" w:rsidRPr="001B304D">
        <w:rPr>
          <w:sz w:val="24"/>
          <w:szCs w:val="24"/>
        </w:rPr>
        <w:t>, such a symbolics may well end up indistinguishable fr</w:t>
      </w:r>
      <w:r w:rsidR="00BD0067" w:rsidRPr="001B304D">
        <w:rPr>
          <w:sz w:val="24"/>
          <w:szCs w:val="24"/>
        </w:rPr>
        <w:t>om the semiotic in general</w:t>
      </w:r>
      <w:r w:rsidR="00F43C18" w:rsidRPr="001B304D">
        <w:rPr>
          <w:sz w:val="24"/>
          <w:szCs w:val="24"/>
        </w:rPr>
        <w:t>.</w:t>
      </w:r>
    </w:p>
    <w:p w:rsidR="004428FC" w:rsidRPr="001B304D" w:rsidRDefault="004428FC" w:rsidP="008100A8">
      <w:pPr>
        <w:spacing w:after="0" w:line="480" w:lineRule="auto"/>
        <w:jc w:val="both"/>
        <w:rPr>
          <w:sz w:val="24"/>
          <w:szCs w:val="24"/>
        </w:rPr>
      </w:pPr>
      <w:r w:rsidRPr="001B304D">
        <w:rPr>
          <w:sz w:val="24"/>
          <w:szCs w:val="24"/>
        </w:rPr>
        <w:tab/>
        <w:t xml:space="preserve">A similar </w:t>
      </w:r>
      <w:r w:rsidR="00BD0067" w:rsidRPr="001B304D">
        <w:rPr>
          <w:sz w:val="24"/>
          <w:szCs w:val="24"/>
        </w:rPr>
        <w:t>project</w:t>
      </w:r>
      <w:r w:rsidRPr="001B304D">
        <w:rPr>
          <w:sz w:val="24"/>
          <w:szCs w:val="24"/>
        </w:rPr>
        <w:t xml:space="preserve"> is</w:t>
      </w:r>
      <w:r w:rsidR="00BD0067" w:rsidRPr="001B304D">
        <w:rPr>
          <w:sz w:val="24"/>
          <w:szCs w:val="24"/>
        </w:rPr>
        <w:t xml:space="preserve"> to be</w:t>
      </w:r>
      <w:r w:rsidRPr="001B304D">
        <w:rPr>
          <w:sz w:val="24"/>
          <w:szCs w:val="24"/>
        </w:rPr>
        <w:t xml:space="preserve"> found in Ricoeur’s</w:t>
      </w:r>
      <w:r w:rsidR="00BD0067" w:rsidRPr="001B304D">
        <w:rPr>
          <w:sz w:val="24"/>
          <w:szCs w:val="24"/>
        </w:rPr>
        <w:t xml:space="preserve"> early</w:t>
      </w:r>
      <w:r w:rsidRPr="001B304D">
        <w:rPr>
          <w:sz w:val="24"/>
          <w:szCs w:val="24"/>
        </w:rPr>
        <w:t xml:space="preserve"> </w:t>
      </w:r>
      <w:r w:rsidRPr="001B304D">
        <w:rPr>
          <w:i/>
          <w:sz w:val="24"/>
          <w:szCs w:val="24"/>
        </w:rPr>
        <w:t>Symbolism of Evil</w:t>
      </w:r>
      <w:r w:rsidRPr="001B304D">
        <w:rPr>
          <w:sz w:val="24"/>
          <w:szCs w:val="24"/>
        </w:rPr>
        <w:t xml:space="preserve">. In this work and </w:t>
      </w:r>
      <w:r w:rsidR="00C526E1" w:rsidRPr="001B304D">
        <w:rPr>
          <w:sz w:val="24"/>
          <w:szCs w:val="24"/>
        </w:rPr>
        <w:t>in his later reflection upon it in</w:t>
      </w:r>
      <w:r w:rsidRPr="001B304D">
        <w:rPr>
          <w:sz w:val="24"/>
          <w:szCs w:val="24"/>
        </w:rPr>
        <w:t xml:space="preserve"> </w:t>
      </w:r>
      <w:r w:rsidRPr="001B304D">
        <w:rPr>
          <w:i/>
          <w:sz w:val="24"/>
          <w:szCs w:val="24"/>
        </w:rPr>
        <w:t>The Conflict of Interpretations</w:t>
      </w:r>
      <w:r w:rsidR="007761F6" w:rsidRPr="001B304D">
        <w:rPr>
          <w:i/>
          <w:sz w:val="24"/>
          <w:szCs w:val="24"/>
        </w:rPr>
        <w:t xml:space="preserve"> </w:t>
      </w:r>
      <w:r w:rsidR="004F634D" w:rsidRPr="001B304D">
        <w:rPr>
          <w:sz w:val="24"/>
          <w:szCs w:val="24"/>
        </w:rPr>
        <w:t>(</w:t>
      </w:r>
      <w:r w:rsidR="00C526E1" w:rsidRPr="001B304D">
        <w:rPr>
          <w:sz w:val="24"/>
          <w:szCs w:val="24"/>
        </w:rPr>
        <w:t>287-334</w:t>
      </w:r>
      <w:r w:rsidR="007761F6" w:rsidRPr="001B304D">
        <w:rPr>
          <w:sz w:val="24"/>
          <w:szCs w:val="24"/>
        </w:rPr>
        <w:t>)</w:t>
      </w:r>
      <w:r w:rsidRPr="001B304D">
        <w:rPr>
          <w:sz w:val="24"/>
          <w:szCs w:val="24"/>
        </w:rPr>
        <w:t>, Ricoeur deploys the concept of the symbol as a means</w:t>
      </w:r>
      <w:r w:rsidRPr="001B304D">
        <w:rPr>
          <w:i/>
          <w:sz w:val="24"/>
          <w:szCs w:val="24"/>
        </w:rPr>
        <w:t xml:space="preserve"> </w:t>
      </w:r>
      <w:r w:rsidRPr="001B304D">
        <w:rPr>
          <w:sz w:val="24"/>
          <w:szCs w:val="24"/>
        </w:rPr>
        <w:t xml:space="preserve">to </w:t>
      </w:r>
      <w:r w:rsidR="00BD0067" w:rsidRPr="001B304D">
        <w:rPr>
          <w:sz w:val="24"/>
          <w:szCs w:val="24"/>
        </w:rPr>
        <w:t>immunise</w:t>
      </w:r>
      <w:r w:rsidRPr="001B304D">
        <w:rPr>
          <w:sz w:val="24"/>
          <w:szCs w:val="24"/>
        </w:rPr>
        <w:t xml:space="preserve"> meaning from various forms of scepticism and criticism. The symbol is meaning that has passed through the fire of hermeneutics to </w:t>
      </w:r>
      <w:r w:rsidR="00BD0067" w:rsidRPr="001B304D">
        <w:rPr>
          <w:sz w:val="24"/>
          <w:szCs w:val="24"/>
        </w:rPr>
        <w:t>make possible</w:t>
      </w:r>
      <w:r w:rsidRPr="001B304D">
        <w:rPr>
          <w:sz w:val="24"/>
          <w:szCs w:val="24"/>
        </w:rPr>
        <w:t xml:space="preserve"> ‘a second </w:t>
      </w:r>
      <w:r w:rsidR="00F81173" w:rsidRPr="001B304D">
        <w:rPr>
          <w:sz w:val="24"/>
          <w:szCs w:val="24"/>
        </w:rPr>
        <w:t>na</w:t>
      </w:r>
      <w:r w:rsidR="00F81173" w:rsidRPr="001B304D">
        <w:rPr>
          <w:rFonts w:ascii="Calibri" w:hAnsi="Calibri"/>
          <w:sz w:val="24"/>
          <w:szCs w:val="24"/>
        </w:rPr>
        <w:t>ï</w:t>
      </w:r>
      <w:r w:rsidR="00F81173" w:rsidRPr="001B304D">
        <w:rPr>
          <w:sz w:val="24"/>
          <w:szCs w:val="24"/>
        </w:rPr>
        <w:t>veté’</w:t>
      </w:r>
      <w:r w:rsidR="007761F6" w:rsidRPr="001B304D">
        <w:rPr>
          <w:sz w:val="24"/>
          <w:szCs w:val="24"/>
        </w:rPr>
        <w:t xml:space="preserve"> (</w:t>
      </w:r>
      <w:r w:rsidR="004F634D" w:rsidRPr="001B304D">
        <w:rPr>
          <w:i/>
          <w:sz w:val="24"/>
          <w:szCs w:val="24"/>
        </w:rPr>
        <w:t>Freud and Philosophy</w:t>
      </w:r>
      <w:r w:rsidR="0077700F" w:rsidRPr="001B304D">
        <w:rPr>
          <w:sz w:val="24"/>
          <w:szCs w:val="24"/>
        </w:rPr>
        <w:t xml:space="preserve"> 496</w:t>
      </w:r>
      <w:r w:rsidR="007761F6" w:rsidRPr="001B304D">
        <w:rPr>
          <w:sz w:val="24"/>
          <w:szCs w:val="24"/>
        </w:rPr>
        <w:t>)</w:t>
      </w:r>
      <w:r w:rsidR="00F81173" w:rsidRPr="001B304D">
        <w:rPr>
          <w:sz w:val="24"/>
          <w:szCs w:val="24"/>
        </w:rPr>
        <w:t>. Such post-hermeneutic na</w:t>
      </w:r>
      <w:r w:rsidR="00F81173" w:rsidRPr="001B304D">
        <w:rPr>
          <w:rFonts w:ascii="Calibri" w:hAnsi="Calibri"/>
          <w:sz w:val="24"/>
          <w:szCs w:val="24"/>
        </w:rPr>
        <w:t>ï</w:t>
      </w:r>
      <w:r w:rsidR="00F81173" w:rsidRPr="001B304D">
        <w:rPr>
          <w:sz w:val="24"/>
          <w:szCs w:val="24"/>
        </w:rPr>
        <w:t>veté is</w:t>
      </w:r>
      <w:r w:rsidR="00BD0067" w:rsidRPr="001B304D">
        <w:rPr>
          <w:sz w:val="24"/>
          <w:szCs w:val="24"/>
        </w:rPr>
        <w:t xml:space="preserve"> for Ricoeur</w:t>
      </w:r>
      <w:r w:rsidR="00F81173" w:rsidRPr="001B304D">
        <w:rPr>
          <w:sz w:val="24"/>
          <w:szCs w:val="24"/>
        </w:rPr>
        <w:t xml:space="preserve"> a form of faith, an affirmation </w:t>
      </w:r>
      <w:r w:rsidR="00F81173" w:rsidRPr="001B304D">
        <w:rPr>
          <w:rFonts w:cs="Times New Roman"/>
          <w:sz w:val="24"/>
          <w:szCs w:val="24"/>
        </w:rPr>
        <w:t xml:space="preserve">of the world: </w:t>
      </w:r>
      <w:r w:rsidR="00F81173" w:rsidRPr="001B304D">
        <w:rPr>
          <w:rStyle w:val="apple-converted-space"/>
          <w:rFonts w:cs="Times New Roman"/>
          <w:sz w:val="24"/>
          <w:szCs w:val="24"/>
          <w:shd w:val="clear" w:color="auto" w:fill="FFFFFF"/>
        </w:rPr>
        <w:t>‘</w:t>
      </w:r>
      <w:r w:rsidR="00F81173" w:rsidRPr="001B304D">
        <w:rPr>
          <w:rFonts w:cs="Times New Roman"/>
          <w:iCs/>
          <w:sz w:val="24"/>
          <w:szCs w:val="24"/>
          <w:shd w:val="clear" w:color="auto" w:fill="FFFFFF"/>
        </w:rPr>
        <w:t>Beyond the desert</w:t>
      </w:r>
      <w:r w:rsidR="00F81173" w:rsidRPr="001B304D">
        <w:rPr>
          <w:rStyle w:val="apple-converted-space"/>
          <w:rFonts w:cs="Times New Roman"/>
          <w:iCs/>
          <w:sz w:val="24"/>
          <w:szCs w:val="24"/>
          <w:shd w:val="clear" w:color="auto" w:fill="FFFFFF"/>
        </w:rPr>
        <w:t> </w:t>
      </w:r>
      <w:r w:rsidR="00F81173" w:rsidRPr="001B304D">
        <w:rPr>
          <w:rFonts w:cs="Times New Roman"/>
          <w:iCs/>
          <w:sz w:val="24"/>
          <w:szCs w:val="24"/>
          <w:shd w:val="clear" w:color="auto" w:fill="FFFFFF"/>
        </w:rPr>
        <w:t>of criticism, we wish to be called again.’</w:t>
      </w:r>
      <w:r w:rsidR="00C526E1" w:rsidRPr="001B304D">
        <w:rPr>
          <w:rFonts w:cs="Times New Roman"/>
          <w:iCs/>
          <w:sz w:val="24"/>
          <w:szCs w:val="24"/>
          <w:shd w:val="clear" w:color="auto" w:fill="FFFFFF"/>
        </w:rPr>
        <w:t xml:space="preserve"> (</w:t>
      </w:r>
      <w:r w:rsidR="00215237" w:rsidRPr="001B304D">
        <w:rPr>
          <w:rFonts w:cs="Times New Roman"/>
          <w:i/>
          <w:iCs/>
          <w:sz w:val="24"/>
          <w:szCs w:val="24"/>
          <w:shd w:val="clear" w:color="auto" w:fill="FFFFFF"/>
        </w:rPr>
        <w:t>Symbolism</w:t>
      </w:r>
      <w:r w:rsidR="00C526E1" w:rsidRPr="001B304D">
        <w:rPr>
          <w:rFonts w:cs="Times New Roman"/>
          <w:iCs/>
          <w:sz w:val="24"/>
          <w:szCs w:val="24"/>
          <w:shd w:val="clear" w:color="auto" w:fill="FFFFFF"/>
        </w:rPr>
        <w:t xml:space="preserve"> 349</w:t>
      </w:r>
      <w:r w:rsidR="007761F6" w:rsidRPr="001B304D">
        <w:rPr>
          <w:rFonts w:cs="Times New Roman"/>
          <w:iCs/>
          <w:sz w:val="24"/>
          <w:szCs w:val="24"/>
          <w:shd w:val="clear" w:color="auto" w:fill="FFFFFF"/>
        </w:rPr>
        <w:t>)</w:t>
      </w:r>
      <w:r w:rsidR="00F81173" w:rsidRPr="001B304D">
        <w:rPr>
          <w:rFonts w:cs="Times New Roman"/>
          <w:iCs/>
          <w:sz w:val="24"/>
          <w:szCs w:val="24"/>
          <w:shd w:val="clear" w:color="auto" w:fill="FFFFFF"/>
        </w:rPr>
        <w:t xml:space="preserve"> </w:t>
      </w:r>
      <w:r w:rsidR="0077700F" w:rsidRPr="001B304D">
        <w:rPr>
          <w:rFonts w:cs="Times New Roman"/>
          <w:iCs/>
          <w:sz w:val="24"/>
          <w:szCs w:val="24"/>
          <w:shd w:val="clear" w:color="auto" w:fill="FFFFFF"/>
        </w:rPr>
        <w:t>Indeed, Ricoeur</w:t>
      </w:r>
      <w:r w:rsidR="00F81173" w:rsidRPr="001B304D">
        <w:rPr>
          <w:rFonts w:cs="Times New Roman"/>
          <w:iCs/>
          <w:sz w:val="24"/>
          <w:szCs w:val="24"/>
          <w:shd w:val="clear" w:color="auto" w:fill="FFFFFF"/>
        </w:rPr>
        <w:t xml:space="preserve"> </w:t>
      </w:r>
      <w:r w:rsidR="00BD0067" w:rsidRPr="001B304D">
        <w:rPr>
          <w:rFonts w:cs="Times New Roman"/>
          <w:iCs/>
          <w:sz w:val="24"/>
          <w:szCs w:val="24"/>
          <w:shd w:val="clear" w:color="auto" w:fill="FFFFFF"/>
        </w:rPr>
        <w:t>will describe</w:t>
      </w:r>
      <w:r w:rsidR="00F81173" w:rsidRPr="001B304D">
        <w:rPr>
          <w:rFonts w:cs="Times New Roman"/>
          <w:iCs/>
          <w:sz w:val="24"/>
          <w:szCs w:val="24"/>
          <w:shd w:val="clear" w:color="auto" w:fill="FFFFFF"/>
        </w:rPr>
        <w:t xml:space="preserve"> his own Protestant faith in similar terms as ‘the joy of yes in the sadness of no.’</w:t>
      </w:r>
      <w:r w:rsidR="0077700F" w:rsidRPr="001B304D">
        <w:rPr>
          <w:rFonts w:cs="Times New Roman"/>
          <w:iCs/>
          <w:sz w:val="24"/>
          <w:szCs w:val="24"/>
          <w:shd w:val="clear" w:color="auto" w:fill="FFFFFF"/>
        </w:rPr>
        <w:t xml:space="preserve"> (</w:t>
      </w:r>
      <w:r w:rsidR="004F634D" w:rsidRPr="001B304D">
        <w:rPr>
          <w:rFonts w:cs="Times New Roman"/>
          <w:i/>
          <w:iCs/>
          <w:sz w:val="24"/>
          <w:szCs w:val="24"/>
          <w:shd w:val="clear" w:color="auto" w:fill="FFFFFF"/>
        </w:rPr>
        <w:t>Conviction and Critique</w:t>
      </w:r>
      <w:r w:rsidR="007761F6" w:rsidRPr="001B304D">
        <w:rPr>
          <w:rFonts w:cs="Times New Roman"/>
          <w:iCs/>
          <w:sz w:val="24"/>
          <w:szCs w:val="24"/>
          <w:shd w:val="clear" w:color="auto" w:fill="FFFFFF"/>
        </w:rPr>
        <w:t>)</w:t>
      </w:r>
    </w:p>
    <w:p w:rsidR="009A33D2" w:rsidRPr="001B304D" w:rsidRDefault="00C631C9" w:rsidP="008100A8">
      <w:pPr>
        <w:spacing w:after="0" w:line="480" w:lineRule="auto"/>
        <w:jc w:val="both"/>
        <w:rPr>
          <w:sz w:val="24"/>
          <w:szCs w:val="24"/>
        </w:rPr>
      </w:pPr>
      <w:r w:rsidRPr="001B304D">
        <w:rPr>
          <w:sz w:val="24"/>
          <w:szCs w:val="24"/>
        </w:rPr>
        <w:tab/>
        <w:t>Ricoeur’s thought still remains a live option in contemporary philosophy of religion and is frequently invoked</w:t>
      </w:r>
      <w:r w:rsidR="00E6108A" w:rsidRPr="001B304D">
        <w:rPr>
          <w:sz w:val="24"/>
          <w:szCs w:val="24"/>
        </w:rPr>
        <w:t xml:space="preserve"> (</w:t>
      </w:r>
      <w:r w:rsidR="00FC6FDB" w:rsidRPr="001B304D">
        <w:rPr>
          <w:sz w:val="24"/>
          <w:szCs w:val="24"/>
        </w:rPr>
        <w:t xml:space="preserve">e.g. </w:t>
      </w:r>
      <w:r w:rsidR="00E6108A" w:rsidRPr="001B304D">
        <w:rPr>
          <w:sz w:val="24"/>
          <w:szCs w:val="24"/>
        </w:rPr>
        <w:t>Anderson</w:t>
      </w:r>
      <w:r w:rsidR="007761F6" w:rsidRPr="001B304D">
        <w:rPr>
          <w:sz w:val="24"/>
          <w:szCs w:val="24"/>
        </w:rPr>
        <w:t>,</w:t>
      </w:r>
      <w:r w:rsidR="00E6108A" w:rsidRPr="001B304D">
        <w:rPr>
          <w:sz w:val="24"/>
          <w:szCs w:val="24"/>
        </w:rPr>
        <w:t xml:space="preserve"> Carter, Joy</w:t>
      </w:r>
      <w:r w:rsidR="007761F6" w:rsidRPr="001B304D">
        <w:rPr>
          <w:sz w:val="24"/>
          <w:szCs w:val="24"/>
        </w:rPr>
        <w:t>)</w:t>
      </w:r>
      <w:r w:rsidR="00BD0067" w:rsidRPr="001B304D">
        <w:rPr>
          <w:sz w:val="24"/>
          <w:szCs w:val="24"/>
        </w:rPr>
        <w:t>; n</w:t>
      </w:r>
      <w:r w:rsidRPr="001B304D">
        <w:rPr>
          <w:sz w:val="24"/>
          <w:szCs w:val="24"/>
        </w:rPr>
        <w:t>evertheless</w:t>
      </w:r>
      <w:r w:rsidR="00BD0067" w:rsidRPr="001B304D">
        <w:rPr>
          <w:sz w:val="24"/>
          <w:szCs w:val="24"/>
        </w:rPr>
        <w:t>, his concept of the symbol remains</w:t>
      </w:r>
      <w:r w:rsidRPr="001B304D">
        <w:rPr>
          <w:sz w:val="24"/>
          <w:szCs w:val="24"/>
        </w:rPr>
        <w:t xml:space="preserve"> relatively neglected outside of Ricoeur scholarship</w:t>
      </w:r>
      <w:r w:rsidR="00C63364" w:rsidRPr="001B304D">
        <w:rPr>
          <w:sz w:val="24"/>
          <w:szCs w:val="24"/>
        </w:rPr>
        <w:t>. The same is true of</w:t>
      </w:r>
      <w:r w:rsidR="00BD0067" w:rsidRPr="001B304D">
        <w:rPr>
          <w:sz w:val="24"/>
          <w:szCs w:val="24"/>
        </w:rPr>
        <w:t xml:space="preserve"> </w:t>
      </w:r>
      <w:proofErr w:type="spellStart"/>
      <w:r w:rsidR="00BD0067" w:rsidRPr="001B304D">
        <w:rPr>
          <w:sz w:val="24"/>
          <w:szCs w:val="24"/>
        </w:rPr>
        <w:t>Genette</w:t>
      </w:r>
      <w:proofErr w:type="spellEnd"/>
      <w:r w:rsidR="00BD0067" w:rsidRPr="001B304D">
        <w:rPr>
          <w:sz w:val="24"/>
          <w:szCs w:val="24"/>
        </w:rPr>
        <w:t xml:space="preserve"> and </w:t>
      </w:r>
      <w:proofErr w:type="spellStart"/>
      <w:r w:rsidR="00BD0067" w:rsidRPr="001B304D">
        <w:rPr>
          <w:sz w:val="24"/>
          <w:szCs w:val="24"/>
        </w:rPr>
        <w:t>Todorov’s</w:t>
      </w:r>
      <w:proofErr w:type="spellEnd"/>
      <w:r w:rsidR="00C63364" w:rsidRPr="001B304D">
        <w:rPr>
          <w:sz w:val="24"/>
          <w:szCs w:val="24"/>
        </w:rPr>
        <w:t xml:space="preserve"> late structuralist symbolics which have not been taken up</w:t>
      </w:r>
      <w:r w:rsidR="00BD0067" w:rsidRPr="001B304D">
        <w:rPr>
          <w:sz w:val="24"/>
          <w:szCs w:val="24"/>
        </w:rPr>
        <w:t xml:space="preserve"> at all</w:t>
      </w:r>
      <w:r w:rsidR="00C63364" w:rsidRPr="001B304D">
        <w:rPr>
          <w:sz w:val="24"/>
          <w:szCs w:val="24"/>
        </w:rPr>
        <w:t xml:space="preserve"> in An</w:t>
      </w:r>
      <w:r w:rsidR="00942949" w:rsidRPr="001B304D">
        <w:rPr>
          <w:sz w:val="24"/>
          <w:szCs w:val="24"/>
        </w:rPr>
        <w:t>gl</w:t>
      </w:r>
      <w:r w:rsidR="00501ABC" w:rsidRPr="001B304D">
        <w:rPr>
          <w:sz w:val="24"/>
          <w:szCs w:val="24"/>
        </w:rPr>
        <w:t>ophone philosophy of religion. I</w:t>
      </w:r>
      <w:r w:rsidR="00942949" w:rsidRPr="001B304D">
        <w:rPr>
          <w:sz w:val="24"/>
          <w:szCs w:val="24"/>
        </w:rPr>
        <w:t>ndeed, discussions of the history of religious theorisation of language</w:t>
      </w:r>
      <w:r w:rsidR="00F84742" w:rsidRPr="001B304D">
        <w:rPr>
          <w:sz w:val="24"/>
          <w:szCs w:val="24"/>
        </w:rPr>
        <w:t xml:space="preserve"> within philosophy of religion</w:t>
      </w:r>
      <w:r w:rsidR="00215237" w:rsidRPr="001B304D">
        <w:rPr>
          <w:sz w:val="24"/>
          <w:szCs w:val="24"/>
        </w:rPr>
        <w:t xml:space="preserve"> tend to</w:t>
      </w:r>
      <w:r w:rsidR="00942949" w:rsidRPr="001B304D">
        <w:rPr>
          <w:sz w:val="24"/>
          <w:szCs w:val="24"/>
        </w:rPr>
        <w:t xml:space="preserve"> ignore the c</w:t>
      </w:r>
      <w:r w:rsidR="00F84742" w:rsidRPr="001B304D">
        <w:rPr>
          <w:sz w:val="24"/>
          <w:szCs w:val="24"/>
        </w:rPr>
        <w:t xml:space="preserve">oncept of the symbol altogether, tending, as I mentioned earlier, to </w:t>
      </w:r>
      <w:r w:rsidR="00501ABC" w:rsidRPr="001B304D">
        <w:rPr>
          <w:sz w:val="24"/>
          <w:szCs w:val="24"/>
        </w:rPr>
        <w:t>make use of</w:t>
      </w:r>
      <w:r w:rsidR="00F84742" w:rsidRPr="001B304D">
        <w:rPr>
          <w:sz w:val="24"/>
          <w:szCs w:val="24"/>
        </w:rPr>
        <w:t xml:space="preserve"> concepts such as metaphor and analogy instead. </w:t>
      </w:r>
    </w:p>
    <w:p w:rsidR="00942949" w:rsidRPr="001B304D" w:rsidRDefault="00942949" w:rsidP="008100A8">
      <w:pPr>
        <w:spacing w:after="0" w:line="480" w:lineRule="auto"/>
        <w:rPr>
          <w:sz w:val="24"/>
          <w:szCs w:val="24"/>
        </w:rPr>
      </w:pPr>
    </w:p>
    <w:p w:rsidR="00BD0067" w:rsidRPr="001B304D" w:rsidRDefault="00BD0067" w:rsidP="008100A8">
      <w:pPr>
        <w:spacing w:after="0" w:line="480" w:lineRule="auto"/>
        <w:rPr>
          <w:sz w:val="24"/>
          <w:szCs w:val="24"/>
        </w:rPr>
      </w:pPr>
    </w:p>
    <w:p w:rsidR="005C2962" w:rsidRPr="001B304D" w:rsidRDefault="009A33D2" w:rsidP="008100A8">
      <w:pPr>
        <w:spacing w:after="0" w:line="480" w:lineRule="auto"/>
        <w:rPr>
          <w:sz w:val="24"/>
          <w:szCs w:val="24"/>
          <w:u w:val="single"/>
        </w:rPr>
      </w:pPr>
      <w:r w:rsidRPr="001B304D">
        <w:rPr>
          <w:sz w:val="24"/>
          <w:szCs w:val="24"/>
          <w:u w:val="single"/>
        </w:rPr>
        <w:t>[2</w:t>
      </w:r>
      <w:r w:rsidR="00C41C8D" w:rsidRPr="001B304D">
        <w:rPr>
          <w:sz w:val="24"/>
          <w:szCs w:val="24"/>
          <w:u w:val="single"/>
        </w:rPr>
        <w:t xml:space="preserve">] </w:t>
      </w:r>
      <w:r w:rsidR="005C2962" w:rsidRPr="001B304D">
        <w:rPr>
          <w:sz w:val="24"/>
          <w:szCs w:val="24"/>
          <w:u w:val="single"/>
        </w:rPr>
        <w:t xml:space="preserve">Religious Symbols </w:t>
      </w:r>
      <w:r w:rsidR="00D57CFB" w:rsidRPr="001B304D">
        <w:rPr>
          <w:sz w:val="24"/>
          <w:szCs w:val="24"/>
          <w:u w:val="single"/>
        </w:rPr>
        <w:t>in Practice</w:t>
      </w:r>
      <w:r w:rsidR="00501ABC" w:rsidRPr="001B304D">
        <w:rPr>
          <w:rStyle w:val="FootnoteReference"/>
          <w:sz w:val="24"/>
          <w:szCs w:val="24"/>
          <w:u w:val="single"/>
        </w:rPr>
        <w:footnoteReference w:id="4"/>
      </w:r>
    </w:p>
    <w:p w:rsidR="007761F6" w:rsidRPr="001B304D" w:rsidRDefault="005017AF" w:rsidP="008100A8">
      <w:pPr>
        <w:spacing w:after="0" w:line="480" w:lineRule="auto"/>
        <w:jc w:val="both"/>
        <w:rPr>
          <w:sz w:val="24"/>
          <w:szCs w:val="24"/>
        </w:rPr>
      </w:pPr>
      <w:r w:rsidRPr="001B304D">
        <w:rPr>
          <w:sz w:val="24"/>
          <w:szCs w:val="24"/>
        </w:rPr>
        <w:t>While the history of theories of the symbol is replete with instances that have religious significance, this has not</w:t>
      </w:r>
      <w:r w:rsidR="00215237" w:rsidRPr="001B304D">
        <w:rPr>
          <w:sz w:val="24"/>
          <w:szCs w:val="24"/>
        </w:rPr>
        <w:t xml:space="preserve"> often</w:t>
      </w:r>
      <w:r w:rsidRPr="001B304D">
        <w:rPr>
          <w:sz w:val="24"/>
          <w:szCs w:val="24"/>
        </w:rPr>
        <w:t xml:space="preserve"> proven influential on contemporary philosophy of religion. </w:t>
      </w:r>
      <w:r w:rsidR="004E5BD3" w:rsidRPr="001B304D">
        <w:rPr>
          <w:sz w:val="24"/>
          <w:szCs w:val="24"/>
        </w:rPr>
        <w:t>And of course, t</w:t>
      </w:r>
      <w:r w:rsidR="00501ABC" w:rsidRPr="001B304D">
        <w:rPr>
          <w:sz w:val="24"/>
          <w:szCs w:val="24"/>
        </w:rPr>
        <w:t>his is not surprising since—</w:t>
      </w:r>
      <w:r w:rsidRPr="001B304D">
        <w:rPr>
          <w:sz w:val="24"/>
          <w:szCs w:val="24"/>
        </w:rPr>
        <w:t>as we have seen</w:t>
      </w:r>
      <w:r w:rsidR="004E5BD3" w:rsidRPr="001B304D">
        <w:rPr>
          <w:sz w:val="24"/>
          <w:szCs w:val="24"/>
        </w:rPr>
        <w:t xml:space="preserve"> at length</w:t>
      </w:r>
      <w:r w:rsidR="00501ABC" w:rsidRPr="001B304D">
        <w:rPr>
          <w:sz w:val="24"/>
          <w:szCs w:val="24"/>
        </w:rPr>
        <w:t>—</w:t>
      </w:r>
      <w:r w:rsidRPr="001B304D">
        <w:rPr>
          <w:sz w:val="24"/>
          <w:szCs w:val="24"/>
        </w:rPr>
        <w:t>theories of the religious symbol have occurred in very particular intellectual contexts, the</w:t>
      </w:r>
      <w:r w:rsidR="004E5BD3" w:rsidRPr="001B304D">
        <w:rPr>
          <w:sz w:val="24"/>
          <w:szCs w:val="24"/>
        </w:rPr>
        <w:t xml:space="preserve"> specific</w:t>
      </w:r>
      <w:r w:rsidRPr="001B304D">
        <w:rPr>
          <w:sz w:val="24"/>
          <w:szCs w:val="24"/>
        </w:rPr>
        <w:t xml:space="preserve"> presuppositions</w:t>
      </w:r>
      <w:r w:rsidR="004E5BD3" w:rsidRPr="001B304D">
        <w:rPr>
          <w:sz w:val="24"/>
          <w:szCs w:val="24"/>
        </w:rPr>
        <w:t xml:space="preserve"> and implications</w:t>
      </w:r>
      <w:r w:rsidRPr="001B304D">
        <w:rPr>
          <w:sz w:val="24"/>
          <w:szCs w:val="24"/>
        </w:rPr>
        <w:t xml:space="preserve"> of which are </w:t>
      </w:r>
      <w:r w:rsidR="004E5BD3" w:rsidRPr="001B304D">
        <w:rPr>
          <w:sz w:val="24"/>
          <w:szCs w:val="24"/>
        </w:rPr>
        <w:t>alien</w:t>
      </w:r>
      <w:r w:rsidRPr="001B304D">
        <w:rPr>
          <w:sz w:val="24"/>
          <w:szCs w:val="24"/>
        </w:rPr>
        <w:t xml:space="preserve"> to much contemporary philosophy of religion. It would be</w:t>
      </w:r>
      <w:r w:rsidR="004E5BD3" w:rsidRPr="001B304D">
        <w:rPr>
          <w:sz w:val="24"/>
          <w:szCs w:val="24"/>
        </w:rPr>
        <w:t xml:space="preserve"> very surprising indeed</w:t>
      </w:r>
      <w:r w:rsidRPr="001B304D">
        <w:rPr>
          <w:sz w:val="24"/>
          <w:szCs w:val="24"/>
        </w:rPr>
        <w:t xml:space="preserve"> to find </w:t>
      </w:r>
      <w:proofErr w:type="spellStart"/>
      <w:r w:rsidRPr="001B304D">
        <w:rPr>
          <w:sz w:val="24"/>
          <w:szCs w:val="24"/>
        </w:rPr>
        <w:t>Todorov</w:t>
      </w:r>
      <w:r w:rsidR="009718CE" w:rsidRPr="001B304D">
        <w:rPr>
          <w:sz w:val="24"/>
          <w:szCs w:val="24"/>
        </w:rPr>
        <w:t>’s</w:t>
      </w:r>
      <w:proofErr w:type="spellEnd"/>
      <w:r w:rsidRPr="001B304D">
        <w:rPr>
          <w:sz w:val="24"/>
          <w:szCs w:val="24"/>
        </w:rPr>
        <w:t xml:space="preserve"> or </w:t>
      </w:r>
      <w:r w:rsidR="009718CE" w:rsidRPr="001B304D">
        <w:rPr>
          <w:sz w:val="24"/>
          <w:szCs w:val="24"/>
        </w:rPr>
        <w:t>Goethe</w:t>
      </w:r>
      <w:r w:rsidRPr="001B304D">
        <w:rPr>
          <w:sz w:val="24"/>
          <w:szCs w:val="24"/>
        </w:rPr>
        <w:t>’s work suddenly become popular among philosophers of r</w:t>
      </w:r>
      <w:r w:rsidR="00501ABC" w:rsidRPr="001B304D">
        <w:rPr>
          <w:sz w:val="24"/>
          <w:szCs w:val="24"/>
        </w:rPr>
        <w:t>eligion. Nevertheless, there is</w:t>
      </w:r>
      <w:r w:rsidR="00215237" w:rsidRPr="001B304D">
        <w:rPr>
          <w:sz w:val="24"/>
          <w:szCs w:val="24"/>
        </w:rPr>
        <w:t xml:space="preserve"> a good</w:t>
      </w:r>
      <w:r w:rsidRPr="001B304D">
        <w:rPr>
          <w:sz w:val="24"/>
          <w:szCs w:val="24"/>
        </w:rPr>
        <w:t xml:space="preserve"> reason why the concept of the symbol should still be </w:t>
      </w:r>
      <w:r w:rsidR="004E5BD3" w:rsidRPr="001B304D">
        <w:rPr>
          <w:sz w:val="24"/>
          <w:szCs w:val="24"/>
        </w:rPr>
        <w:t>of issue</w:t>
      </w:r>
      <w:r w:rsidRPr="001B304D">
        <w:rPr>
          <w:sz w:val="24"/>
          <w:szCs w:val="24"/>
        </w:rPr>
        <w:t xml:space="preserve"> in philosophy of religion</w:t>
      </w:r>
      <w:r w:rsidR="00683179" w:rsidRPr="001B304D">
        <w:rPr>
          <w:sz w:val="24"/>
          <w:szCs w:val="24"/>
        </w:rPr>
        <w:t>—</w:t>
      </w:r>
      <w:r w:rsidRPr="001B304D">
        <w:rPr>
          <w:sz w:val="24"/>
          <w:szCs w:val="24"/>
        </w:rPr>
        <w:t xml:space="preserve">and that is its current </w:t>
      </w:r>
      <w:r w:rsidR="004E5BD3" w:rsidRPr="001B304D">
        <w:rPr>
          <w:sz w:val="24"/>
          <w:szCs w:val="24"/>
        </w:rPr>
        <w:t>importance</w:t>
      </w:r>
      <w:r w:rsidRPr="001B304D">
        <w:rPr>
          <w:sz w:val="24"/>
          <w:szCs w:val="24"/>
        </w:rPr>
        <w:t xml:space="preserve"> in public and legal discourse on religion. Theories of the religious symbol are important because debates about religious symbolism </w:t>
      </w:r>
      <w:r w:rsidR="007013F3" w:rsidRPr="001B304D">
        <w:rPr>
          <w:sz w:val="24"/>
          <w:szCs w:val="24"/>
        </w:rPr>
        <w:t xml:space="preserve">frequently </w:t>
      </w:r>
      <w:r w:rsidRPr="001B304D">
        <w:rPr>
          <w:sz w:val="24"/>
          <w:szCs w:val="24"/>
        </w:rPr>
        <w:t xml:space="preserve">dominate </w:t>
      </w:r>
      <w:r w:rsidR="007013F3" w:rsidRPr="001B304D">
        <w:rPr>
          <w:sz w:val="24"/>
          <w:szCs w:val="24"/>
        </w:rPr>
        <w:t>popular understandings of the place of religion in contemporary society.</w:t>
      </w:r>
      <w:r w:rsidR="007761F6" w:rsidRPr="001B304D">
        <w:rPr>
          <w:sz w:val="24"/>
          <w:szCs w:val="24"/>
        </w:rPr>
        <w:t xml:space="preserve"> </w:t>
      </w:r>
    </w:p>
    <w:p w:rsidR="00AB5527" w:rsidRPr="001B304D" w:rsidRDefault="009718CE" w:rsidP="008100A8">
      <w:pPr>
        <w:spacing w:after="0" w:line="480" w:lineRule="auto"/>
        <w:jc w:val="both"/>
        <w:rPr>
          <w:sz w:val="24"/>
          <w:szCs w:val="24"/>
        </w:rPr>
      </w:pPr>
      <w:r w:rsidRPr="001B304D">
        <w:rPr>
          <w:sz w:val="24"/>
          <w:szCs w:val="24"/>
        </w:rPr>
        <w:tab/>
        <w:t>In the UK,</w:t>
      </w:r>
      <w:r w:rsidR="004E5BD3" w:rsidRPr="001B304D">
        <w:rPr>
          <w:sz w:val="24"/>
          <w:szCs w:val="24"/>
        </w:rPr>
        <w:t xml:space="preserve"> the visibility of discussions concerning</w:t>
      </w:r>
      <w:r w:rsidRPr="001B304D">
        <w:rPr>
          <w:sz w:val="24"/>
          <w:szCs w:val="24"/>
        </w:rPr>
        <w:t xml:space="preserve"> religious symbols reached its peak in 2012 and 2013 in the wake of the court cases surrounding Nadia </w:t>
      </w:r>
      <w:proofErr w:type="spellStart"/>
      <w:r w:rsidRPr="001B304D">
        <w:rPr>
          <w:sz w:val="24"/>
          <w:szCs w:val="24"/>
        </w:rPr>
        <w:t>Eweida</w:t>
      </w:r>
      <w:proofErr w:type="spellEnd"/>
      <w:r w:rsidRPr="001B304D">
        <w:rPr>
          <w:sz w:val="24"/>
          <w:szCs w:val="24"/>
        </w:rPr>
        <w:t xml:space="preserve"> and Shirley Chaplin. </w:t>
      </w:r>
      <w:r w:rsidR="003D2CE8" w:rsidRPr="001B304D">
        <w:rPr>
          <w:sz w:val="24"/>
          <w:szCs w:val="24"/>
        </w:rPr>
        <w:t>Both faced dismissal from their workplace for wearing religious symbols. The subsequent debate involved open letters from the former Archbishop of Canterbury and other leading Anglicans</w:t>
      </w:r>
      <w:r w:rsidR="00E6108A" w:rsidRPr="001B304D">
        <w:rPr>
          <w:sz w:val="24"/>
          <w:szCs w:val="24"/>
        </w:rPr>
        <w:t xml:space="preserve"> (Lord Carey et al.</w:t>
      </w:r>
      <w:r w:rsidR="007761F6" w:rsidRPr="001B304D">
        <w:rPr>
          <w:sz w:val="24"/>
          <w:szCs w:val="24"/>
        </w:rPr>
        <w:t>)</w:t>
      </w:r>
      <w:r w:rsidR="003D2CE8" w:rsidRPr="001B304D">
        <w:rPr>
          <w:sz w:val="24"/>
          <w:szCs w:val="24"/>
        </w:rPr>
        <w:t>, vitriolic responses from the National Secular Society</w:t>
      </w:r>
      <w:r w:rsidR="00E6108A" w:rsidRPr="001B304D">
        <w:rPr>
          <w:sz w:val="24"/>
          <w:szCs w:val="24"/>
        </w:rPr>
        <w:t xml:space="preserve"> (NSS, Sanderson</w:t>
      </w:r>
      <w:r w:rsidR="007761F6" w:rsidRPr="001B304D">
        <w:rPr>
          <w:sz w:val="24"/>
          <w:szCs w:val="24"/>
        </w:rPr>
        <w:t>)</w:t>
      </w:r>
      <w:r w:rsidR="003D2CE8" w:rsidRPr="001B304D">
        <w:rPr>
          <w:sz w:val="24"/>
          <w:szCs w:val="24"/>
        </w:rPr>
        <w:t>,</w:t>
      </w:r>
      <w:r w:rsidR="004A1761" w:rsidRPr="001B304D">
        <w:rPr>
          <w:sz w:val="24"/>
          <w:szCs w:val="24"/>
        </w:rPr>
        <w:t xml:space="preserve"> damning interventions by Cardinal Kasper</w:t>
      </w:r>
      <w:r w:rsidR="00E6108A" w:rsidRPr="001B304D">
        <w:rPr>
          <w:sz w:val="24"/>
          <w:szCs w:val="24"/>
        </w:rPr>
        <w:t xml:space="preserve"> (Squire</w:t>
      </w:r>
      <w:r w:rsidR="007761F6" w:rsidRPr="001B304D">
        <w:rPr>
          <w:sz w:val="24"/>
          <w:szCs w:val="24"/>
        </w:rPr>
        <w:t>) an</w:t>
      </w:r>
      <w:r w:rsidR="00E351B6" w:rsidRPr="001B304D">
        <w:rPr>
          <w:sz w:val="24"/>
          <w:szCs w:val="24"/>
        </w:rPr>
        <w:t>d Cardi</w:t>
      </w:r>
      <w:r w:rsidR="00E6108A" w:rsidRPr="001B304D">
        <w:rPr>
          <w:sz w:val="24"/>
          <w:szCs w:val="24"/>
        </w:rPr>
        <w:t>n</w:t>
      </w:r>
      <w:r w:rsidR="00E351B6" w:rsidRPr="001B304D">
        <w:rPr>
          <w:sz w:val="24"/>
          <w:szCs w:val="24"/>
        </w:rPr>
        <w:t>al</w:t>
      </w:r>
      <w:r w:rsidR="00E6108A" w:rsidRPr="001B304D">
        <w:rPr>
          <w:sz w:val="24"/>
          <w:szCs w:val="24"/>
        </w:rPr>
        <w:t xml:space="preserve"> O’Brien (BBC News</w:t>
      </w:r>
      <w:r w:rsidR="007761F6" w:rsidRPr="001B304D">
        <w:rPr>
          <w:sz w:val="24"/>
          <w:szCs w:val="24"/>
        </w:rPr>
        <w:t>)</w:t>
      </w:r>
      <w:r w:rsidR="004A1761" w:rsidRPr="001B304D">
        <w:rPr>
          <w:sz w:val="24"/>
          <w:szCs w:val="24"/>
        </w:rPr>
        <w:t>,</w:t>
      </w:r>
      <w:r w:rsidR="003D2CE8" w:rsidRPr="001B304D">
        <w:rPr>
          <w:sz w:val="24"/>
          <w:szCs w:val="24"/>
        </w:rPr>
        <w:t xml:space="preserve"> as well as opinion pieces and tweets from leading politicians</w:t>
      </w:r>
      <w:r w:rsidR="00E6108A" w:rsidRPr="001B304D">
        <w:rPr>
          <w:sz w:val="24"/>
          <w:szCs w:val="24"/>
        </w:rPr>
        <w:t xml:space="preserve"> (Cameron, Johnson</w:t>
      </w:r>
      <w:r w:rsidR="007761F6" w:rsidRPr="001B304D">
        <w:rPr>
          <w:sz w:val="24"/>
          <w:szCs w:val="24"/>
        </w:rPr>
        <w:t>)</w:t>
      </w:r>
      <w:r w:rsidR="003D2CE8" w:rsidRPr="001B304D">
        <w:rPr>
          <w:sz w:val="24"/>
          <w:szCs w:val="24"/>
        </w:rPr>
        <w:t>.</w:t>
      </w:r>
      <w:r w:rsidR="00236AF9" w:rsidRPr="001B304D">
        <w:rPr>
          <w:sz w:val="24"/>
          <w:szCs w:val="24"/>
        </w:rPr>
        <w:t xml:space="preserve"> In February 2012 the Christians in Parliament group published </w:t>
      </w:r>
      <w:proofErr w:type="gramStart"/>
      <w:r w:rsidR="00236AF9" w:rsidRPr="001B304D">
        <w:rPr>
          <w:i/>
          <w:sz w:val="24"/>
          <w:szCs w:val="24"/>
        </w:rPr>
        <w:t>Clearing</w:t>
      </w:r>
      <w:proofErr w:type="gramEnd"/>
      <w:r w:rsidR="00236AF9" w:rsidRPr="001B304D">
        <w:rPr>
          <w:i/>
          <w:sz w:val="24"/>
          <w:szCs w:val="24"/>
        </w:rPr>
        <w:t xml:space="preserve"> the Ground: A Preliminary Report into the Freedom of Christians in the UK</w:t>
      </w:r>
      <w:r w:rsidR="00236AF9" w:rsidRPr="001B304D">
        <w:rPr>
          <w:sz w:val="24"/>
          <w:szCs w:val="24"/>
        </w:rPr>
        <w:t xml:space="preserve"> concluding that it was ‘problematic’ that courts do not make ‘allowance for [symbols] that might be widely </w:t>
      </w:r>
      <w:r w:rsidR="00236AF9" w:rsidRPr="001B304D">
        <w:rPr>
          <w:sz w:val="24"/>
          <w:szCs w:val="24"/>
        </w:rPr>
        <w:lastRenderedPageBreak/>
        <w:t>chosen to express identity with a faith but are not required by it.’</w:t>
      </w:r>
      <w:r w:rsidR="00E6108A" w:rsidRPr="001B304D">
        <w:rPr>
          <w:sz w:val="24"/>
          <w:szCs w:val="24"/>
        </w:rPr>
        <w:t xml:space="preserve"> (</w:t>
      </w:r>
      <w:r w:rsidR="009912B9" w:rsidRPr="001B304D">
        <w:rPr>
          <w:sz w:val="24"/>
          <w:szCs w:val="24"/>
        </w:rPr>
        <w:t>15)</w:t>
      </w:r>
      <w:r w:rsidR="003D2CE8" w:rsidRPr="001B304D">
        <w:rPr>
          <w:sz w:val="24"/>
          <w:szCs w:val="24"/>
        </w:rPr>
        <w:t xml:space="preserve"> In mainland Europe, there had been a similar outcry over the case of </w:t>
      </w:r>
      <w:r w:rsidR="003D2CE8" w:rsidRPr="001B304D">
        <w:rPr>
          <w:i/>
          <w:sz w:val="24"/>
          <w:szCs w:val="24"/>
        </w:rPr>
        <w:t>Lautsi v Italy</w:t>
      </w:r>
      <w:r w:rsidR="003D2CE8" w:rsidRPr="001B304D">
        <w:rPr>
          <w:sz w:val="24"/>
          <w:szCs w:val="24"/>
        </w:rPr>
        <w:t xml:space="preserve"> </w:t>
      </w:r>
      <w:r w:rsidR="00E351B6" w:rsidRPr="001B304D">
        <w:rPr>
          <w:sz w:val="24"/>
          <w:szCs w:val="24"/>
        </w:rPr>
        <w:t xml:space="preserve">heard </w:t>
      </w:r>
      <w:r w:rsidR="003D2CE8" w:rsidRPr="001B304D">
        <w:rPr>
          <w:sz w:val="24"/>
          <w:szCs w:val="24"/>
        </w:rPr>
        <w:t>at the Europea</w:t>
      </w:r>
      <w:r w:rsidR="009912B9" w:rsidRPr="001B304D">
        <w:rPr>
          <w:sz w:val="24"/>
          <w:szCs w:val="24"/>
        </w:rPr>
        <w:t>n Court of Human Rights in 2009</w:t>
      </w:r>
      <w:r w:rsidR="003D2CE8" w:rsidRPr="001B304D">
        <w:rPr>
          <w:sz w:val="24"/>
          <w:szCs w:val="24"/>
        </w:rPr>
        <w:t xml:space="preserve">. By the time it was retried before the Grand Chamber in 2011, the </w:t>
      </w:r>
      <w:r w:rsidR="004A1761" w:rsidRPr="001B304D">
        <w:rPr>
          <w:sz w:val="24"/>
          <w:szCs w:val="24"/>
        </w:rPr>
        <w:t>original judgment had been denounced by the Vatican, the Polish Catholic Church, the Greek Orthodox Church and the Patriarch of Moscow. Ten national governments within the Council of Europe intervened with third-party submissions at the Grand Chamber hearing, and ten others announced that they were officially opposed to the original judgment.</w:t>
      </w:r>
      <w:r w:rsidR="007761F6" w:rsidRPr="001B304D">
        <w:rPr>
          <w:rStyle w:val="FootnoteReference"/>
          <w:sz w:val="24"/>
          <w:szCs w:val="24"/>
        </w:rPr>
        <w:footnoteReference w:id="5"/>
      </w:r>
    </w:p>
    <w:p w:rsidR="00DA590D" w:rsidRPr="001B304D" w:rsidRDefault="00046D7B" w:rsidP="008100A8">
      <w:pPr>
        <w:spacing w:after="0" w:line="480" w:lineRule="auto"/>
        <w:jc w:val="both"/>
        <w:rPr>
          <w:sz w:val="24"/>
          <w:szCs w:val="24"/>
        </w:rPr>
      </w:pPr>
      <w:r w:rsidRPr="001B304D">
        <w:rPr>
          <w:sz w:val="24"/>
          <w:szCs w:val="24"/>
        </w:rPr>
        <w:tab/>
        <w:t xml:space="preserve">In response to the constant public </w:t>
      </w:r>
      <w:r w:rsidR="00E72434" w:rsidRPr="001B304D">
        <w:rPr>
          <w:sz w:val="24"/>
          <w:szCs w:val="24"/>
        </w:rPr>
        <w:t>and legal discussion of</w:t>
      </w:r>
      <w:r w:rsidR="00501ABC" w:rsidRPr="001B304D">
        <w:rPr>
          <w:sz w:val="24"/>
          <w:szCs w:val="24"/>
        </w:rPr>
        <w:t xml:space="preserve"> religious symbols, philosophers of religion need</w:t>
      </w:r>
      <w:r w:rsidRPr="001B304D">
        <w:rPr>
          <w:sz w:val="24"/>
          <w:szCs w:val="24"/>
        </w:rPr>
        <w:t xml:space="preserve"> to have something to say.</w:t>
      </w:r>
      <w:r w:rsidR="00DA590D" w:rsidRPr="001B304D">
        <w:rPr>
          <w:sz w:val="24"/>
          <w:szCs w:val="24"/>
        </w:rPr>
        <w:t xml:space="preserve"> There are, moreover, three reasons why philosophers of religion </w:t>
      </w:r>
      <w:r w:rsidR="00DA590D" w:rsidRPr="001B304D">
        <w:rPr>
          <w:i/>
          <w:sz w:val="24"/>
          <w:szCs w:val="24"/>
        </w:rPr>
        <w:t>should</w:t>
      </w:r>
      <w:r w:rsidR="00DA590D" w:rsidRPr="001B304D">
        <w:rPr>
          <w:sz w:val="24"/>
          <w:szCs w:val="24"/>
        </w:rPr>
        <w:t xml:space="preserve"> have something to say:</w:t>
      </w:r>
      <w:r w:rsidRPr="001B304D">
        <w:rPr>
          <w:sz w:val="24"/>
          <w:szCs w:val="24"/>
        </w:rPr>
        <w:t xml:space="preserve"> </w:t>
      </w:r>
    </w:p>
    <w:p w:rsidR="00A13041" w:rsidRPr="001B304D" w:rsidRDefault="00DA590D" w:rsidP="008100A8">
      <w:pPr>
        <w:pStyle w:val="ListParagraph"/>
        <w:numPr>
          <w:ilvl w:val="0"/>
          <w:numId w:val="4"/>
        </w:numPr>
        <w:spacing w:after="0" w:line="480" w:lineRule="auto"/>
        <w:jc w:val="both"/>
        <w:rPr>
          <w:sz w:val="24"/>
          <w:szCs w:val="24"/>
        </w:rPr>
      </w:pPr>
      <w:r w:rsidRPr="001B304D">
        <w:rPr>
          <w:sz w:val="24"/>
          <w:szCs w:val="24"/>
        </w:rPr>
        <w:t xml:space="preserve">First, there is </w:t>
      </w:r>
      <w:r w:rsidR="00046D7B" w:rsidRPr="001B304D">
        <w:rPr>
          <w:sz w:val="24"/>
          <w:szCs w:val="24"/>
        </w:rPr>
        <w:t xml:space="preserve">the conceptual work already at play in the legal judgments themselves. As I want to go on and </w:t>
      </w:r>
      <w:r w:rsidR="007761F6" w:rsidRPr="001B304D">
        <w:rPr>
          <w:sz w:val="24"/>
          <w:szCs w:val="24"/>
        </w:rPr>
        <w:t xml:space="preserve">illustrate </w:t>
      </w:r>
      <w:r w:rsidR="00E72434" w:rsidRPr="001B304D">
        <w:rPr>
          <w:sz w:val="24"/>
          <w:szCs w:val="24"/>
        </w:rPr>
        <w:t>later in this review-article</w:t>
      </w:r>
      <w:r w:rsidR="00046D7B" w:rsidRPr="001B304D">
        <w:rPr>
          <w:sz w:val="24"/>
          <w:szCs w:val="24"/>
        </w:rPr>
        <w:t>, these judgments already attempt to distinguish between religion as belie</w:t>
      </w:r>
      <w:r w:rsidR="00501ABC" w:rsidRPr="001B304D">
        <w:rPr>
          <w:sz w:val="24"/>
          <w:szCs w:val="24"/>
        </w:rPr>
        <w:t>f and religion as practice, and—on the basis of this—</w:t>
      </w:r>
      <w:r w:rsidR="00046D7B" w:rsidRPr="001B304D">
        <w:rPr>
          <w:sz w:val="24"/>
          <w:szCs w:val="24"/>
        </w:rPr>
        <w:t>set up a number of models for understanding the belief-practice relation. Expression, motivation and manifestation are just a few of the concepts employed to describe different ways in which practices can be der</w:t>
      </w:r>
      <w:r w:rsidR="00501ABC" w:rsidRPr="001B304D">
        <w:rPr>
          <w:sz w:val="24"/>
          <w:szCs w:val="24"/>
        </w:rPr>
        <w:t>ivative of</w:t>
      </w:r>
      <w:r w:rsidR="00046D7B" w:rsidRPr="001B304D">
        <w:rPr>
          <w:sz w:val="24"/>
          <w:szCs w:val="24"/>
        </w:rPr>
        <w:t xml:space="preserve"> prior beliefs.</w:t>
      </w:r>
      <w:r w:rsidR="004A1761" w:rsidRPr="001B304D">
        <w:rPr>
          <w:sz w:val="24"/>
          <w:szCs w:val="24"/>
        </w:rPr>
        <w:t xml:space="preserve"> </w:t>
      </w:r>
      <w:r w:rsidR="00E72434" w:rsidRPr="001B304D">
        <w:rPr>
          <w:sz w:val="24"/>
          <w:szCs w:val="24"/>
        </w:rPr>
        <w:t>Such conceptual models can quite evidently be put into productive dialogue with philosophical frameworks for intention, action and expression—and the philosophy of religion could have an important role to play in facilitating this dialogue.</w:t>
      </w:r>
    </w:p>
    <w:p w:rsidR="00046D7B" w:rsidRPr="001B304D" w:rsidRDefault="00DA590D" w:rsidP="008100A8">
      <w:pPr>
        <w:pStyle w:val="ListParagraph"/>
        <w:numPr>
          <w:ilvl w:val="0"/>
          <w:numId w:val="4"/>
        </w:numPr>
        <w:spacing w:after="0" w:line="480" w:lineRule="auto"/>
        <w:jc w:val="both"/>
        <w:rPr>
          <w:sz w:val="24"/>
          <w:szCs w:val="24"/>
        </w:rPr>
      </w:pPr>
      <w:r w:rsidRPr="001B304D">
        <w:rPr>
          <w:sz w:val="24"/>
          <w:szCs w:val="24"/>
        </w:rPr>
        <w:t>Second</w:t>
      </w:r>
      <w:r w:rsidR="004A1761" w:rsidRPr="001B304D">
        <w:rPr>
          <w:sz w:val="24"/>
          <w:szCs w:val="24"/>
        </w:rPr>
        <w:t xml:space="preserve">, research on </w:t>
      </w:r>
      <w:r w:rsidR="00E72434" w:rsidRPr="001B304D">
        <w:rPr>
          <w:sz w:val="24"/>
          <w:szCs w:val="24"/>
        </w:rPr>
        <w:t>such public debates concerning</w:t>
      </w:r>
      <w:r w:rsidR="004A1761" w:rsidRPr="001B304D">
        <w:rPr>
          <w:sz w:val="24"/>
          <w:szCs w:val="24"/>
        </w:rPr>
        <w:t xml:space="preserve"> religious symbolism </w:t>
      </w:r>
      <w:r w:rsidR="00305295" w:rsidRPr="001B304D">
        <w:rPr>
          <w:sz w:val="24"/>
          <w:szCs w:val="24"/>
        </w:rPr>
        <w:t>can come into fruitful dialogue with already-</w:t>
      </w:r>
      <w:r w:rsidR="004A1761" w:rsidRPr="001B304D">
        <w:rPr>
          <w:sz w:val="24"/>
          <w:szCs w:val="24"/>
        </w:rPr>
        <w:t xml:space="preserve">existing research areas in </w:t>
      </w:r>
      <w:r w:rsidR="00305295" w:rsidRPr="001B304D">
        <w:rPr>
          <w:sz w:val="24"/>
          <w:szCs w:val="24"/>
        </w:rPr>
        <w:t>philosophy of religion</w:t>
      </w:r>
      <w:r w:rsidR="00E72434" w:rsidRPr="001B304D">
        <w:rPr>
          <w:sz w:val="24"/>
          <w:szCs w:val="24"/>
        </w:rPr>
        <w:t>—that is, it could prove to be</w:t>
      </w:r>
      <w:r w:rsidR="004A1761" w:rsidRPr="001B304D">
        <w:rPr>
          <w:sz w:val="24"/>
          <w:szCs w:val="24"/>
        </w:rPr>
        <w:t xml:space="preserve"> a means of enriching debates around the status of religious reasons in the public sphere</w:t>
      </w:r>
      <w:r w:rsidR="00A13041" w:rsidRPr="001B304D">
        <w:rPr>
          <w:sz w:val="24"/>
          <w:szCs w:val="24"/>
        </w:rPr>
        <w:t xml:space="preserve"> (see, classica</w:t>
      </w:r>
      <w:r w:rsidR="00E6108A" w:rsidRPr="001B304D">
        <w:rPr>
          <w:sz w:val="24"/>
          <w:szCs w:val="24"/>
        </w:rPr>
        <w:t xml:space="preserve">lly, Audi and </w:t>
      </w:r>
      <w:proofErr w:type="spellStart"/>
      <w:r w:rsidR="00E6108A" w:rsidRPr="001B304D">
        <w:rPr>
          <w:sz w:val="24"/>
          <w:szCs w:val="24"/>
        </w:rPr>
        <w:t>Wolterstorff</w:t>
      </w:r>
      <w:proofErr w:type="spellEnd"/>
      <w:r w:rsidR="00E72434" w:rsidRPr="001B304D">
        <w:rPr>
          <w:sz w:val="24"/>
          <w:szCs w:val="24"/>
        </w:rPr>
        <w:t>)</w:t>
      </w:r>
      <w:r w:rsidR="004A1761" w:rsidRPr="001B304D">
        <w:rPr>
          <w:sz w:val="24"/>
          <w:szCs w:val="24"/>
        </w:rPr>
        <w:t xml:space="preserve">, as well as </w:t>
      </w:r>
      <w:r w:rsidRPr="001B304D">
        <w:rPr>
          <w:sz w:val="24"/>
          <w:szCs w:val="24"/>
        </w:rPr>
        <w:lastRenderedPageBreak/>
        <w:t>c</w:t>
      </w:r>
      <w:r w:rsidR="00305295" w:rsidRPr="001B304D">
        <w:rPr>
          <w:sz w:val="24"/>
          <w:szCs w:val="24"/>
        </w:rPr>
        <w:t>ompeting conceptions of secular and</w:t>
      </w:r>
      <w:r w:rsidRPr="001B304D">
        <w:rPr>
          <w:sz w:val="24"/>
          <w:szCs w:val="24"/>
        </w:rPr>
        <w:t xml:space="preserve"> post-secular societies</w:t>
      </w:r>
      <w:r w:rsidR="00E6108A" w:rsidRPr="001B304D">
        <w:rPr>
          <w:sz w:val="24"/>
          <w:szCs w:val="24"/>
        </w:rPr>
        <w:t xml:space="preserve"> (</w:t>
      </w:r>
      <w:proofErr w:type="spellStart"/>
      <w:r w:rsidR="00E6108A" w:rsidRPr="001B304D">
        <w:rPr>
          <w:sz w:val="24"/>
          <w:szCs w:val="24"/>
        </w:rPr>
        <w:t>Asad</w:t>
      </w:r>
      <w:proofErr w:type="spellEnd"/>
      <w:r w:rsidR="00E6108A" w:rsidRPr="001B304D">
        <w:rPr>
          <w:sz w:val="24"/>
          <w:szCs w:val="24"/>
        </w:rPr>
        <w:t>, Brown and Butler</w:t>
      </w:r>
      <w:r w:rsidR="00A13041" w:rsidRPr="001B304D">
        <w:rPr>
          <w:sz w:val="24"/>
          <w:szCs w:val="24"/>
        </w:rPr>
        <w:t xml:space="preserve">). </w:t>
      </w:r>
      <w:r w:rsidR="00305295" w:rsidRPr="001B304D">
        <w:rPr>
          <w:sz w:val="24"/>
          <w:szCs w:val="24"/>
        </w:rPr>
        <w:t xml:space="preserve">Moreover, this is true of other areas of philosophy too: the </w:t>
      </w:r>
      <w:r w:rsidR="00305295" w:rsidRPr="001B304D">
        <w:rPr>
          <w:i/>
          <w:sz w:val="24"/>
          <w:szCs w:val="24"/>
        </w:rPr>
        <w:t>affaire de foulard</w:t>
      </w:r>
      <w:r w:rsidR="00E72434" w:rsidRPr="001B304D">
        <w:rPr>
          <w:sz w:val="24"/>
          <w:szCs w:val="24"/>
        </w:rPr>
        <w:t>, for example, has provoked</w:t>
      </w:r>
      <w:r w:rsidR="00305295" w:rsidRPr="001B304D">
        <w:rPr>
          <w:sz w:val="24"/>
          <w:szCs w:val="24"/>
        </w:rPr>
        <w:t xml:space="preserve"> much work in philosophical anthropology and elsewhere</w:t>
      </w:r>
      <w:r w:rsidR="00E6108A" w:rsidRPr="001B304D">
        <w:rPr>
          <w:sz w:val="24"/>
          <w:szCs w:val="24"/>
        </w:rPr>
        <w:t xml:space="preserve"> </w:t>
      </w:r>
      <w:r w:rsidR="00305295" w:rsidRPr="001B304D">
        <w:rPr>
          <w:sz w:val="24"/>
          <w:szCs w:val="24"/>
        </w:rPr>
        <w:t>on the veil as a symbol in the public sphere and, more generally, discrimination against Muslim women</w:t>
      </w:r>
      <w:r w:rsidR="00501ABC" w:rsidRPr="001B304D">
        <w:rPr>
          <w:sz w:val="24"/>
          <w:szCs w:val="24"/>
        </w:rPr>
        <w:t xml:space="preserve"> (Badiou, </w:t>
      </w:r>
      <w:proofErr w:type="spellStart"/>
      <w:r w:rsidR="00501ABC" w:rsidRPr="001B304D">
        <w:rPr>
          <w:sz w:val="24"/>
          <w:szCs w:val="24"/>
        </w:rPr>
        <w:t>Benhabib</w:t>
      </w:r>
      <w:proofErr w:type="spellEnd"/>
      <w:r w:rsidR="00501ABC" w:rsidRPr="001B304D">
        <w:rPr>
          <w:sz w:val="24"/>
          <w:szCs w:val="24"/>
        </w:rPr>
        <w:t xml:space="preserve">, </w:t>
      </w:r>
      <w:proofErr w:type="spellStart"/>
      <w:r w:rsidR="00501ABC" w:rsidRPr="001B304D">
        <w:rPr>
          <w:sz w:val="24"/>
          <w:szCs w:val="24"/>
        </w:rPr>
        <w:t>Davids</w:t>
      </w:r>
      <w:proofErr w:type="spellEnd"/>
      <w:r w:rsidR="00501ABC" w:rsidRPr="001B304D">
        <w:rPr>
          <w:sz w:val="24"/>
          <w:szCs w:val="24"/>
        </w:rPr>
        <w:t>, Roy)</w:t>
      </w:r>
      <w:r w:rsidR="00305295" w:rsidRPr="001B304D">
        <w:rPr>
          <w:sz w:val="24"/>
          <w:szCs w:val="24"/>
        </w:rPr>
        <w:t>. In political philosophy, it is worth picking out the work o</w:t>
      </w:r>
      <w:r w:rsidR="00215237" w:rsidRPr="001B304D">
        <w:rPr>
          <w:sz w:val="24"/>
          <w:szCs w:val="24"/>
        </w:rPr>
        <w:t xml:space="preserve">f Cécile </w:t>
      </w:r>
      <w:proofErr w:type="spellStart"/>
      <w:r w:rsidR="00215237" w:rsidRPr="001B304D">
        <w:rPr>
          <w:sz w:val="24"/>
          <w:szCs w:val="24"/>
        </w:rPr>
        <w:t>Laborde</w:t>
      </w:r>
      <w:proofErr w:type="spellEnd"/>
      <w:r w:rsidR="00215237" w:rsidRPr="001B304D">
        <w:rPr>
          <w:sz w:val="24"/>
          <w:szCs w:val="24"/>
        </w:rPr>
        <w:t>,</w:t>
      </w:r>
      <w:r w:rsidR="00305295" w:rsidRPr="001B304D">
        <w:rPr>
          <w:sz w:val="24"/>
          <w:szCs w:val="24"/>
        </w:rPr>
        <w:t xml:space="preserve"> whose writings on the role of religious symbols in the public sphere demand more attentio</w:t>
      </w:r>
      <w:r w:rsidR="00E72434" w:rsidRPr="001B304D">
        <w:rPr>
          <w:sz w:val="24"/>
          <w:szCs w:val="24"/>
        </w:rPr>
        <w:t>n within philosophy of religion: p</w:t>
      </w:r>
      <w:r w:rsidR="00AB0BA8" w:rsidRPr="001B304D">
        <w:rPr>
          <w:sz w:val="24"/>
          <w:szCs w:val="24"/>
        </w:rPr>
        <w:t xml:space="preserve">hilosophers of religion surely have much to say about her striking claim that </w:t>
      </w:r>
      <w:r w:rsidR="00AB0BA8" w:rsidRPr="001B304D">
        <w:rPr>
          <w:sz w:val="24"/>
          <w:szCs w:val="24"/>
          <w:lang w:eastAsia="en-GB"/>
        </w:rPr>
        <w:t xml:space="preserve">‘“orthodox” political liberalism is </w:t>
      </w:r>
      <w:r w:rsidR="00AB0BA8" w:rsidRPr="001B304D">
        <w:rPr>
          <w:i/>
          <w:sz w:val="24"/>
          <w:szCs w:val="24"/>
          <w:lang w:eastAsia="en-GB"/>
        </w:rPr>
        <w:t>indeterminate</w:t>
      </w:r>
      <w:r w:rsidR="00AB0BA8" w:rsidRPr="001B304D">
        <w:rPr>
          <w:sz w:val="24"/>
          <w:szCs w:val="24"/>
          <w:lang w:eastAsia="en-GB"/>
        </w:rPr>
        <w:t xml:space="preserve"> about the symbolic dimensions of the</w:t>
      </w:r>
      <w:r w:rsidR="00E6108A" w:rsidRPr="001B304D">
        <w:rPr>
          <w:sz w:val="24"/>
          <w:szCs w:val="24"/>
          <w:lang w:eastAsia="en-GB"/>
        </w:rPr>
        <w:t xml:space="preserve"> public place of religion’ (‘Political Liberalism and Religion’</w:t>
      </w:r>
      <w:r w:rsidR="00AB0BA8" w:rsidRPr="001B304D">
        <w:rPr>
          <w:sz w:val="24"/>
          <w:szCs w:val="24"/>
          <w:lang w:eastAsia="en-GB"/>
        </w:rPr>
        <w:t xml:space="preserve"> 67), i.e. that when it comes to debates about religious symbolism, which are—according to </w:t>
      </w:r>
      <w:proofErr w:type="spellStart"/>
      <w:r w:rsidR="00AB0BA8" w:rsidRPr="001B304D">
        <w:rPr>
          <w:sz w:val="24"/>
          <w:szCs w:val="24"/>
          <w:lang w:eastAsia="en-GB"/>
        </w:rPr>
        <w:t>Laborde’s</w:t>
      </w:r>
      <w:proofErr w:type="spellEnd"/>
      <w:r w:rsidR="00AB0BA8" w:rsidRPr="001B304D">
        <w:rPr>
          <w:sz w:val="24"/>
          <w:szCs w:val="24"/>
          <w:lang w:eastAsia="en-GB"/>
        </w:rPr>
        <w:t xml:space="preserve"> Rawlsian presuppositions—‘non-justice based’, most resolutions are equally countenanced under classical liberalism.</w:t>
      </w:r>
    </w:p>
    <w:p w:rsidR="00DA590D" w:rsidRPr="001B304D" w:rsidRDefault="00DA590D" w:rsidP="008100A8">
      <w:pPr>
        <w:pStyle w:val="ListParagraph"/>
        <w:numPr>
          <w:ilvl w:val="0"/>
          <w:numId w:val="4"/>
        </w:numPr>
        <w:spacing w:after="0" w:line="480" w:lineRule="auto"/>
        <w:jc w:val="both"/>
        <w:rPr>
          <w:sz w:val="24"/>
          <w:szCs w:val="24"/>
        </w:rPr>
      </w:pPr>
      <w:r w:rsidRPr="001B304D">
        <w:rPr>
          <w:sz w:val="24"/>
          <w:szCs w:val="24"/>
        </w:rPr>
        <w:t xml:space="preserve">Finally, there is the fact that some philosophers of religion have themselves become uncomfortable with the narrowness of the </w:t>
      </w:r>
      <w:r w:rsidR="00E72434" w:rsidRPr="001B304D">
        <w:rPr>
          <w:sz w:val="24"/>
          <w:szCs w:val="24"/>
        </w:rPr>
        <w:t xml:space="preserve">field </w:t>
      </w:r>
      <w:r w:rsidRPr="001B304D">
        <w:rPr>
          <w:sz w:val="24"/>
          <w:szCs w:val="24"/>
        </w:rPr>
        <w:t>and its failure to engage with the concerns of religious and non-religious practitioners</w:t>
      </w:r>
      <w:r w:rsidR="00F17065" w:rsidRPr="001B304D">
        <w:rPr>
          <w:sz w:val="24"/>
          <w:szCs w:val="24"/>
        </w:rPr>
        <w:t>. Cottingham’s repeated call for a ‘broadening’ or ‘supplementing’ of philosophy of religion</w:t>
      </w:r>
      <w:r w:rsidR="00C55570" w:rsidRPr="001B304D">
        <w:rPr>
          <w:sz w:val="24"/>
          <w:szCs w:val="24"/>
        </w:rPr>
        <w:t xml:space="preserve"> (3)</w:t>
      </w:r>
      <w:r w:rsidR="00F17065" w:rsidRPr="001B304D">
        <w:rPr>
          <w:sz w:val="24"/>
          <w:szCs w:val="24"/>
        </w:rPr>
        <w:t>, as well a</w:t>
      </w:r>
      <w:r w:rsidR="00E72434" w:rsidRPr="001B304D">
        <w:rPr>
          <w:sz w:val="24"/>
          <w:szCs w:val="24"/>
        </w:rPr>
        <w:t xml:space="preserve">s le </w:t>
      </w:r>
      <w:proofErr w:type="spellStart"/>
      <w:r w:rsidR="00E72434" w:rsidRPr="001B304D">
        <w:rPr>
          <w:sz w:val="24"/>
          <w:szCs w:val="24"/>
        </w:rPr>
        <w:t>Poivedin’s</w:t>
      </w:r>
      <w:proofErr w:type="spellEnd"/>
      <w:r w:rsidR="00E72434" w:rsidRPr="001B304D">
        <w:rPr>
          <w:sz w:val="24"/>
          <w:szCs w:val="24"/>
        </w:rPr>
        <w:t xml:space="preserve"> recent ‘call to</w:t>
      </w:r>
      <w:r w:rsidR="00F17065" w:rsidRPr="001B304D">
        <w:rPr>
          <w:sz w:val="24"/>
          <w:szCs w:val="24"/>
        </w:rPr>
        <w:t xml:space="preserve"> arms’, demanding a ‘new agenda’ for philosophy of religion that involves ‘new questions’ and ‘new methodologies’</w:t>
      </w:r>
      <w:r w:rsidR="00C55570" w:rsidRPr="001B304D">
        <w:rPr>
          <w:sz w:val="24"/>
          <w:szCs w:val="24"/>
        </w:rPr>
        <w:t xml:space="preserve"> (</w:t>
      </w:r>
      <w:r w:rsidR="00A13041" w:rsidRPr="001B304D">
        <w:rPr>
          <w:sz w:val="24"/>
          <w:szCs w:val="24"/>
        </w:rPr>
        <w:t>1-2)</w:t>
      </w:r>
      <w:r w:rsidR="00BA142F" w:rsidRPr="001B304D">
        <w:rPr>
          <w:rStyle w:val="FootnoteReference"/>
          <w:sz w:val="24"/>
          <w:szCs w:val="24"/>
        </w:rPr>
        <w:footnoteReference w:id="6"/>
      </w:r>
      <w:r w:rsidR="00305295" w:rsidRPr="001B304D">
        <w:rPr>
          <w:sz w:val="24"/>
          <w:szCs w:val="24"/>
        </w:rPr>
        <w:t xml:space="preserve">, both seem to </w:t>
      </w:r>
      <w:r w:rsidR="00E72434" w:rsidRPr="001B304D">
        <w:rPr>
          <w:sz w:val="24"/>
          <w:szCs w:val="24"/>
        </w:rPr>
        <w:t>imply</w:t>
      </w:r>
      <w:r w:rsidR="00305295" w:rsidRPr="001B304D">
        <w:rPr>
          <w:sz w:val="24"/>
          <w:szCs w:val="24"/>
        </w:rPr>
        <w:t>, in part, a reorientation of philosophy of religion around pressing contemporary questions. The desired result</w:t>
      </w:r>
      <w:r w:rsidR="00E72434" w:rsidRPr="001B304D">
        <w:rPr>
          <w:sz w:val="24"/>
          <w:szCs w:val="24"/>
        </w:rPr>
        <w:t>, in Scott-Bauman’s words,</w:t>
      </w:r>
      <w:r w:rsidR="00305295" w:rsidRPr="001B304D">
        <w:rPr>
          <w:sz w:val="24"/>
          <w:szCs w:val="24"/>
        </w:rPr>
        <w:t xml:space="preserve"> would be for</w:t>
      </w:r>
      <w:r w:rsidR="00F17065" w:rsidRPr="001B304D">
        <w:rPr>
          <w:sz w:val="24"/>
          <w:szCs w:val="24"/>
        </w:rPr>
        <w:t xml:space="preserve"> ‘scepticism about philoso</w:t>
      </w:r>
      <w:r w:rsidR="00305295" w:rsidRPr="001B304D">
        <w:rPr>
          <w:sz w:val="24"/>
          <w:szCs w:val="24"/>
        </w:rPr>
        <w:t>phy [among faith communities] to be</w:t>
      </w:r>
      <w:r w:rsidR="00F17065" w:rsidRPr="001B304D">
        <w:rPr>
          <w:sz w:val="24"/>
          <w:szCs w:val="24"/>
        </w:rPr>
        <w:t xml:space="preserve"> replaced by a dialectical process of using philosophy to help people live together and look forward, alert to new possibilities.’</w:t>
      </w:r>
      <w:r w:rsidR="00C55570" w:rsidRPr="001B304D">
        <w:rPr>
          <w:sz w:val="24"/>
          <w:szCs w:val="24"/>
        </w:rPr>
        <w:t xml:space="preserve"> (</w:t>
      </w:r>
      <w:r w:rsidR="009912B9" w:rsidRPr="001B304D">
        <w:rPr>
          <w:sz w:val="24"/>
          <w:szCs w:val="24"/>
        </w:rPr>
        <w:t>258</w:t>
      </w:r>
      <w:r w:rsidR="00A13041" w:rsidRPr="001B304D">
        <w:rPr>
          <w:sz w:val="24"/>
          <w:szCs w:val="24"/>
        </w:rPr>
        <w:t>)</w:t>
      </w:r>
    </w:p>
    <w:p w:rsidR="00BF2D16" w:rsidRPr="001B304D" w:rsidRDefault="00BF2D16" w:rsidP="008100A8">
      <w:pPr>
        <w:spacing w:after="0" w:line="480" w:lineRule="auto"/>
        <w:rPr>
          <w:sz w:val="24"/>
          <w:szCs w:val="24"/>
        </w:rPr>
      </w:pPr>
    </w:p>
    <w:p w:rsidR="005C2962" w:rsidRPr="001B304D" w:rsidRDefault="00C41C8D" w:rsidP="008100A8">
      <w:pPr>
        <w:spacing w:after="0" w:line="480" w:lineRule="auto"/>
        <w:rPr>
          <w:sz w:val="24"/>
          <w:szCs w:val="24"/>
        </w:rPr>
      </w:pPr>
      <w:r w:rsidRPr="001B304D">
        <w:rPr>
          <w:sz w:val="24"/>
          <w:szCs w:val="24"/>
        </w:rPr>
        <w:lastRenderedPageBreak/>
        <w:t xml:space="preserve">[3.1] </w:t>
      </w:r>
      <w:r w:rsidR="005C2962" w:rsidRPr="001B304D">
        <w:rPr>
          <w:sz w:val="24"/>
          <w:szCs w:val="24"/>
        </w:rPr>
        <w:t>Top-down and Bottom-up Approaches</w:t>
      </w:r>
    </w:p>
    <w:p w:rsidR="00305295" w:rsidRPr="001B304D" w:rsidRDefault="00305295" w:rsidP="008100A8">
      <w:pPr>
        <w:autoSpaceDE w:val="0"/>
        <w:spacing w:after="0" w:line="480" w:lineRule="auto"/>
        <w:jc w:val="both"/>
        <w:rPr>
          <w:rFonts w:cs="Times New Roman"/>
          <w:sz w:val="24"/>
          <w:szCs w:val="24"/>
        </w:rPr>
      </w:pPr>
      <w:r w:rsidRPr="001B304D">
        <w:rPr>
          <w:sz w:val="24"/>
          <w:szCs w:val="24"/>
        </w:rPr>
        <w:t>This is not to say, however, that philosophers of religion have altogether ignored questions over the status and function of religious symbols in contemporary public and legal discourse.</w:t>
      </w:r>
      <w:r w:rsidR="006F58B4" w:rsidRPr="001B304D">
        <w:rPr>
          <w:sz w:val="24"/>
          <w:szCs w:val="24"/>
        </w:rPr>
        <w:t xml:space="preserve"> In general, there have been two approaches. First, there is the ‘top-down’ approach that is best exemplified by </w:t>
      </w:r>
      <w:proofErr w:type="spellStart"/>
      <w:r w:rsidR="006F58B4" w:rsidRPr="001B304D">
        <w:rPr>
          <w:rFonts w:cs="Times New Roman"/>
          <w:sz w:val="24"/>
          <w:szCs w:val="24"/>
        </w:rPr>
        <w:t>Trigg’s</w:t>
      </w:r>
      <w:proofErr w:type="spellEnd"/>
      <w:r w:rsidR="006F58B4" w:rsidRPr="001B304D">
        <w:rPr>
          <w:rFonts w:cs="Times New Roman"/>
          <w:sz w:val="24"/>
          <w:szCs w:val="24"/>
        </w:rPr>
        <w:t xml:space="preserve"> </w:t>
      </w:r>
      <w:r w:rsidR="006F58B4" w:rsidRPr="001B304D">
        <w:rPr>
          <w:rFonts w:cs="Times New Roman"/>
          <w:i/>
          <w:sz w:val="24"/>
          <w:szCs w:val="24"/>
        </w:rPr>
        <w:t>Religion in Public Life</w:t>
      </w:r>
      <w:r w:rsidR="00A13041" w:rsidRPr="001B304D">
        <w:rPr>
          <w:rFonts w:cs="Times New Roman"/>
          <w:sz w:val="24"/>
          <w:szCs w:val="24"/>
        </w:rPr>
        <w:t xml:space="preserve"> </w:t>
      </w:r>
      <w:r w:rsidR="006F58B4" w:rsidRPr="001B304D">
        <w:rPr>
          <w:rFonts w:cs="Times New Roman"/>
          <w:sz w:val="24"/>
          <w:szCs w:val="24"/>
        </w:rPr>
        <w:t xml:space="preserve">and </w:t>
      </w:r>
      <w:r w:rsidR="006F58B4" w:rsidRPr="001B304D">
        <w:rPr>
          <w:rFonts w:cs="Times New Roman"/>
          <w:i/>
          <w:sz w:val="24"/>
          <w:szCs w:val="24"/>
        </w:rPr>
        <w:t>Equality, Freedom and Religion</w:t>
      </w:r>
      <w:r w:rsidR="006F58B4" w:rsidRPr="001B304D">
        <w:rPr>
          <w:rFonts w:cs="Times New Roman"/>
          <w:sz w:val="24"/>
          <w:szCs w:val="24"/>
        </w:rPr>
        <w:t xml:space="preserve">. His work, along with a raft of other recent work in US </w:t>
      </w:r>
      <w:r w:rsidR="002C5E2B" w:rsidRPr="001B304D">
        <w:rPr>
          <w:rFonts w:cs="Times New Roman"/>
          <w:sz w:val="24"/>
          <w:szCs w:val="24"/>
        </w:rPr>
        <w:t>philosophy of law</w:t>
      </w:r>
      <w:r w:rsidR="006F58B4" w:rsidRPr="001B304D">
        <w:rPr>
          <w:rFonts w:cs="Times New Roman"/>
          <w:sz w:val="24"/>
          <w:szCs w:val="24"/>
        </w:rPr>
        <w:t xml:space="preserve">, such as—most prominently—Leiter’s </w:t>
      </w:r>
      <w:r w:rsidR="006F58B4" w:rsidRPr="001B304D">
        <w:rPr>
          <w:rFonts w:cs="Times New Roman"/>
          <w:i/>
          <w:sz w:val="24"/>
          <w:szCs w:val="24"/>
        </w:rPr>
        <w:t>Why Tolerate Religion?</w:t>
      </w:r>
      <w:r w:rsidR="00A13041" w:rsidRPr="001B304D">
        <w:rPr>
          <w:rFonts w:cs="Times New Roman"/>
          <w:sz w:val="24"/>
          <w:szCs w:val="24"/>
        </w:rPr>
        <w:t>,</w:t>
      </w:r>
      <w:r w:rsidR="006F58B4" w:rsidRPr="001B304D">
        <w:rPr>
          <w:rFonts w:cs="Times New Roman"/>
          <w:sz w:val="24"/>
          <w:szCs w:val="24"/>
        </w:rPr>
        <w:t xml:space="preserve"> Nussbaum’s </w:t>
      </w:r>
      <w:r w:rsidR="009912B9" w:rsidRPr="001B304D">
        <w:rPr>
          <w:rFonts w:cs="Times New Roman"/>
          <w:i/>
          <w:sz w:val="24"/>
          <w:szCs w:val="24"/>
        </w:rPr>
        <w:t>Liberty of Conscience</w:t>
      </w:r>
      <w:r w:rsidR="00A13041" w:rsidRPr="001B304D">
        <w:rPr>
          <w:rFonts w:cs="Times New Roman"/>
          <w:sz w:val="24"/>
          <w:szCs w:val="24"/>
        </w:rPr>
        <w:t xml:space="preserve"> </w:t>
      </w:r>
      <w:r w:rsidR="002C5E2B" w:rsidRPr="001B304D">
        <w:rPr>
          <w:rFonts w:cs="Times New Roman"/>
          <w:sz w:val="24"/>
          <w:szCs w:val="24"/>
        </w:rPr>
        <w:t>and Dworkin</w:t>
      </w:r>
      <w:r w:rsidR="00A13041" w:rsidRPr="001B304D">
        <w:rPr>
          <w:rFonts w:cs="Times New Roman"/>
          <w:sz w:val="24"/>
          <w:szCs w:val="24"/>
        </w:rPr>
        <w:t xml:space="preserve">’s </w:t>
      </w:r>
      <w:r w:rsidR="009912B9" w:rsidRPr="001B304D">
        <w:rPr>
          <w:rFonts w:cs="Times New Roman"/>
          <w:i/>
          <w:sz w:val="24"/>
          <w:szCs w:val="24"/>
        </w:rPr>
        <w:t>Is Democracy Possible Here?</w:t>
      </w:r>
      <w:r w:rsidR="006F58B4" w:rsidRPr="001B304D">
        <w:rPr>
          <w:rFonts w:cs="Times New Roman"/>
          <w:sz w:val="24"/>
          <w:szCs w:val="24"/>
        </w:rPr>
        <w:t xml:space="preserve">, make use of general philosophical discussions around equality, liberty and justice to interrogate the legal treatment of religious symbols (among other manifestations of religious freedom). Thus, </w:t>
      </w:r>
      <w:proofErr w:type="spellStart"/>
      <w:r w:rsidR="006F58B4" w:rsidRPr="001B304D">
        <w:rPr>
          <w:rFonts w:cs="Times New Roman"/>
          <w:sz w:val="24"/>
          <w:szCs w:val="24"/>
        </w:rPr>
        <w:t>Trigg’s</w:t>
      </w:r>
      <w:proofErr w:type="spellEnd"/>
      <w:r w:rsidR="006F58B4" w:rsidRPr="001B304D">
        <w:rPr>
          <w:rFonts w:cs="Times New Roman"/>
          <w:sz w:val="24"/>
          <w:szCs w:val="24"/>
        </w:rPr>
        <w:t xml:space="preserve"> books make use of abstract topics in the philosophy of religion (such as the rationality of faith and the weight of religious reasons in the public sphere) to launch a critique of the way freedom of religion is treated in the UK and European courts. The benefit of such a top-down vantage point is that he is able to envision and scrutinize alternatives that are not yet countenanced in the jurisprudence itself. For example, </w:t>
      </w:r>
      <w:proofErr w:type="spellStart"/>
      <w:r w:rsidR="006F58B4" w:rsidRPr="001B304D">
        <w:rPr>
          <w:rFonts w:cs="Times New Roman"/>
          <w:sz w:val="24"/>
          <w:szCs w:val="24"/>
        </w:rPr>
        <w:t>Trigg</w:t>
      </w:r>
      <w:proofErr w:type="spellEnd"/>
      <w:r w:rsidR="006F58B4" w:rsidRPr="001B304D">
        <w:rPr>
          <w:rFonts w:cs="Times New Roman"/>
          <w:sz w:val="24"/>
          <w:szCs w:val="24"/>
        </w:rPr>
        <w:t xml:space="preserve"> makes much of the fact that Article 9 of the European C</w:t>
      </w:r>
      <w:r w:rsidR="00DD1408" w:rsidRPr="001B304D">
        <w:rPr>
          <w:rFonts w:cs="Times New Roman"/>
          <w:sz w:val="24"/>
          <w:szCs w:val="24"/>
        </w:rPr>
        <w:t>onvention of Human Rights</w:t>
      </w:r>
      <w:r w:rsidR="006F58B4" w:rsidRPr="001B304D">
        <w:rPr>
          <w:rFonts w:cs="Times New Roman"/>
          <w:sz w:val="24"/>
          <w:szCs w:val="24"/>
        </w:rPr>
        <w:t xml:space="preserve"> and the UK Human Rights Act are not the only way to ensure protection for uses of religious symbols. </w:t>
      </w:r>
    </w:p>
    <w:p w:rsidR="00DD1408" w:rsidRPr="001B304D" w:rsidRDefault="00DD1408" w:rsidP="008100A8">
      <w:pPr>
        <w:autoSpaceDE w:val="0"/>
        <w:spacing w:after="0" w:line="480" w:lineRule="auto"/>
        <w:jc w:val="both"/>
        <w:rPr>
          <w:sz w:val="24"/>
          <w:szCs w:val="24"/>
        </w:rPr>
      </w:pPr>
      <w:r w:rsidRPr="001B304D">
        <w:rPr>
          <w:rFonts w:cs="Times New Roman"/>
          <w:sz w:val="24"/>
          <w:szCs w:val="24"/>
        </w:rPr>
        <w:tab/>
        <w:t xml:space="preserve">On the other hand, there are a number of recent works in both philosophy of religion and political philosophy that attempt to get to grips with the legal material from the bottom up, as it were. That is, </w:t>
      </w:r>
      <w:r w:rsidR="00D57CFB" w:rsidRPr="001B304D">
        <w:rPr>
          <w:rFonts w:cs="Times New Roman"/>
          <w:sz w:val="24"/>
          <w:szCs w:val="24"/>
        </w:rPr>
        <w:t>on this approach, the philosopher s</w:t>
      </w:r>
      <w:r w:rsidRPr="001B304D">
        <w:rPr>
          <w:rFonts w:cs="Times New Roman"/>
          <w:sz w:val="24"/>
          <w:szCs w:val="24"/>
        </w:rPr>
        <w:t>tart</w:t>
      </w:r>
      <w:r w:rsidR="00D57CFB" w:rsidRPr="001B304D">
        <w:rPr>
          <w:rFonts w:cs="Times New Roman"/>
          <w:sz w:val="24"/>
          <w:szCs w:val="24"/>
        </w:rPr>
        <w:t>s</w:t>
      </w:r>
      <w:r w:rsidRPr="001B304D">
        <w:rPr>
          <w:rFonts w:cs="Times New Roman"/>
          <w:sz w:val="24"/>
          <w:szCs w:val="24"/>
        </w:rPr>
        <w:t xml:space="preserve"> with the </w:t>
      </w:r>
      <w:r w:rsidR="00D57CFB" w:rsidRPr="001B304D">
        <w:rPr>
          <w:rFonts w:cs="Times New Roman"/>
          <w:sz w:val="24"/>
          <w:szCs w:val="24"/>
        </w:rPr>
        <w:t>detail</w:t>
      </w:r>
      <w:r w:rsidR="00E72434" w:rsidRPr="001B304D">
        <w:rPr>
          <w:rFonts w:cs="Times New Roman"/>
          <w:sz w:val="24"/>
          <w:szCs w:val="24"/>
        </w:rPr>
        <w:t>s of the legal cases themselves</w:t>
      </w:r>
      <w:r w:rsidR="00D57CFB" w:rsidRPr="001B304D">
        <w:rPr>
          <w:rFonts w:cs="Times New Roman"/>
          <w:sz w:val="24"/>
          <w:szCs w:val="24"/>
        </w:rPr>
        <w:t xml:space="preserve"> in order to work up to more general conceptual issues. Calder and Smith, for example, have provided a painstaking analysis of competing understandings of equality and diversity in the UK case of </w:t>
      </w:r>
      <w:proofErr w:type="spellStart"/>
      <w:r w:rsidR="00D57CFB" w:rsidRPr="001B304D">
        <w:rPr>
          <w:rFonts w:cs="Times New Roman"/>
          <w:i/>
          <w:sz w:val="24"/>
          <w:szCs w:val="24"/>
        </w:rPr>
        <w:t>Azmi</w:t>
      </w:r>
      <w:proofErr w:type="spellEnd"/>
      <w:r w:rsidR="00D57CFB" w:rsidRPr="001B304D">
        <w:rPr>
          <w:rFonts w:cs="Times New Roman"/>
          <w:i/>
          <w:sz w:val="24"/>
          <w:szCs w:val="24"/>
        </w:rPr>
        <w:t xml:space="preserve"> </w:t>
      </w:r>
      <w:r w:rsidR="00D57CFB" w:rsidRPr="001B304D">
        <w:rPr>
          <w:rFonts w:cs="Times New Roman"/>
          <w:i/>
          <w:iCs/>
          <w:sz w:val="24"/>
          <w:szCs w:val="24"/>
        </w:rPr>
        <w:t>v Kirklees MBC</w:t>
      </w:r>
      <w:r w:rsidR="00D57CFB" w:rsidRPr="001B304D">
        <w:rPr>
          <w:rFonts w:cs="Times New Roman"/>
          <w:iCs/>
          <w:sz w:val="24"/>
          <w:szCs w:val="24"/>
        </w:rPr>
        <w:t>, while</w:t>
      </w:r>
      <w:r w:rsidR="000459FA" w:rsidRPr="001B304D">
        <w:rPr>
          <w:rFonts w:cs="Times New Roman"/>
          <w:iCs/>
          <w:sz w:val="24"/>
          <w:szCs w:val="24"/>
        </w:rPr>
        <w:t>,</w:t>
      </w:r>
      <w:r w:rsidR="00D57CFB" w:rsidRPr="001B304D">
        <w:rPr>
          <w:rFonts w:cs="Times New Roman"/>
          <w:iCs/>
          <w:sz w:val="24"/>
          <w:szCs w:val="24"/>
        </w:rPr>
        <w:t xml:space="preserve"> in </w:t>
      </w:r>
      <w:r w:rsidR="00D57CFB" w:rsidRPr="001B304D">
        <w:rPr>
          <w:rFonts w:cs="Times New Roman"/>
          <w:i/>
          <w:iCs/>
          <w:sz w:val="24"/>
          <w:szCs w:val="24"/>
        </w:rPr>
        <w:t>The Right to Wear Religious Symbols</w:t>
      </w:r>
      <w:r w:rsidR="00D57CFB" w:rsidRPr="001B304D">
        <w:rPr>
          <w:rFonts w:cs="Times New Roman"/>
          <w:iCs/>
          <w:sz w:val="24"/>
          <w:szCs w:val="24"/>
        </w:rPr>
        <w:t xml:space="preserve"> and elsewhere, Hill and Whistler have provided close readings of a number of cases involving religious symbolism heard at the European Court of Human Rights in order to work </w:t>
      </w:r>
      <w:r w:rsidR="00D57CFB" w:rsidRPr="001B304D">
        <w:rPr>
          <w:rFonts w:cs="Times New Roman"/>
          <w:iCs/>
          <w:sz w:val="24"/>
          <w:szCs w:val="24"/>
        </w:rPr>
        <w:lastRenderedPageBreak/>
        <w:t>out the ways in which the belief</w:t>
      </w:r>
      <w:r w:rsidR="00215237" w:rsidRPr="001B304D">
        <w:rPr>
          <w:rFonts w:cs="Times New Roman"/>
          <w:iCs/>
          <w:sz w:val="24"/>
          <w:szCs w:val="24"/>
        </w:rPr>
        <w:t>/symbol</w:t>
      </w:r>
      <w:r w:rsidR="00D57CFB" w:rsidRPr="001B304D">
        <w:rPr>
          <w:rFonts w:cs="Times New Roman"/>
          <w:iCs/>
          <w:sz w:val="24"/>
          <w:szCs w:val="24"/>
        </w:rPr>
        <w:t xml:space="preserve"> relation is there conceptualised. </w:t>
      </w:r>
      <w:r w:rsidR="00501ABC" w:rsidRPr="001B304D">
        <w:rPr>
          <w:rFonts w:cs="Times New Roman"/>
          <w:iCs/>
          <w:sz w:val="24"/>
          <w:szCs w:val="24"/>
        </w:rPr>
        <w:t>Further</w:t>
      </w:r>
      <w:r w:rsidR="00D57CFB" w:rsidRPr="001B304D">
        <w:rPr>
          <w:rFonts w:cs="Times New Roman"/>
          <w:iCs/>
          <w:sz w:val="24"/>
          <w:szCs w:val="24"/>
        </w:rPr>
        <w:t xml:space="preserve"> discussion of this latter example will </w:t>
      </w:r>
      <w:r w:rsidR="000459FA" w:rsidRPr="001B304D">
        <w:rPr>
          <w:rFonts w:cs="Times New Roman"/>
          <w:iCs/>
          <w:sz w:val="24"/>
          <w:szCs w:val="24"/>
        </w:rPr>
        <w:t>illustrate one small way</w:t>
      </w:r>
      <w:r w:rsidR="00D57CFB" w:rsidRPr="001B304D">
        <w:rPr>
          <w:rFonts w:cs="Times New Roman"/>
          <w:iCs/>
          <w:sz w:val="24"/>
          <w:szCs w:val="24"/>
        </w:rPr>
        <w:t xml:space="preserve"> in which philosophy of religion can contribute to the contemporary debate surrounding religious symbols.</w:t>
      </w:r>
    </w:p>
    <w:p w:rsidR="00AE1928" w:rsidRPr="001B304D" w:rsidRDefault="00AE1928" w:rsidP="008100A8">
      <w:pPr>
        <w:spacing w:after="0" w:line="480" w:lineRule="auto"/>
        <w:rPr>
          <w:sz w:val="24"/>
          <w:szCs w:val="24"/>
        </w:rPr>
      </w:pPr>
    </w:p>
    <w:p w:rsidR="005C2962" w:rsidRPr="001B304D" w:rsidRDefault="00C41C8D" w:rsidP="008100A8">
      <w:pPr>
        <w:spacing w:after="0" w:line="480" w:lineRule="auto"/>
        <w:rPr>
          <w:sz w:val="24"/>
          <w:szCs w:val="24"/>
        </w:rPr>
      </w:pPr>
      <w:r w:rsidRPr="001B304D">
        <w:rPr>
          <w:sz w:val="24"/>
          <w:szCs w:val="24"/>
        </w:rPr>
        <w:t xml:space="preserve">[3.2] </w:t>
      </w:r>
      <w:proofErr w:type="gramStart"/>
      <w:r w:rsidR="005C2962" w:rsidRPr="001B304D">
        <w:rPr>
          <w:sz w:val="24"/>
          <w:szCs w:val="24"/>
        </w:rPr>
        <w:t>The</w:t>
      </w:r>
      <w:proofErr w:type="gramEnd"/>
      <w:r w:rsidR="005C2962" w:rsidRPr="001B304D">
        <w:rPr>
          <w:sz w:val="24"/>
          <w:szCs w:val="24"/>
        </w:rPr>
        <w:t xml:space="preserve"> Belief/</w:t>
      </w:r>
      <w:r w:rsidR="00215237" w:rsidRPr="001B304D">
        <w:rPr>
          <w:sz w:val="24"/>
          <w:szCs w:val="24"/>
        </w:rPr>
        <w:t>Symbol</w:t>
      </w:r>
      <w:r w:rsidR="005C2962" w:rsidRPr="001B304D">
        <w:rPr>
          <w:sz w:val="24"/>
          <w:szCs w:val="24"/>
        </w:rPr>
        <w:t xml:space="preserve"> Relation</w:t>
      </w:r>
    </w:p>
    <w:p w:rsidR="00734E4B" w:rsidRPr="001B304D" w:rsidRDefault="00236AF9" w:rsidP="008100A8">
      <w:pPr>
        <w:spacing w:after="0" w:line="480" w:lineRule="auto"/>
        <w:jc w:val="both"/>
        <w:rPr>
          <w:sz w:val="24"/>
          <w:szCs w:val="24"/>
        </w:rPr>
      </w:pPr>
      <w:r w:rsidRPr="001B304D">
        <w:rPr>
          <w:sz w:val="24"/>
          <w:szCs w:val="24"/>
        </w:rPr>
        <w:t xml:space="preserve">In many recent court cases in the UK and Europe, the conceptual status of specific religious </w:t>
      </w:r>
      <w:r w:rsidRPr="001B304D">
        <w:rPr>
          <w:iCs/>
          <w:sz w:val="24"/>
          <w:szCs w:val="24"/>
        </w:rPr>
        <w:t>symbols</w:t>
      </w:r>
      <w:r w:rsidRPr="001B304D">
        <w:rPr>
          <w:i/>
          <w:iCs/>
          <w:sz w:val="24"/>
          <w:szCs w:val="24"/>
        </w:rPr>
        <w:t xml:space="preserve"> </w:t>
      </w:r>
      <w:r w:rsidRPr="001B304D">
        <w:rPr>
          <w:iCs/>
          <w:sz w:val="24"/>
          <w:szCs w:val="24"/>
        </w:rPr>
        <w:t>has been at stake</w:t>
      </w:r>
      <w:r w:rsidRPr="001B304D">
        <w:rPr>
          <w:sz w:val="24"/>
          <w:szCs w:val="24"/>
        </w:rPr>
        <w:t>, whether they have been crucifixes and crosses (</w:t>
      </w:r>
      <w:proofErr w:type="spellStart"/>
      <w:r w:rsidRPr="001B304D">
        <w:rPr>
          <w:i/>
          <w:iCs/>
          <w:sz w:val="24"/>
          <w:szCs w:val="24"/>
        </w:rPr>
        <w:t>Eweida</w:t>
      </w:r>
      <w:proofErr w:type="spellEnd"/>
      <w:r w:rsidRPr="001B304D">
        <w:rPr>
          <w:i/>
          <w:iCs/>
          <w:sz w:val="24"/>
          <w:szCs w:val="24"/>
        </w:rPr>
        <w:t xml:space="preserve"> v UK</w:t>
      </w:r>
      <w:r w:rsidRPr="001B304D">
        <w:rPr>
          <w:sz w:val="24"/>
          <w:szCs w:val="24"/>
        </w:rPr>
        <w:t xml:space="preserve">), </w:t>
      </w:r>
      <w:proofErr w:type="spellStart"/>
      <w:r w:rsidRPr="001B304D">
        <w:rPr>
          <w:sz w:val="24"/>
          <w:szCs w:val="24"/>
        </w:rPr>
        <w:t>niqabs</w:t>
      </w:r>
      <w:proofErr w:type="spellEnd"/>
      <w:r w:rsidRPr="001B304D">
        <w:rPr>
          <w:sz w:val="24"/>
          <w:szCs w:val="24"/>
        </w:rPr>
        <w:t xml:space="preserve"> (</w:t>
      </w:r>
      <w:proofErr w:type="spellStart"/>
      <w:r w:rsidRPr="001B304D">
        <w:rPr>
          <w:i/>
          <w:iCs/>
          <w:sz w:val="24"/>
          <w:szCs w:val="24"/>
        </w:rPr>
        <w:t>Azmi</w:t>
      </w:r>
      <w:proofErr w:type="spellEnd"/>
      <w:r w:rsidRPr="001B304D">
        <w:rPr>
          <w:i/>
          <w:iCs/>
          <w:sz w:val="24"/>
          <w:szCs w:val="24"/>
        </w:rPr>
        <w:t xml:space="preserve"> v Kirklees MBC</w:t>
      </w:r>
      <w:r w:rsidRPr="001B304D">
        <w:rPr>
          <w:sz w:val="24"/>
          <w:szCs w:val="24"/>
        </w:rPr>
        <w:t>), headscarves (</w:t>
      </w:r>
      <w:proofErr w:type="spellStart"/>
      <w:r w:rsidRPr="001B304D">
        <w:rPr>
          <w:i/>
          <w:sz w:val="24"/>
          <w:szCs w:val="24"/>
        </w:rPr>
        <w:t>Dahlab</w:t>
      </w:r>
      <w:proofErr w:type="spellEnd"/>
      <w:r w:rsidRPr="001B304D">
        <w:rPr>
          <w:i/>
          <w:sz w:val="24"/>
          <w:szCs w:val="24"/>
        </w:rPr>
        <w:t xml:space="preserve"> v Switzerland</w:t>
      </w:r>
      <w:r w:rsidRPr="001B304D">
        <w:rPr>
          <w:sz w:val="24"/>
          <w:szCs w:val="24"/>
        </w:rPr>
        <w:t xml:space="preserve">, </w:t>
      </w:r>
      <w:proofErr w:type="spellStart"/>
      <w:r w:rsidR="001D40E1" w:rsidRPr="001B304D">
        <w:rPr>
          <w:i/>
          <w:sz w:val="24"/>
          <w:szCs w:val="24"/>
        </w:rPr>
        <w:t>Dogru</w:t>
      </w:r>
      <w:proofErr w:type="spellEnd"/>
      <w:r w:rsidRPr="001B304D">
        <w:rPr>
          <w:i/>
          <w:sz w:val="24"/>
          <w:szCs w:val="24"/>
        </w:rPr>
        <w:t xml:space="preserve"> v France</w:t>
      </w:r>
      <w:r w:rsidRPr="001B304D">
        <w:rPr>
          <w:sz w:val="24"/>
          <w:szCs w:val="24"/>
        </w:rPr>
        <w:t xml:space="preserve">), </w:t>
      </w:r>
      <w:proofErr w:type="spellStart"/>
      <w:r w:rsidRPr="001B304D">
        <w:rPr>
          <w:sz w:val="24"/>
          <w:szCs w:val="24"/>
        </w:rPr>
        <w:t>karas</w:t>
      </w:r>
      <w:proofErr w:type="spellEnd"/>
      <w:r w:rsidRPr="001B304D">
        <w:rPr>
          <w:sz w:val="24"/>
          <w:szCs w:val="24"/>
        </w:rPr>
        <w:t xml:space="preserve"> (</w:t>
      </w:r>
      <w:r w:rsidRPr="001B304D">
        <w:rPr>
          <w:i/>
          <w:iCs/>
          <w:sz w:val="24"/>
          <w:szCs w:val="24"/>
        </w:rPr>
        <w:t>Watkins-Singh v Aberdare Girls’ High School Governors</w:t>
      </w:r>
      <w:r w:rsidRPr="001B304D">
        <w:rPr>
          <w:sz w:val="24"/>
          <w:szCs w:val="24"/>
        </w:rPr>
        <w:t>) or chastity rings (</w:t>
      </w:r>
      <w:proofErr w:type="spellStart"/>
      <w:r w:rsidRPr="001B304D">
        <w:rPr>
          <w:i/>
          <w:iCs/>
          <w:sz w:val="24"/>
          <w:szCs w:val="24"/>
        </w:rPr>
        <w:t>Playfoot</w:t>
      </w:r>
      <w:proofErr w:type="spellEnd"/>
      <w:r w:rsidRPr="001B304D">
        <w:rPr>
          <w:i/>
          <w:iCs/>
          <w:sz w:val="24"/>
          <w:szCs w:val="24"/>
        </w:rPr>
        <w:t xml:space="preserve"> v Millais School Governing Body</w:t>
      </w:r>
      <w:r w:rsidRPr="001B304D">
        <w:rPr>
          <w:sz w:val="24"/>
          <w:szCs w:val="24"/>
        </w:rPr>
        <w:t>). The theoretical question often considered in these judgments is: in what way do these symbols manifest religious beliefs? What might it mean for symbols to be ‘intimately linked’</w:t>
      </w:r>
      <w:r w:rsidR="00D14B12" w:rsidRPr="001B304D">
        <w:rPr>
          <w:sz w:val="24"/>
          <w:szCs w:val="24"/>
        </w:rPr>
        <w:t xml:space="preserve"> (</w:t>
      </w:r>
      <w:proofErr w:type="spellStart"/>
      <w:r w:rsidR="00C55570" w:rsidRPr="001B304D">
        <w:rPr>
          <w:i/>
          <w:sz w:val="24"/>
          <w:szCs w:val="24"/>
        </w:rPr>
        <w:t>Playfoot</w:t>
      </w:r>
      <w:proofErr w:type="spellEnd"/>
      <w:r w:rsidR="00D14B12" w:rsidRPr="001B304D">
        <w:rPr>
          <w:sz w:val="24"/>
          <w:szCs w:val="24"/>
        </w:rPr>
        <w:t xml:space="preserve"> para 21(4))</w:t>
      </w:r>
      <w:r w:rsidRPr="001B304D">
        <w:rPr>
          <w:sz w:val="24"/>
          <w:szCs w:val="24"/>
        </w:rPr>
        <w:t xml:space="preserve"> to underlying beliefs, to ‘directly </w:t>
      </w:r>
      <w:proofErr w:type="spellStart"/>
      <w:r w:rsidRPr="001B304D">
        <w:rPr>
          <w:sz w:val="24"/>
          <w:szCs w:val="24"/>
        </w:rPr>
        <w:t>express’</w:t>
      </w:r>
      <w:proofErr w:type="spellEnd"/>
      <w:r w:rsidRPr="001B304D">
        <w:rPr>
          <w:sz w:val="24"/>
          <w:szCs w:val="24"/>
        </w:rPr>
        <w:t xml:space="preserve"> or ‘manifest’ them</w:t>
      </w:r>
      <w:r w:rsidR="00373B4F" w:rsidRPr="001B304D">
        <w:rPr>
          <w:sz w:val="24"/>
          <w:szCs w:val="24"/>
        </w:rPr>
        <w:t xml:space="preserve"> (</w:t>
      </w:r>
      <w:proofErr w:type="spellStart"/>
      <w:r w:rsidR="00373B4F" w:rsidRPr="001B304D">
        <w:rPr>
          <w:i/>
          <w:sz w:val="24"/>
          <w:szCs w:val="24"/>
        </w:rPr>
        <w:t>Eweida</w:t>
      </w:r>
      <w:proofErr w:type="spellEnd"/>
      <w:r w:rsidR="00373B4F" w:rsidRPr="001B304D">
        <w:rPr>
          <w:i/>
          <w:sz w:val="24"/>
          <w:szCs w:val="24"/>
        </w:rPr>
        <w:t xml:space="preserve"> </w:t>
      </w:r>
      <w:r w:rsidR="00373B4F" w:rsidRPr="001B304D">
        <w:rPr>
          <w:sz w:val="24"/>
          <w:szCs w:val="24"/>
        </w:rPr>
        <w:t>2013 para 82)</w:t>
      </w:r>
      <w:r w:rsidRPr="001B304D">
        <w:rPr>
          <w:sz w:val="24"/>
          <w:szCs w:val="24"/>
        </w:rPr>
        <w:t xml:space="preserve"> or even to be of ‘exceptional importance’</w:t>
      </w:r>
      <w:r w:rsidR="00D14B12" w:rsidRPr="001B304D">
        <w:rPr>
          <w:sz w:val="24"/>
          <w:szCs w:val="24"/>
        </w:rPr>
        <w:t xml:space="preserve"> (</w:t>
      </w:r>
      <w:r w:rsidR="00C55570" w:rsidRPr="001B304D">
        <w:rPr>
          <w:i/>
          <w:sz w:val="24"/>
          <w:szCs w:val="24"/>
        </w:rPr>
        <w:t>Watkins-Singh</w:t>
      </w:r>
      <w:r w:rsidR="00D14B12" w:rsidRPr="001B304D">
        <w:rPr>
          <w:sz w:val="24"/>
          <w:szCs w:val="24"/>
        </w:rPr>
        <w:t xml:space="preserve"> para 56(B))</w:t>
      </w:r>
      <w:r w:rsidRPr="001B304D">
        <w:rPr>
          <w:sz w:val="24"/>
          <w:szCs w:val="24"/>
        </w:rPr>
        <w:t xml:space="preserve"> to the religious believer? Legal practitioners have spoken of these cases as</w:t>
      </w:r>
      <w:r w:rsidRPr="001B304D">
        <w:rPr>
          <w:rStyle w:val="apple-style-span"/>
          <w:sz w:val="24"/>
          <w:szCs w:val="24"/>
          <w:shd w:val="clear" w:color="auto" w:fill="FFFFFF"/>
        </w:rPr>
        <w:t xml:space="preserve"> ‘not really a matter of evidence, but logic’</w:t>
      </w:r>
      <w:r w:rsidR="00D14B12" w:rsidRPr="001B304D">
        <w:rPr>
          <w:rStyle w:val="apple-style-span"/>
          <w:sz w:val="24"/>
          <w:szCs w:val="24"/>
          <w:shd w:val="clear" w:color="auto" w:fill="FFFFFF"/>
        </w:rPr>
        <w:t xml:space="preserve"> (</w:t>
      </w:r>
      <w:proofErr w:type="spellStart"/>
      <w:r w:rsidR="00D14B12" w:rsidRPr="001B304D">
        <w:rPr>
          <w:rStyle w:val="apple-style-span"/>
          <w:i/>
          <w:sz w:val="24"/>
          <w:szCs w:val="24"/>
          <w:shd w:val="clear" w:color="auto" w:fill="FFFFFF"/>
        </w:rPr>
        <w:t>Eweida</w:t>
      </w:r>
      <w:proofErr w:type="spellEnd"/>
      <w:r w:rsidR="00D14B12" w:rsidRPr="001B304D">
        <w:rPr>
          <w:rStyle w:val="apple-style-span"/>
          <w:i/>
          <w:sz w:val="24"/>
          <w:szCs w:val="24"/>
          <w:shd w:val="clear" w:color="auto" w:fill="FFFFFF"/>
        </w:rPr>
        <w:t xml:space="preserve"> </w:t>
      </w:r>
      <w:r w:rsidR="00D14B12" w:rsidRPr="001B304D">
        <w:rPr>
          <w:rStyle w:val="apple-style-span"/>
          <w:sz w:val="24"/>
          <w:szCs w:val="24"/>
          <w:shd w:val="clear" w:color="auto" w:fill="FFFFFF"/>
        </w:rPr>
        <w:t>2010)</w:t>
      </w:r>
      <w:r w:rsidRPr="001B304D">
        <w:rPr>
          <w:rStyle w:val="FootnoteCharacters"/>
          <w:sz w:val="24"/>
          <w:szCs w:val="24"/>
          <w:shd w:val="clear" w:color="auto" w:fill="FFFFFF"/>
        </w:rPr>
        <w:footnoteReference w:id="7"/>
      </w:r>
      <w:r w:rsidR="00373B4F" w:rsidRPr="001B304D">
        <w:rPr>
          <w:sz w:val="24"/>
          <w:szCs w:val="24"/>
        </w:rPr>
        <w:t>, and t</w:t>
      </w:r>
      <w:r w:rsidRPr="001B304D">
        <w:rPr>
          <w:sz w:val="24"/>
          <w:szCs w:val="24"/>
        </w:rPr>
        <w:t xml:space="preserve">he case commentary for </w:t>
      </w:r>
      <w:proofErr w:type="spellStart"/>
      <w:r w:rsidRPr="001B304D">
        <w:rPr>
          <w:i/>
          <w:iCs/>
          <w:sz w:val="24"/>
          <w:szCs w:val="24"/>
        </w:rPr>
        <w:t>Playfoot</w:t>
      </w:r>
      <w:proofErr w:type="spellEnd"/>
      <w:r w:rsidRPr="001B304D">
        <w:rPr>
          <w:i/>
          <w:iCs/>
          <w:sz w:val="24"/>
          <w:szCs w:val="24"/>
        </w:rPr>
        <w:t xml:space="preserve"> v Millais School Governing Body</w:t>
      </w:r>
      <w:r w:rsidRPr="001B304D">
        <w:rPr>
          <w:sz w:val="24"/>
          <w:szCs w:val="24"/>
        </w:rPr>
        <w:t xml:space="preserve"> even uses a version of Wittgenstein’s private language argument to demonstrate the ineluctable sociality of all religious beliefs.</w:t>
      </w:r>
      <w:r w:rsidR="00D14B12" w:rsidRPr="001B304D">
        <w:rPr>
          <w:sz w:val="24"/>
          <w:szCs w:val="24"/>
        </w:rPr>
        <w:t xml:space="preserve"> </w:t>
      </w:r>
      <w:r w:rsidRPr="001B304D">
        <w:rPr>
          <w:sz w:val="24"/>
          <w:szCs w:val="24"/>
        </w:rPr>
        <w:t>Philosophy of religion has an evident role to play here.</w:t>
      </w:r>
    </w:p>
    <w:p w:rsidR="00263503" w:rsidRPr="001B304D" w:rsidRDefault="00734E4B" w:rsidP="008100A8">
      <w:pPr>
        <w:spacing w:after="0" w:line="480" w:lineRule="auto"/>
        <w:ind w:firstLine="720"/>
        <w:jc w:val="both"/>
        <w:rPr>
          <w:sz w:val="24"/>
          <w:szCs w:val="24"/>
        </w:rPr>
      </w:pPr>
      <w:r w:rsidRPr="001B304D">
        <w:rPr>
          <w:sz w:val="24"/>
          <w:szCs w:val="24"/>
        </w:rPr>
        <w:t xml:space="preserve">The first question </w:t>
      </w:r>
      <w:r w:rsidR="00373B4F" w:rsidRPr="001B304D">
        <w:rPr>
          <w:sz w:val="24"/>
          <w:szCs w:val="24"/>
        </w:rPr>
        <w:t>judges often ask when deciding a case concerning religious symbolism runs: what counts as a belief, the</w:t>
      </w:r>
      <w:r w:rsidRPr="001B304D">
        <w:rPr>
          <w:sz w:val="24"/>
          <w:szCs w:val="24"/>
        </w:rPr>
        <w:t xml:space="preserve"> manifestation</w:t>
      </w:r>
      <w:r w:rsidR="00373B4F" w:rsidRPr="001B304D">
        <w:rPr>
          <w:sz w:val="24"/>
          <w:szCs w:val="24"/>
        </w:rPr>
        <w:t xml:space="preserve"> of which (i.e. the symbol)</w:t>
      </w:r>
      <w:r w:rsidRPr="001B304D">
        <w:rPr>
          <w:sz w:val="24"/>
          <w:szCs w:val="24"/>
        </w:rPr>
        <w:t xml:space="preserve"> would</w:t>
      </w:r>
      <w:r w:rsidR="00373B4F" w:rsidRPr="001B304D">
        <w:rPr>
          <w:sz w:val="24"/>
          <w:szCs w:val="24"/>
        </w:rPr>
        <w:t xml:space="preserve"> be protected under legislation?</w:t>
      </w:r>
      <w:r w:rsidRPr="001B304D">
        <w:rPr>
          <w:sz w:val="24"/>
          <w:szCs w:val="24"/>
        </w:rPr>
        <w:t xml:space="preserve">  Most laws protecting religious freedoms do not distinguish religious beliefs from any other, so long as they possess, as the European Court of Human Rights has put it, ‘</w:t>
      </w:r>
      <w:r w:rsidR="00236AF9" w:rsidRPr="001B304D">
        <w:rPr>
          <w:sz w:val="24"/>
          <w:szCs w:val="24"/>
        </w:rPr>
        <w:t>a certain level of cogency, seriou</w:t>
      </w:r>
      <w:r w:rsidRPr="001B304D">
        <w:rPr>
          <w:sz w:val="24"/>
          <w:szCs w:val="24"/>
        </w:rPr>
        <w:t>sness, cohesion and importance.’</w:t>
      </w:r>
      <w:r w:rsidR="00D14B12" w:rsidRPr="001B304D">
        <w:rPr>
          <w:sz w:val="24"/>
          <w:szCs w:val="24"/>
        </w:rPr>
        <w:t xml:space="preserve"> (</w:t>
      </w:r>
      <w:r w:rsidR="00236AF9" w:rsidRPr="001B304D">
        <w:rPr>
          <w:i/>
          <w:sz w:val="24"/>
          <w:szCs w:val="24"/>
        </w:rPr>
        <w:t xml:space="preserve">Campbell and </w:t>
      </w:r>
      <w:proofErr w:type="spellStart"/>
      <w:r w:rsidR="00236AF9" w:rsidRPr="001B304D">
        <w:rPr>
          <w:i/>
          <w:sz w:val="24"/>
          <w:szCs w:val="24"/>
        </w:rPr>
        <w:t>Cosans</w:t>
      </w:r>
      <w:proofErr w:type="spellEnd"/>
      <w:r w:rsidR="00D14B12" w:rsidRPr="001B304D">
        <w:rPr>
          <w:sz w:val="24"/>
          <w:szCs w:val="24"/>
        </w:rPr>
        <w:t xml:space="preserve"> para 36)</w:t>
      </w:r>
      <w:r w:rsidR="00236AF9" w:rsidRPr="001B304D">
        <w:rPr>
          <w:sz w:val="24"/>
          <w:szCs w:val="24"/>
        </w:rPr>
        <w:t xml:space="preserve"> </w:t>
      </w:r>
      <w:r w:rsidRPr="001B304D">
        <w:rPr>
          <w:sz w:val="24"/>
          <w:szCs w:val="24"/>
        </w:rPr>
        <w:t>This court goes on to distinguish between ‘</w:t>
      </w:r>
      <w:r w:rsidR="00236AF9" w:rsidRPr="001B304D">
        <w:rPr>
          <w:sz w:val="24"/>
          <w:szCs w:val="24"/>
        </w:rPr>
        <w:t xml:space="preserve">the forum </w:t>
      </w:r>
      <w:proofErr w:type="spellStart"/>
      <w:r w:rsidR="00236AF9" w:rsidRPr="001B304D">
        <w:rPr>
          <w:sz w:val="24"/>
          <w:szCs w:val="24"/>
        </w:rPr>
        <w:lastRenderedPageBreak/>
        <w:t>internum</w:t>
      </w:r>
      <w:proofErr w:type="spellEnd"/>
      <w:r w:rsidR="00236AF9" w:rsidRPr="001B304D">
        <w:rPr>
          <w:sz w:val="24"/>
          <w:szCs w:val="24"/>
        </w:rPr>
        <w:t>… the sphere of personal co</w:t>
      </w:r>
      <w:r w:rsidRPr="001B304D">
        <w:rPr>
          <w:sz w:val="24"/>
          <w:szCs w:val="24"/>
        </w:rPr>
        <w:t>nvictions and religious beliefs’</w:t>
      </w:r>
      <w:r w:rsidR="00236AF9" w:rsidRPr="001B304D">
        <w:rPr>
          <w:sz w:val="24"/>
          <w:szCs w:val="24"/>
        </w:rPr>
        <w:t xml:space="preserve"> and the external</w:t>
      </w:r>
      <w:r w:rsidRPr="001B304D">
        <w:rPr>
          <w:sz w:val="24"/>
          <w:szCs w:val="24"/>
        </w:rPr>
        <w:t xml:space="preserve"> sphere of action</w:t>
      </w:r>
      <w:r w:rsidR="00215237" w:rsidRPr="001B304D">
        <w:rPr>
          <w:sz w:val="24"/>
          <w:szCs w:val="24"/>
        </w:rPr>
        <w:t xml:space="preserve"> and symbolism</w:t>
      </w:r>
      <w:r w:rsidR="00D14B12" w:rsidRPr="001B304D">
        <w:rPr>
          <w:sz w:val="24"/>
          <w:szCs w:val="24"/>
        </w:rPr>
        <w:t xml:space="preserve"> (</w:t>
      </w:r>
      <w:proofErr w:type="spellStart"/>
      <w:r w:rsidR="001D40E1" w:rsidRPr="001B304D">
        <w:rPr>
          <w:i/>
          <w:sz w:val="24"/>
          <w:szCs w:val="24"/>
        </w:rPr>
        <w:t>Kala</w:t>
      </w:r>
      <w:r w:rsidR="001D40E1" w:rsidRPr="001B304D">
        <w:rPr>
          <w:i/>
          <w:iCs/>
          <w:sz w:val="24"/>
          <w:szCs w:val="24"/>
        </w:rPr>
        <w:t>ç</w:t>
      </w:r>
      <w:proofErr w:type="spellEnd"/>
      <w:r w:rsidR="00D14B12" w:rsidRPr="001B304D">
        <w:rPr>
          <w:sz w:val="24"/>
          <w:szCs w:val="24"/>
        </w:rPr>
        <w:t xml:space="preserve"> para 34)</w:t>
      </w:r>
      <w:r w:rsidR="00236AF9" w:rsidRPr="001B304D">
        <w:rPr>
          <w:sz w:val="24"/>
          <w:szCs w:val="24"/>
        </w:rPr>
        <w:t>.</w:t>
      </w:r>
      <w:r w:rsidRPr="001B304D">
        <w:rPr>
          <w:sz w:val="24"/>
          <w:szCs w:val="24"/>
        </w:rPr>
        <w:t xml:space="preserve"> This distinction is then transformed into a</w:t>
      </w:r>
      <w:r w:rsidR="00373B4F" w:rsidRPr="001B304D">
        <w:rPr>
          <w:sz w:val="24"/>
          <w:szCs w:val="24"/>
        </w:rPr>
        <w:t>n implicit</w:t>
      </w:r>
      <w:r w:rsidRPr="001B304D">
        <w:rPr>
          <w:sz w:val="24"/>
          <w:szCs w:val="24"/>
        </w:rPr>
        <w:t xml:space="preserve"> hierarchy in many judgments: ‘While religious freedom is primarily a matter of individual conscience, it also implies, inter alia, freedom to manifest one’s religion, alone and in private, or in community with others, in public and within the circle of those whose faith one shares.’</w:t>
      </w:r>
      <w:r w:rsidR="001D40E1" w:rsidRPr="001B304D">
        <w:rPr>
          <w:sz w:val="24"/>
          <w:szCs w:val="24"/>
        </w:rPr>
        <w:t xml:space="preserve"> (</w:t>
      </w:r>
      <w:proofErr w:type="spellStart"/>
      <w:r w:rsidR="00C55570" w:rsidRPr="001B304D">
        <w:rPr>
          <w:i/>
          <w:iCs/>
          <w:sz w:val="24"/>
          <w:szCs w:val="24"/>
        </w:rPr>
        <w:t>Şahin</w:t>
      </w:r>
      <w:proofErr w:type="spellEnd"/>
      <w:r w:rsidR="001D40E1" w:rsidRPr="001B304D">
        <w:rPr>
          <w:sz w:val="24"/>
          <w:szCs w:val="24"/>
        </w:rPr>
        <w:t xml:space="preserve"> para 105</w:t>
      </w:r>
      <w:r w:rsidR="00D14B12" w:rsidRPr="001B304D">
        <w:rPr>
          <w:sz w:val="24"/>
          <w:szCs w:val="24"/>
        </w:rPr>
        <w:t>)</w:t>
      </w:r>
      <w:r w:rsidRPr="001B304D">
        <w:rPr>
          <w:sz w:val="24"/>
          <w:szCs w:val="24"/>
        </w:rPr>
        <w:t xml:space="preserve">  </w:t>
      </w:r>
      <w:r w:rsidR="00236AF9" w:rsidRPr="001B304D">
        <w:rPr>
          <w:sz w:val="24"/>
          <w:szCs w:val="24"/>
        </w:rPr>
        <w:t>The implication here is that</w:t>
      </w:r>
      <w:r w:rsidRPr="001B304D">
        <w:rPr>
          <w:sz w:val="24"/>
          <w:szCs w:val="24"/>
        </w:rPr>
        <w:t xml:space="preserve"> religion is ‘primarily’</w:t>
      </w:r>
      <w:r w:rsidR="00236AF9" w:rsidRPr="001B304D">
        <w:rPr>
          <w:sz w:val="24"/>
          <w:szCs w:val="24"/>
        </w:rPr>
        <w:t xml:space="preserve"> a matter of belief, and only derivatively a matter of manifestations of belief</w:t>
      </w:r>
      <w:r w:rsidRPr="001B304D">
        <w:rPr>
          <w:sz w:val="24"/>
          <w:szCs w:val="24"/>
        </w:rPr>
        <w:t xml:space="preserve">. In the UK jurisprudence, Lord Nicholls has claimed that this </w:t>
      </w:r>
      <w:r w:rsidR="00501ABC" w:rsidRPr="001B304D">
        <w:rPr>
          <w:sz w:val="24"/>
          <w:szCs w:val="24"/>
        </w:rPr>
        <w:t>is a</w:t>
      </w:r>
      <w:r w:rsidRPr="001B304D">
        <w:rPr>
          <w:sz w:val="24"/>
          <w:szCs w:val="24"/>
        </w:rPr>
        <w:t xml:space="preserve"> distinction between the ‘absolute’</w:t>
      </w:r>
      <w:r w:rsidR="00236AF9" w:rsidRPr="001B304D">
        <w:rPr>
          <w:sz w:val="24"/>
          <w:szCs w:val="24"/>
        </w:rPr>
        <w:t xml:space="preserve"> protection give</w:t>
      </w:r>
      <w:r w:rsidRPr="001B304D">
        <w:rPr>
          <w:sz w:val="24"/>
          <w:szCs w:val="24"/>
        </w:rPr>
        <w:t>n to religious beliefs and the ‘qualified’</w:t>
      </w:r>
      <w:r w:rsidR="00236AF9" w:rsidRPr="001B304D">
        <w:rPr>
          <w:sz w:val="24"/>
          <w:szCs w:val="24"/>
        </w:rPr>
        <w:t xml:space="preserve"> protection given to manifestations of such beliefs</w:t>
      </w:r>
      <w:r w:rsidR="00215237" w:rsidRPr="001B304D">
        <w:rPr>
          <w:sz w:val="24"/>
          <w:szCs w:val="24"/>
        </w:rPr>
        <w:t>, like symbols</w:t>
      </w:r>
      <w:r w:rsidR="00D14B12" w:rsidRPr="001B304D">
        <w:rPr>
          <w:sz w:val="24"/>
          <w:szCs w:val="24"/>
        </w:rPr>
        <w:t xml:space="preserve"> (</w:t>
      </w:r>
      <w:r w:rsidR="00C55570" w:rsidRPr="001B304D">
        <w:rPr>
          <w:i/>
          <w:sz w:val="24"/>
          <w:szCs w:val="24"/>
        </w:rPr>
        <w:t>Williamson</w:t>
      </w:r>
      <w:r w:rsidR="001D40E1" w:rsidRPr="001B304D">
        <w:rPr>
          <w:sz w:val="24"/>
          <w:szCs w:val="24"/>
        </w:rPr>
        <w:t xml:space="preserve"> paras 23-4</w:t>
      </w:r>
      <w:r w:rsidR="00D14B12" w:rsidRPr="001B304D">
        <w:rPr>
          <w:sz w:val="24"/>
          <w:szCs w:val="24"/>
        </w:rPr>
        <w:t>)</w:t>
      </w:r>
      <w:r w:rsidRPr="001B304D">
        <w:rPr>
          <w:sz w:val="24"/>
          <w:szCs w:val="24"/>
        </w:rPr>
        <w:t>. Of course, i</w:t>
      </w:r>
      <w:r w:rsidR="00236AF9" w:rsidRPr="001B304D">
        <w:rPr>
          <w:sz w:val="24"/>
          <w:szCs w:val="24"/>
        </w:rPr>
        <w:t xml:space="preserve">f this is the conception of religion which arises </w:t>
      </w:r>
      <w:r w:rsidRPr="001B304D">
        <w:rPr>
          <w:sz w:val="24"/>
          <w:szCs w:val="24"/>
        </w:rPr>
        <w:t>from the legislation in the UK and Europe, the</w:t>
      </w:r>
      <w:r w:rsidR="00236AF9" w:rsidRPr="001B304D">
        <w:rPr>
          <w:sz w:val="24"/>
          <w:szCs w:val="24"/>
        </w:rPr>
        <w:t xml:space="preserve"> question naturally arises: is religion actually like this? Is the above model true of </w:t>
      </w:r>
      <w:r w:rsidR="00373B4F" w:rsidRPr="001B304D">
        <w:rPr>
          <w:sz w:val="24"/>
          <w:szCs w:val="24"/>
        </w:rPr>
        <w:t xml:space="preserve">all </w:t>
      </w:r>
      <w:r w:rsidR="00236AF9" w:rsidRPr="001B304D">
        <w:rPr>
          <w:sz w:val="24"/>
          <w:szCs w:val="24"/>
        </w:rPr>
        <w:t xml:space="preserve">religions? </w:t>
      </w:r>
      <w:r w:rsidRPr="001B304D">
        <w:rPr>
          <w:sz w:val="24"/>
          <w:szCs w:val="24"/>
        </w:rPr>
        <w:t xml:space="preserve">This is one of the places </w:t>
      </w:r>
      <w:r w:rsidR="00373B4F" w:rsidRPr="001B304D">
        <w:rPr>
          <w:sz w:val="24"/>
          <w:szCs w:val="24"/>
        </w:rPr>
        <w:t>that philosophers</w:t>
      </w:r>
      <w:r w:rsidRPr="001B304D">
        <w:rPr>
          <w:sz w:val="24"/>
          <w:szCs w:val="24"/>
        </w:rPr>
        <w:t xml:space="preserve"> of religion should have much to say.</w:t>
      </w:r>
      <w:r w:rsidR="00A35903" w:rsidRPr="001B304D">
        <w:rPr>
          <w:sz w:val="24"/>
          <w:szCs w:val="24"/>
        </w:rPr>
        <w:t xml:space="preserve"> If it turns out to be the case that this definition of </w:t>
      </w:r>
      <w:r w:rsidR="00373B4F" w:rsidRPr="001B304D">
        <w:rPr>
          <w:sz w:val="24"/>
          <w:szCs w:val="24"/>
        </w:rPr>
        <w:t>religion is not a good one, it</w:t>
      </w:r>
      <w:r w:rsidR="00A35903" w:rsidRPr="001B304D">
        <w:rPr>
          <w:sz w:val="24"/>
          <w:szCs w:val="24"/>
        </w:rPr>
        <w:t xml:space="preserve"> raises a question about the legislation’s ability to adequately protect religious freedom.</w:t>
      </w:r>
    </w:p>
    <w:p w:rsidR="00263503" w:rsidRPr="001B304D" w:rsidRDefault="00474278" w:rsidP="008100A8">
      <w:pPr>
        <w:spacing w:after="0" w:line="480" w:lineRule="auto"/>
        <w:ind w:firstLine="720"/>
        <w:jc w:val="both"/>
        <w:rPr>
          <w:sz w:val="24"/>
          <w:szCs w:val="24"/>
        </w:rPr>
      </w:pPr>
      <w:r w:rsidRPr="001B304D">
        <w:rPr>
          <w:sz w:val="24"/>
          <w:szCs w:val="24"/>
        </w:rPr>
        <w:t>Similar issues occur when judges</w:t>
      </w:r>
      <w:r w:rsidR="00263503" w:rsidRPr="001B304D">
        <w:rPr>
          <w:sz w:val="24"/>
          <w:szCs w:val="24"/>
        </w:rPr>
        <w:t xml:space="preserve"> turn</w:t>
      </w:r>
      <w:r w:rsidRPr="001B304D">
        <w:rPr>
          <w:sz w:val="24"/>
          <w:szCs w:val="24"/>
        </w:rPr>
        <w:t xml:space="preserve"> their attention</w:t>
      </w:r>
      <w:r w:rsidR="00263503" w:rsidRPr="001B304D">
        <w:rPr>
          <w:sz w:val="24"/>
          <w:szCs w:val="24"/>
        </w:rPr>
        <w:t xml:space="preserve"> to the religious symbols motivated by these beliefs. </w:t>
      </w:r>
      <w:r w:rsidR="00501ABC" w:rsidRPr="001B304D">
        <w:rPr>
          <w:sz w:val="24"/>
          <w:szCs w:val="24"/>
        </w:rPr>
        <w:t>J</w:t>
      </w:r>
      <w:r w:rsidR="00263503" w:rsidRPr="001B304D">
        <w:rPr>
          <w:sz w:val="24"/>
          <w:szCs w:val="24"/>
        </w:rPr>
        <w:t xml:space="preserve">udges have traditionally applied a ‘manifestation test’ to ensure that the </w:t>
      </w:r>
      <w:r w:rsidRPr="001B304D">
        <w:rPr>
          <w:sz w:val="24"/>
          <w:szCs w:val="24"/>
        </w:rPr>
        <w:t>symbol in</w:t>
      </w:r>
      <w:r w:rsidR="00263503" w:rsidRPr="001B304D">
        <w:rPr>
          <w:sz w:val="24"/>
          <w:szCs w:val="24"/>
        </w:rPr>
        <w:t xml:space="preserve"> question does indeed constitute a manifestation of a religious belief and so qualifies for being protected.</w:t>
      </w:r>
      <w:r w:rsidR="00263503" w:rsidRPr="001B304D">
        <w:rPr>
          <w:sz w:val="24"/>
          <w:szCs w:val="24"/>
          <w:lang w:eastAsia="en-GB"/>
        </w:rPr>
        <w:t xml:space="preserve"> Many of the difficulties that judges have historically had in protecting religious symbols stems from the attempt to </w:t>
      </w:r>
      <w:r w:rsidRPr="001B304D">
        <w:rPr>
          <w:sz w:val="24"/>
          <w:szCs w:val="24"/>
          <w:lang w:eastAsia="en-GB"/>
        </w:rPr>
        <w:t xml:space="preserve">specify a threshold </w:t>
      </w:r>
      <w:r w:rsidR="00263503" w:rsidRPr="001B304D">
        <w:rPr>
          <w:sz w:val="24"/>
          <w:szCs w:val="24"/>
          <w:lang w:eastAsia="en-GB"/>
        </w:rPr>
        <w:t>distinguish</w:t>
      </w:r>
      <w:r w:rsidRPr="001B304D">
        <w:rPr>
          <w:sz w:val="24"/>
          <w:szCs w:val="24"/>
          <w:lang w:eastAsia="en-GB"/>
        </w:rPr>
        <w:t>ing</w:t>
      </w:r>
      <w:r w:rsidR="00263503" w:rsidRPr="001B304D">
        <w:rPr>
          <w:sz w:val="24"/>
          <w:szCs w:val="24"/>
          <w:lang w:eastAsia="en-GB"/>
        </w:rPr>
        <w:t xml:space="preserve"> symbols that adequately manifest a religious belief from those that do not—and in consequence, to outline a conceptual model for describing the relation that holds between a religious belief and a symbol derived from it that is eligible for protection.</w:t>
      </w:r>
    </w:p>
    <w:p w:rsidR="00DD3306" w:rsidRPr="001B304D" w:rsidRDefault="00474278" w:rsidP="00474278">
      <w:pPr>
        <w:pStyle w:val="sdfootnote-western"/>
        <w:spacing w:before="0" w:line="480" w:lineRule="auto"/>
        <w:ind w:left="0" w:firstLine="709"/>
        <w:jc w:val="both"/>
        <w:rPr>
          <w:color w:val="auto"/>
          <w:sz w:val="24"/>
          <w:szCs w:val="24"/>
        </w:rPr>
      </w:pPr>
      <w:r w:rsidRPr="001B304D">
        <w:rPr>
          <w:color w:val="auto"/>
          <w:sz w:val="24"/>
          <w:szCs w:val="24"/>
        </w:rPr>
        <w:t xml:space="preserve">One general point to be taken from the above is that the symbol is here treated almost exclusively as a </w:t>
      </w:r>
      <w:r w:rsidRPr="001B304D">
        <w:rPr>
          <w:i/>
          <w:color w:val="auto"/>
          <w:sz w:val="24"/>
          <w:szCs w:val="24"/>
        </w:rPr>
        <w:t>sign</w:t>
      </w:r>
      <w:r w:rsidRPr="001B304D">
        <w:rPr>
          <w:color w:val="auto"/>
          <w:sz w:val="24"/>
          <w:szCs w:val="24"/>
        </w:rPr>
        <w:t xml:space="preserve"> of underlying beliefs.</w:t>
      </w:r>
      <w:r w:rsidR="00263503" w:rsidRPr="001B304D">
        <w:rPr>
          <w:color w:val="auto"/>
          <w:sz w:val="24"/>
          <w:szCs w:val="24"/>
        </w:rPr>
        <w:t xml:space="preserve"> In </w:t>
      </w:r>
      <w:r w:rsidR="00263503" w:rsidRPr="001B304D">
        <w:rPr>
          <w:i/>
          <w:iCs/>
          <w:color w:val="auto"/>
          <w:sz w:val="24"/>
          <w:szCs w:val="24"/>
        </w:rPr>
        <w:t>Watkins-Singh</w:t>
      </w:r>
      <w:r w:rsidRPr="001B304D">
        <w:rPr>
          <w:color w:val="auto"/>
          <w:sz w:val="24"/>
          <w:szCs w:val="24"/>
        </w:rPr>
        <w:t xml:space="preserve">, Silber J explains part of the </w:t>
      </w:r>
      <w:r w:rsidRPr="001B304D">
        <w:rPr>
          <w:color w:val="auto"/>
          <w:sz w:val="24"/>
          <w:szCs w:val="24"/>
        </w:rPr>
        <w:lastRenderedPageBreak/>
        <w:t>Sikh Kara’s</w:t>
      </w:r>
      <w:r w:rsidR="00263503" w:rsidRPr="001B304D">
        <w:rPr>
          <w:color w:val="auto"/>
          <w:sz w:val="24"/>
          <w:szCs w:val="24"/>
        </w:rPr>
        <w:t xml:space="preserve"> significance as follows:</w:t>
      </w:r>
      <w:r w:rsidR="009912B9" w:rsidRPr="001B304D">
        <w:rPr>
          <w:color w:val="auto"/>
          <w:sz w:val="24"/>
          <w:szCs w:val="24"/>
        </w:rPr>
        <w:t xml:space="preserve"> ‘</w:t>
      </w:r>
      <w:r w:rsidR="00263503" w:rsidRPr="001B304D">
        <w:rPr>
          <w:color w:val="auto"/>
          <w:sz w:val="24"/>
          <w:szCs w:val="24"/>
        </w:rPr>
        <w:t>Sikhs explain [the Kara’s] symbolism as a circle that reminds them of God’s infinity and speak of their b</w:t>
      </w:r>
      <w:r w:rsidR="009912B9" w:rsidRPr="001B304D">
        <w:rPr>
          <w:color w:val="auto"/>
          <w:sz w:val="24"/>
          <w:szCs w:val="24"/>
        </w:rPr>
        <w:t>eing linked (“handcuffed”</w:t>
      </w:r>
      <w:r w:rsidR="00263503" w:rsidRPr="001B304D">
        <w:rPr>
          <w:color w:val="auto"/>
          <w:sz w:val="24"/>
          <w:szCs w:val="24"/>
        </w:rPr>
        <w:t>) by it to God. For many it is a reminder to behave in accordance with religious teaching.</w:t>
      </w:r>
      <w:r w:rsidR="009912B9" w:rsidRPr="001B304D">
        <w:rPr>
          <w:color w:val="auto"/>
          <w:sz w:val="24"/>
          <w:szCs w:val="24"/>
        </w:rPr>
        <w:t>’</w:t>
      </w:r>
      <w:r w:rsidR="00D14B12" w:rsidRPr="001B304D">
        <w:rPr>
          <w:color w:val="auto"/>
          <w:sz w:val="24"/>
          <w:szCs w:val="24"/>
        </w:rPr>
        <w:t xml:space="preserve"> (</w:t>
      </w:r>
      <w:r w:rsidR="00D14B12" w:rsidRPr="001B304D">
        <w:rPr>
          <w:i/>
          <w:color w:val="auto"/>
          <w:sz w:val="24"/>
          <w:szCs w:val="24"/>
        </w:rPr>
        <w:t>Watkins-Singh</w:t>
      </w:r>
      <w:r w:rsidR="00D14B12" w:rsidRPr="001B304D">
        <w:rPr>
          <w:color w:val="auto"/>
          <w:sz w:val="24"/>
          <w:szCs w:val="24"/>
        </w:rPr>
        <w:t xml:space="preserve"> para 26)</w:t>
      </w:r>
      <w:r w:rsidR="009912B9" w:rsidRPr="001B304D">
        <w:rPr>
          <w:color w:val="auto"/>
          <w:sz w:val="24"/>
          <w:szCs w:val="24"/>
        </w:rPr>
        <w:t xml:space="preserve"> </w:t>
      </w:r>
      <w:r w:rsidR="00501ABC" w:rsidRPr="001B304D">
        <w:rPr>
          <w:color w:val="auto"/>
          <w:sz w:val="24"/>
          <w:szCs w:val="24"/>
        </w:rPr>
        <w:t>The very way the Kara</w:t>
      </w:r>
      <w:r w:rsidR="00DD3306" w:rsidRPr="001B304D">
        <w:rPr>
          <w:color w:val="auto"/>
          <w:sz w:val="24"/>
          <w:szCs w:val="24"/>
        </w:rPr>
        <w:t xml:space="preserve"> is shaped (as a circle) is a visual representation of God’s infinity; it is a way of visibly indicating a belief externally</w:t>
      </w:r>
      <w:r w:rsidR="00D14B12" w:rsidRPr="001B304D">
        <w:rPr>
          <w:color w:val="auto"/>
          <w:sz w:val="24"/>
          <w:szCs w:val="24"/>
        </w:rPr>
        <w:t>. Similar emphasis is placed on the sign-function</w:t>
      </w:r>
      <w:r w:rsidR="00DD3306" w:rsidRPr="001B304D">
        <w:rPr>
          <w:color w:val="auto"/>
          <w:sz w:val="24"/>
          <w:szCs w:val="24"/>
        </w:rPr>
        <w:t xml:space="preserve"> in </w:t>
      </w:r>
      <w:proofErr w:type="spellStart"/>
      <w:r w:rsidR="00DD3306" w:rsidRPr="001B304D">
        <w:rPr>
          <w:i/>
          <w:color w:val="auto"/>
          <w:sz w:val="24"/>
          <w:szCs w:val="24"/>
        </w:rPr>
        <w:t>Playfoot</w:t>
      </w:r>
      <w:proofErr w:type="spellEnd"/>
      <w:r w:rsidR="00DD3306" w:rsidRPr="001B304D">
        <w:rPr>
          <w:color w:val="auto"/>
          <w:sz w:val="24"/>
          <w:szCs w:val="24"/>
        </w:rPr>
        <w:t xml:space="preserve">, </w:t>
      </w:r>
      <w:r w:rsidR="00D14B12" w:rsidRPr="001B304D">
        <w:rPr>
          <w:color w:val="auto"/>
          <w:sz w:val="24"/>
          <w:szCs w:val="24"/>
        </w:rPr>
        <w:t xml:space="preserve">where </w:t>
      </w:r>
      <w:proofErr w:type="spellStart"/>
      <w:r w:rsidR="00D14B12" w:rsidRPr="001B304D">
        <w:rPr>
          <w:color w:val="auto"/>
          <w:sz w:val="24"/>
          <w:szCs w:val="24"/>
        </w:rPr>
        <w:t>Playfoot’s</w:t>
      </w:r>
      <w:proofErr w:type="spellEnd"/>
      <w:r w:rsidR="00D14B12" w:rsidRPr="001B304D">
        <w:rPr>
          <w:color w:val="auto"/>
          <w:sz w:val="24"/>
          <w:szCs w:val="24"/>
        </w:rPr>
        <w:t xml:space="preserve"> chastity ring i</w:t>
      </w:r>
      <w:r w:rsidR="00DD3306" w:rsidRPr="001B304D">
        <w:rPr>
          <w:color w:val="auto"/>
          <w:sz w:val="24"/>
          <w:szCs w:val="24"/>
        </w:rPr>
        <w:t>s</w:t>
      </w:r>
      <w:r w:rsidR="00D14B12" w:rsidRPr="001B304D">
        <w:rPr>
          <w:color w:val="auto"/>
          <w:sz w:val="24"/>
          <w:szCs w:val="24"/>
        </w:rPr>
        <w:t xml:space="preserve"> described as</w:t>
      </w:r>
      <w:r w:rsidR="00DD3306" w:rsidRPr="001B304D">
        <w:rPr>
          <w:color w:val="auto"/>
          <w:sz w:val="24"/>
          <w:szCs w:val="24"/>
        </w:rPr>
        <w:t xml:space="preserve"> ‘a sign of commitment to sexual abstinence’</w:t>
      </w:r>
      <w:r w:rsidR="00D14B12" w:rsidRPr="001B304D">
        <w:rPr>
          <w:color w:val="auto"/>
          <w:sz w:val="24"/>
          <w:szCs w:val="24"/>
        </w:rPr>
        <w:t xml:space="preserve"> (</w:t>
      </w:r>
      <w:proofErr w:type="spellStart"/>
      <w:r w:rsidR="00D14B12" w:rsidRPr="001B304D">
        <w:rPr>
          <w:i/>
          <w:color w:val="auto"/>
          <w:sz w:val="24"/>
          <w:szCs w:val="24"/>
        </w:rPr>
        <w:t>Playfoot</w:t>
      </w:r>
      <w:proofErr w:type="spellEnd"/>
      <w:r w:rsidR="00C55570" w:rsidRPr="001B304D">
        <w:rPr>
          <w:color w:val="auto"/>
          <w:sz w:val="24"/>
          <w:szCs w:val="24"/>
        </w:rPr>
        <w:t xml:space="preserve"> </w:t>
      </w:r>
      <w:r w:rsidR="00D14B12" w:rsidRPr="001B304D">
        <w:rPr>
          <w:color w:val="auto"/>
          <w:sz w:val="24"/>
          <w:szCs w:val="24"/>
        </w:rPr>
        <w:t>para 12)</w:t>
      </w:r>
      <w:r w:rsidR="00DD3306" w:rsidRPr="001B304D">
        <w:rPr>
          <w:color w:val="auto"/>
          <w:sz w:val="24"/>
          <w:szCs w:val="24"/>
        </w:rPr>
        <w:t>.</w:t>
      </w:r>
      <w:r w:rsidRPr="001B304D">
        <w:rPr>
          <w:color w:val="auto"/>
          <w:sz w:val="24"/>
          <w:szCs w:val="24"/>
        </w:rPr>
        <w:t xml:space="preserve"> </w:t>
      </w:r>
      <w:r w:rsidR="00DD3306" w:rsidRPr="001B304D">
        <w:rPr>
          <w:color w:val="auto"/>
          <w:sz w:val="24"/>
          <w:szCs w:val="24"/>
        </w:rPr>
        <w:t xml:space="preserve">The symbol’s function as sign is emphasized </w:t>
      </w:r>
      <w:r w:rsidRPr="001B304D">
        <w:rPr>
          <w:color w:val="auto"/>
          <w:sz w:val="24"/>
          <w:szCs w:val="24"/>
        </w:rPr>
        <w:t>repeatedly</w:t>
      </w:r>
      <w:r w:rsidR="00DD3306" w:rsidRPr="001B304D">
        <w:rPr>
          <w:color w:val="auto"/>
          <w:sz w:val="24"/>
          <w:szCs w:val="24"/>
        </w:rPr>
        <w:t xml:space="preserve"> by the courts, and this is, of course, a natural consequence of the understanding of religion that underlie</w:t>
      </w:r>
      <w:r w:rsidR="00501ABC" w:rsidRPr="001B304D">
        <w:rPr>
          <w:color w:val="auto"/>
          <w:sz w:val="24"/>
          <w:szCs w:val="24"/>
        </w:rPr>
        <w:t>s</w:t>
      </w:r>
      <w:r w:rsidR="00DD3306" w:rsidRPr="001B304D">
        <w:rPr>
          <w:color w:val="auto"/>
          <w:sz w:val="24"/>
          <w:szCs w:val="24"/>
        </w:rPr>
        <w:t xml:space="preserve"> the legislation. If manifestations are derivative from antecedent beliefs, then it will be the case that </w:t>
      </w:r>
      <w:r w:rsidR="00501ABC" w:rsidRPr="001B304D">
        <w:rPr>
          <w:color w:val="auto"/>
          <w:sz w:val="24"/>
          <w:szCs w:val="24"/>
        </w:rPr>
        <w:t>symbols</w:t>
      </w:r>
      <w:r w:rsidR="00DD3306" w:rsidRPr="001B304D">
        <w:rPr>
          <w:color w:val="auto"/>
          <w:sz w:val="24"/>
          <w:szCs w:val="24"/>
        </w:rPr>
        <w:t xml:space="preserve"> are manifestations only to the extent that they </w:t>
      </w:r>
      <w:r w:rsidRPr="001B304D">
        <w:rPr>
          <w:color w:val="auto"/>
          <w:sz w:val="24"/>
          <w:szCs w:val="24"/>
        </w:rPr>
        <w:t>signify</w:t>
      </w:r>
      <w:r w:rsidR="00DD3306" w:rsidRPr="001B304D">
        <w:rPr>
          <w:color w:val="auto"/>
          <w:sz w:val="24"/>
          <w:szCs w:val="24"/>
        </w:rPr>
        <w:t xml:space="preserve"> such beliefs</w:t>
      </w:r>
      <w:r w:rsidRPr="001B304D">
        <w:rPr>
          <w:color w:val="auto"/>
          <w:sz w:val="24"/>
          <w:szCs w:val="24"/>
        </w:rPr>
        <w:t xml:space="preserve"> in some way</w:t>
      </w:r>
      <w:r w:rsidR="00DD3306" w:rsidRPr="001B304D">
        <w:rPr>
          <w:color w:val="auto"/>
          <w:sz w:val="24"/>
          <w:szCs w:val="24"/>
        </w:rPr>
        <w:t xml:space="preserve">. The key case here is </w:t>
      </w:r>
      <w:proofErr w:type="spellStart"/>
      <w:r w:rsidR="00DD3306" w:rsidRPr="001B304D">
        <w:rPr>
          <w:i/>
          <w:color w:val="auto"/>
          <w:sz w:val="24"/>
          <w:szCs w:val="24"/>
        </w:rPr>
        <w:t>Arrowsmith</w:t>
      </w:r>
      <w:proofErr w:type="spellEnd"/>
      <w:r w:rsidR="001D40E1" w:rsidRPr="001B304D">
        <w:rPr>
          <w:i/>
          <w:color w:val="auto"/>
          <w:sz w:val="24"/>
          <w:szCs w:val="24"/>
        </w:rPr>
        <w:t xml:space="preserve"> v UK</w:t>
      </w:r>
      <w:r w:rsidR="00C55570" w:rsidRPr="001B304D">
        <w:rPr>
          <w:i/>
          <w:color w:val="auto"/>
          <w:sz w:val="24"/>
          <w:szCs w:val="24"/>
        </w:rPr>
        <w:t xml:space="preserve"> </w:t>
      </w:r>
      <w:r w:rsidR="00C55570" w:rsidRPr="001B304D">
        <w:rPr>
          <w:color w:val="auto"/>
          <w:sz w:val="24"/>
          <w:szCs w:val="24"/>
        </w:rPr>
        <w:t>from 1981</w:t>
      </w:r>
      <w:r w:rsidR="00DD3306" w:rsidRPr="001B304D">
        <w:rPr>
          <w:color w:val="auto"/>
          <w:sz w:val="24"/>
          <w:szCs w:val="24"/>
        </w:rPr>
        <w:t xml:space="preserve">: the reason why </w:t>
      </w:r>
      <w:proofErr w:type="spellStart"/>
      <w:r w:rsidR="00DD3306" w:rsidRPr="001B304D">
        <w:rPr>
          <w:color w:val="auto"/>
          <w:sz w:val="24"/>
          <w:szCs w:val="24"/>
        </w:rPr>
        <w:t>Arrowsmith’s</w:t>
      </w:r>
      <w:proofErr w:type="spellEnd"/>
      <w:r w:rsidR="00DD3306" w:rsidRPr="001B304D">
        <w:rPr>
          <w:color w:val="auto"/>
          <w:sz w:val="24"/>
          <w:szCs w:val="24"/>
        </w:rPr>
        <w:t xml:space="preserve"> distribution of leaflets was not deemed a manifestation of her pacifism was that the leaflets were held not to express </w:t>
      </w:r>
      <w:r w:rsidR="00215237" w:rsidRPr="001B304D">
        <w:rPr>
          <w:color w:val="auto"/>
          <w:sz w:val="24"/>
          <w:szCs w:val="24"/>
        </w:rPr>
        <w:t>her</w:t>
      </w:r>
      <w:r w:rsidRPr="001B304D">
        <w:rPr>
          <w:color w:val="auto"/>
          <w:sz w:val="24"/>
          <w:szCs w:val="24"/>
        </w:rPr>
        <w:t xml:space="preserve"> underlying pacifist beliefs</w:t>
      </w:r>
      <w:r w:rsidR="00DD3306" w:rsidRPr="001B304D">
        <w:rPr>
          <w:color w:val="auto"/>
          <w:sz w:val="24"/>
          <w:szCs w:val="24"/>
        </w:rPr>
        <w:t xml:space="preserve"> </w:t>
      </w:r>
      <w:r w:rsidR="00D14B12" w:rsidRPr="001B304D">
        <w:rPr>
          <w:color w:val="auto"/>
          <w:sz w:val="24"/>
          <w:szCs w:val="24"/>
        </w:rPr>
        <w:t>(</w:t>
      </w:r>
      <w:proofErr w:type="spellStart"/>
      <w:r w:rsidR="00D14B12" w:rsidRPr="001B304D">
        <w:rPr>
          <w:i/>
          <w:color w:val="auto"/>
          <w:sz w:val="24"/>
          <w:szCs w:val="24"/>
        </w:rPr>
        <w:t>Arrowsmith</w:t>
      </w:r>
      <w:proofErr w:type="spellEnd"/>
      <w:r w:rsidR="00D14B12" w:rsidRPr="001B304D">
        <w:rPr>
          <w:i/>
          <w:color w:val="auto"/>
          <w:sz w:val="24"/>
          <w:szCs w:val="24"/>
        </w:rPr>
        <w:t xml:space="preserve"> </w:t>
      </w:r>
      <w:r w:rsidR="00D14B12" w:rsidRPr="001B304D">
        <w:rPr>
          <w:color w:val="auto"/>
          <w:sz w:val="24"/>
          <w:szCs w:val="24"/>
        </w:rPr>
        <w:t>para 75)</w:t>
      </w:r>
      <w:r w:rsidR="00DD3306" w:rsidRPr="001B304D">
        <w:rPr>
          <w:color w:val="auto"/>
          <w:sz w:val="24"/>
          <w:szCs w:val="24"/>
        </w:rPr>
        <w:t>. The</w:t>
      </w:r>
      <w:r w:rsidRPr="001B304D">
        <w:rPr>
          <w:color w:val="auto"/>
          <w:sz w:val="24"/>
          <w:szCs w:val="24"/>
        </w:rPr>
        <w:t xml:space="preserve"> point is that there has been a</w:t>
      </w:r>
      <w:r w:rsidR="00DD3306" w:rsidRPr="001B304D">
        <w:rPr>
          <w:color w:val="auto"/>
          <w:sz w:val="24"/>
          <w:szCs w:val="24"/>
        </w:rPr>
        <w:t xml:space="preserve"> distinction</w:t>
      </w:r>
      <w:r w:rsidRPr="001B304D">
        <w:rPr>
          <w:color w:val="auto"/>
          <w:sz w:val="24"/>
          <w:szCs w:val="24"/>
        </w:rPr>
        <w:t xml:space="preserve"> in the jurisprudence</w:t>
      </w:r>
      <w:r w:rsidR="00DD3306" w:rsidRPr="001B304D">
        <w:rPr>
          <w:color w:val="auto"/>
          <w:sz w:val="24"/>
          <w:szCs w:val="24"/>
        </w:rPr>
        <w:t xml:space="preserve"> between a symbol whose use may well be consistent with, caused by, or brought about in furtherance of, beliefs, and one whose use substantially expresses such beliefs. </w:t>
      </w:r>
      <w:r w:rsidR="00D14B12" w:rsidRPr="001B304D">
        <w:rPr>
          <w:color w:val="auto"/>
          <w:sz w:val="24"/>
          <w:szCs w:val="24"/>
        </w:rPr>
        <w:t>T</w:t>
      </w:r>
      <w:r w:rsidR="00215237" w:rsidRPr="001B304D">
        <w:rPr>
          <w:color w:val="auto"/>
          <w:sz w:val="24"/>
          <w:szCs w:val="24"/>
        </w:rPr>
        <w:t xml:space="preserve">his is a distinction </w:t>
      </w:r>
      <w:r w:rsidR="00DD3306" w:rsidRPr="001B304D">
        <w:rPr>
          <w:color w:val="auto"/>
          <w:sz w:val="24"/>
          <w:szCs w:val="24"/>
        </w:rPr>
        <w:t xml:space="preserve">between </w:t>
      </w:r>
      <w:r w:rsidR="00215237" w:rsidRPr="001B304D">
        <w:rPr>
          <w:color w:val="auto"/>
          <w:sz w:val="24"/>
          <w:szCs w:val="24"/>
        </w:rPr>
        <w:t>motivation and manifestation</w:t>
      </w:r>
      <w:r w:rsidR="001D40E1" w:rsidRPr="001B304D">
        <w:rPr>
          <w:color w:val="auto"/>
          <w:sz w:val="24"/>
          <w:szCs w:val="24"/>
        </w:rPr>
        <w:t xml:space="preserve"> (</w:t>
      </w:r>
      <w:proofErr w:type="spellStart"/>
      <w:r w:rsidR="001D40E1" w:rsidRPr="001B304D">
        <w:rPr>
          <w:color w:val="auto"/>
          <w:sz w:val="24"/>
          <w:szCs w:val="24"/>
        </w:rPr>
        <w:t>Arrowsmith</w:t>
      </w:r>
      <w:proofErr w:type="spellEnd"/>
      <w:r w:rsidR="001D40E1" w:rsidRPr="001B304D">
        <w:rPr>
          <w:color w:val="auto"/>
          <w:sz w:val="24"/>
          <w:szCs w:val="24"/>
        </w:rPr>
        <w:t xml:space="preserve"> 1981</w:t>
      </w:r>
      <w:r w:rsidR="00D14B12" w:rsidRPr="001B304D">
        <w:rPr>
          <w:color w:val="auto"/>
          <w:sz w:val="24"/>
          <w:szCs w:val="24"/>
        </w:rPr>
        <w:t xml:space="preserve"> para O2)</w:t>
      </w:r>
      <w:r w:rsidR="00DD3306" w:rsidRPr="001B304D">
        <w:rPr>
          <w:color w:val="auto"/>
          <w:sz w:val="24"/>
          <w:szCs w:val="24"/>
        </w:rPr>
        <w:t xml:space="preserve">. </w:t>
      </w:r>
      <w:r w:rsidRPr="001B304D">
        <w:rPr>
          <w:color w:val="auto"/>
          <w:sz w:val="24"/>
          <w:szCs w:val="24"/>
        </w:rPr>
        <w:t>That is, more generally,</w:t>
      </w:r>
      <w:r w:rsidR="00DD3306" w:rsidRPr="001B304D">
        <w:rPr>
          <w:color w:val="auto"/>
          <w:sz w:val="24"/>
          <w:szCs w:val="24"/>
        </w:rPr>
        <w:t xml:space="preserve"> use of a symbol may arise from an underlying belief, i.e. it may be motivated by it, but this is not enough for it to be a manifestation; to be a manifestation it needs also substantially to indicate or express that belief itself. In European jurisprudence</w:t>
      </w:r>
      <w:r w:rsidRPr="001B304D">
        <w:rPr>
          <w:color w:val="auto"/>
          <w:sz w:val="24"/>
          <w:szCs w:val="24"/>
        </w:rPr>
        <w:t xml:space="preserve"> before 2004</w:t>
      </w:r>
      <w:r w:rsidR="00501ABC" w:rsidRPr="001B304D">
        <w:rPr>
          <w:color w:val="auto"/>
          <w:sz w:val="24"/>
          <w:szCs w:val="24"/>
        </w:rPr>
        <w:t>, this wa</w:t>
      </w:r>
      <w:r w:rsidR="00DD3306" w:rsidRPr="001B304D">
        <w:rPr>
          <w:color w:val="auto"/>
          <w:sz w:val="24"/>
          <w:szCs w:val="24"/>
        </w:rPr>
        <w:t>s what is meant by the belief’s being ‘intimately linked’ to the action</w:t>
      </w:r>
      <w:r w:rsidR="00C55570" w:rsidRPr="001B304D">
        <w:rPr>
          <w:color w:val="auto"/>
          <w:sz w:val="24"/>
          <w:szCs w:val="24"/>
        </w:rPr>
        <w:t xml:space="preserve"> (</w:t>
      </w:r>
      <w:r w:rsidR="00C55570" w:rsidRPr="001B304D">
        <w:rPr>
          <w:i/>
          <w:color w:val="auto"/>
          <w:sz w:val="24"/>
          <w:szCs w:val="24"/>
        </w:rPr>
        <w:t>A</w:t>
      </w:r>
      <w:r w:rsidR="00C55570" w:rsidRPr="001B304D">
        <w:rPr>
          <w:color w:val="auto"/>
          <w:sz w:val="24"/>
          <w:szCs w:val="24"/>
        </w:rPr>
        <w:t>)</w:t>
      </w:r>
      <w:r w:rsidR="00DD3306" w:rsidRPr="001B304D">
        <w:rPr>
          <w:color w:val="auto"/>
          <w:sz w:val="24"/>
          <w:szCs w:val="24"/>
        </w:rPr>
        <w:t>.</w:t>
      </w:r>
    </w:p>
    <w:p w:rsidR="00F508EB" w:rsidRPr="001B304D" w:rsidRDefault="00DD3306" w:rsidP="008100A8">
      <w:pPr>
        <w:spacing w:after="0" w:line="480" w:lineRule="auto"/>
        <w:ind w:firstLine="720"/>
        <w:jc w:val="both"/>
        <w:rPr>
          <w:rFonts w:cs="Times New Roman"/>
          <w:sz w:val="24"/>
          <w:szCs w:val="24"/>
        </w:rPr>
      </w:pPr>
      <w:r w:rsidRPr="001B304D">
        <w:rPr>
          <w:sz w:val="24"/>
          <w:szCs w:val="24"/>
        </w:rPr>
        <w:t>There is a whole tangle of conceptual problems here concerning the definition</w:t>
      </w:r>
      <w:r w:rsidR="00501ABC" w:rsidRPr="001B304D">
        <w:rPr>
          <w:sz w:val="24"/>
          <w:szCs w:val="24"/>
        </w:rPr>
        <w:t>s</w:t>
      </w:r>
      <w:r w:rsidRPr="001B304D">
        <w:rPr>
          <w:sz w:val="24"/>
          <w:szCs w:val="24"/>
        </w:rPr>
        <w:t xml:space="preserve"> of the key terms </w:t>
      </w:r>
      <w:r w:rsidR="005D411E" w:rsidRPr="001B304D">
        <w:rPr>
          <w:sz w:val="24"/>
          <w:szCs w:val="24"/>
        </w:rPr>
        <w:t>‘</w:t>
      </w:r>
      <w:r w:rsidRPr="001B304D">
        <w:rPr>
          <w:sz w:val="24"/>
          <w:szCs w:val="24"/>
        </w:rPr>
        <w:t>expression</w:t>
      </w:r>
      <w:r w:rsidR="005D411E" w:rsidRPr="001B304D">
        <w:rPr>
          <w:sz w:val="24"/>
          <w:szCs w:val="24"/>
        </w:rPr>
        <w:t>’</w:t>
      </w:r>
      <w:r w:rsidRPr="001B304D">
        <w:rPr>
          <w:sz w:val="24"/>
          <w:szCs w:val="24"/>
        </w:rPr>
        <w:t xml:space="preserve">, </w:t>
      </w:r>
      <w:r w:rsidR="005D411E" w:rsidRPr="001B304D">
        <w:rPr>
          <w:sz w:val="24"/>
          <w:szCs w:val="24"/>
        </w:rPr>
        <w:t>‘</w:t>
      </w:r>
      <w:r w:rsidRPr="001B304D">
        <w:rPr>
          <w:sz w:val="24"/>
          <w:szCs w:val="24"/>
        </w:rPr>
        <w:t>motivation</w:t>
      </w:r>
      <w:r w:rsidR="005D411E" w:rsidRPr="001B304D">
        <w:rPr>
          <w:sz w:val="24"/>
          <w:szCs w:val="24"/>
        </w:rPr>
        <w:t>’</w:t>
      </w:r>
      <w:r w:rsidRPr="001B304D">
        <w:rPr>
          <w:sz w:val="24"/>
          <w:szCs w:val="24"/>
        </w:rPr>
        <w:t xml:space="preserve"> and </w:t>
      </w:r>
      <w:r w:rsidR="005D411E" w:rsidRPr="001B304D">
        <w:rPr>
          <w:sz w:val="24"/>
          <w:szCs w:val="24"/>
        </w:rPr>
        <w:t>‘</w:t>
      </w:r>
      <w:r w:rsidRPr="001B304D">
        <w:rPr>
          <w:sz w:val="24"/>
          <w:szCs w:val="24"/>
        </w:rPr>
        <w:t>manifestation</w:t>
      </w:r>
      <w:r w:rsidR="005D411E" w:rsidRPr="001B304D">
        <w:rPr>
          <w:sz w:val="24"/>
          <w:szCs w:val="24"/>
        </w:rPr>
        <w:t>’</w:t>
      </w:r>
      <w:r w:rsidRPr="001B304D">
        <w:rPr>
          <w:sz w:val="24"/>
          <w:szCs w:val="24"/>
        </w:rPr>
        <w:t>. What is perhaps most interesting, however, is how recently</w:t>
      </w:r>
      <w:r w:rsidR="005D411E" w:rsidRPr="001B304D">
        <w:rPr>
          <w:sz w:val="24"/>
          <w:szCs w:val="24"/>
        </w:rPr>
        <w:t xml:space="preserve"> (i.e. since 2004) such conceptual distinctions</w:t>
      </w:r>
      <w:r w:rsidRPr="001B304D">
        <w:rPr>
          <w:sz w:val="24"/>
          <w:szCs w:val="24"/>
        </w:rPr>
        <w:t xml:space="preserve"> have been further complicated at the level of the European Court of Human Rights.</w:t>
      </w:r>
      <w:r w:rsidR="00F508EB" w:rsidRPr="001B304D">
        <w:rPr>
          <w:rFonts w:cs="Times New Roman"/>
          <w:sz w:val="24"/>
          <w:szCs w:val="24"/>
        </w:rPr>
        <w:t xml:space="preserve"> To put it bluntly, the </w:t>
      </w:r>
      <w:r w:rsidR="00F508EB" w:rsidRPr="001B304D">
        <w:rPr>
          <w:rFonts w:cs="Times New Roman"/>
          <w:sz w:val="24"/>
          <w:szCs w:val="24"/>
        </w:rPr>
        <w:lastRenderedPageBreak/>
        <w:t xml:space="preserve">concept of motivation, which had a clearly defined position in the previously mentioned </w:t>
      </w:r>
      <w:proofErr w:type="spellStart"/>
      <w:r w:rsidR="00F508EB" w:rsidRPr="001B304D">
        <w:rPr>
          <w:rFonts w:cs="Times New Roman"/>
          <w:i/>
          <w:iCs/>
          <w:sz w:val="24"/>
          <w:szCs w:val="24"/>
        </w:rPr>
        <w:t>Arrowsmith</w:t>
      </w:r>
      <w:proofErr w:type="spellEnd"/>
      <w:r w:rsidR="00F508EB" w:rsidRPr="001B304D">
        <w:rPr>
          <w:rFonts w:cs="Times New Roman"/>
          <w:sz w:val="24"/>
          <w:szCs w:val="24"/>
        </w:rPr>
        <w:t xml:space="preserve"> case (motivation was there deemed insufficient to constitute manifestation), now plays a far more haphazard, context-specific, and sometimes even paradoxical role.</w:t>
      </w:r>
    </w:p>
    <w:p w:rsidR="00F508EB" w:rsidRPr="001B304D" w:rsidRDefault="00F508EB" w:rsidP="008100A8">
      <w:pPr>
        <w:spacing w:after="0" w:line="480" w:lineRule="auto"/>
        <w:ind w:firstLine="720"/>
        <w:jc w:val="both"/>
        <w:rPr>
          <w:rFonts w:cs="Times New Roman"/>
          <w:sz w:val="24"/>
          <w:szCs w:val="24"/>
        </w:rPr>
      </w:pPr>
      <w:proofErr w:type="spellStart"/>
      <w:r w:rsidRPr="001B304D">
        <w:rPr>
          <w:rFonts w:cs="Times New Roman"/>
          <w:i/>
          <w:sz w:val="24"/>
          <w:szCs w:val="24"/>
        </w:rPr>
        <w:t>Eweida</w:t>
      </w:r>
      <w:proofErr w:type="spellEnd"/>
      <w:r w:rsidRPr="001B304D">
        <w:rPr>
          <w:rFonts w:cs="Times New Roman"/>
          <w:i/>
          <w:sz w:val="24"/>
          <w:szCs w:val="24"/>
        </w:rPr>
        <w:t xml:space="preserve"> v UK</w:t>
      </w:r>
      <w:r w:rsidRPr="001B304D">
        <w:rPr>
          <w:rFonts w:cs="Times New Roman"/>
          <w:sz w:val="24"/>
          <w:szCs w:val="24"/>
        </w:rPr>
        <w:t xml:space="preserve"> illuminates this sharply.</w:t>
      </w:r>
      <w:r w:rsidRPr="001B304D">
        <w:rPr>
          <w:rFonts w:cs="Times New Roman"/>
          <w:i/>
          <w:sz w:val="24"/>
          <w:szCs w:val="24"/>
        </w:rPr>
        <w:t xml:space="preserve"> </w:t>
      </w:r>
      <w:r w:rsidRPr="001B304D">
        <w:rPr>
          <w:rFonts w:cs="Times New Roman"/>
          <w:sz w:val="24"/>
          <w:szCs w:val="24"/>
        </w:rPr>
        <w:t>The</w:t>
      </w:r>
      <w:r w:rsidR="005D411E" w:rsidRPr="001B304D">
        <w:rPr>
          <w:rFonts w:cs="Times New Roman"/>
          <w:sz w:val="24"/>
          <w:szCs w:val="24"/>
        </w:rPr>
        <w:t xml:space="preserve"> judgment of the</w:t>
      </w:r>
      <w:r w:rsidRPr="001B304D">
        <w:rPr>
          <w:rFonts w:cs="Times New Roman"/>
          <w:sz w:val="24"/>
          <w:szCs w:val="24"/>
        </w:rPr>
        <w:t xml:space="preserve"> E</w:t>
      </w:r>
      <w:r w:rsidR="005D411E" w:rsidRPr="001B304D">
        <w:rPr>
          <w:rFonts w:cs="Times New Roman"/>
          <w:sz w:val="24"/>
          <w:szCs w:val="24"/>
        </w:rPr>
        <w:t>uropean Court of Human Rights</w:t>
      </w:r>
      <w:r w:rsidRPr="001B304D">
        <w:rPr>
          <w:rFonts w:cs="Times New Roman"/>
          <w:sz w:val="24"/>
          <w:szCs w:val="24"/>
        </w:rPr>
        <w:t xml:space="preserve"> seems to insist—rather bizarrely—that motivation is both sufficient </w:t>
      </w:r>
      <w:r w:rsidRPr="001B304D">
        <w:rPr>
          <w:rFonts w:cs="Times New Roman"/>
          <w:i/>
          <w:sz w:val="24"/>
          <w:szCs w:val="24"/>
        </w:rPr>
        <w:t>and</w:t>
      </w:r>
      <w:r w:rsidRPr="001B304D">
        <w:rPr>
          <w:rFonts w:cs="Times New Roman"/>
          <w:sz w:val="24"/>
          <w:szCs w:val="24"/>
        </w:rPr>
        <w:t xml:space="preserve"> insufficient to characterize the wearing of a cross as a manifestation of religion. Thus, when it comes to the status of </w:t>
      </w:r>
      <w:proofErr w:type="spellStart"/>
      <w:r w:rsidRPr="001B304D">
        <w:rPr>
          <w:rFonts w:cs="Times New Roman"/>
          <w:sz w:val="24"/>
          <w:szCs w:val="24"/>
        </w:rPr>
        <w:t>Eweida’s</w:t>
      </w:r>
      <w:proofErr w:type="spellEnd"/>
      <w:r w:rsidRPr="001B304D">
        <w:rPr>
          <w:rFonts w:cs="Times New Roman"/>
          <w:sz w:val="24"/>
          <w:szCs w:val="24"/>
        </w:rPr>
        <w:t xml:space="preserve"> cross, the Court states:</w:t>
      </w:r>
    </w:p>
    <w:p w:rsidR="00F508EB" w:rsidRPr="001B304D" w:rsidRDefault="00F508EB" w:rsidP="008100A8">
      <w:pPr>
        <w:spacing w:after="0" w:line="480" w:lineRule="auto"/>
        <w:ind w:firstLine="720"/>
        <w:jc w:val="both"/>
        <w:rPr>
          <w:rFonts w:cs="Times New Roman"/>
          <w:sz w:val="24"/>
          <w:szCs w:val="24"/>
        </w:rPr>
      </w:pPr>
    </w:p>
    <w:p w:rsidR="00F508EB" w:rsidRPr="001B304D" w:rsidRDefault="00F508EB" w:rsidP="008100A8">
      <w:pPr>
        <w:spacing w:after="0" w:line="480" w:lineRule="auto"/>
        <w:ind w:left="1440"/>
        <w:jc w:val="both"/>
        <w:rPr>
          <w:rFonts w:cs="Times New Roman"/>
          <w:sz w:val="24"/>
          <w:szCs w:val="24"/>
        </w:rPr>
      </w:pPr>
      <w:r w:rsidRPr="001B304D">
        <w:rPr>
          <w:rFonts w:cs="Times New Roman"/>
          <w:sz w:val="24"/>
          <w:szCs w:val="24"/>
        </w:rPr>
        <w:t xml:space="preserve">It was not disputed in the proceedings before the domestic tribunals and this Court that Ms </w:t>
      </w:r>
      <w:proofErr w:type="spellStart"/>
      <w:r w:rsidRPr="001B304D">
        <w:rPr>
          <w:rFonts w:cs="Times New Roman"/>
          <w:sz w:val="24"/>
          <w:szCs w:val="24"/>
        </w:rPr>
        <w:t>Eweida’s</w:t>
      </w:r>
      <w:proofErr w:type="spellEnd"/>
      <w:r w:rsidRPr="001B304D">
        <w:rPr>
          <w:rFonts w:cs="Times New Roman"/>
          <w:sz w:val="24"/>
          <w:szCs w:val="24"/>
        </w:rPr>
        <w:t xml:space="preserve"> insistence on wearing a cross visibly at work was motivated by her desire to bear witness to her Christian faith. Applying the principles set out above, the Court considers that Ms </w:t>
      </w:r>
      <w:proofErr w:type="spellStart"/>
      <w:r w:rsidRPr="001B304D">
        <w:rPr>
          <w:rFonts w:cs="Times New Roman"/>
          <w:sz w:val="24"/>
          <w:szCs w:val="24"/>
        </w:rPr>
        <w:t>Eweida’s</w:t>
      </w:r>
      <w:proofErr w:type="spellEnd"/>
      <w:r w:rsidRPr="001B304D">
        <w:rPr>
          <w:rFonts w:cs="Times New Roman"/>
          <w:sz w:val="24"/>
          <w:szCs w:val="24"/>
        </w:rPr>
        <w:t xml:space="preserve"> behaviour was a manifestation of her religious belief, in the form of worship, practice and observance, and as such attracted the protection of Article 9.</w:t>
      </w:r>
      <w:r w:rsidR="00D14B12" w:rsidRPr="001B304D">
        <w:rPr>
          <w:rFonts w:cs="Times New Roman"/>
          <w:sz w:val="24"/>
          <w:szCs w:val="24"/>
        </w:rPr>
        <w:t xml:space="preserve"> (</w:t>
      </w:r>
      <w:proofErr w:type="spellStart"/>
      <w:r w:rsidR="00D14B12" w:rsidRPr="001B304D">
        <w:rPr>
          <w:rFonts w:cs="Times New Roman"/>
          <w:i/>
          <w:sz w:val="24"/>
          <w:szCs w:val="24"/>
        </w:rPr>
        <w:t>Eweida</w:t>
      </w:r>
      <w:proofErr w:type="spellEnd"/>
      <w:r w:rsidR="001D40E1" w:rsidRPr="001B304D">
        <w:rPr>
          <w:rFonts w:cs="Times New Roman"/>
          <w:sz w:val="24"/>
          <w:szCs w:val="24"/>
        </w:rPr>
        <w:t xml:space="preserve"> 2013</w:t>
      </w:r>
      <w:r w:rsidR="00D14B12" w:rsidRPr="001B304D">
        <w:rPr>
          <w:rFonts w:cs="Times New Roman"/>
          <w:sz w:val="24"/>
          <w:szCs w:val="24"/>
        </w:rPr>
        <w:t xml:space="preserve"> para 89)</w:t>
      </w:r>
    </w:p>
    <w:p w:rsidR="00F508EB" w:rsidRPr="001B304D" w:rsidRDefault="00F508EB" w:rsidP="008100A8">
      <w:pPr>
        <w:spacing w:after="0" w:line="480" w:lineRule="auto"/>
        <w:ind w:firstLine="720"/>
        <w:jc w:val="both"/>
        <w:rPr>
          <w:rFonts w:cs="Times New Roman"/>
          <w:sz w:val="24"/>
          <w:szCs w:val="24"/>
        </w:rPr>
      </w:pPr>
    </w:p>
    <w:p w:rsidR="00F508EB" w:rsidRPr="001B304D" w:rsidRDefault="00F508EB" w:rsidP="008100A8">
      <w:pPr>
        <w:spacing w:after="0" w:line="480" w:lineRule="auto"/>
        <w:jc w:val="both"/>
        <w:rPr>
          <w:rFonts w:cs="Times New Roman"/>
          <w:sz w:val="24"/>
          <w:szCs w:val="24"/>
        </w:rPr>
      </w:pPr>
      <w:r w:rsidRPr="001B304D">
        <w:rPr>
          <w:rFonts w:cs="Times New Roman"/>
          <w:sz w:val="24"/>
          <w:szCs w:val="24"/>
        </w:rPr>
        <w:t xml:space="preserve">The implication seems to be that there is something in the first sentence of this passage—presumably the fact that her wearing of the cross was </w:t>
      </w:r>
      <w:r w:rsidRPr="001B304D">
        <w:rPr>
          <w:rFonts w:cs="Times New Roman"/>
          <w:i/>
          <w:sz w:val="24"/>
          <w:szCs w:val="24"/>
        </w:rPr>
        <w:t>motivated</w:t>
      </w:r>
      <w:r w:rsidRPr="001B304D">
        <w:rPr>
          <w:rFonts w:cs="Times New Roman"/>
          <w:sz w:val="24"/>
          <w:szCs w:val="24"/>
        </w:rPr>
        <w:t xml:space="preserve"> by a religious desire—that, conjoined with the general principles the Court had set out earlier, constitutes proof that this wearing of the cross counts as a manifestation of religion for the purposes of Article 9. And yet when one turns to the section, ‘General principles under Article 9 of the Convention’,</w:t>
      </w:r>
      <w:r w:rsidRPr="001B304D">
        <w:rPr>
          <w:rFonts w:cs="Times New Roman"/>
          <w:sz w:val="24"/>
          <w:szCs w:val="24"/>
          <w:vertAlign w:val="superscript"/>
        </w:rPr>
        <w:t xml:space="preserve"> </w:t>
      </w:r>
      <w:r w:rsidRPr="001B304D">
        <w:rPr>
          <w:rFonts w:cs="Times New Roman"/>
          <w:sz w:val="24"/>
          <w:szCs w:val="24"/>
        </w:rPr>
        <w:t xml:space="preserve">one finds it very explicitly stated that a motivated practice does </w:t>
      </w:r>
      <w:r w:rsidRPr="001B304D">
        <w:rPr>
          <w:rFonts w:cs="Times New Roman"/>
          <w:i/>
          <w:sz w:val="24"/>
          <w:szCs w:val="24"/>
        </w:rPr>
        <w:t>not</w:t>
      </w:r>
      <w:r w:rsidRPr="001B304D">
        <w:rPr>
          <w:rFonts w:cs="Times New Roman"/>
          <w:sz w:val="24"/>
          <w:szCs w:val="24"/>
        </w:rPr>
        <w:t xml:space="preserve"> in itself constitute a manifestation: ‘Even where the belief in question attains the required level of cogency and importance, it cannot be said that every act which is in some way inspired, motivated or influenced by it constitutes a “manifestation” of the belief.’</w:t>
      </w:r>
      <w:r w:rsidR="00D14B12" w:rsidRPr="001B304D">
        <w:rPr>
          <w:rFonts w:cs="Times New Roman"/>
          <w:sz w:val="24"/>
          <w:szCs w:val="24"/>
        </w:rPr>
        <w:t xml:space="preserve"> (</w:t>
      </w:r>
      <w:proofErr w:type="spellStart"/>
      <w:r w:rsidR="00D14B12" w:rsidRPr="001B304D">
        <w:rPr>
          <w:rFonts w:cs="Times New Roman"/>
          <w:i/>
          <w:sz w:val="24"/>
          <w:szCs w:val="24"/>
        </w:rPr>
        <w:t>Eweida</w:t>
      </w:r>
      <w:proofErr w:type="spellEnd"/>
      <w:r w:rsidR="00D14B12" w:rsidRPr="001B304D">
        <w:rPr>
          <w:rFonts w:cs="Times New Roman"/>
          <w:i/>
          <w:sz w:val="24"/>
          <w:szCs w:val="24"/>
        </w:rPr>
        <w:t xml:space="preserve"> </w:t>
      </w:r>
      <w:r w:rsidR="001D40E1" w:rsidRPr="001B304D">
        <w:rPr>
          <w:rFonts w:cs="Times New Roman"/>
          <w:sz w:val="24"/>
          <w:szCs w:val="24"/>
        </w:rPr>
        <w:t>2013</w:t>
      </w:r>
      <w:r w:rsidR="00D14B12" w:rsidRPr="001B304D">
        <w:rPr>
          <w:rFonts w:cs="Times New Roman"/>
          <w:sz w:val="24"/>
          <w:szCs w:val="24"/>
        </w:rPr>
        <w:t xml:space="preserve"> para 82)</w:t>
      </w:r>
      <w:r w:rsidRPr="001B304D">
        <w:rPr>
          <w:rFonts w:cs="Times New Roman"/>
          <w:sz w:val="24"/>
          <w:szCs w:val="24"/>
        </w:rPr>
        <w:t xml:space="preserve"> In other </w:t>
      </w:r>
      <w:r w:rsidRPr="001B304D">
        <w:rPr>
          <w:rFonts w:cs="Times New Roman"/>
          <w:sz w:val="24"/>
          <w:szCs w:val="24"/>
        </w:rPr>
        <w:lastRenderedPageBreak/>
        <w:t xml:space="preserve">words, the </w:t>
      </w:r>
      <w:r w:rsidR="005D411E" w:rsidRPr="001B304D">
        <w:rPr>
          <w:rFonts w:cs="Times New Roman"/>
          <w:sz w:val="24"/>
          <w:szCs w:val="24"/>
        </w:rPr>
        <w:t>Court</w:t>
      </w:r>
      <w:r w:rsidRPr="001B304D">
        <w:rPr>
          <w:rFonts w:cs="Times New Roman"/>
          <w:sz w:val="24"/>
          <w:szCs w:val="24"/>
        </w:rPr>
        <w:t xml:space="preserve"> is happy to make clear that it is faithful to the principle (taken from </w:t>
      </w:r>
      <w:proofErr w:type="spellStart"/>
      <w:r w:rsidRPr="001B304D">
        <w:rPr>
          <w:rFonts w:cs="Times New Roman"/>
          <w:i/>
          <w:iCs/>
          <w:sz w:val="24"/>
          <w:szCs w:val="24"/>
        </w:rPr>
        <w:t>Arrowsmith</w:t>
      </w:r>
      <w:proofErr w:type="spellEnd"/>
      <w:r w:rsidRPr="001B304D">
        <w:rPr>
          <w:rFonts w:cs="Times New Roman"/>
          <w:sz w:val="24"/>
          <w:szCs w:val="24"/>
        </w:rPr>
        <w:t xml:space="preserve">) that motivation is insufficient to constitute manifestation </w:t>
      </w:r>
      <w:r w:rsidRPr="001B304D">
        <w:rPr>
          <w:rFonts w:cs="Times New Roman"/>
          <w:i/>
          <w:sz w:val="24"/>
          <w:szCs w:val="24"/>
        </w:rPr>
        <w:t>at the same time as</w:t>
      </w:r>
      <w:r w:rsidRPr="001B304D">
        <w:rPr>
          <w:rFonts w:cs="Times New Roman"/>
          <w:sz w:val="24"/>
          <w:szCs w:val="24"/>
        </w:rPr>
        <w:t xml:space="preserve"> it suggests that motivation is here sufficient to pass the manifestation test.</w:t>
      </w:r>
    </w:p>
    <w:p w:rsidR="00F508EB" w:rsidRPr="001B304D" w:rsidRDefault="00F508EB" w:rsidP="008100A8">
      <w:pPr>
        <w:spacing w:after="0" w:line="480" w:lineRule="auto"/>
        <w:ind w:firstLine="720"/>
        <w:jc w:val="both"/>
        <w:rPr>
          <w:rFonts w:cs="Times New Roman"/>
          <w:sz w:val="24"/>
          <w:szCs w:val="24"/>
        </w:rPr>
      </w:pPr>
      <w:r w:rsidRPr="001B304D">
        <w:rPr>
          <w:rFonts w:cs="Times New Roman"/>
          <w:sz w:val="24"/>
          <w:szCs w:val="24"/>
        </w:rPr>
        <w:t xml:space="preserve">While </w:t>
      </w:r>
      <w:proofErr w:type="spellStart"/>
      <w:r w:rsidRPr="001B304D">
        <w:rPr>
          <w:rFonts w:cs="Times New Roman"/>
          <w:i/>
          <w:sz w:val="24"/>
          <w:szCs w:val="24"/>
        </w:rPr>
        <w:t>Eweida</w:t>
      </w:r>
      <w:proofErr w:type="spellEnd"/>
      <w:r w:rsidRPr="001B304D">
        <w:rPr>
          <w:rFonts w:cs="Times New Roman"/>
          <w:sz w:val="24"/>
          <w:szCs w:val="24"/>
        </w:rPr>
        <w:t xml:space="preserve"> provides a particularly recent occurrence of this apparent contradiction, a similarly </w:t>
      </w:r>
      <w:r w:rsidR="00501ABC" w:rsidRPr="001B304D">
        <w:rPr>
          <w:rFonts w:cs="Times New Roman"/>
          <w:sz w:val="24"/>
          <w:szCs w:val="24"/>
        </w:rPr>
        <w:t>odd</w:t>
      </w:r>
      <w:r w:rsidRPr="001B304D">
        <w:rPr>
          <w:rFonts w:cs="Times New Roman"/>
          <w:sz w:val="24"/>
          <w:szCs w:val="24"/>
        </w:rPr>
        <w:t xml:space="preserve"> treatment of the concept of motivation is present in almost every case concerning relig</w:t>
      </w:r>
      <w:r w:rsidR="005D411E" w:rsidRPr="001B304D">
        <w:rPr>
          <w:rFonts w:cs="Times New Roman"/>
          <w:sz w:val="24"/>
          <w:szCs w:val="24"/>
        </w:rPr>
        <w:t>ious practice brought since 2004</w:t>
      </w:r>
      <w:r w:rsidRPr="001B304D">
        <w:rPr>
          <w:rFonts w:cs="Times New Roman"/>
          <w:sz w:val="24"/>
          <w:szCs w:val="24"/>
        </w:rPr>
        <w:t xml:space="preserve">. </w:t>
      </w:r>
      <w:proofErr w:type="spellStart"/>
      <w:r w:rsidRPr="001B304D">
        <w:rPr>
          <w:rFonts w:cs="Times New Roman"/>
          <w:i/>
          <w:iCs/>
          <w:sz w:val="24"/>
          <w:szCs w:val="24"/>
        </w:rPr>
        <w:t>Şahin</w:t>
      </w:r>
      <w:proofErr w:type="spellEnd"/>
      <w:r w:rsidRPr="001B304D">
        <w:rPr>
          <w:rFonts w:cs="Times New Roman"/>
          <w:i/>
          <w:iCs/>
          <w:sz w:val="24"/>
          <w:szCs w:val="24"/>
        </w:rPr>
        <w:t xml:space="preserve"> </w:t>
      </w:r>
      <w:r w:rsidRPr="001B304D">
        <w:rPr>
          <w:rFonts w:cs="Times New Roman"/>
          <w:sz w:val="24"/>
          <w:szCs w:val="24"/>
        </w:rPr>
        <w:t>provides the crucial precedent. In para 66, the E</w:t>
      </w:r>
      <w:r w:rsidR="005D411E" w:rsidRPr="001B304D">
        <w:rPr>
          <w:rFonts w:cs="Times New Roman"/>
          <w:sz w:val="24"/>
          <w:szCs w:val="24"/>
        </w:rPr>
        <w:t>uropean Court of Human Rights</w:t>
      </w:r>
      <w:r w:rsidRPr="001B304D">
        <w:rPr>
          <w:rFonts w:cs="Times New Roman"/>
          <w:sz w:val="24"/>
          <w:szCs w:val="24"/>
        </w:rPr>
        <w:t xml:space="preserve"> explicitly cites </w:t>
      </w:r>
      <w:proofErr w:type="spellStart"/>
      <w:r w:rsidRPr="001B304D">
        <w:rPr>
          <w:rFonts w:cs="Times New Roman"/>
          <w:i/>
          <w:sz w:val="24"/>
          <w:szCs w:val="24"/>
        </w:rPr>
        <w:t>Arrowsmith</w:t>
      </w:r>
      <w:proofErr w:type="spellEnd"/>
      <w:r w:rsidRPr="001B304D">
        <w:rPr>
          <w:rFonts w:cs="Times New Roman"/>
          <w:sz w:val="24"/>
          <w:szCs w:val="24"/>
        </w:rPr>
        <w:t>, and recites its fundamental principle, ‘</w:t>
      </w:r>
      <w:r w:rsidRPr="001B304D">
        <w:rPr>
          <w:rFonts w:cs="Times New Roman"/>
          <w:sz w:val="24"/>
          <w:szCs w:val="24"/>
          <w:shd w:val="clear" w:color="auto" w:fill="FFFFFF"/>
        </w:rPr>
        <w:t>Article 9 does not protect every act motivated or inspired by a religion or belief.’</w:t>
      </w:r>
      <w:r w:rsidR="00D14B12" w:rsidRPr="001B304D">
        <w:rPr>
          <w:rFonts w:cs="Times New Roman"/>
          <w:sz w:val="24"/>
          <w:szCs w:val="24"/>
          <w:shd w:val="clear" w:color="auto" w:fill="FFFFFF"/>
        </w:rPr>
        <w:t xml:space="preserve"> </w:t>
      </w:r>
      <w:r w:rsidRPr="001B304D">
        <w:rPr>
          <w:rFonts w:cs="Times New Roman"/>
          <w:sz w:val="24"/>
          <w:szCs w:val="24"/>
          <w:lang w:eastAsia="en-GB"/>
        </w:rPr>
        <w:t>Despite this, five paragraphs later, the Court now argues as follows:</w:t>
      </w:r>
    </w:p>
    <w:p w:rsidR="00F508EB" w:rsidRPr="001B304D" w:rsidRDefault="00F508EB" w:rsidP="008100A8">
      <w:pPr>
        <w:spacing w:after="0" w:line="480" w:lineRule="auto"/>
        <w:ind w:firstLine="720"/>
        <w:jc w:val="both"/>
        <w:rPr>
          <w:rFonts w:cs="Times New Roman"/>
          <w:sz w:val="24"/>
          <w:szCs w:val="24"/>
        </w:rPr>
      </w:pPr>
    </w:p>
    <w:p w:rsidR="00F508EB" w:rsidRPr="001B304D" w:rsidRDefault="00F508EB" w:rsidP="008100A8">
      <w:pPr>
        <w:pStyle w:val="BodyTextIndent2"/>
        <w:spacing w:after="0"/>
        <w:ind w:left="1418"/>
        <w:jc w:val="both"/>
        <w:rPr>
          <w:rFonts w:ascii="Times New Roman" w:hAnsi="Times New Roman" w:cs="Times New Roman"/>
          <w:szCs w:val="24"/>
        </w:rPr>
      </w:pPr>
      <w:r w:rsidRPr="001B304D">
        <w:rPr>
          <w:rFonts w:ascii="Times New Roman" w:hAnsi="Times New Roman" w:cs="Times New Roman"/>
          <w:szCs w:val="24"/>
        </w:rPr>
        <w:t>The applicant said that, by wearing the headscarf, she was obeying a religious precept and thereby manifesting her desire to comply strictly with the duties imposed by the Islamic faith. Accordingly, her decision to wear the headscarf may be regarded as motivated or inspired by a religion or belief and, without deciding whether such decisions are in every case taken to fulfil a religious duty, the Court proceeds on the assumption that the regulations in issue, which placed restrictions of place and manner on the right to wear the Islamic headscarf in universities, constituted an interference with the applicant’s right to manifest her religion</w:t>
      </w:r>
      <w:r w:rsidRPr="001B304D">
        <w:rPr>
          <w:rFonts w:ascii="Times New Roman" w:hAnsi="Times New Roman" w:cs="Times New Roman"/>
          <w:i/>
          <w:szCs w:val="24"/>
        </w:rPr>
        <w:t>.</w:t>
      </w:r>
      <w:r w:rsidR="00D14B12" w:rsidRPr="001B304D">
        <w:rPr>
          <w:rFonts w:ascii="Times New Roman" w:hAnsi="Times New Roman" w:cs="Times New Roman"/>
          <w:i/>
          <w:szCs w:val="24"/>
        </w:rPr>
        <w:t xml:space="preserve"> </w:t>
      </w:r>
      <w:r w:rsidR="00D14B12" w:rsidRPr="001B304D">
        <w:rPr>
          <w:rFonts w:ascii="Times New Roman" w:hAnsi="Times New Roman" w:cs="Times New Roman"/>
          <w:szCs w:val="24"/>
        </w:rPr>
        <w:t>(</w:t>
      </w:r>
      <w:proofErr w:type="spellStart"/>
      <w:r w:rsidR="00D14B12" w:rsidRPr="001B304D">
        <w:rPr>
          <w:rFonts w:ascii="Times New Roman" w:hAnsi="Times New Roman" w:cs="Times New Roman"/>
          <w:i/>
          <w:iCs/>
          <w:szCs w:val="24"/>
        </w:rPr>
        <w:t>Şahin</w:t>
      </w:r>
      <w:proofErr w:type="spellEnd"/>
      <w:r w:rsidR="00D14B12" w:rsidRPr="001B304D">
        <w:rPr>
          <w:rStyle w:val="FootnoteReference"/>
          <w:rFonts w:ascii="Times New Roman" w:hAnsi="Times New Roman" w:cs="Times New Roman"/>
          <w:i/>
          <w:szCs w:val="24"/>
        </w:rPr>
        <w:t xml:space="preserve"> </w:t>
      </w:r>
      <w:r w:rsidR="00D14B12" w:rsidRPr="001B304D">
        <w:rPr>
          <w:rFonts w:ascii="Times New Roman" w:hAnsi="Times New Roman" w:cs="Times New Roman"/>
          <w:szCs w:val="24"/>
        </w:rPr>
        <w:t>para 71)</w:t>
      </w:r>
    </w:p>
    <w:p w:rsidR="00F508EB" w:rsidRPr="001B304D" w:rsidRDefault="00F508EB" w:rsidP="008100A8">
      <w:pPr>
        <w:spacing w:after="0" w:line="480" w:lineRule="auto"/>
        <w:ind w:firstLine="720"/>
        <w:jc w:val="both"/>
        <w:rPr>
          <w:rFonts w:cs="Times New Roman"/>
          <w:sz w:val="24"/>
          <w:szCs w:val="24"/>
        </w:rPr>
      </w:pPr>
    </w:p>
    <w:p w:rsidR="00263503" w:rsidRPr="001B304D" w:rsidRDefault="00F508EB" w:rsidP="008100A8">
      <w:pPr>
        <w:spacing w:after="0" w:line="480" w:lineRule="auto"/>
        <w:jc w:val="both"/>
        <w:rPr>
          <w:rFonts w:cs="Times New Roman"/>
          <w:sz w:val="24"/>
          <w:szCs w:val="24"/>
        </w:rPr>
      </w:pPr>
      <w:r w:rsidRPr="001B304D">
        <w:rPr>
          <w:rFonts w:cs="Times New Roman"/>
          <w:sz w:val="24"/>
          <w:szCs w:val="24"/>
        </w:rPr>
        <w:t xml:space="preserve">Five paragraphs after re-affirming the traditional jurisprudence of the manifestation test that motivation is insufficient to constitute manifestation, the </w:t>
      </w:r>
      <w:r w:rsidR="005D411E" w:rsidRPr="001B304D">
        <w:rPr>
          <w:rFonts w:cs="Times New Roman"/>
          <w:sz w:val="24"/>
          <w:szCs w:val="24"/>
        </w:rPr>
        <w:t>Court</w:t>
      </w:r>
      <w:r w:rsidRPr="001B304D">
        <w:rPr>
          <w:rFonts w:cs="Times New Roman"/>
          <w:sz w:val="24"/>
          <w:szCs w:val="24"/>
        </w:rPr>
        <w:t xml:space="preserve"> completely discards this principle: motivation is now seemingly sufficient.</w:t>
      </w:r>
      <w:r w:rsidR="00D14B12" w:rsidRPr="001B304D">
        <w:rPr>
          <w:rFonts w:cs="Times New Roman"/>
          <w:sz w:val="24"/>
          <w:szCs w:val="24"/>
        </w:rPr>
        <w:t xml:space="preserve"> </w:t>
      </w:r>
      <w:r w:rsidRPr="001B304D">
        <w:rPr>
          <w:rFonts w:cs="Times New Roman"/>
          <w:sz w:val="24"/>
          <w:szCs w:val="24"/>
        </w:rPr>
        <w:t xml:space="preserve">It is therefore hard to see the Court’s treatment of manifestation in </w:t>
      </w:r>
      <w:proofErr w:type="spellStart"/>
      <w:r w:rsidRPr="001B304D">
        <w:rPr>
          <w:rFonts w:cs="Times New Roman"/>
          <w:i/>
          <w:iCs/>
          <w:sz w:val="24"/>
          <w:szCs w:val="24"/>
        </w:rPr>
        <w:t>Şahin</w:t>
      </w:r>
      <w:proofErr w:type="spellEnd"/>
      <w:r w:rsidRPr="001B304D">
        <w:rPr>
          <w:rFonts w:cs="Times New Roman"/>
          <w:sz w:val="24"/>
          <w:szCs w:val="24"/>
        </w:rPr>
        <w:t xml:space="preserve"> as anything other than a repudiation of the view taken by the Commission in </w:t>
      </w:r>
      <w:proofErr w:type="spellStart"/>
      <w:r w:rsidRPr="001B304D">
        <w:rPr>
          <w:rFonts w:cs="Times New Roman"/>
          <w:i/>
          <w:iCs/>
          <w:sz w:val="24"/>
          <w:szCs w:val="24"/>
        </w:rPr>
        <w:t>Arrowsmith</w:t>
      </w:r>
      <w:proofErr w:type="spellEnd"/>
      <w:r w:rsidRPr="001B304D">
        <w:rPr>
          <w:rFonts w:cs="Times New Roman"/>
          <w:i/>
          <w:sz w:val="24"/>
          <w:szCs w:val="24"/>
        </w:rPr>
        <w:t xml:space="preserve"> at the very same time as it explicitly affirms it</w:t>
      </w:r>
      <w:r w:rsidRPr="001B304D">
        <w:rPr>
          <w:rFonts w:cs="Times New Roman"/>
          <w:sz w:val="24"/>
          <w:szCs w:val="24"/>
        </w:rPr>
        <w:t>. Again</w:t>
      </w:r>
      <w:r w:rsidR="005D411E" w:rsidRPr="001B304D">
        <w:rPr>
          <w:rFonts w:cs="Times New Roman"/>
          <w:sz w:val="24"/>
          <w:szCs w:val="24"/>
        </w:rPr>
        <w:t>,</w:t>
      </w:r>
      <w:r w:rsidRPr="001B304D">
        <w:rPr>
          <w:rFonts w:cs="Times New Roman"/>
          <w:sz w:val="24"/>
          <w:szCs w:val="24"/>
        </w:rPr>
        <w:t xml:space="preserve"> there </w:t>
      </w:r>
      <w:r w:rsidRPr="001B304D">
        <w:rPr>
          <w:rFonts w:cs="Times New Roman"/>
          <w:sz w:val="24"/>
          <w:szCs w:val="24"/>
        </w:rPr>
        <w:lastRenderedPageBreak/>
        <w:t>seems to be a</w:t>
      </w:r>
      <w:r w:rsidR="005D411E" w:rsidRPr="001B304D">
        <w:rPr>
          <w:rFonts w:cs="Times New Roman"/>
          <w:sz w:val="24"/>
          <w:szCs w:val="24"/>
        </w:rPr>
        <w:t>n important</w:t>
      </w:r>
      <w:r w:rsidRPr="001B304D">
        <w:rPr>
          <w:rFonts w:cs="Times New Roman"/>
          <w:sz w:val="24"/>
          <w:szCs w:val="24"/>
        </w:rPr>
        <w:t xml:space="preserve"> role for philosophers of religion in working out exactly what is going on here (one answer is provided by Hill and Whistler</w:t>
      </w:r>
      <w:r w:rsidR="00C55570" w:rsidRPr="001B304D">
        <w:rPr>
          <w:rFonts w:cs="Times New Roman"/>
          <w:sz w:val="24"/>
          <w:szCs w:val="24"/>
        </w:rPr>
        <w:t xml:space="preserve"> in the conclusion to </w:t>
      </w:r>
      <w:r w:rsidR="00C55570" w:rsidRPr="001B304D">
        <w:rPr>
          <w:rFonts w:cs="Times New Roman"/>
          <w:i/>
          <w:sz w:val="24"/>
          <w:szCs w:val="24"/>
        </w:rPr>
        <w:t>The Right to Wear Religious Symbols</w:t>
      </w:r>
      <w:r w:rsidR="00C55570" w:rsidRPr="001B304D">
        <w:rPr>
          <w:rFonts w:cs="Times New Roman"/>
          <w:sz w:val="24"/>
          <w:szCs w:val="24"/>
        </w:rPr>
        <w:t>).</w:t>
      </w:r>
    </w:p>
    <w:p w:rsidR="00F508EB" w:rsidRPr="001B304D" w:rsidRDefault="00F508EB" w:rsidP="008100A8">
      <w:pPr>
        <w:spacing w:after="0" w:line="480" w:lineRule="auto"/>
        <w:jc w:val="both"/>
        <w:rPr>
          <w:rFonts w:cs="Times New Roman"/>
          <w:sz w:val="24"/>
          <w:szCs w:val="24"/>
        </w:rPr>
      </w:pPr>
    </w:p>
    <w:p w:rsidR="00F508EB" w:rsidRPr="001B304D" w:rsidRDefault="00F508EB" w:rsidP="008100A8">
      <w:pPr>
        <w:spacing w:after="0" w:line="480" w:lineRule="auto"/>
        <w:jc w:val="both"/>
        <w:rPr>
          <w:rFonts w:cs="Times New Roman"/>
          <w:sz w:val="24"/>
          <w:szCs w:val="24"/>
        </w:rPr>
      </w:pPr>
      <w:r w:rsidRPr="001B304D">
        <w:rPr>
          <w:rFonts w:cs="Times New Roman"/>
          <w:sz w:val="24"/>
          <w:szCs w:val="24"/>
        </w:rPr>
        <w:t>[3] Conclusions</w:t>
      </w:r>
    </w:p>
    <w:p w:rsidR="005C2962" w:rsidRPr="001B304D" w:rsidRDefault="00A87401" w:rsidP="008100A8">
      <w:pPr>
        <w:spacing w:after="0" w:line="480" w:lineRule="auto"/>
        <w:jc w:val="both"/>
        <w:rPr>
          <w:sz w:val="24"/>
          <w:szCs w:val="24"/>
        </w:rPr>
      </w:pPr>
      <w:r w:rsidRPr="001B304D">
        <w:rPr>
          <w:sz w:val="24"/>
          <w:szCs w:val="24"/>
        </w:rPr>
        <w:t>It ma</w:t>
      </w:r>
      <w:r w:rsidR="00501ABC" w:rsidRPr="001B304D">
        <w:rPr>
          <w:sz w:val="24"/>
          <w:szCs w:val="24"/>
        </w:rPr>
        <w:t>y seem surprising that a review-</w:t>
      </w:r>
      <w:r w:rsidRPr="001B304D">
        <w:rPr>
          <w:sz w:val="24"/>
          <w:szCs w:val="24"/>
        </w:rPr>
        <w:t>article on the concept of the symbol in philosophy of religion has spent so much time setting out recent legal cases. However, this is pre</w:t>
      </w:r>
      <w:r w:rsidR="005D411E" w:rsidRPr="001B304D">
        <w:rPr>
          <w:sz w:val="24"/>
          <w:szCs w:val="24"/>
        </w:rPr>
        <w:t>cisely my point: at present, these cases constitute</w:t>
      </w:r>
      <w:r w:rsidRPr="001B304D">
        <w:rPr>
          <w:sz w:val="24"/>
          <w:szCs w:val="24"/>
        </w:rPr>
        <w:t xml:space="preserve"> the best material</w:t>
      </w:r>
      <w:r w:rsidR="005D411E" w:rsidRPr="001B304D">
        <w:rPr>
          <w:sz w:val="24"/>
          <w:szCs w:val="24"/>
        </w:rPr>
        <w:t>s</w:t>
      </w:r>
      <w:r w:rsidRPr="001B304D">
        <w:rPr>
          <w:sz w:val="24"/>
          <w:szCs w:val="24"/>
        </w:rPr>
        <w:t xml:space="preserve"> for any serious</w:t>
      </w:r>
      <w:r w:rsidR="005D411E" w:rsidRPr="001B304D">
        <w:rPr>
          <w:sz w:val="24"/>
          <w:szCs w:val="24"/>
        </w:rPr>
        <w:t>, engaged</w:t>
      </w:r>
      <w:r w:rsidRPr="001B304D">
        <w:rPr>
          <w:sz w:val="24"/>
          <w:szCs w:val="24"/>
        </w:rPr>
        <w:t xml:space="preserve"> work in the philosophy of religion</w:t>
      </w:r>
      <w:r w:rsidR="005D411E" w:rsidRPr="001B304D">
        <w:rPr>
          <w:sz w:val="24"/>
          <w:szCs w:val="24"/>
        </w:rPr>
        <w:t xml:space="preserve"> on the concept of the symbol</w:t>
      </w:r>
      <w:r w:rsidRPr="001B304D">
        <w:rPr>
          <w:sz w:val="24"/>
          <w:szCs w:val="24"/>
        </w:rPr>
        <w:t xml:space="preserve">, for not only is the inchoate conceptual work implicitly to be found in them interesting and significant, it is also the </w:t>
      </w:r>
      <w:r w:rsidR="00D14B12" w:rsidRPr="001B304D">
        <w:rPr>
          <w:sz w:val="24"/>
          <w:szCs w:val="24"/>
        </w:rPr>
        <w:t>case that it is precisely these conceptions of the symbol that are informing contemporary public discourse around religion. For a philosophy of religion that wishes to stay relevant, l</w:t>
      </w:r>
      <w:r w:rsidR="005D411E" w:rsidRPr="001B304D">
        <w:rPr>
          <w:sz w:val="24"/>
          <w:szCs w:val="24"/>
        </w:rPr>
        <w:t>egal judgments like the above are</w:t>
      </w:r>
      <w:r w:rsidR="00D14B12" w:rsidRPr="001B304D">
        <w:rPr>
          <w:sz w:val="24"/>
          <w:szCs w:val="24"/>
        </w:rPr>
        <w:t xml:space="preserve"> precisely what should form the raw materials for new research in the field.</w:t>
      </w:r>
    </w:p>
    <w:p w:rsidR="004318C2" w:rsidRPr="001B304D" w:rsidRDefault="004318C2" w:rsidP="008100A8">
      <w:pPr>
        <w:spacing w:after="0" w:line="480" w:lineRule="auto"/>
        <w:jc w:val="both"/>
        <w:rPr>
          <w:sz w:val="24"/>
          <w:szCs w:val="24"/>
        </w:rPr>
      </w:pPr>
      <w:r w:rsidRPr="001B304D">
        <w:rPr>
          <w:sz w:val="24"/>
          <w:szCs w:val="24"/>
        </w:rPr>
        <w:tab/>
        <w:t xml:space="preserve">What, then, of the connection between the genealogies of the symbol traced in the first half of this essay and the description of European jurisprudence provided in the second? Is it the case that the former offers no resources for understanding the latter? Part of the point of the preceding is to insist that much more research needs to be done in connecting up histories of the symbol, contemporary philosophy of religion and legal debates around religious symbols. Many configurations of the three are surely possible, but one way of linking them has recently been suggested by Hill and Whistler in </w:t>
      </w:r>
      <w:r w:rsidRPr="001B304D">
        <w:rPr>
          <w:i/>
          <w:sz w:val="24"/>
          <w:szCs w:val="24"/>
        </w:rPr>
        <w:t xml:space="preserve">The Right to Wear Religious Symbols </w:t>
      </w:r>
      <w:r w:rsidRPr="001B304D">
        <w:rPr>
          <w:sz w:val="24"/>
          <w:szCs w:val="24"/>
        </w:rPr>
        <w:t xml:space="preserve">(73-90). They look to the idea of symbolic ‘double intentionality’ drawn from Ricoeur, Tillich and Todorov—that is, the idea that symbols do not solely represent a referent, like a sign, but call for some kind of participation in the object they evoke. And they do so to model how the emphasis on the religious symbol as sign in pre-2004 legal judgments, like </w:t>
      </w:r>
      <w:proofErr w:type="spellStart"/>
      <w:r w:rsidRPr="001B304D">
        <w:rPr>
          <w:i/>
          <w:sz w:val="24"/>
          <w:szCs w:val="24"/>
        </w:rPr>
        <w:t>Arrowsmith</w:t>
      </w:r>
      <w:proofErr w:type="spellEnd"/>
      <w:r w:rsidRPr="001B304D">
        <w:rPr>
          <w:sz w:val="24"/>
          <w:szCs w:val="24"/>
        </w:rPr>
        <w:t xml:space="preserve">, was always going to be insufficient for accounting for the </w:t>
      </w:r>
      <w:r w:rsidRPr="001B304D">
        <w:rPr>
          <w:sz w:val="24"/>
          <w:szCs w:val="24"/>
        </w:rPr>
        <w:lastRenderedPageBreak/>
        <w:t xml:space="preserve">belief/symbol relation; the additional participative factor </w:t>
      </w:r>
      <w:r w:rsidR="00C9400D" w:rsidRPr="001B304D">
        <w:rPr>
          <w:sz w:val="24"/>
          <w:szCs w:val="24"/>
        </w:rPr>
        <w:t>had been</w:t>
      </w:r>
      <w:r w:rsidRPr="001B304D">
        <w:rPr>
          <w:sz w:val="24"/>
          <w:szCs w:val="24"/>
        </w:rPr>
        <w:t xml:space="preserve"> excluded. This is one way of showing how existing symbol-concepts are relevant to contemporary concerns.</w:t>
      </w:r>
    </w:p>
    <w:p w:rsidR="0035679F" w:rsidRPr="001B304D" w:rsidRDefault="0035679F" w:rsidP="008100A8">
      <w:pPr>
        <w:spacing w:after="0" w:line="480" w:lineRule="auto"/>
        <w:jc w:val="both"/>
        <w:rPr>
          <w:sz w:val="24"/>
          <w:szCs w:val="24"/>
        </w:rPr>
      </w:pPr>
    </w:p>
    <w:p w:rsidR="0035679F" w:rsidRPr="001B304D" w:rsidRDefault="0035679F" w:rsidP="008100A8">
      <w:pPr>
        <w:spacing w:after="0" w:line="480" w:lineRule="auto"/>
        <w:jc w:val="both"/>
        <w:rPr>
          <w:sz w:val="24"/>
          <w:szCs w:val="24"/>
        </w:rPr>
      </w:pPr>
    </w:p>
    <w:p w:rsidR="0035679F" w:rsidRPr="001B304D" w:rsidRDefault="005D411E" w:rsidP="008100A8">
      <w:pPr>
        <w:spacing w:after="0" w:line="480" w:lineRule="auto"/>
        <w:jc w:val="both"/>
        <w:rPr>
          <w:sz w:val="24"/>
          <w:szCs w:val="24"/>
          <w:u w:val="single"/>
        </w:rPr>
      </w:pPr>
      <w:r w:rsidRPr="001B304D">
        <w:rPr>
          <w:sz w:val="24"/>
          <w:szCs w:val="24"/>
          <w:u w:val="single"/>
        </w:rPr>
        <w:t>Bibliography</w:t>
      </w:r>
    </w:p>
    <w:p w:rsidR="001D40E1" w:rsidRPr="001B304D" w:rsidRDefault="001D40E1" w:rsidP="008100A8">
      <w:pPr>
        <w:pStyle w:val="western"/>
        <w:spacing w:before="0" w:beforeAutospacing="0" w:after="0" w:line="480" w:lineRule="auto"/>
        <w:ind w:left="720" w:hanging="720"/>
        <w:rPr>
          <w:i/>
        </w:rPr>
      </w:pPr>
      <w:r w:rsidRPr="001B304D">
        <w:rPr>
          <w:i/>
        </w:rPr>
        <w:t>Cases cited</w:t>
      </w:r>
    </w:p>
    <w:p w:rsidR="001D40E1" w:rsidRPr="001B304D" w:rsidRDefault="001D40E1" w:rsidP="008100A8">
      <w:pPr>
        <w:pStyle w:val="FootnoteText"/>
        <w:spacing w:line="480" w:lineRule="auto"/>
        <w:ind w:left="720" w:hanging="720"/>
        <w:jc w:val="both"/>
        <w:rPr>
          <w:b/>
          <w:sz w:val="24"/>
          <w:szCs w:val="24"/>
        </w:rPr>
      </w:pPr>
      <w:proofErr w:type="gramStart"/>
      <w:r w:rsidRPr="001B304D">
        <w:rPr>
          <w:i/>
          <w:sz w:val="24"/>
          <w:szCs w:val="24"/>
        </w:rPr>
        <w:t>A v UK</w:t>
      </w:r>
      <w:r w:rsidRPr="001B304D">
        <w:rPr>
          <w:sz w:val="24"/>
          <w:szCs w:val="24"/>
        </w:rPr>
        <w:t xml:space="preserve"> (1984) 6 EHRR 558 (Commission Decision).</w:t>
      </w:r>
      <w:proofErr w:type="gramEnd"/>
      <w:r w:rsidRPr="001B304D">
        <w:rPr>
          <w:sz w:val="24"/>
          <w:szCs w:val="24"/>
        </w:rPr>
        <w:t xml:space="preserve"> </w:t>
      </w:r>
      <w:proofErr w:type="gramStart"/>
      <w:r w:rsidRPr="001B304D">
        <w:rPr>
          <w:sz w:val="24"/>
          <w:szCs w:val="24"/>
        </w:rPr>
        <w:t>(App no 10295/82, 14 October 1983.)</w:t>
      </w:r>
      <w:proofErr w:type="gramEnd"/>
    </w:p>
    <w:p w:rsidR="001D40E1" w:rsidRPr="001B304D" w:rsidRDefault="001D40E1" w:rsidP="008100A8">
      <w:pPr>
        <w:pStyle w:val="FootnoteText"/>
        <w:spacing w:line="480" w:lineRule="auto"/>
        <w:ind w:left="720" w:hanging="720"/>
        <w:jc w:val="both"/>
        <w:rPr>
          <w:iCs/>
          <w:sz w:val="24"/>
          <w:szCs w:val="24"/>
        </w:rPr>
      </w:pPr>
      <w:proofErr w:type="spellStart"/>
      <w:proofErr w:type="gramStart"/>
      <w:r w:rsidRPr="001B304D">
        <w:rPr>
          <w:i/>
          <w:sz w:val="24"/>
          <w:szCs w:val="24"/>
        </w:rPr>
        <w:t>Arrowsmith</w:t>
      </w:r>
      <w:proofErr w:type="spellEnd"/>
      <w:r w:rsidRPr="001B304D">
        <w:rPr>
          <w:i/>
          <w:sz w:val="24"/>
          <w:szCs w:val="24"/>
        </w:rPr>
        <w:t xml:space="preserve"> v UK</w:t>
      </w:r>
      <w:r w:rsidRPr="001B304D">
        <w:rPr>
          <w:sz w:val="24"/>
          <w:szCs w:val="24"/>
        </w:rPr>
        <w:t xml:space="preserve"> [1981] 3 EHRR 218 (Commission Decision).</w:t>
      </w:r>
      <w:proofErr w:type="gramEnd"/>
      <w:r w:rsidRPr="001B304D">
        <w:rPr>
          <w:sz w:val="24"/>
          <w:szCs w:val="24"/>
        </w:rPr>
        <w:t xml:space="preserve"> </w:t>
      </w:r>
      <w:proofErr w:type="gramStart"/>
      <w:r w:rsidRPr="001B304D">
        <w:rPr>
          <w:sz w:val="24"/>
          <w:szCs w:val="24"/>
        </w:rPr>
        <w:t>(App no 7050/75, 12 October 1978.)</w:t>
      </w:r>
      <w:proofErr w:type="gramEnd"/>
    </w:p>
    <w:p w:rsidR="001D40E1" w:rsidRPr="001B304D" w:rsidRDefault="001D40E1" w:rsidP="008100A8">
      <w:pPr>
        <w:pStyle w:val="FootnoteText"/>
        <w:spacing w:line="480" w:lineRule="auto"/>
        <w:ind w:left="720" w:hanging="720"/>
        <w:jc w:val="both"/>
        <w:rPr>
          <w:sz w:val="24"/>
          <w:szCs w:val="24"/>
        </w:rPr>
      </w:pPr>
      <w:proofErr w:type="spellStart"/>
      <w:proofErr w:type="gramStart"/>
      <w:r w:rsidRPr="001B304D">
        <w:rPr>
          <w:i/>
          <w:sz w:val="24"/>
          <w:szCs w:val="24"/>
        </w:rPr>
        <w:t>Azmi</w:t>
      </w:r>
      <w:proofErr w:type="spellEnd"/>
      <w:r w:rsidRPr="001B304D">
        <w:rPr>
          <w:i/>
          <w:sz w:val="24"/>
          <w:szCs w:val="24"/>
        </w:rPr>
        <w:t xml:space="preserve"> v Kirklees MBC</w:t>
      </w:r>
      <w:r w:rsidRPr="001B304D">
        <w:rPr>
          <w:sz w:val="24"/>
          <w:szCs w:val="24"/>
        </w:rPr>
        <w:t xml:space="preserve"> </w:t>
      </w:r>
      <w:r w:rsidRPr="001B304D">
        <w:rPr>
          <w:bCs/>
          <w:sz w:val="24"/>
          <w:szCs w:val="24"/>
        </w:rPr>
        <w:t>[2007] UKEAT 0009/07/3003</w:t>
      </w:r>
      <w:r w:rsidRPr="001B304D">
        <w:rPr>
          <w:sz w:val="24"/>
          <w:szCs w:val="24"/>
        </w:rPr>
        <w:t>, [2007] ICR 1154.</w:t>
      </w:r>
      <w:proofErr w:type="gramEnd"/>
    </w:p>
    <w:p w:rsidR="001D40E1" w:rsidRPr="001B304D" w:rsidRDefault="001D40E1" w:rsidP="008100A8">
      <w:pPr>
        <w:pStyle w:val="FootnoteText"/>
        <w:spacing w:line="480" w:lineRule="auto"/>
        <w:ind w:left="720" w:hanging="720"/>
        <w:jc w:val="both"/>
        <w:rPr>
          <w:sz w:val="24"/>
          <w:szCs w:val="24"/>
        </w:rPr>
      </w:pPr>
      <w:proofErr w:type="gramStart"/>
      <w:r w:rsidRPr="001B304D">
        <w:rPr>
          <w:i/>
          <w:iCs/>
          <w:sz w:val="24"/>
          <w:szCs w:val="24"/>
        </w:rPr>
        <w:t xml:space="preserve">Campbell and </w:t>
      </w:r>
      <w:proofErr w:type="spellStart"/>
      <w:r w:rsidRPr="001B304D">
        <w:rPr>
          <w:i/>
          <w:iCs/>
          <w:sz w:val="24"/>
          <w:szCs w:val="24"/>
        </w:rPr>
        <w:t>Cosans</w:t>
      </w:r>
      <w:proofErr w:type="spellEnd"/>
      <w:r w:rsidRPr="001B304D">
        <w:rPr>
          <w:i/>
          <w:iCs/>
          <w:sz w:val="24"/>
          <w:szCs w:val="24"/>
        </w:rPr>
        <w:t xml:space="preserve"> v UK</w:t>
      </w:r>
      <w:r w:rsidRPr="001B304D">
        <w:rPr>
          <w:sz w:val="24"/>
          <w:szCs w:val="24"/>
        </w:rPr>
        <w:t xml:space="preserve"> (1982) 4 EHRR 293.</w:t>
      </w:r>
      <w:proofErr w:type="gramEnd"/>
      <w:r w:rsidRPr="001B304D">
        <w:rPr>
          <w:sz w:val="24"/>
          <w:szCs w:val="24"/>
        </w:rPr>
        <w:t xml:space="preserve"> </w:t>
      </w:r>
      <w:proofErr w:type="gramStart"/>
      <w:r w:rsidRPr="001B304D">
        <w:rPr>
          <w:sz w:val="24"/>
          <w:szCs w:val="24"/>
        </w:rPr>
        <w:t xml:space="preserve">(App </w:t>
      </w:r>
      <w:proofErr w:type="spellStart"/>
      <w:r w:rsidRPr="001B304D">
        <w:rPr>
          <w:sz w:val="24"/>
          <w:szCs w:val="24"/>
        </w:rPr>
        <w:t>nos</w:t>
      </w:r>
      <w:proofErr w:type="spellEnd"/>
      <w:r w:rsidRPr="001B304D">
        <w:rPr>
          <w:sz w:val="24"/>
          <w:szCs w:val="24"/>
        </w:rPr>
        <w:t xml:space="preserve"> 7511/76 and 7743/76, 25 February 1982.)</w:t>
      </w:r>
      <w:proofErr w:type="gramEnd"/>
    </w:p>
    <w:p w:rsidR="001D40E1" w:rsidRPr="001B304D" w:rsidRDefault="001D40E1" w:rsidP="008100A8">
      <w:pPr>
        <w:pStyle w:val="FootnoteText"/>
        <w:spacing w:line="480" w:lineRule="auto"/>
        <w:ind w:left="720" w:hanging="720"/>
        <w:jc w:val="both"/>
        <w:rPr>
          <w:rStyle w:val="st"/>
          <w:sz w:val="24"/>
          <w:szCs w:val="24"/>
        </w:rPr>
      </w:pPr>
      <w:proofErr w:type="spellStart"/>
      <w:proofErr w:type="gramStart"/>
      <w:r w:rsidRPr="001B304D">
        <w:rPr>
          <w:i/>
          <w:sz w:val="24"/>
          <w:szCs w:val="24"/>
        </w:rPr>
        <w:t>Dahlab</w:t>
      </w:r>
      <w:proofErr w:type="spellEnd"/>
      <w:r w:rsidRPr="001B304D">
        <w:rPr>
          <w:i/>
          <w:sz w:val="24"/>
          <w:szCs w:val="24"/>
        </w:rPr>
        <w:t xml:space="preserve"> v Switzerland</w:t>
      </w:r>
      <w:r w:rsidRPr="001B304D">
        <w:rPr>
          <w:sz w:val="24"/>
          <w:szCs w:val="24"/>
        </w:rPr>
        <w:t xml:space="preserve"> [2001] ECHR </w:t>
      </w:r>
      <w:r w:rsidRPr="001B304D">
        <w:rPr>
          <w:rStyle w:val="st"/>
          <w:sz w:val="24"/>
          <w:szCs w:val="24"/>
        </w:rPr>
        <w:t>2001-V. (</w:t>
      </w:r>
      <w:r w:rsidRPr="001B304D">
        <w:rPr>
          <w:sz w:val="24"/>
          <w:szCs w:val="24"/>
        </w:rPr>
        <w:t xml:space="preserve">App no </w:t>
      </w:r>
      <w:r w:rsidRPr="001B304D">
        <w:rPr>
          <w:rStyle w:val="st"/>
          <w:sz w:val="24"/>
          <w:szCs w:val="24"/>
        </w:rPr>
        <w:t>42393/98, 15 February 2001.)</w:t>
      </w:r>
      <w:proofErr w:type="gramEnd"/>
    </w:p>
    <w:p w:rsidR="001D40E1" w:rsidRPr="001B304D" w:rsidRDefault="001D40E1" w:rsidP="008100A8">
      <w:pPr>
        <w:pStyle w:val="FootnoteText"/>
        <w:spacing w:line="480" w:lineRule="auto"/>
        <w:ind w:left="720" w:hanging="720"/>
        <w:jc w:val="both"/>
        <w:rPr>
          <w:sz w:val="24"/>
          <w:szCs w:val="24"/>
        </w:rPr>
      </w:pPr>
      <w:proofErr w:type="spellStart"/>
      <w:proofErr w:type="gramStart"/>
      <w:r w:rsidRPr="001B304D">
        <w:rPr>
          <w:i/>
          <w:sz w:val="24"/>
          <w:szCs w:val="24"/>
        </w:rPr>
        <w:t>Dogru</w:t>
      </w:r>
      <w:proofErr w:type="spellEnd"/>
      <w:r w:rsidRPr="001B304D">
        <w:rPr>
          <w:i/>
          <w:sz w:val="24"/>
          <w:szCs w:val="24"/>
        </w:rPr>
        <w:t xml:space="preserve"> v France</w:t>
      </w:r>
      <w:r w:rsidRPr="001B304D">
        <w:rPr>
          <w:sz w:val="24"/>
          <w:szCs w:val="24"/>
        </w:rPr>
        <w:t xml:space="preserve"> [2008] ECHR 1579, [2009] 49 EHRR 8.</w:t>
      </w:r>
      <w:proofErr w:type="gramEnd"/>
      <w:r w:rsidRPr="001B304D">
        <w:rPr>
          <w:sz w:val="24"/>
          <w:szCs w:val="24"/>
        </w:rPr>
        <w:t xml:space="preserve"> (App no 27058/05, 4 December 2008.)</w:t>
      </w:r>
    </w:p>
    <w:p w:rsidR="001D40E1" w:rsidRPr="001B304D" w:rsidRDefault="001D40E1" w:rsidP="008100A8">
      <w:pPr>
        <w:pStyle w:val="FootnoteText"/>
        <w:spacing w:line="480" w:lineRule="auto"/>
        <w:ind w:left="720" w:hanging="720"/>
        <w:jc w:val="both"/>
        <w:rPr>
          <w:sz w:val="24"/>
          <w:szCs w:val="24"/>
        </w:rPr>
      </w:pPr>
      <w:proofErr w:type="spellStart"/>
      <w:proofErr w:type="gramStart"/>
      <w:r w:rsidRPr="001B304D">
        <w:rPr>
          <w:i/>
          <w:sz w:val="24"/>
          <w:szCs w:val="24"/>
        </w:rPr>
        <w:t>Eweida</w:t>
      </w:r>
      <w:proofErr w:type="spellEnd"/>
      <w:r w:rsidRPr="001B304D">
        <w:rPr>
          <w:i/>
          <w:sz w:val="24"/>
          <w:szCs w:val="24"/>
        </w:rPr>
        <w:t xml:space="preserve"> v British Airways Plc</w:t>
      </w:r>
      <w:r w:rsidRPr="001B304D">
        <w:rPr>
          <w:sz w:val="24"/>
          <w:szCs w:val="24"/>
        </w:rPr>
        <w:t xml:space="preserve"> [2010] EWCA </w:t>
      </w:r>
      <w:proofErr w:type="spellStart"/>
      <w:r w:rsidRPr="001B304D">
        <w:rPr>
          <w:sz w:val="24"/>
          <w:szCs w:val="24"/>
        </w:rPr>
        <w:t>Civ</w:t>
      </w:r>
      <w:proofErr w:type="spellEnd"/>
      <w:r w:rsidRPr="001B304D">
        <w:rPr>
          <w:sz w:val="24"/>
          <w:szCs w:val="24"/>
        </w:rPr>
        <w:t xml:space="preserve"> 80, [2010] ICR 890.</w:t>
      </w:r>
      <w:proofErr w:type="gramEnd"/>
    </w:p>
    <w:p w:rsidR="001D40E1" w:rsidRPr="001B304D" w:rsidRDefault="001D40E1" w:rsidP="008100A8">
      <w:pPr>
        <w:pStyle w:val="FootnoteText"/>
        <w:spacing w:line="480" w:lineRule="auto"/>
        <w:ind w:left="720" w:hanging="720"/>
        <w:jc w:val="both"/>
        <w:rPr>
          <w:sz w:val="24"/>
          <w:szCs w:val="24"/>
        </w:rPr>
      </w:pPr>
      <w:proofErr w:type="spellStart"/>
      <w:r w:rsidRPr="001B304D">
        <w:rPr>
          <w:i/>
          <w:sz w:val="24"/>
          <w:szCs w:val="24"/>
        </w:rPr>
        <w:t>Eweida</w:t>
      </w:r>
      <w:proofErr w:type="spellEnd"/>
      <w:r w:rsidRPr="001B304D">
        <w:rPr>
          <w:i/>
          <w:sz w:val="24"/>
          <w:szCs w:val="24"/>
        </w:rPr>
        <w:t xml:space="preserve"> and </w:t>
      </w:r>
      <w:proofErr w:type="gramStart"/>
      <w:r w:rsidRPr="001B304D">
        <w:rPr>
          <w:i/>
          <w:sz w:val="24"/>
          <w:szCs w:val="24"/>
        </w:rPr>
        <w:t>Others</w:t>
      </w:r>
      <w:proofErr w:type="gramEnd"/>
      <w:r w:rsidRPr="001B304D">
        <w:rPr>
          <w:i/>
          <w:sz w:val="24"/>
          <w:szCs w:val="24"/>
        </w:rPr>
        <w:t xml:space="preserve"> v UK</w:t>
      </w:r>
      <w:r w:rsidRPr="001B304D">
        <w:rPr>
          <w:sz w:val="24"/>
          <w:szCs w:val="24"/>
        </w:rPr>
        <w:t xml:space="preserve"> [2013] ECHR 37, [2013] IRLR 231. (Apps no 48420/10, 59842/10, 51671/10 and 36516/10, 15 January 2013.)</w:t>
      </w:r>
    </w:p>
    <w:p w:rsidR="001D40E1" w:rsidRPr="001B304D" w:rsidRDefault="001D40E1" w:rsidP="008100A8">
      <w:pPr>
        <w:pStyle w:val="FootnoteText"/>
        <w:spacing w:line="480" w:lineRule="auto"/>
        <w:ind w:left="720" w:hanging="720"/>
        <w:jc w:val="both"/>
        <w:rPr>
          <w:sz w:val="24"/>
          <w:szCs w:val="24"/>
        </w:rPr>
      </w:pPr>
      <w:proofErr w:type="spellStart"/>
      <w:proofErr w:type="gramStart"/>
      <w:r w:rsidRPr="001B304D">
        <w:rPr>
          <w:i/>
          <w:iCs/>
          <w:sz w:val="24"/>
          <w:szCs w:val="24"/>
        </w:rPr>
        <w:t>Kalaç</w:t>
      </w:r>
      <w:proofErr w:type="spellEnd"/>
      <w:r w:rsidRPr="001B304D">
        <w:rPr>
          <w:i/>
          <w:iCs/>
          <w:sz w:val="24"/>
          <w:szCs w:val="24"/>
        </w:rPr>
        <w:t xml:space="preserve"> v Turkey</w:t>
      </w:r>
      <w:r w:rsidRPr="001B304D">
        <w:rPr>
          <w:rFonts w:eastAsia="Helvetica"/>
          <w:iCs/>
          <w:sz w:val="24"/>
          <w:szCs w:val="24"/>
        </w:rPr>
        <w:t xml:space="preserve"> </w:t>
      </w:r>
      <w:r w:rsidRPr="001B304D">
        <w:rPr>
          <w:rFonts w:eastAsia="Helvetica-Bold"/>
          <w:iCs/>
          <w:sz w:val="24"/>
          <w:szCs w:val="24"/>
        </w:rPr>
        <w:t>[1999] 27 EHRR 552.</w:t>
      </w:r>
      <w:proofErr w:type="gramEnd"/>
      <w:r w:rsidRPr="001B304D">
        <w:rPr>
          <w:sz w:val="24"/>
          <w:szCs w:val="24"/>
        </w:rPr>
        <w:t xml:space="preserve"> </w:t>
      </w:r>
      <w:proofErr w:type="gramStart"/>
      <w:r w:rsidRPr="001B304D">
        <w:rPr>
          <w:rFonts w:eastAsia="Helvetica-Bold"/>
          <w:iCs/>
          <w:sz w:val="24"/>
          <w:szCs w:val="24"/>
        </w:rPr>
        <w:t xml:space="preserve">(App no 20704/92, </w:t>
      </w:r>
      <w:r w:rsidRPr="001B304D">
        <w:rPr>
          <w:rFonts w:eastAsia="Helvetica"/>
          <w:iCs/>
          <w:sz w:val="24"/>
          <w:szCs w:val="24"/>
        </w:rPr>
        <w:t>1 July 1997.)</w:t>
      </w:r>
      <w:proofErr w:type="gramEnd"/>
    </w:p>
    <w:p w:rsidR="001D40E1" w:rsidRPr="001B304D" w:rsidRDefault="001D40E1" w:rsidP="008100A8">
      <w:pPr>
        <w:pStyle w:val="FootnoteText"/>
        <w:spacing w:line="480" w:lineRule="auto"/>
        <w:ind w:left="720" w:hanging="720"/>
        <w:jc w:val="both"/>
        <w:rPr>
          <w:sz w:val="24"/>
          <w:szCs w:val="24"/>
        </w:rPr>
      </w:pPr>
      <w:proofErr w:type="gramStart"/>
      <w:r w:rsidRPr="001B304D">
        <w:rPr>
          <w:i/>
          <w:sz w:val="24"/>
          <w:szCs w:val="24"/>
        </w:rPr>
        <w:t>R (</w:t>
      </w:r>
      <w:proofErr w:type="spellStart"/>
      <w:r w:rsidRPr="001B304D">
        <w:rPr>
          <w:i/>
          <w:sz w:val="24"/>
          <w:szCs w:val="24"/>
        </w:rPr>
        <w:t>Playfoot</w:t>
      </w:r>
      <w:proofErr w:type="spellEnd"/>
      <w:r w:rsidRPr="001B304D">
        <w:rPr>
          <w:i/>
          <w:sz w:val="24"/>
          <w:szCs w:val="24"/>
        </w:rPr>
        <w:t>) v Millais School Governing Body</w:t>
      </w:r>
      <w:r w:rsidRPr="001B304D">
        <w:rPr>
          <w:sz w:val="24"/>
          <w:szCs w:val="24"/>
        </w:rPr>
        <w:t xml:space="preserve"> [2007] EWHC 1698 (Admin), [2007] 3 FCR 754.</w:t>
      </w:r>
      <w:proofErr w:type="gramEnd"/>
    </w:p>
    <w:p w:rsidR="001D40E1" w:rsidRPr="001B304D" w:rsidRDefault="001D40E1" w:rsidP="008100A8">
      <w:pPr>
        <w:pStyle w:val="FootnoteText"/>
        <w:spacing w:line="480" w:lineRule="auto"/>
        <w:ind w:left="720" w:hanging="720"/>
        <w:jc w:val="both"/>
        <w:rPr>
          <w:sz w:val="24"/>
          <w:szCs w:val="24"/>
        </w:rPr>
      </w:pPr>
      <w:r w:rsidRPr="001B304D">
        <w:rPr>
          <w:i/>
          <w:iCs/>
          <w:sz w:val="24"/>
          <w:szCs w:val="24"/>
          <w:lang w:val="de-DE"/>
        </w:rPr>
        <w:t>Şahin v Turkey</w:t>
      </w:r>
      <w:r w:rsidRPr="001B304D">
        <w:rPr>
          <w:iCs/>
          <w:sz w:val="24"/>
          <w:szCs w:val="24"/>
          <w:lang w:val="de-DE"/>
        </w:rPr>
        <w:t xml:space="preserve"> </w:t>
      </w:r>
      <w:r w:rsidRPr="001B304D">
        <w:rPr>
          <w:sz w:val="24"/>
          <w:szCs w:val="24"/>
          <w:lang w:val="de-DE"/>
        </w:rPr>
        <w:t xml:space="preserve">[2004] ECHR 299, (2005) 41 EHRR 8. </w:t>
      </w:r>
      <w:r w:rsidRPr="001B304D">
        <w:rPr>
          <w:sz w:val="24"/>
          <w:szCs w:val="24"/>
        </w:rPr>
        <w:t xml:space="preserve">(App no </w:t>
      </w:r>
      <w:r w:rsidRPr="001B304D">
        <w:rPr>
          <w:iCs/>
          <w:sz w:val="24"/>
          <w:szCs w:val="24"/>
        </w:rPr>
        <w:t>44774/98,</w:t>
      </w:r>
      <w:r w:rsidRPr="001B304D">
        <w:rPr>
          <w:sz w:val="24"/>
          <w:szCs w:val="24"/>
        </w:rPr>
        <w:t xml:space="preserve"> 29 June 2004.)</w:t>
      </w:r>
    </w:p>
    <w:p w:rsidR="001D40E1" w:rsidRPr="001B304D" w:rsidRDefault="001D40E1" w:rsidP="008100A8">
      <w:pPr>
        <w:pStyle w:val="FootnoteText"/>
        <w:spacing w:line="480" w:lineRule="auto"/>
        <w:ind w:left="720" w:hanging="720"/>
        <w:jc w:val="both"/>
        <w:rPr>
          <w:sz w:val="24"/>
          <w:szCs w:val="24"/>
        </w:rPr>
      </w:pPr>
      <w:proofErr w:type="gramStart"/>
      <w:r w:rsidRPr="001B304D">
        <w:rPr>
          <w:i/>
          <w:sz w:val="24"/>
          <w:szCs w:val="24"/>
        </w:rPr>
        <w:t xml:space="preserve">R (Watkins-Singh) v Aberdare Girls’ High School Governors </w:t>
      </w:r>
      <w:r w:rsidRPr="001B304D">
        <w:rPr>
          <w:sz w:val="24"/>
          <w:szCs w:val="24"/>
        </w:rPr>
        <w:t>[2008] EWHC 1865 (Admin), [2008] 3 FCR 203.</w:t>
      </w:r>
      <w:proofErr w:type="gramEnd"/>
    </w:p>
    <w:p w:rsidR="001D40E1" w:rsidRPr="001B304D" w:rsidRDefault="001D40E1" w:rsidP="008100A8">
      <w:pPr>
        <w:pStyle w:val="FootnoteText"/>
        <w:spacing w:line="480" w:lineRule="auto"/>
        <w:ind w:left="720" w:hanging="720"/>
        <w:jc w:val="both"/>
        <w:rPr>
          <w:b/>
          <w:sz w:val="24"/>
          <w:szCs w:val="24"/>
        </w:rPr>
      </w:pPr>
      <w:proofErr w:type="gramStart"/>
      <w:r w:rsidRPr="001B304D">
        <w:rPr>
          <w:i/>
          <w:iCs/>
          <w:sz w:val="24"/>
          <w:szCs w:val="24"/>
        </w:rPr>
        <w:lastRenderedPageBreak/>
        <w:t>R (Williamson) v Secretary of State for Education and Employment</w:t>
      </w:r>
      <w:r w:rsidRPr="001B304D">
        <w:rPr>
          <w:iCs/>
          <w:sz w:val="24"/>
          <w:szCs w:val="24"/>
        </w:rPr>
        <w:t xml:space="preserve"> </w:t>
      </w:r>
      <w:r w:rsidRPr="001B304D">
        <w:rPr>
          <w:sz w:val="24"/>
          <w:szCs w:val="24"/>
        </w:rPr>
        <w:t>[2005] UKHL 15</w:t>
      </w:r>
      <w:r w:rsidRPr="001B304D">
        <w:rPr>
          <w:iCs/>
          <w:sz w:val="24"/>
          <w:szCs w:val="24"/>
        </w:rPr>
        <w:t xml:space="preserve">, </w:t>
      </w:r>
      <w:r w:rsidRPr="001B304D">
        <w:rPr>
          <w:sz w:val="24"/>
          <w:szCs w:val="24"/>
        </w:rPr>
        <w:t>[2005] 2 AC 246.</w:t>
      </w:r>
      <w:proofErr w:type="gramEnd"/>
    </w:p>
    <w:p w:rsidR="001D40E1" w:rsidRPr="001B304D" w:rsidRDefault="001D40E1" w:rsidP="008100A8">
      <w:pPr>
        <w:pStyle w:val="western"/>
        <w:spacing w:before="0" w:beforeAutospacing="0" w:after="0" w:line="480" w:lineRule="auto"/>
      </w:pPr>
    </w:p>
    <w:p w:rsidR="001D40E1" w:rsidRPr="001B304D" w:rsidRDefault="001D40E1" w:rsidP="008100A8">
      <w:pPr>
        <w:pStyle w:val="western"/>
        <w:spacing w:before="0" w:beforeAutospacing="0" w:after="0" w:line="480" w:lineRule="auto"/>
        <w:ind w:left="720" w:hanging="720"/>
        <w:rPr>
          <w:i/>
        </w:rPr>
      </w:pPr>
      <w:r w:rsidRPr="001B304D">
        <w:rPr>
          <w:i/>
        </w:rPr>
        <w:t>Works cited</w:t>
      </w:r>
    </w:p>
    <w:p w:rsidR="00E2724D" w:rsidRPr="001B304D" w:rsidRDefault="00E2724D" w:rsidP="008100A8">
      <w:pPr>
        <w:spacing w:after="0" w:line="480" w:lineRule="auto"/>
        <w:ind w:left="720" w:hanging="720"/>
        <w:jc w:val="both"/>
        <w:rPr>
          <w:rFonts w:cs="Times New Roman"/>
          <w:sz w:val="24"/>
          <w:szCs w:val="24"/>
        </w:rPr>
      </w:pPr>
      <w:r w:rsidRPr="001B304D">
        <w:rPr>
          <w:rFonts w:cs="Times New Roman"/>
          <w:sz w:val="24"/>
          <w:szCs w:val="24"/>
        </w:rPr>
        <w:t>Anderson, Pamela Sue</w:t>
      </w:r>
      <w:r w:rsidR="00700083" w:rsidRPr="001B304D">
        <w:rPr>
          <w:rFonts w:cs="Times New Roman"/>
          <w:sz w:val="24"/>
          <w:szCs w:val="24"/>
        </w:rPr>
        <w:t>.</w:t>
      </w:r>
      <w:r w:rsidRPr="001B304D">
        <w:rPr>
          <w:rFonts w:cs="Times New Roman"/>
          <w:sz w:val="24"/>
          <w:szCs w:val="24"/>
        </w:rPr>
        <w:t xml:space="preserve"> </w:t>
      </w:r>
      <w:proofErr w:type="gramStart"/>
      <w:r w:rsidRPr="001B304D">
        <w:rPr>
          <w:rFonts w:cs="Times New Roman"/>
          <w:i/>
          <w:sz w:val="24"/>
          <w:szCs w:val="24"/>
        </w:rPr>
        <w:t xml:space="preserve">Re-visioning Gender in Philosophy of Religion: Reason, Love and Epistemic </w:t>
      </w:r>
      <w:proofErr w:type="spellStart"/>
      <w:r w:rsidRPr="001B304D">
        <w:rPr>
          <w:rFonts w:cs="Times New Roman"/>
          <w:i/>
          <w:sz w:val="24"/>
          <w:szCs w:val="24"/>
        </w:rPr>
        <w:t>Locatedness</w:t>
      </w:r>
      <w:proofErr w:type="spellEnd"/>
      <w:r w:rsidR="00700083" w:rsidRPr="001B304D">
        <w:rPr>
          <w:rFonts w:cs="Times New Roman"/>
          <w:sz w:val="24"/>
          <w:szCs w:val="24"/>
        </w:rPr>
        <w:t>.</w:t>
      </w:r>
      <w:proofErr w:type="gramEnd"/>
      <w:r w:rsidRPr="001B304D">
        <w:rPr>
          <w:rFonts w:cs="Times New Roman"/>
          <w:sz w:val="24"/>
          <w:szCs w:val="24"/>
        </w:rPr>
        <w:t xml:space="preserve"> London: Routledge, 2013.</w:t>
      </w:r>
    </w:p>
    <w:p w:rsidR="0035679F" w:rsidRPr="001B304D" w:rsidRDefault="0035679F" w:rsidP="008100A8">
      <w:pPr>
        <w:spacing w:after="0" w:line="480" w:lineRule="auto"/>
        <w:ind w:left="720" w:hanging="720"/>
        <w:jc w:val="both"/>
        <w:rPr>
          <w:rFonts w:cs="Times New Roman"/>
          <w:sz w:val="24"/>
          <w:szCs w:val="24"/>
        </w:rPr>
      </w:pPr>
      <w:proofErr w:type="spellStart"/>
      <w:proofErr w:type="gramStart"/>
      <w:r w:rsidRPr="001B304D">
        <w:rPr>
          <w:rFonts w:cs="Times New Roman"/>
          <w:sz w:val="24"/>
          <w:szCs w:val="24"/>
        </w:rPr>
        <w:t>Asad</w:t>
      </w:r>
      <w:proofErr w:type="spellEnd"/>
      <w:r w:rsidRPr="001B304D">
        <w:rPr>
          <w:rFonts w:cs="Times New Roman"/>
          <w:sz w:val="24"/>
          <w:szCs w:val="24"/>
        </w:rPr>
        <w:t xml:space="preserve">, </w:t>
      </w:r>
      <w:proofErr w:type="spellStart"/>
      <w:r w:rsidRPr="001B304D">
        <w:rPr>
          <w:rFonts w:cs="Times New Roman"/>
          <w:sz w:val="24"/>
          <w:szCs w:val="24"/>
        </w:rPr>
        <w:t>Ta</w:t>
      </w:r>
      <w:r w:rsidR="00700083" w:rsidRPr="001B304D">
        <w:rPr>
          <w:rFonts w:cs="Times New Roman"/>
          <w:sz w:val="24"/>
          <w:szCs w:val="24"/>
        </w:rPr>
        <w:t>lal</w:t>
      </w:r>
      <w:proofErr w:type="spellEnd"/>
      <w:r w:rsidR="00700083" w:rsidRPr="001B304D">
        <w:rPr>
          <w:rFonts w:cs="Times New Roman"/>
          <w:sz w:val="24"/>
          <w:szCs w:val="24"/>
        </w:rPr>
        <w:t>, W. Brown and Judith Butler.</w:t>
      </w:r>
      <w:proofErr w:type="gramEnd"/>
      <w:r w:rsidRPr="001B304D">
        <w:rPr>
          <w:rFonts w:cs="Times New Roman"/>
          <w:sz w:val="24"/>
          <w:szCs w:val="24"/>
        </w:rPr>
        <w:t xml:space="preserve"> </w:t>
      </w:r>
      <w:r w:rsidRPr="001B304D">
        <w:rPr>
          <w:rFonts w:cs="Times New Roman"/>
          <w:i/>
          <w:sz w:val="24"/>
          <w:szCs w:val="24"/>
        </w:rPr>
        <w:t xml:space="preserve">Is Critique Secular? </w:t>
      </w:r>
      <w:proofErr w:type="gramStart"/>
      <w:r w:rsidRPr="001B304D">
        <w:rPr>
          <w:rFonts w:cs="Times New Roman"/>
          <w:i/>
          <w:sz w:val="24"/>
          <w:szCs w:val="24"/>
        </w:rPr>
        <w:t>Blasphemy, Injury and Free Speech</w:t>
      </w:r>
      <w:r w:rsidRPr="001B304D">
        <w:rPr>
          <w:rFonts w:cs="Times New Roman"/>
          <w:sz w:val="24"/>
          <w:szCs w:val="24"/>
        </w:rPr>
        <w:t>.</w:t>
      </w:r>
      <w:proofErr w:type="gramEnd"/>
      <w:r w:rsidRPr="001B304D">
        <w:rPr>
          <w:rFonts w:cs="Times New Roman"/>
          <w:sz w:val="24"/>
          <w:szCs w:val="24"/>
        </w:rPr>
        <w:t xml:space="preserve"> Berkeley: University of California Press, 2009.</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 xml:space="preserve">Audi, Robert </w:t>
      </w:r>
      <w:r w:rsidR="00700083" w:rsidRPr="001B304D">
        <w:rPr>
          <w:rFonts w:cs="Times New Roman"/>
          <w:sz w:val="24"/>
          <w:szCs w:val="24"/>
        </w:rPr>
        <w:t xml:space="preserve">and Nicholas </w:t>
      </w:r>
      <w:proofErr w:type="spellStart"/>
      <w:r w:rsidR="00700083" w:rsidRPr="001B304D">
        <w:rPr>
          <w:rFonts w:cs="Times New Roman"/>
          <w:sz w:val="24"/>
          <w:szCs w:val="24"/>
        </w:rPr>
        <w:t>Wolterstorff</w:t>
      </w:r>
      <w:proofErr w:type="spellEnd"/>
      <w:r w:rsidR="00700083" w:rsidRPr="001B304D">
        <w:rPr>
          <w:rFonts w:cs="Times New Roman"/>
          <w:sz w:val="24"/>
          <w:szCs w:val="24"/>
        </w:rPr>
        <w:t xml:space="preserve"> (</w:t>
      </w:r>
      <w:proofErr w:type="spellStart"/>
      <w:proofErr w:type="gramStart"/>
      <w:r w:rsidR="00700083" w:rsidRPr="001B304D">
        <w:rPr>
          <w:rFonts w:cs="Times New Roman"/>
          <w:sz w:val="24"/>
          <w:szCs w:val="24"/>
        </w:rPr>
        <w:t>eds</w:t>
      </w:r>
      <w:proofErr w:type="spellEnd"/>
      <w:proofErr w:type="gramEnd"/>
      <w:r w:rsidR="00700083" w:rsidRPr="001B304D">
        <w:rPr>
          <w:rFonts w:cs="Times New Roman"/>
          <w:sz w:val="24"/>
          <w:szCs w:val="24"/>
        </w:rPr>
        <w:t>).</w:t>
      </w:r>
      <w:r w:rsidRPr="001B304D">
        <w:rPr>
          <w:rFonts w:cs="Times New Roman"/>
          <w:sz w:val="24"/>
          <w:szCs w:val="24"/>
        </w:rPr>
        <w:t xml:space="preserve"> </w:t>
      </w:r>
      <w:proofErr w:type="gramStart"/>
      <w:r w:rsidRPr="001B304D">
        <w:rPr>
          <w:rFonts w:cs="Times New Roman"/>
          <w:i/>
          <w:sz w:val="24"/>
          <w:szCs w:val="24"/>
        </w:rPr>
        <w:t>Religion in the Public Square</w:t>
      </w:r>
      <w:r w:rsidR="00700083" w:rsidRPr="001B304D">
        <w:rPr>
          <w:rFonts w:cs="Times New Roman"/>
          <w:sz w:val="24"/>
          <w:szCs w:val="24"/>
        </w:rPr>
        <w:t>.</w:t>
      </w:r>
      <w:proofErr w:type="gramEnd"/>
      <w:r w:rsidR="00700083" w:rsidRPr="001B304D">
        <w:rPr>
          <w:rFonts w:cs="Times New Roman"/>
          <w:sz w:val="24"/>
          <w:szCs w:val="24"/>
        </w:rPr>
        <w:t xml:space="preserve"> </w:t>
      </w:r>
      <w:r w:rsidRPr="001B304D">
        <w:rPr>
          <w:rFonts w:cs="Times New Roman"/>
          <w:sz w:val="24"/>
          <w:szCs w:val="24"/>
        </w:rPr>
        <w:t>Lanha</w:t>
      </w:r>
      <w:r w:rsidR="00700083" w:rsidRPr="001B304D">
        <w:rPr>
          <w:rFonts w:cs="Times New Roman"/>
          <w:sz w:val="24"/>
          <w:szCs w:val="24"/>
        </w:rPr>
        <w:t>m: Rowman and Littlefield, 1997</w:t>
      </w:r>
      <w:r w:rsidRPr="001B304D">
        <w:rPr>
          <w:rFonts w:cs="Times New Roman"/>
          <w:sz w:val="24"/>
          <w:szCs w:val="24"/>
        </w:rPr>
        <w:t>.</w:t>
      </w:r>
    </w:p>
    <w:p w:rsidR="00E2724D" w:rsidRPr="001B304D" w:rsidRDefault="00E2724D" w:rsidP="008100A8">
      <w:pPr>
        <w:spacing w:after="0" w:line="480" w:lineRule="auto"/>
        <w:jc w:val="both"/>
        <w:rPr>
          <w:rFonts w:cs="Times New Roman"/>
          <w:sz w:val="24"/>
          <w:szCs w:val="24"/>
        </w:rPr>
      </w:pPr>
      <w:r w:rsidRPr="001B304D">
        <w:rPr>
          <w:rFonts w:cs="Times New Roman"/>
          <w:sz w:val="24"/>
          <w:szCs w:val="24"/>
        </w:rPr>
        <w:t>Badiou, A</w:t>
      </w:r>
      <w:r w:rsidR="00700083" w:rsidRPr="001B304D">
        <w:rPr>
          <w:rFonts w:cs="Times New Roman"/>
          <w:sz w:val="24"/>
          <w:szCs w:val="24"/>
        </w:rPr>
        <w:t>lain.</w:t>
      </w:r>
      <w:r w:rsidRPr="001B304D">
        <w:rPr>
          <w:rFonts w:cs="Times New Roman"/>
          <w:sz w:val="24"/>
          <w:szCs w:val="24"/>
        </w:rPr>
        <w:t xml:space="preserve"> </w:t>
      </w:r>
      <w:proofErr w:type="spellStart"/>
      <w:r w:rsidRPr="001B304D">
        <w:rPr>
          <w:rFonts w:cs="Times New Roman"/>
          <w:i/>
          <w:sz w:val="24"/>
          <w:szCs w:val="24"/>
        </w:rPr>
        <w:t>Circonstances</w:t>
      </w:r>
      <w:proofErr w:type="spellEnd"/>
      <w:r w:rsidRPr="001B304D">
        <w:rPr>
          <w:rFonts w:cs="Times New Roman"/>
          <w:i/>
          <w:sz w:val="24"/>
          <w:szCs w:val="24"/>
        </w:rPr>
        <w:t xml:space="preserve"> II</w:t>
      </w:r>
      <w:r w:rsidR="00700083" w:rsidRPr="001B304D">
        <w:rPr>
          <w:rFonts w:cs="Times New Roman"/>
          <w:sz w:val="24"/>
          <w:szCs w:val="24"/>
        </w:rPr>
        <w:t>.</w:t>
      </w:r>
      <w:r w:rsidRPr="001B304D">
        <w:rPr>
          <w:rFonts w:cs="Times New Roman"/>
          <w:sz w:val="24"/>
          <w:szCs w:val="24"/>
        </w:rPr>
        <w:t xml:space="preserve"> Paris: </w:t>
      </w:r>
      <w:proofErr w:type="spellStart"/>
      <w:r w:rsidRPr="001B304D">
        <w:rPr>
          <w:rFonts w:cs="Times New Roman"/>
          <w:sz w:val="24"/>
          <w:szCs w:val="24"/>
        </w:rPr>
        <w:t>Scheer</w:t>
      </w:r>
      <w:proofErr w:type="spellEnd"/>
      <w:r w:rsidRPr="001B304D">
        <w:rPr>
          <w:rFonts w:cs="Times New Roman"/>
          <w:sz w:val="24"/>
          <w:szCs w:val="24"/>
        </w:rPr>
        <w:t>, 2008.</w:t>
      </w:r>
    </w:p>
    <w:p w:rsidR="00E2724D" w:rsidRPr="001B304D" w:rsidRDefault="00E2724D" w:rsidP="008100A8">
      <w:pPr>
        <w:spacing w:after="0" w:line="480" w:lineRule="auto"/>
        <w:ind w:left="720" w:hanging="720"/>
        <w:jc w:val="both"/>
        <w:rPr>
          <w:rFonts w:cs="Times New Roman"/>
          <w:sz w:val="24"/>
          <w:szCs w:val="24"/>
        </w:rPr>
      </w:pPr>
      <w:r w:rsidRPr="001B304D">
        <w:rPr>
          <w:rFonts w:cs="Times New Roman"/>
          <w:sz w:val="24"/>
          <w:szCs w:val="24"/>
        </w:rPr>
        <w:t>Barth,</w:t>
      </w:r>
      <w:r w:rsidR="00700083" w:rsidRPr="001B304D">
        <w:rPr>
          <w:rFonts w:cs="Times New Roman"/>
          <w:sz w:val="24"/>
          <w:szCs w:val="24"/>
        </w:rPr>
        <w:t xml:space="preserve"> Robert J.</w:t>
      </w:r>
      <w:r w:rsidRPr="001B304D">
        <w:rPr>
          <w:rFonts w:cs="Times New Roman"/>
          <w:sz w:val="24"/>
          <w:szCs w:val="24"/>
        </w:rPr>
        <w:t xml:space="preserve"> </w:t>
      </w:r>
      <w:r w:rsidRPr="001B304D">
        <w:rPr>
          <w:rFonts w:cs="Times New Roman"/>
          <w:i/>
          <w:sz w:val="24"/>
          <w:szCs w:val="24"/>
        </w:rPr>
        <w:t>The Symbolic Imagination: Coleridge and the Romantic Tradition</w:t>
      </w:r>
      <w:r w:rsidR="00700083" w:rsidRPr="001B304D">
        <w:rPr>
          <w:rFonts w:cs="Times New Roman"/>
          <w:sz w:val="24"/>
          <w:szCs w:val="24"/>
        </w:rPr>
        <w:t>.</w:t>
      </w:r>
      <w:r w:rsidRPr="001B304D">
        <w:rPr>
          <w:rFonts w:cs="Times New Roman"/>
          <w:sz w:val="24"/>
          <w:szCs w:val="24"/>
        </w:rPr>
        <w:t xml:space="preserve"> Fordham: Fordham </w:t>
      </w:r>
      <w:r w:rsidR="00700083" w:rsidRPr="001B304D">
        <w:rPr>
          <w:rFonts w:cs="Times New Roman"/>
          <w:sz w:val="24"/>
          <w:szCs w:val="24"/>
        </w:rPr>
        <w:t>U</w:t>
      </w:r>
      <w:r w:rsidR="00985E3E" w:rsidRPr="001B304D">
        <w:rPr>
          <w:rFonts w:cs="Times New Roman"/>
          <w:sz w:val="24"/>
          <w:szCs w:val="24"/>
        </w:rPr>
        <w:t xml:space="preserve">niversity </w:t>
      </w:r>
      <w:r w:rsidR="00700083" w:rsidRPr="001B304D">
        <w:rPr>
          <w:rFonts w:cs="Times New Roman"/>
          <w:sz w:val="24"/>
          <w:szCs w:val="24"/>
        </w:rPr>
        <w:t>P</w:t>
      </w:r>
      <w:r w:rsidR="00985E3E" w:rsidRPr="001B304D">
        <w:rPr>
          <w:rFonts w:cs="Times New Roman"/>
          <w:sz w:val="24"/>
          <w:szCs w:val="24"/>
        </w:rPr>
        <w:t>ress</w:t>
      </w:r>
      <w:r w:rsidR="00700083" w:rsidRPr="001B304D">
        <w:rPr>
          <w:rFonts w:cs="Times New Roman"/>
          <w:sz w:val="24"/>
          <w:szCs w:val="24"/>
        </w:rPr>
        <w:t>, 1977</w:t>
      </w:r>
      <w:r w:rsidRPr="001B304D">
        <w:rPr>
          <w:rFonts w:cs="Times New Roman"/>
          <w:sz w:val="24"/>
          <w:szCs w:val="24"/>
        </w:rPr>
        <w:t>.</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BBC News</w:t>
      </w:r>
      <w:r w:rsidR="00700083" w:rsidRPr="001B304D">
        <w:rPr>
          <w:rFonts w:cs="Times New Roman"/>
          <w:sz w:val="24"/>
          <w:szCs w:val="24"/>
        </w:rPr>
        <w:t>.</w:t>
      </w:r>
      <w:r w:rsidRPr="001B304D">
        <w:rPr>
          <w:rFonts w:cs="Times New Roman"/>
          <w:sz w:val="24"/>
          <w:szCs w:val="24"/>
        </w:rPr>
        <w:t xml:space="preserve"> ‘Cardinal Keith O’Brien urges Christian</w:t>
      </w:r>
      <w:r w:rsidR="00700083" w:rsidRPr="001B304D">
        <w:rPr>
          <w:rFonts w:cs="Times New Roman"/>
          <w:sz w:val="24"/>
          <w:szCs w:val="24"/>
        </w:rPr>
        <w:t xml:space="preserve">s to “proudly” wear the cross.’ </w:t>
      </w:r>
      <w:hyperlink r:id="rId9" w:history="1">
        <w:r w:rsidRPr="001B304D">
          <w:rPr>
            <w:rStyle w:val="Hyperlink"/>
            <w:color w:val="auto"/>
            <w:sz w:val="24"/>
            <w:szCs w:val="24"/>
          </w:rPr>
          <w:t>http://www.bbc.co.uk/news/uk-scotland-17611036</w:t>
        </w:r>
      </w:hyperlink>
      <w:r w:rsidR="00EB21AC" w:rsidRPr="001B304D">
        <w:rPr>
          <w:rFonts w:cs="Times New Roman"/>
          <w:sz w:val="24"/>
          <w:szCs w:val="24"/>
        </w:rPr>
        <w:t xml:space="preserve"> (2012),</w:t>
      </w:r>
      <w:r w:rsidRPr="001B304D">
        <w:rPr>
          <w:rFonts w:cs="Times New Roman"/>
          <w:sz w:val="24"/>
          <w:szCs w:val="24"/>
        </w:rPr>
        <w:t xml:space="preserve"> date accessed 15 June 2013.</w:t>
      </w:r>
    </w:p>
    <w:p w:rsidR="0035679F" w:rsidRPr="001B304D" w:rsidRDefault="00CB44EF" w:rsidP="008100A8">
      <w:pPr>
        <w:spacing w:after="0" w:line="480" w:lineRule="auto"/>
        <w:ind w:left="720" w:hanging="720"/>
        <w:jc w:val="both"/>
        <w:rPr>
          <w:rFonts w:cs="Times New Roman"/>
          <w:sz w:val="24"/>
          <w:szCs w:val="24"/>
        </w:rPr>
      </w:pPr>
      <w:proofErr w:type="spellStart"/>
      <w:r w:rsidRPr="001B304D">
        <w:rPr>
          <w:rFonts w:cs="Times New Roman"/>
          <w:sz w:val="24"/>
          <w:szCs w:val="24"/>
        </w:rPr>
        <w:t>Benhabib</w:t>
      </w:r>
      <w:proofErr w:type="spellEnd"/>
      <w:r w:rsidRPr="001B304D">
        <w:rPr>
          <w:rFonts w:cs="Times New Roman"/>
          <w:sz w:val="24"/>
          <w:szCs w:val="24"/>
        </w:rPr>
        <w:t xml:space="preserve">, </w:t>
      </w:r>
      <w:proofErr w:type="spellStart"/>
      <w:r w:rsidRPr="001B304D">
        <w:rPr>
          <w:rFonts w:cs="Times New Roman"/>
          <w:sz w:val="24"/>
          <w:szCs w:val="24"/>
        </w:rPr>
        <w:t>Seyla</w:t>
      </w:r>
      <w:proofErr w:type="spellEnd"/>
      <w:r w:rsidR="0035679F" w:rsidRPr="001B304D">
        <w:rPr>
          <w:rFonts w:cs="Times New Roman"/>
          <w:sz w:val="24"/>
          <w:szCs w:val="24"/>
        </w:rPr>
        <w:t xml:space="preserve">. </w:t>
      </w:r>
      <w:r w:rsidR="0035679F" w:rsidRPr="001B304D">
        <w:rPr>
          <w:rFonts w:cs="Times New Roman"/>
          <w:i/>
          <w:sz w:val="24"/>
          <w:szCs w:val="24"/>
        </w:rPr>
        <w:t>Dignity in Adversity: Human Rights in Troubled Times</w:t>
      </w:r>
      <w:r w:rsidR="0035679F" w:rsidRPr="001B304D">
        <w:rPr>
          <w:rFonts w:cs="Times New Roman"/>
          <w:sz w:val="24"/>
          <w:szCs w:val="24"/>
        </w:rPr>
        <w:t>. Oxford: Oxford University Press, 2011.</w:t>
      </w:r>
    </w:p>
    <w:p w:rsidR="0035679F" w:rsidRPr="001B304D" w:rsidRDefault="00700083" w:rsidP="008100A8">
      <w:pPr>
        <w:pStyle w:val="western"/>
        <w:spacing w:before="0" w:beforeAutospacing="0" w:after="0" w:line="480" w:lineRule="auto"/>
        <w:ind w:left="720" w:hanging="720"/>
        <w:jc w:val="both"/>
      </w:pPr>
      <w:r w:rsidRPr="001B304D">
        <w:t>Benjamin, Walter.</w:t>
      </w:r>
      <w:r w:rsidR="0035679F" w:rsidRPr="001B304D">
        <w:t xml:space="preserve"> </w:t>
      </w:r>
      <w:proofErr w:type="gramStart"/>
      <w:r w:rsidR="0035679F" w:rsidRPr="001B304D">
        <w:rPr>
          <w:i/>
          <w:iCs/>
        </w:rPr>
        <w:t>The Origin of German Tragic Drama</w:t>
      </w:r>
      <w:r w:rsidR="0035679F" w:rsidRPr="001B304D">
        <w:t>.</w:t>
      </w:r>
      <w:proofErr w:type="gramEnd"/>
      <w:r w:rsidR="0035679F" w:rsidRPr="001B304D">
        <w:t xml:space="preserve"> </w:t>
      </w:r>
      <w:proofErr w:type="gramStart"/>
      <w:r w:rsidR="0035679F" w:rsidRPr="001B304D">
        <w:t>Translated by John Osborne.</w:t>
      </w:r>
      <w:proofErr w:type="gramEnd"/>
      <w:r w:rsidR="0035679F" w:rsidRPr="001B304D">
        <w:t xml:space="preserve"> London: Verso</w:t>
      </w:r>
      <w:r w:rsidRPr="001B304D">
        <w:t>, 1998</w:t>
      </w:r>
      <w:r w:rsidR="0035679F" w:rsidRPr="001B304D">
        <w:t>.</w:t>
      </w:r>
    </w:p>
    <w:p w:rsidR="0035679F" w:rsidRPr="001B304D" w:rsidRDefault="00700083" w:rsidP="008100A8">
      <w:pPr>
        <w:pStyle w:val="western"/>
        <w:spacing w:before="0" w:beforeAutospacing="0" w:after="0" w:line="480" w:lineRule="auto"/>
        <w:ind w:left="720" w:hanging="720"/>
        <w:jc w:val="both"/>
      </w:pPr>
      <w:proofErr w:type="spellStart"/>
      <w:r w:rsidRPr="001B304D">
        <w:t>Blumenberg</w:t>
      </w:r>
      <w:proofErr w:type="spellEnd"/>
      <w:r w:rsidRPr="001B304D">
        <w:t xml:space="preserve">, Hans. </w:t>
      </w:r>
      <w:proofErr w:type="gramStart"/>
      <w:r w:rsidR="0035679F" w:rsidRPr="001B304D">
        <w:rPr>
          <w:i/>
          <w:iCs/>
        </w:rPr>
        <w:t>The Legitimacy of the Modern Age</w:t>
      </w:r>
      <w:r w:rsidR="0035679F" w:rsidRPr="001B304D">
        <w:t>.</w:t>
      </w:r>
      <w:proofErr w:type="gramEnd"/>
      <w:r w:rsidR="0035679F" w:rsidRPr="001B304D">
        <w:t xml:space="preserve"> </w:t>
      </w:r>
      <w:proofErr w:type="gramStart"/>
      <w:r w:rsidR="0035679F" w:rsidRPr="001B304D">
        <w:t>Second edition.</w:t>
      </w:r>
      <w:proofErr w:type="gramEnd"/>
      <w:r w:rsidR="0035679F" w:rsidRPr="001B304D">
        <w:t xml:space="preserve"> </w:t>
      </w:r>
      <w:proofErr w:type="gramStart"/>
      <w:r w:rsidR="0035679F" w:rsidRPr="001B304D">
        <w:t>Translated by Robert M. Wallace.</w:t>
      </w:r>
      <w:proofErr w:type="gramEnd"/>
      <w:r w:rsidR="0035679F" w:rsidRPr="001B304D">
        <w:t xml:space="preserve"> Cambridge, MA: MIT Press</w:t>
      </w:r>
      <w:r w:rsidRPr="001B304D">
        <w:t>, 1983</w:t>
      </w:r>
      <w:r w:rsidR="0035679F" w:rsidRPr="001B304D">
        <w:t>.</w:t>
      </w:r>
    </w:p>
    <w:p w:rsidR="0035679F" w:rsidRPr="001B304D" w:rsidRDefault="0035679F" w:rsidP="008100A8">
      <w:pPr>
        <w:spacing w:after="0" w:line="480" w:lineRule="auto"/>
        <w:ind w:left="720" w:hanging="720"/>
        <w:jc w:val="both"/>
        <w:rPr>
          <w:rFonts w:cs="Times New Roman"/>
          <w:sz w:val="24"/>
          <w:szCs w:val="24"/>
        </w:rPr>
      </w:pPr>
      <w:proofErr w:type="spellStart"/>
      <w:proofErr w:type="gramStart"/>
      <w:r w:rsidRPr="001B304D">
        <w:rPr>
          <w:rFonts w:cs="Times New Roman"/>
          <w:sz w:val="24"/>
          <w:szCs w:val="24"/>
        </w:rPr>
        <w:t>Bonfiglioli</w:t>
      </w:r>
      <w:proofErr w:type="spellEnd"/>
      <w:r w:rsidRPr="001B304D">
        <w:rPr>
          <w:rFonts w:cs="Times New Roman"/>
          <w:sz w:val="24"/>
          <w:szCs w:val="24"/>
        </w:rPr>
        <w:t>, Stefania</w:t>
      </w:r>
      <w:r w:rsidR="00CB44EF" w:rsidRPr="001B304D">
        <w:rPr>
          <w:rFonts w:cs="Times New Roman"/>
          <w:sz w:val="24"/>
          <w:szCs w:val="24"/>
        </w:rPr>
        <w:t xml:space="preserve"> and Costantino</w:t>
      </w:r>
      <w:r w:rsidR="00700083" w:rsidRPr="001B304D">
        <w:rPr>
          <w:rFonts w:cs="Times New Roman"/>
          <w:sz w:val="24"/>
          <w:szCs w:val="24"/>
        </w:rPr>
        <w:t xml:space="preserve"> </w:t>
      </w:r>
      <w:proofErr w:type="spellStart"/>
      <w:r w:rsidR="00700083" w:rsidRPr="001B304D">
        <w:rPr>
          <w:rFonts w:cs="Times New Roman"/>
          <w:sz w:val="24"/>
          <w:szCs w:val="24"/>
        </w:rPr>
        <w:t>Marmo</w:t>
      </w:r>
      <w:proofErr w:type="spellEnd"/>
      <w:r w:rsidR="00700083" w:rsidRPr="001B304D">
        <w:rPr>
          <w:rFonts w:cs="Times New Roman"/>
          <w:sz w:val="24"/>
          <w:szCs w:val="24"/>
        </w:rPr>
        <w:t>.</w:t>
      </w:r>
      <w:proofErr w:type="gramEnd"/>
      <w:r w:rsidRPr="001B304D">
        <w:rPr>
          <w:rFonts w:cs="Times New Roman"/>
          <w:sz w:val="24"/>
          <w:szCs w:val="24"/>
        </w:rPr>
        <w:t xml:space="preserve"> </w:t>
      </w:r>
      <w:proofErr w:type="gramStart"/>
      <w:r w:rsidR="00CB44EF" w:rsidRPr="001B304D">
        <w:rPr>
          <w:rFonts w:cs="Times New Roman"/>
          <w:sz w:val="24"/>
          <w:szCs w:val="24"/>
        </w:rPr>
        <w:t>‘</w:t>
      </w:r>
      <w:r w:rsidRPr="001B304D">
        <w:rPr>
          <w:rFonts w:cs="Times New Roman"/>
          <w:sz w:val="24"/>
          <w:szCs w:val="24"/>
        </w:rPr>
        <w:t xml:space="preserve">Symbolism and Linguistic Semantics: Some Questions (and Confusions) from Late Antique Neoplatonism up to </w:t>
      </w:r>
      <w:proofErr w:type="spellStart"/>
      <w:r w:rsidRPr="001B304D">
        <w:rPr>
          <w:rFonts w:cs="Times New Roman"/>
          <w:sz w:val="24"/>
          <w:szCs w:val="24"/>
        </w:rPr>
        <w:t>Eriugena</w:t>
      </w:r>
      <w:proofErr w:type="spellEnd"/>
      <w:r w:rsidRPr="001B304D">
        <w:rPr>
          <w:rFonts w:cs="Times New Roman"/>
          <w:sz w:val="24"/>
          <w:szCs w:val="24"/>
        </w:rPr>
        <w:t>.</w:t>
      </w:r>
      <w:r w:rsidR="00CB44EF" w:rsidRPr="001B304D">
        <w:rPr>
          <w:rFonts w:cs="Times New Roman"/>
          <w:sz w:val="24"/>
          <w:szCs w:val="24"/>
        </w:rPr>
        <w:t>’</w:t>
      </w:r>
      <w:proofErr w:type="gramEnd"/>
      <w:r w:rsidRPr="001B304D">
        <w:rPr>
          <w:rFonts w:cs="Times New Roman"/>
          <w:i/>
          <w:sz w:val="24"/>
          <w:szCs w:val="24"/>
        </w:rPr>
        <w:t xml:space="preserve"> Vivarium</w:t>
      </w:r>
      <w:r w:rsidR="00700083" w:rsidRPr="001B304D">
        <w:rPr>
          <w:rFonts w:cs="Times New Roman"/>
          <w:sz w:val="24"/>
          <w:szCs w:val="24"/>
        </w:rPr>
        <w:t xml:space="preserve"> 45.2 (2007): 238-</w:t>
      </w:r>
      <w:r w:rsidRPr="001B304D">
        <w:rPr>
          <w:rFonts w:cs="Times New Roman"/>
          <w:sz w:val="24"/>
          <w:szCs w:val="24"/>
        </w:rPr>
        <w:t>52.</w:t>
      </w:r>
    </w:p>
    <w:p w:rsidR="0035679F" w:rsidRPr="001B304D" w:rsidRDefault="0035679F" w:rsidP="008100A8">
      <w:pPr>
        <w:pStyle w:val="western"/>
        <w:spacing w:before="0" w:beforeAutospacing="0" w:after="0" w:line="480" w:lineRule="auto"/>
        <w:ind w:left="720" w:hanging="720"/>
        <w:jc w:val="both"/>
      </w:pPr>
      <w:proofErr w:type="gramStart"/>
      <w:r w:rsidRPr="001B304D">
        <w:lastRenderedPageBreak/>
        <w:t>Brock, Steen.</w:t>
      </w:r>
      <w:proofErr w:type="gramEnd"/>
      <w:r w:rsidRPr="001B304D">
        <w:t xml:space="preserve"> </w:t>
      </w:r>
      <w:proofErr w:type="gramStart"/>
      <w:r w:rsidR="00700083" w:rsidRPr="001B304D">
        <w:t>‘</w:t>
      </w:r>
      <w:r w:rsidRPr="001B304D">
        <w:t>A Resolute Reading of Cassirer's Anthropology.</w:t>
      </w:r>
      <w:r w:rsidR="00700083" w:rsidRPr="001B304D">
        <w:t>’</w:t>
      </w:r>
      <w:proofErr w:type="gramEnd"/>
      <w:r w:rsidRPr="001B304D">
        <w:t xml:space="preserve"> </w:t>
      </w:r>
      <w:proofErr w:type="spellStart"/>
      <w:r w:rsidRPr="001B304D">
        <w:t>Synthese</w:t>
      </w:r>
      <w:proofErr w:type="spellEnd"/>
      <w:r w:rsidR="00700083" w:rsidRPr="001B304D">
        <w:t xml:space="preserve"> 179.1 (2011): 93-113.</w:t>
      </w:r>
    </w:p>
    <w:p w:rsidR="0035679F" w:rsidRPr="001B304D" w:rsidRDefault="0035679F" w:rsidP="008100A8">
      <w:pPr>
        <w:pStyle w:val="FootnoteText"/>
        <w:spacing w:line="480" w:lineRule="auto"/>
        <w:ind w:left="720" w:hanging="720"/>
        <w:jc w:val="both"/>
        <w:rPr>
          <w:rFonts w:cs="Times New Roman"/>
          <w:sz w:val="24"/>
          <w:szCs w:val="24"/>
        </w:rPr>
      </w:pPr>
      <w:r w:rsidRPr="001B304D">
        <w:rPr>
          <w:rFonts w:cs="Times New Roman"/>
          <w:sz w:val="24"/>
          <w:szCs w:val="24"/>
        </w:rPr>
        <w:t>Burke, K</w:t>
      </w:r>
      <w:r w:rsidR="00C856FA" w:rsidRPr="001B304D">
        <w:rPr>
          <w:rFonts w:cs="Times New Roman"/>
          <w:sz w:val="24"/>
          <w:szCs w:val="24"/>
        </w:rPr>
        <w:t>enneth</w:t>
      </w:r>
      <w:r w:rsidRPr="001B304D">
        <w:rPr>
          <w:rFonts w:cs="Times New Roman"/>
          <w:sz w:val="24"/>
          <w:szCs w:val="24"/>
        </w:rPr>
        <w:t xml:space="preserve">. </w:t>
      </w:r>
      <w:r w:rsidRPr="001B304D">
        <w:rPr>
          <w:rFonts w:cs="Times New Roman"/>
          <w:i/>
          <w:sz w:val="24"/>
          <w:szCs w:val="24"/>
        </w:rPr>
        <w:t>The Philosophy of Symbolic Form: Studies in Symbolic Action</w:t>
      </w:r>
      <w:r w:rsidR="00EB21AC" w:rsidRPr="001B304D">
        <w:rPr>
          <w:rFonts w:cs="Times New Roman"/>
          <w:sz w:val="24"/>
          <w:szCs w:val="24"/>
        </w:rPr>
        <w:t xml:space="preserve">. </w:t>
      </w:r>
      <w:proofErr w:type="gramStart"/>
      <w:r w:rsidR="00EB21AC" w:rsidRPr="001B304D">
        <w:rPr>
          <w:rFonts w:cs="Times New Roman"/>
          <w:sz w:val="24"/>
          <w:szCs w:val="24"/>
        </w:rPr>
        <w:t>Second</w:t>
      </w:r>
      <w:r w:rsidRPr="001B304D">
        <w:rPr>
          <w:rFonts w:cs="Times New Roman"/>
          <w:sz w:val="24"/>
          <w:szCs w:val="24"/>
        </w:rPr>
        <w:t xml:space="preserve"> ed</w:t>
      </w:r>
      <w:r w:rsidR="00700083" w:rsidRPr="001B304D">
        <w:rPr>
          <w:rFonts w:cs="Times New Roman"/>
          <w:sz w:val="24"/>
          <w:szCs w:val="24"/>
        </w:rPr>
        <w:t>itio</w:t>
      </w:r>
      <w:r w:rsidRPr="001B304D">
        <w:rPr>
          <w:rFonts w:cs="Times New Roman"/>
          <w:sz w:val="24"/>
          <w:szCs w:val="24"/>
        </w:rPr>
        <w:t>n</w:t>
      </w:r>
      <w:r w:rsidR="00700083" w:rsidRPr="001B304D">
        <w:rPr>
          <w:rFonts w:cs="Times New Roman"/>
          <w:sz w:val="24"/>
          <w:szCs w:val="24"/>
        </w:rPr>
        <w:t>.</w:t>
      </w:r>
      <w:proofErr w:type="gramEnd"/>
      <w:r w:rsidR="00700083" w:rsidRPr="001B304D">
        <w:rPr>
          <w:rFonts w:cs="Times New Roman"/>
          <w:sz w:val="24"/>
          <w:szCs w:val="24"/>
        </w:rPr>
        <w:t xml:space="preserve"> </w:t>
      </w:r>
      <w:r w:rsidRPr="001B304D">
        <w:rPr>
          <w:rFonts w:cs="Times New Roman"/>
          <w:sz w:val="24"/>
          <w:szCs w:val="24"/>
        </w:rPr>
        <w:t>Baton: L</w:t>
      </w:r>
      <w:r w:rsidR="00700083" w:rsidRPr="001B304D">
        <w:rPr>
          <w:rFonts w:cs="Times New Roman"/>
          <w:sz w:val="24"/>
          <w:szCs w:val="24"/>
        </w:rPr>
        <w:t>ouisiana State University Press, 1967</w:t>
      </w:r>
      <w:r w:rsidRPr="001B304D">
        <w:rPr>
          <w:rFonts w:cs="Times New Roman"/>
          <w:sz w:val="24"/>
          <w:szCs w:val="24"/>
        </w:rPr>
        <w:t>.</w:t>
      </w:r>
    </w:p>
    <w:p w:rsidR="00F97914" w:rsidRPr="001B304D" w:rsidRDefault="00F97914" w:rsidP="008100A8">
      <w:pPr>
        <w:spacing w:after="0" w:line="480" w:lineRule="auto"/>
        <w:ind w:left="720" w:hanging="720"/>
        <w:jc w:val="both"/>
        <w:rPr>
          <w:sz w:val="24"/>
          <w:szCs w:val="24"/>
        </w:rPr>
      </w:pPr>
      <w:r w:rsidRPr="001B304D">
        <w:rPr>
          <w:sz w:val="24"/>
          <w:szCs w:val="24"/>
        </w:rPr>
        <w:t xml:space="preserve">Burrell, David. </w:t>
      </w:r>
      <w:proofErr w:type="gramStart"/>
      <w:r w:rsidRPr="001B304D">
        <w:rPr>
          <w:i/>
          <w:iCs/>
          <w:sz w:val="24"/>
          <w:szCs w:val="24"/>
        </w:rPr>
        <w:t>Analogy and Philosophical Language</w:t>
      </w:r>
      <w:r w:rsidRPr="001B304D">
        <w:rPr>
          <w:sz w:val="24"/>
          <w:szCs w:val="24"/>
        </w:rPr>
        <w:t>.</w:t>
      </w:r>
      <w:proofErr w:type="gramEnd"/>
      <w:r w:rsidRPr="001B304D">
        <w:rPr>
          <w:sz w:val="24"/>
          <w:szCs w:val="24"/>
        </w:rPr>
        <w:t xml:space="preserve"> New Haven: Yale University Press, 1973.</w:t>
      </w:r>
    </w:p>
    <w:p w:rsidR="00CB44EF" w:rsidRPr="001B304D" w:rsidRDefault="00CB44EF" w:rsidP="008100A8">
      <w:pPr>
        <w:spacing w:after="0" w:line="480" w:lineRule="auto"/>
        <w:ind w:left="720" w:hanging="720"/>
        <w:jc w:val="both"/>
        <w:rPr>
          <w:sz w:val="24"/>
          <w:szCs w:val="24"/>
        </w:rPr>
      </w:pPr>
      <w:proofErr w:type="gramStart"/>
      <w:r w:rsidRPr="001B304D">
        <w:rPr>
          <w:sz w:val="24"/>
          <w:szCs w:val="24"/>
        </w:rPr>
        <w:t>Calder, Gideon and Steven R. Smith.</w:t>
      </w:r>
      <w:proofErr w:type="gramEnd"/>
      <w:r w:rsidRPr="001B304D">
        <w:rPr>
          <w:sz w:val="24"/>
          <w:szCs w:val="24"/>
        </w:rPr>
        <w:t xml:space="preserve"> ‘Differential Treatment and Employability: A UK Case Study of Veil-wearing in Schools.’ In Calder and </w:t>
      </w:r>
      <w:proofErr w:type="spellStart"/>
      <w:r w:rsidRPr="001B304D">
        <w:rPr>
          <w:sz w:val="24"/>
          <w:szCs w:val="24"/>
        </w:rPr>
        <w:t>Emanuela</w:t>
      </w:r>
      <w:proofErr w:type="spellEnd"/>
      <w:r w:rsidRPr="001B304D">
        <w:rPr>
          <w:sz w:val="24"/>
          <w:szCs w:val="24"/>
        </w:rPr>
        <w:t xml:space="preserve"> </w:t>
      </w:r>
      <w:proofErr w:type="spellStart"/>
      <w:r w:rsidRPr="001B304D">
        <w:rPr>
          <w:sz w:val="24"/>
          <w:szCs w:val="24"/>
        </w:rPr>
        <w:t>Ceva</w:t>
      </w:r>
      <w:proofErr w:type="spellEnd"/>
      <w:r w:rsidRPr="001B304D">
        <w:rPr>
          <w:sz w:val="24"/>
          <w:szCs w:val="24"/>
        </w:rPr>
        <w:t xml:space="preserve"> (</w:t>
      </w:r>
      <w:proofErr w:type="spellStart"/>
      <w:proofErr w:type="gramStart"/>
      <w:r w:rsidRPr="001B304D">
        <w:rPr>
          <w:sz w:val="24"/>
          <w:szCs w:val="24"/>
        </w:rPr>
        <w:t>eds</w:t>
      </w:r>
      <w:proofErr w:type="spellEnd"/>
      <w:proofErr w:type="gramEnd"/>
      <w:r w:rsidRPr="001B304D">
        <w:rPr>
          <w:sz w:val="24"/>
          <w:szCs w:val="24"/>
        </w:rPr>
        <w:t xml:space="preserve">), </w:t>
      </w:r>
      <w:r w:rsidRPr="001B304D">
        <w:rPr>
          <w:i/>
          <w:sz w:val="24"/>
          <w:szCs w:val="24"/>
        </w:rPr>
        <w:t>Diversity in Europe: Dilemmas of Differential Treatment in Theory and Practice</w:t>
      </w:r>
      <w:r w:rsidRPr="001B304D">
        <w:rPr>
          <w:sz w:val="24"/>
          <w:szCs w:val="24"/>
        </w:rPr>
        <w:t xml:space="preserve">. London: Routledge, 2011. </w:t>
      </w:r>
      <w:proofErr w:type="gramStart"/>
      <w:r w:rsidRPr="001B304D">
        <w:rPr>
          <w:sz w:val="24"/>
          <w:szCs w:val="24"/>
        </w:rPr>
        <w:t>157-69.</w:t>
      </w:r>
      <w:proofErr w:type="gramEnd"/>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Cameron, D</w:t>
      </w:r>
      <w:r w:rsidR="00C856FA" w:rsidRPr="001B304D">
        <w:rPr>
          <w:rFonts w:cs="Times New Roman"/>
          <w:sz w:val="24"/>
          <w:szCs w:val="24"/>
        </w:rPr>
        <w:t>avid</w:t>
      </w:r>
      <w:r w:rsidR="00EB21AC" w:rsidRPr="001B304D">
        <w:rPr>
          <w:rFonts w:cs="Times New Roman"/>
          <w:sz w:val="24"/>
          <w:szCs w:val="24"/>
        </w:rPr>
        <w:t>.</w:t>
      </w:r>
      <w:r w:rsidRPr="001B304D">
        <w:rPr>
          <w:rFonts w:cs="Times New Roman"/>
          <w:sz w:val="24"/>
          <w:szCs w:val="24"/>
        </w:rPr>
        <w:t xml:space="preserve"> ‘Delighted that principle of wearing religious symbols at work has been upheld—</w:t>
      </w:r>
      <w:proofErr w:type="spellStart"/>
      <w:r w:rsidRPr="001B304D">
        <w:rPr>
          <w:rFonts w:cs="Times New Roman"/>
          <w:sz w:val="24"/>
          <w:szCs w:val="24"/>
        </w:rPr>
        <w:t>ppl</w:t>
      </w:r>
      <w:proofErr w:type="spellEnd"/>
      <w:r w:rsidRPr="001B304D">
        <w:rPr>
          <w:rFonts w:cs="Times New Roman"/>
          <w:sz w:val="24"/>
          <w:szCs w:val="24"/>
        </w:rPr>
        <w:t xml:space="preserve"> shouldn’t suffer discrimination due to religious beliefs’, Twitter, </w:t>
      </w:r>
      <w:hyperlink r:id="rId10" w:history="1">
        <w:r w:rsidRPr="001B304D">
          <w:rPr>
            <w:rStyle w:val="Hyperlink"/>
            <w:color w:val="auto"/>
            <w:sz w:val="24"/>
            <w:szCs w:val="24"/>
          </w:rPr>
          <w:t>https://twitter.com/David_Cameron</w:t>
        </w:r>
      </w:hyperlink>
      <w:r w:rsidRPr="001B304D">
        <w:rPr>
          <w:rFonts w:cs="Times New Roman"/>
          <w:sz w:val="24"/>
          <w:szCs w:val="24"/>
        </w:rPr>
        <w:t xml:space="preserve"> (15 January 2013)</w:t>
      </w:r>
      <w:r w:rsidR="00EB21AC" w:rsidRPr="001B304D">
        <w:rPr>
          <w:rFonts w:cs="Times New Roman"/>
          <w:sz w:val="24"/>
          <w:szCs w:val="24"/>
        </w:rPr>
        <w:t>,</w:t>
      </w:r>
      <w:r w:rsidRPr="001B304D">
        <w:rPr>
          <w:rFonts w:cs="Times New Roman"/>
          <w:sz w:val="24"/>
          <w:szCs w:val="24"/>
        </w:rPr>
        <w:t xml:space="preserve"> date accessed 15 June 2013.</w:t>
      </w:r>
    </w:p>
    <w:p w:rsidR="00E2724D" w:rsidRPr="001B304D" w:rsidRDefault="00E2724D" w:rsidP="008100A8">
      <w:pPr>
        <w:spacing w:after="0" w:line="480" w:lineRule="auto"/>
        <w:jc w:val="both"/>
        <w:rPr>
          <w:rFonts w:cs="Times New Roman"/>
          <w:sz w:val="24"/>
          <w:szCs w:val="24"/>
        </w:rPr>
      </w:pPr>
      <w:r w:rsidRPr="001B304D">
        <w:rPr>
          <w:rFonts w:cs="Times New Roman"/>
          <w:sz w:val="24"/>
          <w:szCs w:val="24"/>
          <w:lang w:val="fr-FR"/>
        </w:rPr>
        <w:t>Carter, James</w:t>
      </w:r>
      <w:r w:rsidR="00EB21AC" w:rsidRPr="001B304D">
        <w:rPr>
          <w:rFonts w:cs="Times New Roman"/>
          <w:sz w:val="24"/>
          <w:szCs w:val="24"/>
          <w:lang w:val="fr-FR"/>
        </w:rPr>
        <w:t>.</w:t>
      </w:r>
      <w:r w:rsidRPr="001B304D">
        <w:rPr>
          <w:rFonts w:cs="Times New Roman"/>
          <w:sz w:val="24"/>
          <w:szCs w:val="24"/>
          <w:lang w:val="fr-FR"/>
        </w:rPr>
        <w:t xml:space="preserve"> </w:t>
      </w:r>
      <w:r w:rsidRPr="001B304D">
        <w:rPr>
          <w:rFonts w:cs="Times New Roman"/>
          <w:i/>
          <w:sz w:val="24"/>
          <w:szCs w:val="24"/>
          <w:lang w:val="fr-FR"/>
        </w:rPr>
        <w:t>Ricoeur on Moral Religion</w:t>
      </w:r>
      <w:r w:rsidR="00EB21AC" w:rsidRPr="001B304D">
        <w:rPr>
          <w:rFonts w:cs="Times New Roman"/>
          <w:sz w:val="24"/>
          <w:szCs w:val="24"/>
          <w:lang w:val="fr-FR"/>
        </w:rPr>
        <w:t>.</w:t>
      </w:r>
      <w:r w:rsidRPr="001B304D">
        <w:rPr>
          <w:rFonts w:cs="Times New Roman"/>
          <w:sz w:val="24"/>
          <w:szCs w:val="24"/>
          <w:lang w:val="fr-FR"/>
        </w:rPr>
        <w:t xml:space="preserve"> </w:t>
      </w:r>
      <w:r w:rsidRPr="001B304D">
        <w:rPr>
          <w:rFonts w:cs="Times New Roman"/>
          <w:sz w:val="24"/>
          <w:szCs w:val="24"/>
        </w:rPr>
        <w:t>Oxford: Oxford University Press, 2014.</w:t>
      </w:r>
    </w:p>
    <w:p w:rsidR="00E2724D" w:rsidRPr="001B304D" w:rsidRDefault="00E2724D" w:rsidP="008100A8">
      <w:pPr>
        <w:spacing w:after="0" w:line="480" w:lineRule="auto"/>
        <w:ind w:left="720" w:hanging="720"/>
        <w:jc w:val="both"/>
        <w:rPr>
          <w:rFonts w:cs="Times New Roman"/>
          <w:sz w:val="24"/>
          <w:szCs w:val="24"/>
        </w:rPr>
      </w:pPr>
      <w:r w:rsidRPr="001B304D">
        <w:rPr>
          <w:rFonts w:cs="Times New Roman"/>
          <w:sz w:val="24"/>
          <w:szCs w:val="24"/>
        </w:rPr>
        <w:t>Cassirer, Ernst</w:t>
      </w:r>
      <w:r w:rsidR="00EB21AC" w:rsidRPr="001B304D">
        <w:rPr>
          <w:rFonts w:cs="Times New Roman"/>
          <w:sz w:val="24"/>
          <w:szCs w:val="24"/>
        </w:rPr>
        <w:t>.</w:t>
      </w:r>
      <w:r w:rsidRPr="001B304D">
        <w:rPr>
          <w:rFonts w:cs="Times New Roman"/>
          <w:sz w:val="24"/>
          <w:szCs w:val="24"/>
        </w:rPr>
        <w:t xml:space="preserve"> </w:t>
      </w:r>
      <w:r w:rsidRPr="001B304D">
        <w:rPr>
          <w:rFonts w:cs="Times New Roman"/>
          <w:i/>
          <w:sz w:val="24"/>
          <w:szCs w:val="24"/>
        </w:rPr>
        <w:t>The Philosophy of Symbolic Forms</w:t>
      </w:r>
      <w:r w:rsidR="00EB21AC" w:rsidRPr="001B304D">
        <w:rPr>
          <w:rFonts w:cs="Times New Roman"/>
          <w:sz w:val="24"/>
          <w:szCs w:val="24"/>
        </w:rPr>
        <w:t>, 3 vols. Translated by</w:t>
      </w:r>
      <w:r w:rsidRPr="001B304D">
        <w:rPr>
          <w:rFonts w:cs="Times New Roman"/>
          <w:sz w:val="24"/>
          <w:szCs w:val="24"/>
        </w:rPr>
        <w:t xml:space="preserve"> R. Mannheim, New Haven: Yale University Press</w:t>
      </w:r>
      <w:r w:rsidR="00EB21AC" w:rsidRPr="001B304D">
        <w:rPr>
          <w:rFonts w:cs="Times New Roman"/>
          <w:sz w:val="24"/>
          <w:szCs w:val="24"/>
        </w:rPr>
        <w:t>, 1953-7</w:t>
      </w:r>
      <w:r w:rsidRPr="001B304D">
        <w:rPr>
          <w:rFonts w:cs="Times New Roman"/>
          <w:sz w:val="24"/>
          <w:szCs w:val="24"/>
        </w:rPr>
        <w:t>.</w:t>
      </w:r>
    </w:p>
    <w:p w:rsidR="00E2724D" w:rsidRPr="001B304D" w:rsidRDefault="00E2724D" w:rsidP="008100A8">
      <w:pPr>
        <w:spacing w:after="0" w:line="480" w:lineRule="auto"/>
        <w:ind w:left="720" w:hanging="720"/>
        <w:jc w:val="both"/>
        <w:rPr>
          <w:rFonts w:cs="Times New Roman"/>
          <w:sz w:val="24"/>
          <w:szCs w:val="24"/>
        </w:rPr>
      </w:pPr>
      <w:r w:rsidRPr="001B304D">
        <w:rPr>
          <w:rFonts w:cs="Times New Roman"/>
          <w:sz w:val="24"/>
          <w:szCs w:val="24"/>
        </w:rPr>
        <w:t>Cassirer, Ernst</w:t>
      </w:r>
      <w:r w:rsidR="00EB21AC" w:rsidRPr="001B304D">
        <w:rPr>
          <w:rFonts w:cs="Times New Roman"/>
          <w:sz w:val="24"/>
          <w:szCs w:val="24"/>
        </w:rPr>
        <w:t>.</w:t>
      </w:r>
      <w:r w:rsidRPr="001B304D">
        <w:rPr>
          <w:rFonts w:cs="Times New Roman"/>
          <w:sz w:val="24"/>
          <w:szCs w:val="24"/>
        </w:rPr>
        <w:t xml:space="preserve"> </w:t>
      </w:r>
      <w:r w:rsidRPr="001B304D">
        <w:rPr>
          <w:rFonts w:cs="Times New Roman"/>
          <w:i/>
          <w:sz w:val="24"/>
          <w:szCs w:val="24"/>
        </w:rPr>
        <w:t>The Philosophy of Symbolic Forms: Volume Four</w:t>
      </w:r>
      <w:r w:rsidR="00EB21AC" w:rsidRPr="001B304D">
        <w:rPr>
          <w:rFonts w:cs="Times New Roman"/>
          <w:sz w:val="24"/>
          <w:szCs w:val="24"/>
        </w:rPr>
        <w:t>.</w:t>
      </w:r>
      <w:r w:rsidRPr="001B304D">
        <w:rPr>
          <w:rFonts w:cs="Times New Roman"/>
          <w:sz w:val="24"/>
          <w:szCs w:val="24"/>
        </w:rPr>
        <w:t xml:space="preserve"> New Haven: Yale University Press</w:t>
      </w:r>
      <w:r w:rsidR="00EB21AC" w:rsidRPr="001B304D">
        <w:rPr>
          <w:rFonts w:cs="Times New Roman"/>
          <w:sz w:val="24"/>
          <w:szCs w:val="24"/>
        </w:rPr>
        <w:t>, 1996</w:t>
      </w:r>
      <w:r w:rsidRPr="001B304D">
        <w:rPr>
          <w:rFonts w:cs="Times New Roman"/>
          <w:sz w:val="24"/>
          <w:szCs w:val="24"/>
        </w:rPr>
        <w:t>.</w:t>
      </w:r>
    </w:p>
    <w:p w:rsidR="00EB21AC" w:rsidRPr="001B304D" w:rsidRDefault="00EB21AC" w:rsidP="008100A8">
      <w:pPr>
        <w:spacing w:after="0" w:line="480" w:lineRule="auto"/>
        <w:ind w:left="720" w:hanging="720"/>
        <w:jc w:val="both"/>
        <w:rPr>
          <w:rFonts w:cs="Times New Roman"/>
          <w:sz w:val="24"/>
          <w:szCs w:val="24"/>
        </w:rPr>
      </w:pPr>
      <w:proofErr w:type="gramStart"/>
      <w:r w:rsidRPr="001B304D">
        <w:rPr>
          <w:rFonts w:cs="Times New Roman"/>
          <w:sz w:val="24"/>
          <w:szCs w:val="24"/>
        </w:rPr>
        <w:t>Christians in Parliament.</w:t>
      </w:r>
      <w:proofErr w:type="gramEnd"/>
      <w:r w:rsidRPr="001B304D">
        <w:rPr>
          <w:rFonts w:cs="Times New Roman"/>
          <w:sz w:val="24"/>
          <w:szCs w:val="24"/>
        </w:rPr>
        <w:t xml:space="preserve"> </w:t>
      </w:r>
      <w:r w:rsidR="0035679F" w:rsidRPr="001B304D">
        <w:rPr>
          <w:rFonts w:cs="Times New Roman"/>
          <w:i/>
          <w:sz w:val="24"/>
          <w:szCs w:val="24"/>
        </w:rPr>
        <w:t>Clearing the ground inquiry: Preliminary report into the freedom of Christians in the UK</w:t>
      </w:r>
      <w:r w:rsidR="0035679F" w:rsidRPr="001B304D">
        <w:rPr>
          <w:rFonts w:cs="Times New Roman"/>
          <w:sz w:val="24"/>
          <w:szCs w:val="24"/>
        </w:rPr>
        <w:t xml:space="preserve">, </w:t>
      </w:r>
    </w:p>
    <w:p w:rsidR="0035679F" w:rsidRPr="001B304D" w:rsidRDefault="00282F5B" w:rsidP="008100A8">
      <w:pPr>
        <w:spacing w:after="0" w:line="480" w:lineRule="auto"/>
        <w:ind w:left="720"/>
        <w:jc w:val="both"/>
        <w:rPr>
          <w:rFonts w:cs="Times New Roman"/>
          <w:sz w:val="24"/>
          <w:szCs w:val="24"/>
        </w:rPr>
      </w:pPr>
      <w:hyperlink r:id="rId11" w:history="1">
        <w:r w:rsidR="0035679F" w:rsidRPr="001B304D">
          <w:rPr>
            <w:rStyle w:val="Hyperlink"/>
            <w:color w:val="auto"/>
            <w:sz w:val="24"/>
            <w:szCs w:val="24"/>
          </w:rPr>
          <w:t>http://www.eauk.org/current-affairs/publications/upload/Clearing-the-ground.pdf</w:t>
        </w:r>
      </w:hyperlink>
      <w:r w:rsidR="00EB21AC" w:rsidRPr="001B304D">
        <w:rPr>
          <w:rFonts w:cs="Times New Roman"/>
          <w:sz w:val="24"/>
          <w:szCs w:val="24"/>
        </w:rPr>
        <w:t xml:space="preserve"> (2012),</w:t>
      </w:r>
      <w:r w:rsidR="0035679F" w:rsidRPr="001B304D">
        <w:rPr>
          <w:rFonts w:cs="Times New Roman"/>
          <w:sz w:val="24"/>
          <w:szCs w:val="24"/>
        </w:rPr>
        <w:t xml:space="preserve"> date accessed 15 June 2013.</w:t>
      </w:r>
    </w:p>
    <w:p w:rsidR="00C55570" w:rsidRPr="001B304D" w:rsidRDefault="00C55570" w:rsidP="008100A8">
      <w:pPr>
        <w:spacing w:after="0" w:line="480" w:lineRule="auto"/>
        <w:ind w:left="720" w:hanging="720"/>
        <w:jc w:val="both"/>
        <w:rPr>
          <w:rFonts w:cs="Times New Roman"/>
          <w:sz w:val="24"/>
          <w:szCs w:val="24"/>
        </w:rPr>
      </w:pPr>
      <w:r w:rsidRPr="001B304D">
        <w:rPr>
          <w:sz w:val="24"/>
          <w:szCs w:val="24"/>
        </w:rPr>
        <w:t xml:space="preserve">Cottingham, John. </w:t>
      </w:r>
      <w:r w:rsidRPr="001B304D">
        <w:rPr>
          <w:i/>
          <w:sz w:val="24"/>
          <w:szCs w:val="24"/>
        </w:rPr>
        <w:t>The Spiritual Dimension: Religion, Philosophy and Human Value</w:t>
      </w:r>
      <w:r w:rsidRPr="001B304D">
        <w:rPr>
          <w:sz w:val="24"/>
          <w:szCs w:val="24"/>
        </w:rPr>
        <w:t>. Cambridge: Cambridge University Press, 2005.</w:t>
      </w:r>
    </w:p>
    <w:p w:rsidR="0035679F" w:rsidRPr="001B304D" w:rsidRDefault="0035679F" w:rsidP="008100A8">
      <w:pPr>
        <w:spacing w:after="0" w:line="480" w:lineRule="auto"/>
        <w:ind w:left="720" w:hanging="720"/>
        <w:jc w:val="both"/>
        <w:rPr>
          <w:rFonts w:cs="Times New Roman"/>
          <w:sz w:val="24"/>
          <w:szCs w:val="24"/>
        </w:rPr>
      </w:pPr>
      <w:proofErr w:type="spellStart"/>
      <w:r w:rsidRPr="001B304D">
        <w:rPr>
          <w:rFonts w:cs="Times New Roman"/>
          <w:sz w:val="24"/>
          <w:szCs w:val="24"/>
        </w:rPr>
        <w:lastRenderedPageBreak/>
        <w:t>Davids</w:t>
      </w:r>
      <w:proofErr w:type="spellEnd"/>
      <w:r w:rsidRPr="001B304D">
        <w:rPr>
          <w:rFonts w:cs="Times New Roman"/>
          <w:sz w:val="24"/>
          <w:szCs w:val="24"/>
        </w:rPr>
        <w:t xml:space="preserve">, </w:t>
      </w:r>
      <w:proofErr w:type="spellStart"/>
      <w:r w:rsidRPr="001B304D">
        <w:rPr>
          <w:rFonts w:cs="Times New Roman"/>
          <w:sz w:val="24"/>
          <w:szCs w:val="24"/>
        </w:rPr>
        <w:t>Nuraan</w:t>
      </w:r>
      <w:proofErr w:type="spellEnd"/>
      <w:r w:rsidRPr="001B304D">
        <w:rPr>
          <w:rFonts w:cs="Times New Roman"/>
          <w:sz w:val="24"/>
          <w:szCs w:val="24"/>
        </w:rPr>
        <w:t xml:space="preserve">. </w:t>
      </w:r>
      <w:r w:rsidR="00EB21AC" w:rsidRPr="001B304D">
        <w:rPr>
          <w:rFonts w:cs="Times New Roman"/>
          <w:sz w:val="24"/>
          <w:szCs w:val="24"/>
        </w:rPr>
        <w:t>‘</w:t>
      </w:r>
      <w:r w:rsidRPr="001B304D">
        <w:rPr>
          <w:rFonts w:cs="Times New Roman"/>
          <w:sz w:val="24"/>
          <w:szCs w:val="24"/>
        </w:rPr>
        <w:t>Muslim Women and the Politics of Religious Identity in a (Post</w:t>
      </w:r>
      <w:proofErr w:type="gramStart"/>
      <w:r w:rsidRPr="001B304D">
        <w:rPr>
          <w:rFonts w:cs="Times New Roman"/>
          <w:sz w:val="24"/>
          <w:szCs w:val="24"/>
        </w:rPr>
        <w:t>)Secular</w:t>
      </w:r>
      <w:proofErr w:type="gramEnd"/>
      <w:r w:rsidRPr="001B304D">
        <w:rPr>
          <w:rFonts w:cs="Times New Roman"/>
          <w:sz w:val="24"/>
          <w:szCs w:val="24"/>
        </w:rPr>
        <w:t xml:space="preserve"> Society.</w:t>
      </w:r>
      <w:r w:rsidR="00EB21AC" w:rsidRPr="001B304D">
        <w:rPr>
          <w:rFonts w:cs="Times New Roman"/>
          <w:sz w:val="24"/>
          <w:szCs w:val="24"/>
        </w:rPr>
        <w:t>’</w:t>
      </w:r>
      <w:r w:rsidRPr="001B304D">
        <w:rPr>
          <w:rFonts w:cs="Times New Roman"/>
          <w:sz w:val="24"/>
          <w:szCs w:val="24"/>
        </w:rPr>
        <w:t xml:space="preserve"> </w:t>
      </w:r>
      <w:r w:rsidRPr="001B304D">
        <w:rPr>
          <w:rFonts w:cs="Times New Roman"/>
          <w:i/>
          <w:sz w:val="24"/>
          <w:szCs w:val="24"/>
        </w:rPr>
        <w:t>Studies in Philosophy and Education</w:t>
      </w:r>
      <w:r w:rsidRPr="001B304D">
        <w:rPr>
          <w:rFonts w:cs="Times New Roman"/>
          <w:sz w:val="24"/>
          <w:szCs w:val="24"/>
        </w:rPr>
        <w:t xml:space="preserve"> 33</w:t>
      </w:r>
      <w:r w:rsidR="00EB21AC" w:rsidRPr="001B304D">
        <w:rPr>
          <w:rFonts w:cs="Times New Roman"/>
          <w:sz w:val="24"/>
          <w:szCs w:val="24"/>
        </w:rPr>
        <w:t>.3 (2014): 303-</w:t>
      </w:r>
      <w:r w:rsidRPr="001B304D">
        <w:rPr>
          <w:rFonts w:cs="Times New Roman"/>
          <w:sz w:val="24"/>
          <w:szCs w:val="24"/>
        </w:rPr>
        <w:t>13</w:t>
      </w:r>
      <w:r w:rsidR="00EB21AC" w:rsidRPr="001B304D">
        <w:rPr>
          <w:rFonts w:cs="Times New Roman"/>
          <w:sz w:val="24"/>
          <w:szCs w:val="24"/>
        </w:rPr>
        <w:t>.</w:t>
      </w:r>
    </w:p>
    <w:p w:rsidR="0035679F" w:rsidRPr="001B304D" w:rsidRDefault="0035679F" w:rsidP="008100A8">
      <w:pPr>
        <w:pStyle w:val="western"/>
        <w:spacing w:before="0" w:beforeAutospacing="0" w:after="0" w:line="480" w:lineRule="auto"/>
        <w:ind w:left="720" w:hanging="720"/>
        <w:jc w:val="both"/>
      </w:pPr>
      <w:r w:rsidRPr="001B304D">
        <w:t xml:space="preserve">De Man, Paul. </w:t>
      </w:r>
      <w:r w:rsidRPr="001B304D">
        <w:rPr>
          <w:i/>
          <w:iCs/>
        </w:rPr>
        <w:t>Blindness and Insight: Essays in the Rhetoric of Contemporary Criticism</w:t>
      </w:r>
      <w:r w:rsidRPr="001B304D">
        <w:t xml:space="preserve">. </w:t>
      </w:r>
      <w:proofErr w:type="gramStart"/>
      <w:r w:rsidRPr="001B304D">
        <w:t>Second edition.</w:t>
      </w:r>
      <w:proofErr w:type="gramEnd"/>
      <w:r w:rsidRPr="001B304D">
        <w:t xml:space="preserve"> London: </w:t>
      </w:r>
      <w:proofErr w:type="spellStart"/>
      <w:r w:rsidRPr="001B304D">
        <w:t>Metheun</w:t>
      </w:r>
      <w:proofErr w:type="spellEnd"/>
      <w:r w:rsidR="00EB21AC" w:rsidRPr="001B304D">
        <w:t>, 1983</w:t>
      </w:r>
      <w:r w:rsidRPr="001B304D">
        <w:t>.</w:t>
      </w:r>
    </w:p>
    <w:p w:rsidR="0035679F" w:rsidRPr="001B304D" w:rsidRDefault="00EB21AC" w:rsidP="008100A8">
      <w:pPr>
        <w:pStyle w:val="western"/>
        <w:spacing w:before="0" w:beforeAutospacing="0" w:after="0" w:line="480" w:lineRule="auto"/>
        <w:ind w:left="720" w:hanging="720"/>
        <w:jc w:val="both"/>
      </w:pPr>
      <w:r w:rsidRPr="001B304D">
        <w:t>De Man, Paul.</w:t>
      </w:r>
      <w:r w:rsidR="0035679F" w:rsidRPr="001B304D">
        <w:t xml:space="preserve"> </w:t>
      </w:r>
      <w:proofErr w:type="gramStart"/>
      <w:r w:rsidR="0035679F" w:rsidRPr="001B304D">
        <w:rPr>
          <w:i/>
          <w:iCs/>
        </w:rPr>
        <w:t>The Rhetoric of Romanticism</w:t>
      </w:r>
      <w:r w:rsidR="0035679F" w:rsidRPr="001B304D">
        <w:t>.</w:t>
      </w:r>
      <w:proofErr w:type="gramEnd"/>
      <w:r w:rsidR="0035679F" w:rsidRPr="001B304D">
        <w:t xml:space="preserve"> New York: Columbia University Press</w:t>
      </w:r>
      <w:r w:rsidRPr="001B304D">
        <w:t>, 1984</w:t>
      </w:r>
      <w:r w:rsidR="0035679F" w:rsidRPr="001B304D">
        <w:t>.</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 xml:space="preserve">Dworkin, Ronald. </w:t>
      </w:r>
      <w:r w:rsidRPr="001B304D">
        <w:rPr>
          <w:rFonts w:cs="Times New Roman"/>
          <w:i/>
          <w:sz w:val="24"/>
          <w:szCs w:val="24"/>
        </w:rPr>
        <w:t xml:space="preserve">Is Democracy Possible Here? </w:t>
      </w:r>
      <w:proofErr w:type="gramStart"/>
      <w:r w:rsidRPr="001B304D">
        <w:rPr>
          <w:rFonts w:cs="Times New Roman"/>
          <w:i/>
          <w:sz w:val="24"/>
          <w:szCs w:val="24"/>
        </w:rPr>
        <w:t>Principles for a New Public Debate</w:t>
      </w:r>
      <w:r w:rsidRPr="001B304D">
        <w:rPr>
          <w:rFonts w:cs="Times New Roman"/>
          <w:sz w:val="24"/>
          <w:szCs w:val="24"/>
        </w:rPr>
        <w:t>.</w:t>
      </w:r>
      <w:proofErr w:type="gramEnd"/>
      <w:r w:rsidRPr="001B304D">
        <w:rPr>
          <w:rFonts w:cs="Times New Roman"/>
          <w:sz w:val="24"/>
          <w:szCs w:val="24"/>
        </w:rPr>
        <w:t xml:space="preserve"> Princeton: Princeton University Press, 2006.</w:t>
      </w:r>
    </w:p>
    <w:p w:rsidR="00E2724D" w:rsidRPr="001B304D" w:rsidRDefault="00E2724D" w:rsidP="008100A8">
      <w:pPr>
        <w:spacing w:after="0" w:line="480" w:lineRule="auto"/>
        <w:jc w:val="both"/>
        <w:rPr>
          <w:rFonts w:cs="Times New Roman"/>
          <w:sz w:val="24"/>
          <w:szCs w:val="24"/>
        </w:rPr>
      </w:pPr>
      <w:r w:rsidRPr="001B304D">
        <w:rPr>
          <w:rFonts w:cs="Times New Roman"/>
          <w:sz w:val="24"/>
          <w:szCs w:val="24"/>
        </w:rPr>
        <w:t>Eco, Umberto</w:t>
      </w:r>
      <w:r w:rsidR="00EB21AC" w:rsidRPr="001B304D">
        <w:rPr>
          <w:rFonts w:cs="Times New Roman"/>
          <w:sz w:val="24"/>
          <w:szCs w:val="24"/>
        </w:rPr>
        <w:t>.</w:t>
      </w:r>
      <w:r w:rsidRPr="001B304D">
        <w:rPr>
          <w:rFonts w:cs="Times New Roman"/>
          <w:sz w:val="24"/>
          <w:szCs w:val="24"/>
        </w:rPr>
        <w:t xml:space="preserve"> </w:t>
      </w:r>
      <w:proofErr w:type="gramStart"/>
      <w:r w:rsidRPr="001B304D">
        <w:rPr>
          <w:rFonts w:cs="Times New Roman"/>
          <w:i/>
          <w:sz w:val="24"/>
          <w:szCs w:val="24"/>
        </w:rPr>
        <w:t>Semiotics and the Philosophy of Language</w:t>
      </w:r>
      <w:r w:rsidR="00EB21AC" w:rsidRPr="001B304D">
        <w:rPr>
          <w:rFonts w:cs="Times New Roman"/>
          <w:sz w:val="24"/>
          <w:szCs w:val="24"/>
        </w:rPr>
        <w:t>.</w:t>
      </w:r>
      <w:proofErr w:type="gramEnd"/>
      <w:r w:rsidRPr="001B304D">
        <w:rPr>
          <w:rFonts w:cs="Times New Roman"/>
          <w:sz w:val="24"/>
          <w:szCs w:val="24"/>
        </w:rPr>
        <w:t xml:space="preserve"> London: Macmillan</w:t>
      </w:r>
      <w:r w:rsidR="00EB21AC" w:rsidRPr="001B304D">
        <w:rPr>
          <w:rFonts w:cs="Times New Roman"/>
          <w:sz w:val="24"/>
          <w:szCs w:val="24"/>
        </w:rPr>
        <w:t>, 1984</w:t>
      </w:r>
      <w:r w:rsidRPr="001B304D">
        <w:rPr>
          <w:rFonts w:cs="Times New Roman"/>
          <w:sz w:val="24"/>
          <w:szCs w:val="24"/>
        </w:rPr>
        <w:t>.</w:t>
      </w:r>
    </w:p>
    <w:p w:rsidR="0035679F" w:rsidRPr="001B304D" w:rsidRDefault="0035679F" w:rsidP="008100A8">
      <w:pPr>
        <w:spacing w:after="0" w:line="480" w:lineRule="auto"/>
        <w:ind w:left="720" w:hanging="720"/>
        <w:jc w:val="both"/>
        <w:rPr>
          <w:rFonts w:cs="Times New Roman"/>
          <w:sz w:val="24"/>
          <w:szCs w:val="24"/>
        </w:rPr>
      </w:pPr>
      <w:proofErr w:type="spellStart"/>
      <w:r w:rsidRPr="001B304D">
        <w:rPr>
          <w:rFonts w:cs="Times New Roman"/>
          <w:sz w:val="24"/>
          <w:szCs w:val="24"/>
        </w:rPr>
        <w:t>Esterhammer</w:t>
      </w:r>
      <w:proofErr w:type="spellEnd"/>
      <w:r w:rsidRPr="001B304D">
        <w:rPr>
          <w:rFonts w:cs="Times New Roman"/>
          <w:sz w:val="24"/>
          <w:szCs w:val="24"/>
        </w:rPr>
        <w:t xml:space="preserve">, Angela. </w:t>
      </w:r>
      <w:r w:rsidRPr="001B304D">
        <w:rPr>
          <w:rFonts w:cs="Times New Roman"/>
          <w:i/>
          <w:iCs/>
          <w:sz w:val="24"/>
          <w:szCs w:val="24"/>
        </w:rPr>
        <w:t>The Romantic Performative: Language and Action in British and German Romanticism</w:t>
      </w:r>
      <w:r w:rsidRPr="001B304D">
        <w:rPr>
          <w:rFonts w:cs="Times New Roman"/>
          <w:sz w:val="24"/>
          <w:szCs w:val="24"/>
        </w:rPr>
        <w:t>. Stanford: Stanford University Press</w:t>
      </w:r>
      <w:r w:rsidR="00EB21AC" w:rsidRPr="001B304D">
        <w:rPr>
          <w:rFonts w:cs="Times New Roman"/>
          <w:sz w:val="24"/>
          <w:szCs w:val="24"/>
        </w:rPr>
        <w:t>, 2000</w:t>
      </w:r>
      <w:r w:rsidRPr="001B304D">
        <w:rPr>
          <w:rFonts w:cs="Times New Roman"/>
          <w:sz w:val="24"/>
          <w:szCs w:val="24"/>
        </w:rPr>
        <w:t>.</w:t>
      </w:r>
    </w:p>
    <w:p w:rsidR="0035679F" w:rsidRPr="001B304D" w:rsidRDefault="0035679F" w:rsidP="008100A8">
      <w:pPr>
        <w:pStyle w:val="western"/>
        <w:spacing w:before="0" w:beforeAutospacing="0" w:after="0" w:line="480" w:lineRule="auto"/>
        <w:ind w:left="720" w:hanging="720"/>
        <w:jc w:val="both"/>
        <w:rPr>
          <w:lang w:val="de-DE"/>
        </w:rPr>
      </w:pPr>
      <w:proofErr w:type="spellStart"/>
      <w:proofErr w:type="gramStart"/>
      <w:r w:rsidRPr="001B304D">
        <w:t>Gadamer</w:t>
      </w:r>
      <w:proofErr w:type="spellEnd"/>
      <w:r w:rsidRPr="001B304D">
        <w:t>, Hans-Georg.</w:t>
      </w:r>
      <w:proofErr w:type="gramEnd"/>
      <w:r w:rsidRPr="001B304D">
        <w:t xml:space="preserve"> </w:t>
      </w:r>
      <w:proofErr w:type="gramStart"/>
      <w:r w:rsidRPr="001B304D">
        <w:rPr>
          <w:i/>
          <w:iCs/>
        </w:rPr>
        <w:t>Truth and Method</w:t>
      </w:r>
      <w:r w:rsidRPr="001B304D">
        <w:t>.</w:t>
      </w:r>
      <w:proofErr w:type="gramEnd"/>
      <w:r w:rsidRPr="001B304D">
        <w:t xml:space="preserve"> </w:t>
      </w:r>
      <w:proofErr w:type="gramStart"/>
      <w:r w:rsidRPr="001B304D">
        <w:t>Second edition.</w:t>
      </w:r>
      <w:proofErr w:type="gramEnd"/>
      <w:r w:rsidRPr="001B304D">
        <w:t xml:space="preserve"> </w:t>
      </w:r>
      <w:proofErr w:type="gramStart"/>
      <w:r w:rsidRPr="001B304D">
        <w:t xml:space="preserve">Translated by Joel </w:t>
      </w:r>
      <w:proofErr w:type="spellStart"/>
      <w:r w:rsidRPr="001B304D">
        <w:t>Weinsheimer</w:t>
      </w:r>
      <w:proofErr w:type="spellEnd"/>
      <w:r w:rsidRPr="001B304D">
        <w:t xml:space="preserve"> and Donald G. Marshall.</w:t>
      </w:r>
      <w:proofErr w:type="gramEnd"/>
      <w:r w:rsidRPr="001B304D">
        <w:t xml:space="preserve"> </w:t>
      </w:r>
      <w:r w:rsidRPr="001B304D">
        <w:rPr>
          <w:lang w:val="de-DE"/>
        </w:rPr>
        <w:t>London: Continuum</w:t>
      </w:r>
      <w:r w:rsidR="00EB21AC" w:rsidRPr="001B304D">
        <w:rPr>
          <w:lang w:val="de-DE"/>
        </w:rPr>
        <w:t>, 2004</w:t>
      </w:r>
      <w:r w:rsidRPr="001B304D">
        <w:rPr>
          <w:lang w:val="de-DE"/>
        </w:rPr>
        <w:t>.</w:t>
      </w:r>
    </w:p>
    <w:p w:rsidR="0035679F" w:rsidRPr="001B304D" w:rsidRDefault="0035679F" w:rsidP="008100A8">
      <w:pPr>
        <w:pStyle w:val="western"/>
        <w:spacing w:before="0" w:beforeAutospacing="0" w:after="0" w:line="480" w:lineRule="auto"/>
        <w:ind w:left="720" w:hanging="720"/>
        <w:jc w:val="both"/>
        <w:rPr>
          <w:lang w:val="fr-FR"/>
        </w:rPr>
      </w:pPr>
      <w:r w:rsidRPr="001B304D">
        <w:rPr>
          <w:lang w:val="de-DE"/>
        </w:rPr>
        <w:t xml:space="preserve">Galland-Szymkowiak, Mildred. ‘Symbol und Zeitlichkeit bei Schelling, Solger und Hegel.’ </w:t>
      </w:r>
      <w:proofErr w:type="spellStart"/>
      <w:r w:rsidRPr="001B304D">
        <w:rPr>
          <w:i/>
          <w:iCs/>
          <w:lang w:val="fr-FR"/>
        </w:rPr>
        <w:t>Philosophisches</w:t>
      </w:r>
      <w:proofErr w:type="spellEnd"/>
      <w:r w:rsidRPr="001B304D">
        <w:rPr>
          <w:i/>
          <w:iCs/>
          <w:lang w:val="fr-FR"/>
        </w:rPr>
        <w:t xml:space="preserve"> </w:t>
      </w:r>
      <w:proofErr w:type="spellStart"/>
      <w:r w:rsidRPr="001B304D">
        <w:rPr>
          <w:i/>
          <w:iCs/>
          <w:lang w:val="fr-FR"/>
        </w:rPr>
        <w:t>Jahrbuch</w:t>
      </w:r>
      <w:proofErr w:type="spellEnd"/>
      <w:r w:rsidRPr="001B304D">
        <w:rPr>
          <w:lang w:val="fr-FR"/>
        </w:rPr>
        <w:t xml:space="preserve"> 114.2</w:t>
      </w:r>
      <w:r w:rsidR="00EB21AC" w:rsidRPr="001B304D">
        <w:rPr>
          <w:lang w:val="fr-FR"/>
        </w:rPr>
        <w:t xml:space="preserve"> (2007)</w:t>
      </w:r>
      <w:r w:rsidRPr="001B304D">
        <w:rPr>
          <w:lang w:val="fr-FR"/>
        </w:rPr>
        <w:t>: 324-45.</w:t>
      </w:r>
    </w:p>
    <w:p w:rsidR="0035679F" w:rsidRPr="001B304D" w:rsidRDefault="0035679F" w:rsidP="008100A8">
      <w:pPr>
        <w:pStyle w:val="western"/>
        <w:spacing w:before="0" w:beforeAutospacing="0" w:after="0" w:line="480" w:lineRule="auto"/>
        <w:ind w:left="720" w:hanging="720"/>
        <w:jc w:val="both"/>
        <w:rPr>
          <w:lang w:val="fr-FR"/>
        </w:rPr>
      </w:pPr>
      <w:r w:rsidRPr="001B304D">
        <w:rPr>
          <w:lang w:val="fr-FR"/>
        </w:rPr>
        <w:t xml:space="preserve">Genette, Gérard. </w:t>
      </w:r>
      <w:proofErr w:type="spellStart"/>
      <w:r w:rsidRPr="001B304D">
        <w:rPr>
          <w:i/>
          <w:iCs/>
          <w:lang w:val="fr-FR"/>
        </w:rPr>
        <w:t>Mimologiques</w:t>
      </w:r>
      <w:proofErr w:type="spellEnd"/>
      <w:r w:rsidRPr="001B304D">
        <w:rPr>
          <w:i/>
          <w:iCs/>
          <w:lang w:val="fr-FR"/>
        </w:rPr>
        <w:t xml:space="preserve">: Voyage en </w:t>
      </w:r>
      <w:proofErr w:type="spellStart"/>
      <w:r w:rsidRPr="001B304D">
        <w:rPr>
          <w:i/>
          <w:iCs/>
          <w:lang w:val="fr-FR"/>
        </w:rPr>
        <w:t>Cratylie</w:t>
      </w:r>
      <w:proofErr w:type="spellEnd"/>
      <w:r w:rsidRPr="001B304D">
        <w:rPr>
          <w:lang w:val="fr-FR"/>
        </w:rPr>
        <w:t>. Paris: Seuil</w:t>
      </w:r>
      <w:r w:rsidR="00EB21AC" w:rsidRPr="001B304D">
        <w:rPr>
          <w:lang w:val="fr-FR"/>
        </w:rPr>
        <w:t>, 1976</w:t>
      </w:r>
      <w:r w:rsidRPr="001B304D">
        <w:rPr>
          <w:lang w:val="fr-FR"/>
        </w:rPr>
        <w:t>.</w:t>
      </w:r>
    </w:p>
    <w:p w:rsidR="0035679F" w:rsidRPr="001B304D" w:rsidRDefault="0035679F" w:rsidP="008100A8">
      <w:pPr>
        <w:pStyle w:val="western"/>
        <w:spacing w:before="0" w:beforeAutospacing="0" w:after="0" w:line="480" w:lineRule="auto"/>
        <w:ind w:left="720" w:hanging="720"/>
        <w:jc w:val="both"/>
      </w:pPr>
      <w:proofErr w:type="gramStart"/>
      <w:r w:rsidRPr="001B304D">
        <w:t>Goethe, Johann Wolfgan</w:t>
      </w:r>
      <w:r w:rsidR="00EB21AC" w:rsidRPr="001B304D">
        <w:t>g and Friedrich Schiller.</w:t>
      </w:r>
      <w:proofErr w:type="gramEnd"/>
      <w:r w:rsidR="00EB21AC" w:rsidRPr="001B304D">
        <w:t xml:space="preserve"> </w:t>
      </w:r>
      <w:r w:rsidRPr="001B304D">
        <w:rPr>
          <w:i/>
          <w:iCs/>
        </w:rPr>
        <w:t xml:space="preserve">Correspondence </w:t>
      </w:r>
      <w:proofErr w:type="gramStart"/>
      <w:r w:rsidRPr="001B304D">
        <w:rPr>
          <w:i/>
          <w:iCs/>
        </w:rPr>
        <w:t>Between</w:t>
      </w:r>
      <w:proofErr w:type="gramEnd"/>
      <w:r w:rsidRPr="001B304D">
        <w:rPr>
          <w:i/>
          <w:iCs/>
        </w:rPr>
        <w:t xml:space="preserve"> Schiller and Goethe</w:t>
      </w:r>
      <w:r w:rsidRPr="001B304D">
        <w:t>.</w:t>
      </w:r>
      <w:r w:rsidRPr="001B304D">
        <w:rPr>
          <w:i/>
          <w:iCs/>
        </w:rPr>
        <w:t xml:space="preserve"> </w:t>
      </w:r>
      <w:proofErr w:type="gramStart"/>
      <w:r w:rsidRPr="001B304D">
        <w:t>2 volumes.</w:t>
      </w:r>
      <w:proofErr w:type="gramEnd"/>
      <w:r w:rsidRPr="001B304D">
        <w:t xml:space="preserve"> </w:t>
      </w:r>
      <w:proofErr w:type="gramStart"/>
      <w:r w:rsidRPr="001B304D">
        <w:t>Translated by L. Dora Schmitz.</w:t>
      </w:r>
      <w:proofErr w:type="gramEnd"/>
      <w:r w:rsidRPr="001B304D">
        <w:t xml:space="preserve"> London: Bell</w:t>
      </w:r>
      <w:r w:rsidR="00EB21AC" w:rsidRPr="001B304D">
        <w:t>, 1914</w:t>
      </w:r>
      <w:r w:rsidRPr="001B304D">
        <w:t>.</w:t>
      </w:r>
    </w:p>
    <w:p w:rsidR="0035679F" w:rsidRPr="001B304D" w:rsidRDefault="0035679F" w:rsidP="008100A8">
      <w:pPr>
        <w:pStyle w:val="western"/>
        <w:spacing w:before="0" w:beforeAutospacing="0" w:after="0" w:line="480" w:lineRule="auto"/>
        <w:ind w:left="720" w:hanging="720"/>
        <w:jc w:val="both"/>
      </w:pPr>
      <w:proofErr w:type="spellStart"/>
      <w:r w:rsidRPr="001B304D">
        <w:t>Halmi</w:t>
      </w:r>
      <w:proofErr w:type="spellEnd"/>
      <w:r w:rsidRPr="001B304D">
        <w:t xml:space="preserve">, Nicholas. </w:t>
      </w:r>
      <w:proofErr w:type="gramStart"/>
      <w:r w:rsidRPr="001B304D">
        <w:rPr>
          <w:i/>
          <w:iCs/>
        </w:rPr>
        <w:t>The Genealogy of the Romantic Symbol</w:t>
      </w:r>
      <w:r w:rsidRPr="001B304D">
        <w:t>.</w:t>
      </w:r>
      <w:proofErr w:type="gramEnd"/>
      <w:r w:rsidRPr="001B304D">
        <w:t xml:space="preserve"> Oxford: Oxford University Press</w:t>
      </w:r>
      <w:r w:rsidR="00EB21AC" w:rsidRPr="001B304D">
        <w:t>, 2007</w:t>
      </w:r>
      <w:r w:rsidRPr="001B304D">
        <w:t>.</w:t>
      </w:r>
    </w:p>
    <w:p w:rsidR="0035679F" w:rsidRPr="001B304D" w:rsidRDefault="00EB21AC" w:rsidP="008100A8">
      <w:pPr>
        <w:pStyle w:val="western"/>
        <w:spacing w:before="0" w:beforeAutospacing="0" w:after="0" w:line="480" w:lineRule="auto"/>
        <w:ind w:left="720" w:hanging="720"/>
        <w:jc w:val="both"/>
      </w:pPr>
      <w:r w:rsidRPr="001B304D">
        <w:t xml:space="preserve">Hayes, Charles. </w:t>
      </w:r>
      <w:r w:rsidR="0035679F" w:rsidRPr="001B304D">
        <w:t xml:space="preserve">‘Symbol and Allegory: A Problem in Literary Theory.’ </w:t>
      </w:r>
      <w:r w:rsidR="0035679F" w:rsidRPr="001B304D">
        <w:rPr>
          <w:i/>
          <w:iCs/>
        </w:rPr>
        <w:t>Germanic Review</w:t>
      </w:r>
      <w:r w:rsidR="0035679F" w:rsidRPr="001B304D">
        <w:t xml:space="preserve"> 44.4</w:t>
      </w:r>
      <w:r w:rsidRPr="001B304D">
        <w:t xml:space="preserve"> (1969)</w:t>
      </w:r>
      <w:r w:rsidR="0035679F" w:rsidRPr="001B304D">
        <w:t>: 273-88.</w:t>
      </w:r>
    </w:p>
    <w:p w:rsidR="0035679F" w:rsidRPr="001B304D" w:rsidRDefault="0035679F" w:rsidP="008100A8">
      <w:pPr>
        <w:pStyle w:val="western"/>
        <w:spacing w:before="0" w:beforeAutospacing="0" w:after="0" w:line="480" w:lineRule="auto"/>
        <w:ind w:left="720" w:hanging="720"/>
        <w:jc w:val="both"/>
      </w:pPr>
      <w:r w:rsidRPr="001B304D">
        <w:t>Hill</w:t>
      </w:r>
      <w:r w:rsidR="00CB44EF" w:rsidRPr="001B304D">
        <w:t xml:space="preserve">, Daniel J. and Daniel Whistler, </w:t>
      </w:r>
      <w:proofErr w:type="gramStart"/>
      <w:r w:rsidR="00CB44EF" w:rsidRPr="001B304D">
        <w:rPr>
          <w:i/>
        </w:rPr>
        <w:t>The</w:t>
      </w:r>
      <w:proofErr w:type="gramEnd"/>
      <w:r w:rsidR="00CB44EF" w:rsidRPr="001B304D">
        <w:rPr>
          <w:i/>
        </w:rPr>
        <w:t xml:space="preserve"> Right to Wear Religious Symbols</w:t>
      </w:r>
      <w:r w:rsidR="00CB44EF" w:rsidRPr="001B304D">
        <w:t>. Basingstoke: Palgrave-Macmillan</w:t>
      </w:r>
      <w:r w:rsidR="00EB21AC" w:rsidRPr="001B304D">
        <w:t>, 2013</w:t>
      </w:r>
      <w:r w:rsidR="00CB44EF" w:rsidRPr="001B304D">
        <w:t>.</w:t>
      </w:r>
    </w:p>
    <w:p w:rsidR="00CB44EF" w:rsidRPr="001B304D" w:rsidRDefault="00CB44EF" w:rsidP="008100A8">
      <w:pPr>
        <w:pStyle w:val="western"/>
        <w:spacing w:before="0" w:beforeAutospacing="0" w:after="0" w:line="480" w:lineRule="auto"/>
        <w:ind w:left="720" w:hanging="720"/>
        <w:jc w:val="both"/>
      </w:pPr>
      <w:r w:rsidRPr="001B304D">
        <w:t xml:space="preserve">Hill, Daniel J. and Daniel Whistler, ‘Religious Symbols and the European Convention on Human Rights.’ </w:t>
      </w:r>
      <w:r w:rsidRPr="001B304D">
        <w:rPr>
          <w:i/>
        </w:rPr>
        <w:t xml:space="preserve">Law and Justice </w:t>
      </w:r>
      <w:r w:rsidRPr="001B304D">
        <w:t>171</w:t>
      </w:r>
      <w:r w:rsidR="00EB21AC" w:rsidRPr="001B304D">
        <w:t xml:space="preserve"> (2013)</w:t>
      </w:r>
      <w:r w:rsidRPr="001B304D">
        <w:t>: 52-69.</w:t>
      </w:r>
    </w:p>
    <w:p w:rsidR="00CB44EF" w:rsidRPr="001B304D" w:rsidRDefault="00CB44EF" w:rsidP="008100A8">
      <w:pPr>
        <w:pStyle w:val="western"/>
        <w:spacing w:before="0" w:beforeAutospacing="0" w:after="0" w:line="480" w:lineRule="auto"/>
        <w:ind w:left="720" w:hanging="720"/>
        <w:jc w:val="both"/>
      </w:pPr>
      <w:r w:rsidRPr="001B304D">
        <w:lastRenderedPageBreak/>
        <w:t>Hill, Dani</w:t>
      </w:r>
      <w:r w:rsidR="00EB21AC" w:rsidRPr="001B304D">
        <w:t>el J. and Daniel Whistler</w:t>
      </w:r>
      <w:r w:rsidRPr="001B304D">
        <w:t>, ‘Philosophy of Law and Religion’, in</w:t>
      </w:r>
      <w:r w:rsidR="001052E3" w:rsidRPr="001B304D">
        <w:t xml:space="preserve"> Noman Doe </w:t>
      </w:r>
      <w:r w:rsidR="001052E3" w:rsidRPr="001B304D">
        <w:rPr>
          <w:i/>
        </w:rPr>
        <w:t>et al</w:t>
      </w:r>
      <w:r w:rsidR="001052E3" w:rsidRPr="001B304D">
        <w:t xml:space="preserve"> (</w:t>
      </w:r>
      <w:proofErr w:type="spellStart"/>
      <w:r w:rsidR="001052E3" w:rsidRPr="001B304D">
        <w:t>eds</w:t>
      </w:r>
      <w:proofErr w:type="spellEnd"/>
      <w:r w:rsidR="001052E3" w:rsidRPr="001B304D">
        <w:t>),</w:t>
      </w:r>
      <w:r w:rsidRPr="001B304D">
        <w:t xml:space="preserve"> </w:t>
      </w:r>
      <w:r w:rsidRPr="001B304D">
        <w:rPr>
          <w:i/>
        </w:rPr>
        <w:t>The Research Handbook on Interdisciplinary Approaches to Philosophy and Law</w:t>
      </w:r>
      <w:r w:rsidRPr="001B304D">
        <w:t xml:space="preserve">. London: Elgar Press, forthcoming </w:t>
      </w:r>
      <w:r w:rsidR="00EB21AC" w:rsidRPr="001B304D">
        <w:t>(</w:t>
      </w:r>
      <w:r w:rsidRPr="001B304D">
        <w:t>2017</w:t>
      </w:r>
      <w:r w:rsidR="00EB21AC" w:rsidRPr="001B304D">
        <w:t>)</w:t>
      </w:r>
      <w:r w:rsidRPr="001B304D">
        <w:t>.</w:t>
      </w:r>
    </w:p>
    <w:p w:rsidR="00EB21AC" w:rsidRPr="001B304D" w:rsidRDefault="0035679F" w:rsidP="008100A8">
      <w:pPr>
        <w:spacing w:after="0" w:line="480" w:lineRule="auto"/>
        <w:ind w:left="720" w:hanging="720"/>
        <w:jc w:val="both"/>
        <w:rPr>
          <w:rFonts w:cs="Times New Roman"/>
          <w:sz w:val="24"/>
          <w:szCs w:val="24"/>
        </w:rPr>
      </w:pPr>
      <w:proofErr w:type="spellStart"/>
      <w:r w:rsidRPr="001B304D">
        <w:rPr>
          <w:rFonts w:eastAsia="Times New Roman" w:cs="Times New Roman"/>
          <w:sz w:val="24"/>
          <w:szCs w:val="24"/>
          <w:lang w:eastAsia="en-GB"/>
        </w:rPr>
        <w:t>Hoel</w:t>
      </w:r>
      <w:proofErr w:type="spellEnd"/>
      <w:r w:rsidRPr="001B304D">
        <w:rPr>
          <w:rFonts w:eastAsia="Times New Roman" w:cs="Times New Roman"/>
          <w:sz w:val="24"/>
          <w:szCs w:val="24"/>
          <w:lang w:eastAsia="en-GB"/>
        </w:rPr>
        <w:t xml:space="preserve">, </w:t>
      </w:r>
      <w:proofErr w:type="spellStart"/>
      <w:r w:rsidRPr="001B304D">
        <w:rPr>
          <w:rFonts w:eastAsia="Times New Roman" w:cs="Times New Roman"/>
          <w:sz w:val="24"/>
          <w:szCs w:val="24"/>
          <w:lang w:eastAsia="en-GB"/>
        </w:rPr>
        <w:t>Aud</w:t>
      </w:r>
      <w:proofErr w:type="spellEnd"/>
      <w:r w:rsidRPr="001B304D">
        <w:rPr>
          <w:rFonts w:eastAsia="Times New Roman" w:cs="Times New Roman"/>
          <w:sz w:val="24"/>
          <w:szCs w:val="24"/>
          <w:lang w:eastAsia="en-GB"/>
        </w:rPr>
        <w:t xml:space="preserve"> </w:t>
      </w:r>
      <w:proofErr w:type="spellStart"/>
      <w:r w:rsidRPr="001B304D">
        <w:rPr>
          <w:rFonts w:eastAsia="Times New Roman" w:cs="Times New Roman"/>
          <w:sz w:val="24"/>
          <w:szCs w:val="24"/>
          <w:lang w:eastAsia="en-GB"/>
        </w:rPr>
        <w:t>Sissel</w:t>
      </w:r>
      <w:proofErr w:type="spellEnd"/>
      <w:r w:rsidRPr="001B304D">
        <w:rPr>
          <w:rFonts w:eastAsia="Times New Roman" w:cs="Times New Roman"/>
          <w:sz w:val="24"/>
          <w:szCs w:val="24"/>
          <w:lang w:eastAsia="en-GB"/>
        </w:rPr>
        <w:t xml:space="preserve">. </w:t>
      </w:r>
      <w:proofErr w:type="gramStart"/>
      <w:r w:rsidR="00EB21AC" w:rsidRPr="001B304D">
        <w:rPr>
          <w:rFonts w:eastAsia="Times New Roman" w:cs="Times New Roman"/>
          <w:sz w:val="24"/>
          <w:szCs w:val="24"/>
          <w:lang w:eastAsia="en-GB"/>
        </w:rPr>
        <w:t>‘Thinking “Difference”</w:t>
      </w:r>
      <w:r w:rsidRPr="001B304D">
        <w:rPr>
          <w:rFonts w:eastAsia="Times New Roman" w:cs="Times New Roman"/>
          <w:sz w:val="24"/>
          <w:szCs w:val="24"/>
          <w:lang w:eastAsia="en-GB"/>
        </w:rPr>
        <w:t xml:space="preserve"> Differently: Cassirer versus Derrida on Symbolic Mediation.</w:t>
      </w:r>
      <w:r w:rsidR="00EB21AC" w:rsidRPr="001B304D">
        <w:rPr>
          <w:rFonts w:eastAsia="Times New Roman" w:cs="Times New Roman"/>
          <w:sz w:val="24"/>
          <w:szCs w:val="24"/>
          <w:lang w:eastAsia="en-GB"/>
        </w:rPr>
        <w:t>’</w:t>
      </w:r>
      <w:proofErr w:type="gramEnd"/>
      <w:r w:rsidRPr="001B304D">
        <w:rPr>
          <w:rFonts w:eastAsia="Times New Roman" w:cs="Times New Roman"/>
          <w:sz w:val="24"/>
          <w:szCs w:val="24"/>
          <w:lang w:eastAsia="en-GB"/>
        </w:rPr>
        <w:t xml:space="preserve"> </w:t>
      </w:r>
      <w:proofErr w:type="spellStart"/>
      <w:r w:rsidRPr="001B304D">
        <w:rPr>
          <w:rFonts w:cs="Times New Roman"/>
          <w:i/>
          <w:sz w:val="24"/>
          <w:szCs w:val="24"/>
        </w:rPr>
        <w:t>Synthese</w:t>
      </w:r>
      <w:proofErr w:type="spellEnd"/>
      <w:r w:rsidRPr="001B304D">
        <w:rPr>
          <w:rFonts w:cs="Times New Roman"/>
          <w:sz w:val="24"/>
          <w:szCs w:val="24"/>
        </w:rPr>
        <w:t xml:space="preserve"> 179</w:t>
      </w:r>
      <w:r w:rsidR="00EB21AC" w:rsidRPr="001B304D">
        <w:rPr>
          <w:rFonts w:cs="Times New Roman"/>
          <w:sz w:val="24"/>
          <w:szCs w:val="24"/>
        </w:rPr>
        <w:t>.1 (2011):</w:t>
      </w:r>
      <w:r w:rsidRPr="001B304D">
        <w:rPr>
          <w:rFonts w:cs="Times New Roman"/>
          <w:sz w:val="24"/>
          <w:szCs w:val="24"/>
        </w:rPr>
        <w:t xml:space="preserve"> 75-91.</w:t>
      </w:r>
      <w:r w:rsidR="00EB21AC" w:rsidRPr="001B304D">
        <w:rPr>
          <w:rFonts w:cs="Times New Roman"/>
          <w:sz w:val="24"/>
          <w:szCs w:val="24"/>
        </w:rPr>
        <w:t xml:space="preserve"> </w:t>
      </w:r>
    </w:p>
    <w:p w:rsidR="0035679F" w:rsidRPr="001B304D" w:rsidRDefault="0035679F" w:rsidP="008100A8">
      <w:pPr>
        <w:spacing w:after="0" w:line="480" w:lineRule="auto"/>
        <w:ind w:left="720" w:hanging="720"/>
        <w:jc w:val="both"/>
        <w:rPr>
          <w:rFonts w:eastAsia="Times New Roman" w:cs="Times New Roman"/>
          <w:sz w:val="24"/>
          <w:szCs w:val="24"/>
          <w:lang w:eastAsia="en-GB"/>
        </w:rPr>
      </w:pPr>
      <w:r w:rsidRPr="001B304D">
        <w:rPr>
          <w:rFonts w:cs="Times New Roman"/>
          <w:sz w:val="24"/>
          <w:szCs w:val="24"/>
        </w:rPr>
        <w:t xml:space="preserve">Innis, Robert E. </w:t>
      </w:r>
      <w:r w:rsidR="00EB21AC" w:rsidRPr="001B304D">
        <w:rPr>
          <w:rFonts w:cs="Times New Roman"/>
          <w:sz w:val="24"/>
          <w:szCs w:val="24"/>
        </w:rPr>
        <w:t>‘</w:t>
      </w:r>
      <w:r w:rsidRPr="001B304D">
        <w:rPr>
          <w:rFonts w:eastAsia="Times New Roman" w:cs="Times New Roman"/>
          <w:sz w:val="24"/>
          <w:szCs w:val="24"/>
          <w:lang w:eastAsia="en-GB"/>
        </w:rPr>
        <w:t>Placing Langer's Philosophical Project.</w:t>
      </w:r>
      <w:r w:rsidR="00EB21AC" w:rsidRPr="001B304D">
        <w:rPr>
          <w:rFonts w:eastAsia="Times New Roman" w:cs="Times New Roman"/>
          <w:sz w:val="24"/>
          <w:szCs w:val="24"/>
          <w:lang w:eastAsia="en-GB"/>
        </w:rPr>
        <w:t>’</w:t>
      </w:r>
      <w:r w:rsidRPr="001B304D">
        <w:rPr>
          <w:rFonts w:eastAsia="Times New Roman" w:cs="Times New Roman"/>
          <w:sz w:val="24"/>
          <w:szCs w:val="24"/>
          <w:lang w:eastAsia="en-GB"/>
        </w:rPr>
        <w:t xml:space="preserve"> </w:t>
      </w:r>
      <w:r w:rsidRPr="001B304D">
        <w:rPr>
          <w:rFonts w:cs="Times New Roman"/>
          <w:i/>
          <w:sz w:val="24"/>
          <w:szCs w:val="24"/>
        </w:rPr>
        <w:t>Journal of Speculative Philosophy</w:t>
      </w:r>
      <w:r w:rsidRPr="001B304D">
        <w:rPr>
          <w:rFonts w:cs="Times New Roman"/>
          <w:sz w:val="24"/>
          <w:szCs w:val="24"/>
        </w:rPr>
        <w:t xml:space="preserve"> 21</w:t>
      </w:r>
      <w:r w:rsidR="00EB21AC" w:rsidRPr="001B304D">
        <w:rPr>
          <w:rFonts w:cs="Times New Roman"/>
          <w:sz w:val="24"/>
          <w:szCs w:val="24"/>
        </w:rPr>
        <w:t>.1 (2007):</w:t>
      </w:r>
      <w:r w:rsidRPr="001B304D">
        <w:rPr>
          <w:rFonts w:cs="Times New Roman"/>
          <w:sz w:val="24"/>
          <w:szCs w:val="24"/>
        </w:rPr>
        <w:t xml:space="preserve"> 4-15</w:t>
      </w:r>
      <w:r w:rsidR="00EB21AC" w:rsidRPr="001B304D">
        <w:rPr>
          <w:rFonts w:cs="Times New Roman"/>
          <w:sz w:val="24"/>
          <w:szCs w:val="24"/>
        </w:rPr>
        <w:t>.</w:t>
      </w:r>
    </w:p>
    <w:p w:rsidR="00CB44E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Johnson, B</w:t>
      </w:r>
      <w:r w:rsidR="00C856FA" w:rsidRPr="001B304D">
        <w:rPr>
          <w:rFonts w:cs="Times New Roman"/>
          <w:sz w:val="24"/>
          <w:szCs w:val="24"/>
        </w:rPr>
        <w:t>oris</w:t>
      </w:r>
      <w:r w:rsidRPr="001B304D">
        <w:rPr>
          <w:rFonts w:cs="Times New Roman"/>
          <w:sz w:val="24"/>
          <w:szCs w:val="24"/>
        </w:rPr>
        <w:t xml:space="preserve">. ‘It’s a huge mistake to forbid a tiny act of Christian worship’, </w:t>
      </w:r>
      <w:r w:rsidRPr="001B304D">
        <w:rPr>
          <w:rFonts w:cs="Times New Roman"/>
          <w:i/>
          <w:sz w:val="24"/>
          <w:szCs w:val="24"/>
        </w:rPr>
        <w:t>The Daily Telegraph</w:t>
      </w:r>
      <w:r w:rsidR="00EB21AC" w:rsidRPr="001B304D">
        <w:rPr>
          <w:rFonts w:cs="Times New Roman"/>
          <w:sz w:val="24"/>
          <w:szCs w:val="24"/>
        </w:rPr>
        <w:t>. London, 12 March 2012.</w:t>
      </w:r>
    </w:p>
    <w:p w:rsidR="0035679F" w:rsidRPr="001B304D" w:rsidRDefault="00282F5B" w:rsidP="008100A8">
      <w:pPr>
        <w:spacing w:after="0" w:line="480" w:lineRule="auto"/>
        <w:ind w:left="720"/>
        <w:jc w:val="both"/>
        <w:rPr>
          <w:rFonts w:cs="Times New Roman"/>
          <w:sz w:val="24"/>
          <w:szCs w:val="24"/>
        </w:rPr>
      </w:pPr>
      <w:hyperlink r:id="rId12" w:history="1">
        <w:proofErr w:type="gramStart"/>
        <w:r w:rsidR="0035679F" w:rsidRPr="001B304D">
          <w:rPr>
            <w:rStyle w:val="Hyperlink"/>
            <w:color w:val="auto"/>
            <w:sz w:val="24"/>
            <w:szCs w:val="24"/>
          </w:rPr>
          <w:t>http://www.telegraph.co.uk/comment/columnists/borisjohnson/9137523/Its-a-huge-mistake-to-forbid-a-tiny-act-of-Christian-worship.html</w:t>
        </w:r>
      </w:hyperlink>
      <w:r w:rsidR="0035679F" w:rsidRPr="001B304D">
        <w:rPr>
          <w:rFonts w:cs="Times New Roman"/>
          <w:sz w:val="24"/>
          <w:szCs w:val="24"/>
        </w:rPr>
        <w:t>, date accessed 15 June 2013.</w:t>
      </w:r>
      <w:proofErr w:type="gramEnd"/>
    </w:p>
    <w:p w:rsidR="00F97914" w:rsidRPr="001B304D" w:rsidRDefault="00F97914" w:rsidP="008100A8">
      <w:pPr>
        <w:spacing w:after="0" w:line="480" w:lineRule="auto"/>
        <w:ind w:left="720" w:hanging="720"/>
        <w:jc w:val="both"/>
        <w:rPr>
          <w:sz w:val="24"/>
          <w:szCs w:val="24"/>
        </w:rPr>
      </w:pPr>
      <w:proofErr w:type="spellStart"/>
      <w:r w:rsidRPr="001B304D">
        <w:rPr>
          <w:sz w:val="24"/>
          <w:szCs w:val="24"/>
        </w:rPr>
        <w:t>Jost</w:t>
      </w:r>
      <w:proofErr w:type="spellEnd"/>
      <w:r w:rsidRPr="001B304D">
        <w:rPr>
          <w:sz w:val="24"/>
          <w:szCs w:val="24"/>
        </w:rPr>
        <w:t>, Walter and Wendy Olmsted (</w:t>
      </w:r>
      <w:proofErr w:type="spellStart"/>
      <w:proofErr w:type="gramStart"/>
      <w:r w:rsidRPr="001B304D">
        <w:rPr>
          <w:sz w:val="24"/>
          <w:szCs w:val="24"/>
        </w:rPr>
        <w:t>eds</w:t>
      </w:r>
      <w:proofErr w:type="spellEnd"/>
      <w:proofErr w:type="gramEnd"/>
      <w:r w:rsidRPr="001B304D">
        <w:rPr>
          <w:sz w:val="24"/>
          <w:szCs w:val="24"/>
        </w:rPr>
        <w:t xml:space="preserve">). </w:t>
      </w:r>
      <w:proofErr w:type="gramStart"/>
      <w:r w:rsidRPr="001B304D">
        <w:rPr>
          <w:i/>
          <w:iCs/>
          <w:sz w:val="24"/>
          <w:szCs w:val="24"/>
        </w:rPr>
        <w:t>Rhetorical Invention and Religious Inquiry</w:t>
      </w:r>
      <w:r w:rsidRPr="001B304D">
        <w:rPr>
          <w:sz w:val="24"/>
          <w:szCs w:val="24"/>
        </w:rPr>
        <w:t>.</w:t>
      </w:r>
      <w:proofErr w:type="gramEnd"/>
      <w:r w:rsidRPr="001B304D">
        <w:rPr>
          <w:sz w:val="24"/>
          <w:szCs w:val="24"/>
        </w:rPr>
        <w:t xml:space="preserve"> New Haven: Yale University Press, 2000.</w:t>
      </w:r>
    </w:p>
    <w:p w:rsidR="00E2724D" w:rsidRPr="001B304D" w:rsidRDefault="00E2724D" w:rsidP="008100A8">
      <w:pPr>
        <w:spacing w:after="0" w:line="480" w:lineRule="auto"/>
        <w:ind w:left="720" w:hanging="720"/>
        <w:jc w:val="both"/>
        <w:rPr>
          <w:rFonts w:cs="Times New Roman"/>
          <w:sz w:val="24"/>
          <w:szCs w:val="24"/>
        </w:rPr>
      </w:pPr>
      <w:proofErr w:type="gramStart"/>
      <w:r w:rsidRPr="001B304D">
        <w:rPr>
          <w:rFonts w:eastAsia="Times New Roman" w:cs="Times New Roman"/>
          <w:iCs/>
          <w:sz w:val="24"/>
          <w:szCs w:val="24"/>
          <w:bdr w:val="none" w:sz="0" w:space="0" w:color="auto" w:frame="1"/>
          <w:lang w:eastAsia="en-GB"/>
        </w:rPr>
        <w:t>Joy,</w:t>
      </w:r>
      <w:r w:rsidRPr="001B304D">
        <w:rPr>
          <w:rFonts w:eastAsia="Times New Roman" w:cs="Times New Roman"/>
          <w:i/>
          <w:iCs/>
          <w:sz w:val="24"/>
          <w:szCs w:val="24"/>
          <w:bdr w:val="none" w:sz="0" w:space="0" w:color="auto" w:frame="1"/>
          <w:lang w:eastAsia="en-GB"/>
        </w:rPr>
        <w:t xml:space="preserve"> </w:t>
      </w:r>
      <w:proofErr w:type="spellStart"/>
      <w:r w:rsidRPr="001B304D">
        <w:rPr>
          <w:rFonts w:eastAsia="Times New Roman" w:cs="Times New Roman"/>
          <w:iCs/>
          <w:sz w:val="24"/>
          <w:szCs w:val="24"/>
          <w:bdr w:val="none" w:sz="0" w:space="0" w:color="auto" w:frame="1"/>
          <w:lang w:eastAsia="en-GB"/>
        </w:rPr>
        <w:t>Morny</w:t>
      </w:r>
      <w:proofErr w:type="spellEnd"/>
      <w:r w:rsidR="00EB21AC" w:rsidRPr="001B304D">
        <w:rPr>
          <w:rFonts w:eastAsia="Times New Roman" w:cs="Times New Roman"/>
          <w:iCs/>
          <w:sz w:val="24"/>
          <w:szCs w:val="24"/>
          <w:bdr w:val="none" w:sz="0" w:space="0" w:color="auto" w:frame="1"/>
          <w:lang w:eastAsia="en-GB"/>
        </w:rPr>
        <w:t>.</w:t>
      </w:r>
      <w:proofErr w:type="gramEnd"/>
      <w:r w:rsidRPr="001B304D">
        <w:rPr>
          <w:rFonts w:eastAsia="Times New Roman" w:cs="Times New Roman"/>
          <w:iCs/>
          <w:sz w:val="24"/>
          <w:szCs w:val="24"/>
          <w:bdr w:val="none" w:sz="0" w:space="0" w:color="auto" w:frame="1"/>
          <w:lang w:eastAsia="en-GB"/>
        </w:rPr>
        <w:t xml:space="preserve"> </w:t>
      </w:r>
      <w:proofErr w:type="gramStart"/>
      <w:r w:rsidRPr="001B304D">
        <w:rPr>
          <w:rFonts w:eastAsia="Times New Roman" w:cs="Times New Roman"/>
          <w:i/>
          <w:iCs/>
          <w:sz w:val="24"/>
          <w:szCs w:val="24"/>
          <w:bdr w:val="none" w:sz="0" w:space="0" w:color="auto" w:frame="1"/>
          <w:lang w:eastAsia="en-GB"/>
        </w:rPr>
        <w:t>Continental Philosophy and Philosophy of Religion</w:t>
      </w:r>
      <w:r w:rsidR="00EB21AC" w:rsidRPr="001B304D">
        <w:rPr>
          <w:rFonts w:eastAsia="Times New Roman" w:cs="Times New Roman"/>
          <w:iCs/>
          <w:sz w:val="24"/>
          <w:szCs w:val="24"/>
          <w:bdr w:val="none" w:sz="0" w:space="0" w:color="auto" w:frame="1"/>
          <w:lang w:eastAsia="en-GB"/>
        </w:rPr>
        <w:t>.</w:t>
      </w:r>
      <w:proofErr w:type="gramEnd"/>
      <w:r w:rsidRPr="001B304D">
        <w:rPr>
          <w:rFonts w:eastAsia="Times New Roman" w:cs="Times New Roman"/>
          <w:i/>
          <w:iCs/>
          <w:sz w:val="24"/>
          <w:szCs w:val="24"/>
          <w:bdr w:val="none" w:sz="0" w:space="0" w:color="auto" w:frame="1"/>
          <w:lang w:eastAsia="en-GB"/>
        </w:rPr>
        <w:t> </w:t>
      </w:r>
      <w:r w:rsidRPr="001B304D">
        <w:rPr>
          <w:rFonts w:eastAsia="Times New Roman" w:cs="Times New Roman"/>
          <w:sz w:val="24"/>
          <w:szCs w:val="24"/>
          <w:lang w:eastAsia="en-GB"/>
        </w:rPr>
        <w:t>Dordrecht: Springer, 2011.</w:t>
      </w:r>
    </w:p>
    <w:p w:rsidR="0035679F" w:rsidRPr="001B304D" w:rsidRDefault="0035679F" w:rsidP="008100A8">
      <w:pPr>
        <w:pStyle w:val="western"/>
        <w:spacing w:before="0" w:beforeAutospacing="0" w:after="0" w:line="480" w:lineRule="auto"/>
        <w:ind w:left="720" w:hanging="720"/>
        <w:jc w:val="both"/>
      </w:pPr>
      <w:r w:rsidRPr="001B304D">
        <w:t>Kant, Immanuel</w:t>
      </w:r>
      <w:r w:rsidR="00EB21AC" w:rsidRPr="001B304D">
        <w:t>.</w:t>
      </w:r>
      <w:r w:rsidRPr="001B304D">
        <w:t xml:space="preserve"> </w:t>
      </w:r>
      <w:proofErr w:type="gramStart"/>
      <w:r w:rsidRPr="001B304D">
        <w:rPr>
          <w:i/>
          <w:iCs/>
        </w:rPr>
        <w:t>Critique of Judgment</w:t>
      </w:r>
      <w:r w:rsidRPr="001B304D">
        <w:t>.</w:t>
      </w:r>
      <w:proofErr w:type="gramEnd"/>
      <w:r w:rsidRPr="001B304D">
        <w:t xml:space="preserve"> </w:t>
      </w:r>
      <w:proofErr w:type="gramStart"/>
      <w:r w:rsidRPr="001B304D">
        <w:t xml:space="preserve">Translated by Werner S. </w:t>
      </w:r>
      <w:proofErr w:type="spellStart"/>
      <w:r w:rsidRPr="001B304D">
        <w:t>Pluhar</w:t>
      </w:r>
      <w:proofErr w:type="spellEnd"/>
      <w:r w:rsidRPr="001B304D">
        <w:t>.</w:t>
      </w:r>
      <w:proofErr w:type="gramEnd"/>
      <w:r w:rsidRPr="001B304D">
        <w:t xml:space="preserve"> Indianapolis: Hackett</w:t>
      </w:r>
      <w:r w:rsidR="00EB21AC" w:rsidRPr="001B304D">
        <w:t>, 1987</w:t>
      </w:r>
      <w:r w:rsidRPr="001B304D">
        <w:t>.</w:t>
      </w:r>
    </w:p>
    <w:p w:rsidR="00B41AED" w:rsidRPr="001B304D" w:rsidRDefault="00B41AED" w:rsidP="00B41AED">
      <w:pPr>
        <w:pStyle w:val="western"/>
        <w:spacing w:before="0" w:beforeAutospacing="0" w:after="0" w:line="480" w:lineRule="auto"/>
        <w:ind w:left="720" w:hanging="720"/>
        <w:jc w:val="both"/>
      </w:pPr>
      <w:proofErr w:type="spellStart"/>
      <w:r w:rsidRPr="001B304D">
        <w:t>Ketner</w:t>
      </w:r>
      <w:proofErr w:type="spellEnd"/>
      <w:r w:rsidRPr="001B304D">
        <w:t>, Kenneth Laine (</w:t>
      </w:r>
      <w:proofErr w:type="gramStart"/>
      <w:r w:rsidRPr="001B304D">
        <w:t>ed</w:t>
      </w:r>
      <w:proofErr w:type="gramEnd"/>
      <w:r w:rsidRPr="001B304D">
        <w:t>.). </w:t>
      </w:r>
      <w:r w:rsidRPr="001B304D">
        <w:rPr>
          <w:i/>
          <w:iCs/>
        </w:rPr>
        <w:t>Peirce and Contemporary Thought: Philosophical Inquiries</w:t>
      </w:r>
      <w:r w:rsidRPr="001B304D">
        <w:t>. New York: Fordham University Press, 1995.</w:t>
      </w:r>
    </w:p>
    <w:p w:rsidR="0035679F" w:rsidRPr="001B304D" w:rsidRDefault="0035679F" w:rsidP="008100A8">
      <w:pPr>
        <w:pStyle w:val="western"/>
        <w:spacing w:before="0" w:beforeAutospacing="0" w:after="0" w:line="480" w:lineRule="auto"/>
        <w:ind w:left="720" w:hanging="720"/>
        <w:jc w:val="both"/>
      </w:pPr>
      <w:r w:rsidRPr="001B304D">
        <w:t xml:space="preserve">Krueger, S. Heidi. ‘Allegory and Symbol in the Goethezeit: A Critical Reassessment,’ in Gertrud </w:t>
      </w:r>
      <w:proofErr w:type="spellStart"/>
      <w:r w:rsidRPr="001B304D">
        <w:t>Pickar</w:t>
      </w:r>
      <w:proofErr w:type="spellEnd"/>
      <w:r w:rsidRPr="001B304D">
        <w:t xml:space="preserve"> and Sabine Cramer (eds.), </w:t>
      </w:r>
      <w:proofErr w:type="gramStart"/>
      <w:r w:rsidRPr="001B304D">
        <w:rPr>
          <w:i/>
          <w:iCs/>
        </w:rPr>
        <w:t>The</w:t>
      </w:r>
      <w:proofErr w:type="gramEnd"/>
      <w:r w:rsidRPr="001B304D">
        <w:rPr>
          <w:i/>
          <w:iCs/>
        </w:rPr>
        <w:t xml:space="preserve"> Age of Goethe Today: A Critical Re-examination and Literary Reflection</w:t>
      </w:r>
      <w:r w:rsidRPr="001B304D">
        <w:t xml:space="preserve">. </w:t>
      </w:r>
      <w:proofErr w:type="spellStart"/>
      <w:r w:rsidRPr="001B304D">
        <w:t>München</w:t>
      </w:r>
      <w:proofErr w:type="spellEnd"/>
      <w:r w:rsidRPr="001B304D">
        <w:t>: Fink</w:t>
      </w:r>
      <w:r w:rsidR="00EB21AC" w:rsidRPr="001B304D">
        <w:t>, 1990</w:t>
      </w:r>
      <w:r w:rsidRPr="001B304D">
        <w:t xml:space="preserve">. </w:t>
      </w:r>
      <w:proofErr w:type="gramStart"/>
      <w:r w:rsidRPr="001B304D">
        <w:t>50-68.</w:t>
      </w:r>
      <w:proofErr w:type="gramEnd"/>
    </w:p>
    <w:p w:rsidR="0035679F" w:rsidRPr="001B304D" w:rsidRDefault="00EB21AC" w:rsidP="008100A8">
      <w:pPr>
        <w:spacing w:after="0" w:line="480" w:lineRule="auto"/>
        <w:ind w:left="720" w:hanging="720"/>
        <w:jc w:val="both"/>
        <w:rPr>
          <w:rFonts w:cs="Times New Roman"/>
          <w:sz w:val="24"/>
          <w:szCs w:val="24"/>
        </w:rPr>
      </w:pPr>
      <w:proofErr w:type="spellStart"/>
      <w:r w:rsidRPr="001B304D">
        <w:rPr>
          <w:rFonts w:cs="Times New Roman"/>
          <w:sz w:val="24"/>
          <w:szCs w:val="24"/>
        </w:rPr>
        <w:t>Laborde</w:t>
      </w:r>
      <w:proofErr w:type="spellEnd"/>
      <w:r w:rsidRPr="001B304D">
        <w:rPr>
          <w:rFonts w:cs="Times New Roman"/>
          <w:sz w:val="24"/>
          <w:szCs w:val="24"/>
        </w:rPr>
        <w:t>, Cécile.</w:t>
      </w:r>
      <w:r w:rsidR="0035679F" w:rsidRPr="001B304D">
        <w:rPr>
          <w:rFonts w:cs="Times New Roman"/>
          <w:sz w:val="24"/>
          <w:szCs w:val="24"/>
        </w:rPr>
        <w:t xml:space="preserve"> </w:t>
      </w:r>
      <w:proofErr w:type="gramStart"/>
      <w:r w:rsidR="0035679F" w:rsidRPr="001B304D">
        <w:rPr>
          <w:rFonts w:cs="Times New Roman"/>
          <w:sz w:val="24"/>
          <w:szCs w:val="24"/>
        </w:rPr>
        <w:t>‘Secular Philosophy and</w:t>
      </w:r>
      <w:r w:rsidRPr="001B304D">
        <w:rPr>
          <w:rFonts w:cs="Times New Roman"/>
          <w:sz w:val="24"/>
          <w:szCs w:val="24"/>
        </w:rPr>
        <w:t xml:space="preserve"> Muslim Headscarves in Schools.’</w:t>
      </w:r>
      <w:proofErr w:type="gramEnd"/>
      <w:r w:rsidR="0035679F" w:rsidRPr="001B304D">
        <w:rPr>
          <w:rFonts w:cs="Times New Roman"/>
          <w:sz w:val="24"/>
          <w:szCs w:val="24"/>
        </w:rPr>
        <w:t xml:space="preserve"> </w:t>
      </w:r>
      <w:r w:rsidR="0035679F" w:rsidRPr="001B304D">
        <w:rPr>
          <w:rFonts w:cs="Times New Roman"/>
          <w:i/>
          <w:sz w:val="24"/>
          <w:szCs w:val="24"/>
        </w:rPr>
        <w:t xml:space="preserve">Journal of Political Philosophy </w:t>
      </w:r>
      <w:r w:rsidR="0035679F" w:rsidRPr="001B304D">
        <w:rPr>
          <w:rFonts w:cs="Times New Roman"/>
          <w:sz w:val="24"/>
          <w:szCs w:val="24"/>
        </w:rPr>
        <w:t>13 (2005): 305-29.</w:t>
      </w:r>
    </w:p>
    <w:p w:rsidR="001052E3" w:rsidRPr="001B304D" w:rsidRDefault="001052E3" w:rsidP="001052E3">
      <w:pPr>
        <w:spacing w:after="0" w:line="480" w:lineRule="auto"/>
        <w:ind w:left="720" w:hanging="720"/>
        <w:jc w:val="both"/>
        <w:rPr>
          <w:rFonts w:cs="Times New Roman"/>
          <w:sz w:val="24"/>
          <w:szCs w:val="24"/>
        </w:rPr>
      </w:pPr>
      <w:proofErr w:type="spellStart"/>
      <w:r w:rsidRPr="001B304D">
        <w:rPr>
          <w:rFonts w:cs="Times New Roman"/>
          <w:sz w:val="24"/>
          <w:szCs w:val="24"/>
        </w:rPr>
        <w:t>Laborde</w:t>
      </w:r>
      <w:proofErr w:type="spellEnd"/>
      <w:r w:rsidRPr="001B304D">
        <w:rPr>
          <w:rFonts w:cs="Times New Roman"/>
          <w:sz w:val="24"/>
          <w:szCs w:val="24"/>
        </w:rPr>
        <w:t xml:space="preserve">, Cécile. </w:t>
      </w:r>
      <w:r w:rsidRPr="001B304D">
        <w:rPr>
          <w:rFonts w:cs="Times New Roman"/>
          <w:i/>
          <w:sz w:val="24"/>
          <w:szCs w:val="24"/>
        </w:rPr>
        <w:t>Critical Republicanism: The Hijab Controversy and Political Philosophy</w:t>
      </w:r>
      <w:r w:rsidRPr="001B304D">
        <w:rPr>
          <w:rFonts w:cs="Times New Roman"/>
          <w:sz w:val="24"/>
          <w:szCs w:val="24"/>
        </w:rPr>
        <w:t>. Oxford: Oxford University Press, 2008.</w:t>
      </w:r>
    </w:p>
    <w:p w:rsidR="0035679F" w:rsidRPr="001B304D" w:rsidRDefault="0035679F" w:rsidP="008100A8">
      <w:pPr>
        <w:spacing w:after="0" w:line="480" w:lineRule="auto"/>
        <w:ind w:left="720" w:hanging="720"/>
        <w:jc w:val="both"/>
        <w:rPr>
          <w:rFonts w:cs="Times New Roman"/>
          <w:sz w:val="24"/>
          <w:szCs w:val="24"/>
        </w:rPr>
      </w:pPr>
      <w:proofErr w:type="spellStart"/>
      <w:r w:rsidRPr="001B304D">
        <w:rPr>
          <w:rFonts w:cs="Times New Roman"/>
          <w:sz w:val="24"/>
          <w:szCs w:val="24"/>
        </w:rPr>
        <w:lastRenderedPageBreak/>
        <w:t>Laborde</w:t>
      </w:r>
      <w:proofErr w:type="spellEnd"/>
      <w:r w:rsidRPr="001B304D">
        <w:rPr>
          <w:rFonts w:cs="Times New Roman"/>
          <w:sz w:val="24"/>
          <w:szCs w:val="24"/>
        </w:rPr>
        <w:t xml:space="preserve">, Cécile. </w:t>
      </w:r>
      <w:proofErr w:type="gramStart"/>
      <w:r w:rsidRPr="001B304D">
        <w:rPr>
          <w:rFonts w:cs="Times New Roman"/>
          <w:sz w:val="24"/>
          <w:szCs w:val="24"/>
        </w:rPr>
        <w:t xml:space="preserve">‘Secularism and fair treatment for </w:t>
      </w:r>
      <w:proofErr w:type="spellStart"/>
      <w:r w:rsidRPr="001B304D">
        <w:rPr>
          <w:rFonts w:cs="Times New Roman"/>
          <w:sz w:val="24"/>
          <w:szCs w:val="24"/>
        </w:rPr>
        <w:t>muslims</w:t>
      </w:r>
      <w:proofErr w:type="spellEnd"/>
      <w:r w:rsidRPr="001B304D">
        <w:rPr>
          <w:rFonts w:cs="Times New Roman"/>
          <w:sz w:val="24"/>
          <w:szCs w:val="24"/>
        </w:rPr>
        <w:t>.’</w:t>
      </w:r>
      <w:proofErr w:type="gramEnd"/>
      <w:r w:rsidRPr="001B304D">
        <w:rPr>
          <w:rFonts w:cs="Times New Roman"/>
          <w:sz w:val="24"/>
          <w:szCs w:val="24"/>
        </w:rPr>
        <w:t xml:space="preserve"> In M. </w:t>
      </w:r>
      <w:proofErr w:type="spellStart"/>
      <w:r w:rsidRPr="001B304D">
        <w:rPr>
          <w:rFonts w:cs="Times New Roman"/>
          <w:sz w:val="24"/>
          <w:szCs w:val="24"/>
        </w:rPr>
        <w:t>Dimova</w:t>
      </w:r>
      <w:proofErr w:type="spellEnd"/>
      <w:r w:rsidRPr="001B304D">
        <w:rPr>
          <w:rFonts w:cs="Times New Roman"/>
          <w:sz w:val="24"/>
          <w:szCs w:val="24"/>
        </w:rPr>
        <w:t xml:space="preserve">-Cookson and P.M. </w:t>
      </w:r>
      <w:proofErr w:type="spellStart"/>
      <w:r w:rsidRPr="001B304D">
        <w:rPr>
          <w:rFonts w:cs="Times New Roman"/>
          <w:sz w:val="24"/>
          <w:szCs w:val="24"/>
        </w:rPr>
        <w:t>Stirk</w:t>
      </w:r>
      <w:proofErr w:type="spellEnd"/>
      <w:r w:rsidRPr="001B304D">
        <w:rPr>
          <w:rFonts w:cs="Times New Roman"/>
          <w:sz w:val="24"/>
          <w:szCs w:val="24"/>
        </w:rPr>
        <w:t xml:space="preserve"> (</w:t>
      </w:r>
      <w:proofErr w:type="spellStart"/>
      <w:proofErr w:type="gramStart"/>
      <w:r w:rsidRPr="001B304D">
        <w:rPr>
          <w:rFonts w:cs="Times New Roman"/>
          <w:sz w:val="24"/>
          <w:szCs w:val="24"/>
        </w:rPr>
        <w:t>eds</w:t>
      </w:r>
      <w:proofErr w:type="spellEnd"/>
      <w:proofErr w:type="gramEnd"/>
      <w:r w:rsidRPr="001B304D">
        <w:rPr>
          <w:rFonts w:cs="Times New Roman"/>
          <w:sz w:val="24"/>
          <w:szCs w:val="24"/>
        </w:rPr>
        <w:t xml:space="preserve">), </w:t>
      </w:r>
      <w:r w:rsidRPr="001B304D">
        <w:rPr>
          <w:rFonts w:cs="Times New Roman"/>
          <w:i/>
          <w:sz w:val="24"/>
          <w:szCs w:val="24"/>
        </w:rPr>
        <w:t>Multiculturalism and Moral Conflict</w:t>
      </w:r>
      <w:r w:rsidR="00EB21AC" w:rsidRPr="001B304D">
        <w:rPr>
          <w:rFonts w:cs="Times New Roman"/>
          <w:sz w:val="24"/>
          <w:szCs w:val="24"/>
        </w:rPr>
        <w:t>. London: Routledge, 2010.</w:t>
      </w:r>
      <w:r w:rsidRPr="001B304D">
        <w:rPr>
          <w:rFonts w:cs="Times New Roman"/>
          <w:sz w:val="24"/>
          <w:szCs w:val="24"/>
        </w:rPr>
        <w:t xml:space="preserve"> </w:t>
      </w:r>
      <w:proofErr w:type="gramStart"/>
      <w:r w:rsidRPr="001B304D">
        <w:rPr>
          <w:rFonts w:cs="Times New Roman"/>
          <w:sz w:val="24"/>
          <w:szCs w:val="24"/>
        </w:rPr>
        <w:t>131-47.</w:t>
      </w:r>
      <w:proofErr w:type="gramEnd"/>
    </w:p>
    <w:p w:rsidR="0035679F" w:rsidRPr="00814CF9" w:rsidRDefault="0035679F" w:rsidP="008100A8">
      <w:pPr>
        <w:spacing w:after="0" w:line="480" w:lineRule="auto"/>
        <w:ind w:left="720" w:hanging="720"/>
        <w:jc w:val="both"/>
        <w:rPr>
          <w:rFonts w:cs="Times New Roman"/>
          <w:sz w:val="24"/>
          <w:szCs w:val="24"/>
          <w:lang w:val="fr-FR"/>
        </w:rPr>
      </w:pPr>
      <w:proofErr w:type="spellStart"/>
      <w:r w:rsidRPr="001B304D">
        <w:rPr>
          <w:rFonts w:cs="Times New Roman"/>
          <w:sz w:val="24"/>
          <w:szCs w:val="24"/>
        </w:rPr>
        <w:t>Laborde</w:t>
      </w:r>
      <w:proofErr w:type="spellEnd"/>
      <w:r w:rsidRPr="001B304D">
        <w:rPr>
          <w:rFonts w:cs="Times New Roman"/>
          <w:sz w:val="24"/>
          <w:szCs w:val="24"/>
        </w:rPr>
        <w:t xml:space="preserve">, Cécile. </w:t>
      </w:r>
      <w:r w:rsidR="00EB21AC" w:rsidRPr="001B304D">
        <w:rPr>
          <w:rFonts w:cs="Times New Roman"/>
          <w:sz w:val="24"/>
          <w:szCs w:val="24"/>
        </w:rPr>
        <w:t>‘</w:t>
      </w:r>
      <w:r w:rsidRPr="001B304D">
        <w:rPr>
          <w:rFonts w:cs="Times New Roman"/>
          <w:sz w:val="24"/>
          <w:szCs w:val="24"/>
        </w:rPr>
        <w:t>Political Liberalism and Religion: On Separation and Establishment</w:t>
      </w:r>
      <w:r w:rsidR="00EB21AC" w:rsidRPr="001B304D">
        <w:rPr>
          <w:rFonts w:cs="Times New Roman"/>
          <w:sz w:val="24"/>
          <w:szCs w:val="24"/>
        </w:rPr>
        <w:t>.’</w:t>
      </w:r>
      <w:r w:rsidRPr="001B304D">
        <w:rPr>
          <w:rFonts w:cs="Times New Roman"/>
          <w:sz w:val="24"/>
          <w:szCs w:val="24"/>
        </w:rPr>
        <w:t xml:space="preserve"> </w:t>
      </w:r>
      <w:r w:rsidRPr="00814CF9">
        <w:rPr>
          <w:rFonts w:cs="Times New Roman"/>
          <w:i/>
          <w:sz w:val="24"/>
          <w:szCs w:val="24"/>
          <w:lang w:val="fr-FR"/>
        </w:rPr>
        <w:t>Journal of Political Philosophy</w:t>
      </w:r>
      <w:r w:rsidR="00EB21AC" w:rsidRPr="00814CF9">
        <w:rPr>
          <w:rFonts w:cs="Times New Roman"/>
          <w:sz w:val="24"/>
          <w:szCs w:val="24"/>
          <w:lang w:val="fr-FR"/>
        </w:rPr>
        <w:t xml:space="preserve"> 21.1 (2013):</w:t>
      </w:r>
      <w:r w:rsidRPr="00814CF9">
        <w:rPr>
          <w:rFonts w:cs="Times New Roman"/>
          <w:sz w:val="24"/>
          <w:szCs w:val="24"/>
          <w:lang w:val="fr-FR"/>
        </w:rPr>
        <w:t xml:space="preserve"> 67-86</w:t>
      </w:r>
      <w:r w:rsidR="00EB21AC" w:rsidRPr="00814CF9">
        <w:rPr>
          <w:rFonts w:cs="Times New Roman"/>
          <w:sz w:val="24"/>
          <w:szCs w:val="24"/>
          <w:lang w:val="fr-FR"/>
        </w:rPr>
        <w:t>.</w:t>
      </w:r>
    </w:p>
    <w:p w:rsidR="00E2724D" w:rsidRPr="001B304D" w:rsidRDefault="00E2724D" w:rsidP="008100A8">
      <w:pPr>
        <w:spacing w:after="0" w:line="480" w:lineRule="auto"/>
        <w:jc w:val="both"/>
        <w:rPr>
          <w:rFonts w:cs="Times New Roman"/>
          <w:sz w:val="24"/>
          <w:szCs w:val="24"/>
        </w:rPr>
      </w:pPr>
      <w:r w:rsidRPr="001B304D">
        <w:rPr>
          <w:rFonts w:cs="Times New Roman"/>
          <w:sz w:val="24"/>
          <w:szCs w:val="24"/>
          <w:lang w:val="fr-FR"/>
        </w:rPr>
        <w:t>Lalande, André</w:t>
      </w:r>
      <w:r w:rsidR="00EB21AC" w:rsidRPr="001B304D">
        <w:rPr>
          <w:rFonts w:cs="Times New Roman"/>
          <w:sz w:val="24"/>
          <w:szCs w:val="24"/>
          <w:lang w:val="fr-FR"/>
        </w:rPr>
        <w:t>.</w:t>
      </w:r>
      <w:r w:rsidRPr="001B304D">
        <w:rPr>
          <w:rFonts w:cs="Times New Roman"/>
          <w:sz w:val="24"/>
          <w:szCs w:val="24"/>
          <w:lang w:val="fr-FR"/>
        </w:rPr>
        <w:t xml:space="preserve"> </w:t>
      </w:r>
      <w:r w:rsidRPr="001B304D">
        <w:rPr>
          <w:rFonts w:cs="Times New Roman"/>
          <w:i/>
          <w:sz w:val="24"/>
          <w:szCs w:val="24"/>
          <w:lang w:val="fr-FR"/>
        </w:rPr>
        <w:t>Vocabulaire technique et critique de la philosophie</w:t>
      </w:r>
      <w:r w:rsidR="00EB21AC" w:rsidRPr="001B304D">
        <w:rPr>
          <w:rFonts w:cs="Times New Roman"/>
          <w:sz w:val="24"/>
          <w:szCs w:val="24"/>
          <w:lang w:val="fr-FR"/>
        </w:rPr>
        <w:t>.</w:t>
      </w:r>
      <w:r w:rsidRPr="001B304D">
        <w:rPr>
          <w:rFonts w:cs="Times New Roman"/>
          <w:sz w:val="24"/>
          <w:szCs w:val="24"/>
          <w:lang w:val="fr-FR"/>
        </w:rPr>
        <w:t xml:space="preserve"> </w:t>
      </w:r>
      <w:r w:rsidRPr="001B304D">
        <w:rPr>
          <w:rFonts w:cs="Times New Roman"/>
          <w:sz w:val="24"/>
          <w:szCs w:val="24"/>
        </w:rPr>
        <w:t xml:space="preserve">Paris: </w:t>
      </w:r>
      <w:proofErr w:type="spellStart"/>
      <w:r w:rsidRPr="001B304D">
        <w:rPr>
          <w:rFonts w:cs="Times New Roman"/>
          <w:sz w:val="24"/>
          <w:szCs w:val="24"/>
        </w:rPr>
        <w:t>Alean</w:t>
      </w:r>
      <w:proofErr w:type="spellEnd"/>
      <w:r w:rsidR="00EB21AC" w:rsidRPr="001B304D">
        <w:rPr>
          <w:rFonts w:cs="Times New Roman"/>
          <w:sz w:val="24"/>
          <w:szCs w:val="24"/>
        </w:rPr>
        <w:t>, 1926</w:t>
      </w:r>
      <w:r w:rsidRPr="001B304D">
        <w:rPr>
          <w:rFonts w:cs="Times New Roman"/>
          <w:sz w:val="24"/>
          <w:szCs w:val="24"/>
        </w:rPr>
        <w:t>.</w:t>
      </w:r>
    </w:p>
    <w:p w:rsidR="00E2724D" w:rsidRPr="001B304D" w:rsidRDefault="00E2724D" w:rsidP="008100A8">
      <w:pPr>
        <w:spacing w:after="0" w:line="480" w:lineRule="auto"/>
        <w:ind w:left="720" w:hanging="720"/>
        <w:jc w:val="both"/>
        <w:rPr>
          <w:rFonts w:cs="Times New Roman"/>
          <w:sz w:val="24"/>
          <w:szCs w:val="24"/>
        </w:rPr>
      </w:pPr>
      <w:r w:rsidRPr="001B304D">
        <w:rPr>
          <w:rFonts w:cs="Times New Roman"/>
          <w:sz w:val="24"/>
          <w:szCs w:val="24"/>
        </w:rPr>
        <w:t xml:space="preserve">Langer, Suzanne K. </w:t>
      </w:r>
      <w:r w:rsidRPr="001B304D">
        <w:rPr>
          <w:rFonts w:cs="Times New Roman"/>
          <w:i/>
          <w:sz w:val="24"/>
          <w:szCs w:val="24"/>
        </w:rPr>
        <w:t>Philosophy in a New Key</w:t>
      </w:r>
      <w:r w:rsidR="00EB21AC" w:rsidRPr="001B304D">
        <w:rPr>
          <w:rFonts w:cs="Times New Roman"/>
          <w:sz w:val="24"/>
          <w:szCs w:val="24"/>
        </w:rPr>
        <w:t>.</w:t>
      </w:r>
      <w:r w:rsidRPr="001B304D">
        <w:rPr>
          <w:rFonts w:cs="Times New Roman"/>
          <w:sz w:val="24"/>
          <w:szCs w:val="24"/>
        </w:rPr>
        <w:t xml:space="preserve"> Cambridge MA: Harvard University Press</w:t>
      </w:r>
      <w:r w:rsidR="00EB21AC" w:rsidRPr="001B304D">
        <w:rPr>
          <w:rFonts w:cs="Times New Roman"/>
          <w:sz w:val="24"/>
          <w:szCs w:val="24"/>
        </w:rPr>
        <w:t>, 1942</w:t>
      </w:r>
      <w:r w:rsidRPr="001B304D">
        <w:rPr>
          <w:rFonts w:cs="Times New Roman"/>
          <w:sz w:val="24"/>
          <w:szCs w:val="24"/>
        </w:rPr>
        <w:t>.</w:t>
      </w:r>
    </w:p>
    <w:p w:rsidR="00E2724D" w:rsidRPr="001B304D" w:rsidRDefault="00E2724D" w:rsidP="008100A8">
      <w:pPr>
        <w:spacing w:after="0" w:line="480" w:lineRule="auto"/>
        <w:jc w:val="both"/>
        <w:rPr>
          <w:rFonts w:cs="Times New Roman"/>
          <w:sz w:val="24"/>
          <w:szCs w:val="24"/>
        </w:rPr>
      </w:pPr>
      <w:proofErr w:type="gramStart"/>
      <w:r w:rsidRPr="001B304D">
        <w:rPr>
          <w:rFonts w:cs="Times New Roman"/>
          <w:sz w:val="24"/>
          <w:szCs w:val="24"/>
        </w:rPr>
        <w:t xml:space="preserve">Langer, Suzanne K. </w:t>
      </w:r>
      <w:r w:rsidRPr="001B304D">
        <w:rPr>
          <w:rFonts w:cs="Times New Roman"/>
          <w:i/>
          <w:sz w:val="24"/>
          <w:szCs w:val="24"/>
        </w:rPr>
        <w:t>Feeling and Form</w:t>
      </w:r>
      <w:r w:rsidR="00EB21AC" w:rsidRPr="001B304D">
        <w:rPr>
          <w:rFonts w:cs="Times New Roman"/>
          <w:sz w:val="24"/>
          <w:szCs w:val="24"/>
        </w:rPr>
        <w:t>.</w:t>
      </w:r>
      <w:proofErr w:type="gramEnd"/>
      <w:r w:rsidRPr="001B304D">
        <w:rPr>
          <w:rFonts w:cs="Times New Roman"/>
          <w:sz w:val="24"/>
          <w:szCs w:val="24"/>
        </w:rPr>
        <w:t xml:space="preserve"> New York: Scribner</w:t>
      </w:r>
      <w:r w:rsidR="00EB21AC" w:rsidRPr="001B304D">
        <w:rPr>
          <w:rFonts w:cs="Times New Roman"/>
          <w:sz w:val="24"/>
          <w:szCs w:val="24"/>
        </w:rPr>
        <w:t>, 1953</w:t>
      </w:r>
      <w:r w:rsidRPr="001B304D">
        <w:rPr>
          <w:rFonts w:cs="Times New Roman"/>
          <w:sz w:val="24"/>
          <w:szCs w:val="24"/>
        </w:rPr>
        <w:t>.</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 xml:space="preserve">Le </w:t>
      </w:r>
      <w:proofErr w:type="spellStart"/>
      <w:r w:rsidRPr="001B304D">
        <w:rPr>
          <w:rFonts w:cs="Times New Roman"/>
          <w:sz w:val="24"/>
          <w:szCs w:val="24"/>
        </w:rPr>
        <w:t>Poidevin</w:t>
      </w:r>
      <w:proofErr w:type="spellEnd"/>
      <w:r w:rsidRPr="001B304D">
        <w:rPr>
          <w:rFonts w:cs="Times New Roman"/>
          <w:sz w:val="24"/>
          <w:szCs w:val="24"/>
        </w:rPr>
        <w:t>, R</w:t>
      </w:r>
      <w:r w:rsidR="00CB44EF" w:rsidRPr="001B304D">
        <w:rPr>
          <w:rFonts w:cs="Times New Roman"/>
          <w:sz w:val="24"/>
          <w:szCs w:val="24"/>
        </w:rPr>
        <w:t>obin</w:t>
      </w:r>
      <w:r w:rsidR="00EB21AC" w:rsidRPr="001B304D">
        <w:rPr>
          <w:rFonts w:cs="Times New Roman"/>
          <w:sz w:val="24"/>
          <w:szCs w:val="24"/>
        </w:rPr>
        <w:t xml:space="preserve">.  </w:t>
      </w:r>
      <w:proofErr w:type="gramStart"/>
      <w:r w:rsidRPr="001B304D">
        <w:rPr>
          <w:rFonts w:cs="Times New Roman"/>
          <w:sz w:val="24"/>
          <w:szCs w:val="24"/>
        </w:rPr>
        <w:t>‘Editorial</w:t>
      </w:r>
      <w:r w:rsidR="00EB21AC" w:rsidRPr="001B304D">
        <w:rPr>
          <w:rFonts w:cs="Times New Roman"/>
          <w:sz w:val="24"/>
          <w:szCs w:val="24"/>
        </w:rPr>
        <w:t>.’</w:t>
      </w:r>
      <w:proofErr w:type="gramEnd"/>
      <w:r w:rsidRPr="001B304D">
        <w:rPr>
          <w:rFonts w:cs="Times New Roman"/>
          <w:sz w:val="24"/>
          <w:szCs w:val="24"/>
        </w:rPr>
        <w:t xml:space="preserve"> </w:t>
      </w:r>
      <w:r w:rsidRPr="001B304D">
        <w:rPr>
          <w:rFonts w:cs="Times New Roman"/>
          <w:i/>
          <w:sz w:val="24"/>
          <w:szCs w:val="24"/>
        </w:rPr>
        <w:t xml:space="preserve">Religious Studies </w:t>
      </w:r>
      <w:r w:rsidRPr="001B304D">
        <w:rPr>
          <w:rFonts w:cs="Times New Roman"/>
          <w:sz w:val="24"/>
          <w:szCs w:val="24"/>
        </w:rPr>
        <w:t>48.1</w:t>
      </w:r>
      <w:r w:rsidR="00EB21AC" w:rsidRPr="001B304D">
        <w:rPr>
          <w:rFonts w:cs="Times New Roman"/>
          <w:sz w:val="24"/>
          <w:szCs w:val="24"/>
        </w:rPr>
        <w:t xml:space="preserve"> (2012):</w:t>
      </w:r>
      <w:r w:rsidRPr="001B304D">
        <w:rPr>
          <w:rFonts w:cs="Times New Roman"/>
          <w:sz w:val="24"/>
          <w:szCs w:val="24"/>
        </w:rPr>
        <w:t xml:space="preserve"> 1–2.</w:t>
      </w:r>
    </w:p>
    <w:p w:rsidR="0035679F" w:rsidRPr="001B304D" w:rsidRDefault="00CB44EF" w:rsidP="008100A8">
      <w:pPr>
        <w:pStyle w:val="western"/>
        <w:spacing w:before="0" w:beforeAutospacing="0" w:after="0" w:line="480" w:lineRule="auto"/>
        <w:ind w:left="720" w:hanging="720"/>
        <w:jc w:val="both"/>
      </w:pPr>
      <w:r w:rsidRPr="001B304D">
        <w:t xml:space="preserve">Leiter, Brian. </w:t>
      </w:r>
      <w:r w:rsidRPr="001B304D">
        <w:rPr>
          <w:i/>
        </w:rPr>
        <w:t xml:space="preserve">Why Tolerate Religion? </w:t>
      </w:r>
      <w:r w:rsidRPr="001B304D">
        <w:t>Princeton: Princeton University Press, 2012.</w:t>
      </w:r>
    </w:p>
    <w:p w:rsidR="00EB21AC" w:rsidRPr="001B304D" w:rsidRDefault="0035679F" w:rsidP="008100A8">
      <w:pPr>
        <w:spacing w:after="0" w:line="480" w:lineRule="auto"/>
        <w:ind w:left="720" w:hanging="720"/>
        <w:jc w:val="both"/>
        <w:rPr>
          <w:rFonts w:cs="Times New Roman"/>
          <w:sz w:val="24"/>
          <w:szCs w:val="24"/>
        </w:rPr>
      </w:pPr>
      <w:proofErr w:type="gramStart"/>
      <w:r w:rsidRPr="001B304D">
        <w:rPr>
          <w:rFonts w:cs="Times New Roman"/>
          <w:sz w:val="24"/>
          <w:szCs w:val="24"/>
        </w:rPr>
        <w:t>Lord Carey and Others</w:t>
      </w:r>
      <w:r w:rsidR="00EB21AC" w:rsidRPr="001B304D">
        <w:rPr>
          <w:rFonts w:cs="Times New Roman"/>
          <w:sz w:val="24"/>
          <w:szCs w:val="24"/>
        </w:rPr>
        <w:t>.</w:t>
      </w:r>
      <w:proofErr w:type="gramEnd"/>
      <w:r w:rsidRPr="001B304D">
        <w:rPr>
          <w:rFonts w:cs="Times New Roman"/>
          <w:sz w:val="24"/>
          <w:szCs w:val="24"/>
        </w:rPr>
        <w:t xml:space="preserve"> ‘The Religious Rights of Christians are Treated with Disrespect’, </w:t>
      </w:r>
      <w:r w:rsidRPr="001B304D">
        <w:rPr>
          <w:rFonts w:cs="Times New Roman"/>
          <w:i/>
          <w:sz w:val="24"/>
          <w:szCs w:val="24"/>
        </w:rPr>
        <w:t>The Daily Telegraph</w:t>
      </w:r>
      <w:r w:rsidRPr="001B304D">
        <w:rPr>
          <w:rFonts w:cs="Times New Roman"/>
          <w:sz w:val="24"/>
          <w:szCs w:val="24"/>
        </w:rPr>
        <w:t xml:space="preserve"> (London,</w:t>
      </w:r>
      <w:r w:rsidRPr="001B304D">
        <w:rPr>
          <w:rFonts w:cs="Times New Roman"/>
          <w:i/>
          <w:sz w:val="24"/>
          <w:szCs w:val="24"/>
        </w:rPr>
        <w:t xml:space="preserve"> </w:t>
      </w:r>
      <w:r w:rsidRPr="001B304D">
        <w:rPr>
          <w:rFonts w:cs="Times New Roman"/>
          <w:sz w:val="24"/>
          <w:szCs w:val="24"/>
        </w:rPr>
        <w:t>28 March 2010),</w:t>
      </w:r>
    </w:p>
    <w:p w:rsidR="0035679F" w:rsidRPr="001B304D" w:rsidRDefault="00282F5B" w:rsidP="008100A8">
      <w:pPr>
        <w:spacing w:after="0" w:line="480" w:lineRule="auto"/>
        <w:ind w:left="720"/>
        <w:jc w:val="both"/>
        <w:rPr>
          <w:rFonts w:cs="Times New Roman"/>
          <w:sz w:val="24"/>
          <w:szCs w:val="24"/>
        </w:rPr>
      </w:pPr>
      <w:hyperlink r:id="rId13" w:history="1">
        <w:proofErr w:type="gramStart"/>
        <w:r w:rsidR="0035679F" w:rsidRPr="001B304D">
          <w:rPr>
            <w:rStyle w:val="Hyperlink"/>
            <w:color w:val="auto"/>
            <w:sz w:val="24"/>
            <w:szCs w:val="24"/>
          </w:rPr>
          <w:t>http://www.telegraph.co.uk/comment/letters/7528487/The-religious-rights-of-Christians-are-treated-with-disrespect.html</w:t>
        </w:r>
      </w:hyperlink>
      <w:r w:rsidR="0035679F" w:rsidRPr="001B304D">
        <w:rPr>
          <w:rFonts w:cs="Times New Roman"/>
          <w:sz w:val="24"/>
          <w:szCs w:val="24"/>
        </w:rPr>
        <w:t>, date accessed 15 June 2013.</w:t>
      </w:r>
      <w:proofErr w:type="gramEnd"/>
    </w:p>
    <w:p w:rsidR="00F97914" w:rsidRPr="001B304D" w:rsidRDefault="00F97914" w:rsidP="008100A8">
      <w:pPr>
        <w:spacing w:after="0" w:line="480" w:lineRule="auto"/>
        <w:ind w:left="720" w:hanging="720"/>
        <w:jc w:val="both"/>
        <w:rPr>
          <w:sz w:val="24"/>
          <w:szCs w:val="24"/>
        </w:rPr>
      </w:pPr>
      <w:proofErr w:type="spellStart"/>
      <w:r w:rsidRPr="001B304D">
        <w:rPr>
          <w:sz w:val="24"/>
          <w:szCs w:val="24"/>
        </w:rPr>
        <w:t>Macquarrie</w:t>
      </w:r>
      <w:proofErr w:type="spellEnd"/>
      <w:r w:rsidRPr="001B304D">
        <w:rPr>
          <w:sz w:val="24"/>
          <w:szCs w:val="24"/>
        </w:rPr>
        <w:t xml:space="preserve">, John. </w:t>
      </w:r>
      <w:proofErr w:type="gramStart"/>
      <w:r w:rsidRPr="001B304D">
        <w:rPr>
          <w:i/>
          <w:iCs/>
          <w:sz w:val="24"/>
          <w:szCs w:val="24"/>
        </w:rPr>
        <w:t>God-Talk</w:t>
      </w:r>
      <w:r w:rsidRPr="001B304D">
        <w:rPr>
          <w:sz w:val="24"/>
          <w:szCs w:val="24"/>
        </w:rPr>
        <w:t>.</w:t>
      </w:r>
      <w:proofErr w:type="gramEnd"/>
      <w:r w:rsidRPr="001B304D">
        <w:rPr>
          <w:sz w:val="24"/>
          <w:szCs w:val="24"/>
        </w:rPr>
        <w:t xml:space="preserve"> New York: Harper and Row, 1967.</w:t>
      </w:r>
    </w:p>
    <w:p w:rsidR="00BE0056" w:rsidRPr="001B304D" w:rsidRDefault="00BE0056" w:rsidP="008100A8">
      <w:pPr>
        <w:spacing w:after="0" w:line="480" w:lineRule="auto"/>
        <w:ind w:left="720" w:hanging="720"/>
        <w:jc w:val="both"/>
        <w:rPr>
          <w:sz w:val="24"/>
          <w:szCs w:val="24"/>
        </w:rPr>
      </w:pPr>
      <w:r w:rsidRPr="001B304D">
        <w:rPr>
          <w:sz w:val="24"/>
          <w:szCs w:val="24"/>
        </w:rPr>
        <w:t>Manning, Russell Re (</w:t>
      </w:r>
      <w:proofErr w:type="gramStart"/>
      <w:r w:rsidRPr="001B304D">
        <w:rPr>
          <w:sz w:val="24"/>
          <w:szCs w:val="24"/>
        </w:rPr>
        <w:t>ed</w:t>
      </w:r>
      <w:proofErr w:type="gramEnd"/>
      <w:r w:rsidRPr="001B304D">
        <w:rPr>
          <w:sz w:val="24"/>
          <w:szCs w:val="24"/>
        </w:rPr>
        <w:t xml:space="preserve">.). </w:t>
      </w:r>
      <w:proofErr w:type="gramStart"/>
      <w:r w:rsidRPr="001B304D">
        <w:rPr>
          <w:i/>
          <w:sz w:val="24"/>
          <w:szCs w:val="24"/>
        </w:rPr>
        <w:t>Retrieving the Radical Tillich: His Legacy and Contemporary Importance</w:t>
      </w:r>
      <w:r w:rsidRPr="001B304D">
        <w:rPr>
          <w:sz w:val="24"/>
          <w:szCs w:val="24"/>
        </w:rPr>
        <w:t>.</w:t>
      </w:r>
      <w:proofErr w:type="gramEnd"/>
      <w:r w:rsidRPr="001B304D">
        <w:rPr>
          <w:sz w:val="24"/>
          <w:szCs w:val="24"/>
        </w:rPr>
        <w:t xml:space="preserve"> Basingstoke: Palgrave, Macmillan, 2015.</w:t>
      </w:r>
    </w:p>
    <w:p w:rsidR="00F97914" w:rsidRPr="001B304D" w:rsidRDefault="00F97914" w:rsidP="008100A8">
      <w:pPr>
        <w:spacing w:after="0" w:line="480" w:lineRule="auto"/>
        <w:ind w:left="720" w:hanging="720"/>
        <w:jc w:val="both"/>
        <w:rPr>
          <w:rFonts w:cs="Times New Roman"/>
          <w:sz w:val="24"/>
          <w:szCs w:val="24"/>
        </w:rPr>
      </w:pPr>
      <w:proofErr w:type="spellStart"/>
      <w:r w:rsidRPr="001B304D">
        <w:rPr>
          <w:sz w:val="24"/>
          <w:szCs w:val="24"/>
        </w:rPr>
        <w:t>McFague</w:t>
      </w:r>
      <w:proofErr w:type="spellEnd"/>
      <w:r w:rsidRPr="001B304D">
        <w:rPr>
          <w:sz w:val="24"/>
          <w:szCs w:val="24"/>
        </w:rPr>
        <w:t xml:space="preserve">, Sally. </w:t>
      </w:r>
      <w:r w:rsidRPr="001B304D">
        <w:rPr>
          <w:i/>
          <w:iCs/>
          <w:sz w:val="24"/>
          <w:szCs w:val="24"/>
        </w:rPr>
        <w:t>Metaphorical Theology: Models of God in Religious Language</w:t>
      </w:r>
      <w:r w:rsidRPr="001B304D">
        <w:rPr>
          <w:sz w:val="24"/>
          <w:szCs w:val="24"/>
        </w:rPr>
        <w:t>. Indianapolis: Fortress, 1982</w:t>
      </w:r>
    </w:p>
    <w:p w:rsidR="0035679F" w:rsidRPr="001B304D" w:rsidRDefault="0035679F" w:rsidP="008100A8">
      <w:pPr>
        <w:spacing w:after="0" w:line="480" w:lineRule="auto"/>
        <w:ind w:left="720" w:hanging="720"/>
        <w:jc w:val="both"/>
        <w:rPr>
          <w:rFonts w:cs="Times New Roman"/>
          <w:iCs/>
          <w:sz w:val="24"/>
          <w:szCs w:val="24"/>
          <w:lang w:val="de-DE"/>
        </w:rPr>
      </w:pPr>
      <w:proofErr w:type="spellStart"/>
      <w:r w:rsidRPr="001B304D">
        <w:rPr>
          <w:rFonts w:cs="Times New Roman"/>
          <w:sz w:val="24"/>
          <w:szCs w:val="24"/>
        </w:rPr>
        <w:t>McGoldrick</w:t>
      </w:r>
      <w:proofErr w:type="spellEnd"/>
      <w:r w:rsidRPr="001B304D">
        <w:rPr>
          <w:rFonts w:cs="Times New Roman"/>
          <w:sz w:val="24"/>
          <w:szCs w:val="24"/>
        </w:rPr>
        <w:t>, D</w:t>
      </w:r>
      <w:r w:rsidR="00CB44EF" w:rsidRPr="001B304D">
        <w:rPr>
          <w:rFonts w:cs="Times New Roman"/>
          <w:sz w:val="24"/>
          <w:szCs w:val="24"/>
        </w:rPr>
        <w:t>ominic</w:t>
      </w:r>
      <w:r w:rsidR="00EB21AC" w:rsidRPr="001B304D">
        <w:rPr>
          <w:rFonts w:cs="Times New Roman"/>
          <w:sz w:val="24"/>
          <w:szCs w:val="24"/>
        </w:rPr>
        <w:t>.</w:t>
      </w:r>
      <w:r w:rsidRPr="001B304D">
        <w:rPr>
          <w:rFonts w:cs="Times New Roman"/>
          <w:sz w:val="24"/>
          <w:szCs w:val="24"/>
        </w:rPr>
        <w:t xml:space="preserve"> </w:t>
      </w:r>
      <w:proofErr w:type="gramStart"/>
      <w:r w:rsidRPr="001B304D">
        <w:rPr>
          <w:rFonts w:cs="Times New Roman"/>
          <w:iCs/>
          <w:sz w:val="24"/>
          <w:szCs w:val="24"/>
        </w:rPr>
        <w:t>‘Religion in the European Public Square and in European Public Lif</w:t>
      </w:r>
      <w:r w:rsidR="00EB21AC" w:rsidRPr="001B304D">
        <w:rPr>
          <w:rFonts w:cs="Times New Roman"/>
          <w:iCs/>
          <w:sz w:val="24"/>
          <w:szCs w:val="24"/>
        </w:rPr>
        <w:t>e—Crucifixes in the Classroom?’</w:t>
      </w:r>
      <w:proofErr w:type="gramEnd"/>
      <w:r w:rsidRPr="001B304D">
        <w:rPr>
          <w:rFonts w:cs="Times New Roman"/>
          <w:iCs/>
          <w:sz w:val="24"/>
          <w:szCs w:val="24"/>
        </w:rPr>
        <w:t xml:space="preserve"> </w:t>
      </w:r>
      <w:r w:rsidRPr="001B304D">
        <w:rPr>
          <w:rFonts w:cs="Times New Roman"/>
          <w:i/>
          <w:iCs/>
          <w:sz w:val="24"/>
          <w:szCs w:val="24"/>
          <w:lang w:val="de-DE"/>
        </w:rPr>
        <w:t>European Law Review</w:t>
      </w:r>
      <w:r w:rsidRPr="001B304D">
        <w:rPr>
          <w:rFonts w:cs="Times New Roman"/>
          <w:iCs/>
          <w:sz w:val="24"/>
          <w:szCs w:val="24"/>
          <w:lang w:val="de-DE"/>
        </w:rPr>
        <w:t xml:space="preserve"> 11.3</w:t>
      </w:r>
      <w:r w:rsidR="00EB21AC" w:rsidRPr="001B304D">
        <w:rPr>
          <w:rFonts w:cs="Times New Roman"/>
          <w:iCs/>
          <w:sz w:val="24"/>
          <w:szCs w:val="24"/>
          <w:lang w:val="de-DE"/>
        </w:rPr>
        <w:t xml:space="preserve"> (2011):</w:t>
      </w:r>
      <w:r w:rsidRPr="001B304D">
        <w:rPr>
          <w:rFonts w:cs="Times New Roman"/>
          <w:iCs/>
          <w:sz w:val="24"/>
          <w:szCs w:val="24"/>
          <w:lang w:val="de-DE"/>
        </w:rPr>
        <w:t xml:space="preserve"> </w:t>
      </w:r>
      <w:r w:rsidRPr="001B304D">
        <w:rPr>
          <w:rStyle w:val="slug-pages"/>
          <w:rFonts w:cs="Times New Roman"/>
          <w:iCs/>
          <w:sz w:val="24"/>
          <w:szCs w:val="24"/>
          <w:lang w:val="de-DE"/>
        </w:rPr>
        <w:t>451–502</w:t>
      </w:r>
      <w:r w:rsidRPr="001B304D">
        <w:rPr>
          <w:rFonts w:cs="Times New Roman"/>
          <w:iCs/>
          <w:sz w:val="24"/>
          <w:szCs w:val="24"/>
          <w:lang w:val="de-DE"/>
        </w:rPr>
        <w:t>.</w:t>
      </w:r>
    </w:p>
    <w:p w:rsidR="0035679F" w:rsidRPr="001B304D" w:rsidRDefault="0035679F" w:rsidP="008100A8">
      <w:pPr>
        <w:pStyle w:val="western"/>
        <w:spacing w:before="0" w:beforeAutospacing="0" w:after="0" w:line="480" w:lineRule="auto"/>
        <w:ind w:left="720" w:hanging="720"/>
        <w:jc w:val="both"/>
      </w:pPr>
      <w:r w:rsidRPr="001B304D">
        <w:rPr>
          <w:lang w:val="de-DE"/>
        </w:rPr>
        <w:t xml:space="preserve">Müller, Curt. </w:t>
      </w:r>
      <w:r w:rsidRPr="001B304D">
        <w:rPr>
          <w:i/>
          <w:iCs/>
          <w:lang w:val="de-DE"/>
        </w:rPr>
        <w:t>Die geschichtlichen Voraussetzungen des Symbolbegriffs in Goethes Kunstanschauung</w:t>
      </w:r>
      <w:r w:rsidRPr="001B304D">
        <w:rPr>
          <w:lang w:val="de-DE"/>
        </w:rPr>
        <w:t xml:space="preserve">. </w:t>
      </w:r>
      <w:r w:rsidRPr="001B304D">
        <w:t>Leipzig: Mayer</w:t>
      </w:r>
      <w:r w:rsidR="00EB21AC" w:rsidRPr="001B304D">
        <w:t>, 1937</w:t>
      </w:r>
      <w:r w:rsidRPr="001B304D">
        <w:t>.</w:t>
      </w:r>
    </w:p>
    <w:p w:rsidR="0035679F" w:rsidRPr="001B304D" w:rsidRDefault="00EB21AC" w:rsidP="008100A8">
      <w:pPr>
        <w:pStyle w:val="FootnoteText"/>
        <w:spacing w:line="480" w:lineRule="auto"/>
        <w:ind w:left="720" w:hanging="720"/>
        <w:jc w:val="both"/>
        <w:rPr>
          <w:rFonts w:cs="Times New Roman"/>
          <w:sz w:val="24"/>
          <w:szCs w:val="24"/>
        </w:rPr>
      </w:pPr>
      <w:proofErr w:type="gramStart"/>
      <w:r w:rsidRPr="001B304D">
        <w:rPr>
          <w:rFonts w:cs="Times New Roman"/>
          <w:sz w:val="24"/>
          <w:szCs w:val="24"/>
        </w:rPr>
        <w:lastRenderedPageBreak/>
        <w:t>National Secular Society.</w:t>
      </w:r>
      <w:proofErr w:type="gramEnd"/>
      <w:r w:rsidR="0035679F" w:rsidRPr="001B304D">
        <w:rPr>
          <w:rFonts w:cs="Times New Roman"/>
          <w:sz w:val="24"/>
          <w:szCs w:val="24"/>
        </w:rPr>
        <w:t xml:space="preserve"> ‘Submissions to the European Court of Human Rights on </w:t>
      </w:r>
      <w:proofErr w:type="spellStart"/>
      <w:r w:rsidR="0035679F" w:rsidRPr="001B304D">
        <w:rPr>
          <w:rFonts w:cs="Times New Roman"/>
          <w:i/>
          <w:sz w:val="24"/>
          <w:szCs w:val="24"/>
        </w:rPr>
        <w:t>Eweida</w:t>
      </w:r>
      <w:proofErr w:type="spellEnd"/>
      <w:r w:rsidR="0035679F" w:rsidRPr="001B304D">
        <w:rPr>
          <w:rFonts w:cs="Times New Roman"/>
          <w:sz w:val="24"/>
          <w:szCs w:val="24"/>
        </w:rPr>
        <w:t xml:space="preserve">, </w:t>
      </w:r>
      <w:r w:rsidR="0035679F" w:rsidRPr="001B304D">
        <w:rPr>
          <w:rFonts w:cs="Times New Roman"/>
          <w:i/>
          <w:sz w:val="24"/>
          <w:szCs w:val="24"/>
        </w:rPr>
        <w:t>Chaplin</w:t>
      </w:r>
      <w:r w:rsidR="0035679F" w:rsidRPr="001B304D">
        <w:rPr>
          <w:rFonts w:cs="Times New Roman"/>
          <w:sz w:val="24"/>
          <w:szCs w:val="24"/>
        </w:rPr>
        <w:t xml:space="preserve">, </w:t>
      </w:r>
      <w:r w:rsidR="0035679F" w:rsidRPr="001B304D">
        <w:rPr>
          <w:rFonts w:cs="Times New Roman"/>
          <w:i/>
          <w:sz w:val="24"/>
          <w:szCs w:val="24"/>
        </w:rPr>
        <w:t>McFarlane</w:t>
      </w:r>
      <w:r w:rsidR="0035679F" w:rsidRPr="001B304D">
        <w:rPr>
          <w:rFonts w:cs="Times New Roman"/>
          <w:sz w:val="24"/>
          <w:szCs w:val="24"/>
        </w:rPr>
        <w:t xml:space="preserve"> and </w:t>
      </w:r>
      <w:proofErr w:type="spellStart"/>
      <w:r w:rsidR="0035679F" w:rsidRPr="001B304D">
        <w:rPr>
          <w:rFonts w:cs="Times New Roman"/>
          <w:i/>
          <w:sz w:val="24"/>
          <w:szCs w:val="24"/>
        </w:rPr>
        <w:t>Ladele</w:t>
      </w:r>
      <w:proofErr w:type="spellEnd"/>
      <w:r w:rsidR="0035679F" w:rsidRPr="001B304D">
        <w:rPr>
          <w:rFonts w:cs="Times New Roman"/>
          <w:sz w:val="24"/>
          <w:szCs w:val="24"/>
        </w:rPr>
        <w:t>’</w:t>
      </w:r>
      <w:r w:rsidRPr="001B304D">
        <w:rPr>
          <w:rFonts w:cs="Times New Roman"/>
          <w:sz w:val="24"/>
          <w:szCs w:val="24"/>
        </w:rPr>
        <w:t xml:space="preserve"> (2011)</w:t>
      </w:r>
      <w:r w:rsidR="0035679F" w:rsidRPr="001B304D">
        <w:rPr>
          <w:rFonts w:cs="Times New Roman"/>
          <w:sz w:val="24"/>
          <w:szCs w:val="24"/>
        </w:rPr>
        <w:t xml:space="preserve">, </w:t>
      </w:r>
      <w:hyperlink r:id="rId14" w:history="1">
        <w:r w:rsidR="0035679F" w:rsidRPr="001B304D">
          <w:rPr>
            <w:rStyle w:val="Hyperlink"/>
            <w:color w:val="auto"/>
            <w:sz w:val="24"/>
            <w:szCs w:val="24"/>
          </w:rPr>
          <w:t>http://www.secularism.org.uk/uploads/nss-intervention-to-european-court-of-human-rights.pdf</w:t>
        </w:r>
      </w:hyperlink>
      <w:r w:rsidR="0035679F" w:rsidRPr="001B304D">
        <w:rPr>
          <w:rFonts w:cs="Times New Roman"/>
          <w:sz w:val="24"/>
          <w:szCs w:val="24"/>
        </w:rPr>
        <w:t>, date accessed 4 May 2013.</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 xml:space="preserve">Neville, Robert C. </w:t>
      </w:r>
      <w:proofErr w:type="gramStart"/>
      <w:r w:rsidRPr="001B304D">
        <w:rPr>
          <w:rFonts w:cs="Times New Roman"/>
          <w:i/>
          <w:sz w:val="24"/>
          <w:szCs w:val="24"/>
        </w:rPr>
        <w:t>The Truth of Broken Symbols</w:t>
      </w:r>
      <w:r w:rsidRPr="001B304D">
        <w:rPr>
          <w:rFonts w:cs="Times New Roman"/>
          <w:sz w:val="24"/>
          <w:szCs w:val="24"/>
        </w:rPr>
        <w:t>.</w:t>
      </w:r>
      <w:proofErr w:type="gramEnd"/>
      <w:r w:rsidRPr="001B304D">
        <w:rPr>
          <w:rFonts w:cs="Times New Roman"/>
          <w:sz w:val="24"/>
          <w:szCs w:val="24"/>
        </w:rPr>
        <w:t xml:space="preserve"> Albany: SUNY, 1996.</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 xml:space="preserve">Nussbaum, Martha. </w:t>
      </w:r>
      <w:proofErr w:type="gramStart"/>
      <w:r w:rsidRPr="001B304D">
        <w:rPr>
          <w:rFonts w:cs="Times New Roman"/>
          <w:i/>
          <w:sz w:val="24"/>
          <w:szCs w:val="24"/>
        </w:rPr>
        <w:t>Liberty of Conscience</w:t>
      </w:r>
      <w:r w:rsidRPr="001B304D">
        <w:rPr>
          <w:rFonts w:cs="Times New Roman"/>
          <w:sz w:val="24"/>
          <w:szCs w:val="24"/>
        </w:rPr>
        <w:t>.</w:t>
      </w:r>
      <w:proofErr w:type="gramEnd"/>
      <w:r w:rsidRPr="001B304D">
        <w:rPr>
          <w:rFonts w:cs="Times New Roman"/>
          <w:sz w:val="24"/>
          <w:szCs w:val="24"/>
        </w:rPr>
        <w:t xml:space="preserve"> New York: Basic, 2008.</w:t>
      </w:r>
    </w:p>
    <w:p w:rsidR="00E2724D" w:rsidRPr="001B304D" w:rsidRDefault="00EB21AC" w:rsidP="008100A8">
      <w:pPr>
        <w:pStyle w:val="western"/>
        <w:spacing w:before="0" w:beforeAutospacing="0" w:after="0" w:line="480" w:lineRule="auto"/>
        <w:ind w:left="720" w:hanging="720"/>
        <w:jc w:val="both"/>
      </w:pPr>
      <w:r w:rsidRPr="001B304D">
        <w:t xml:space="preserve">O’Brien, William </w:t>
      </w:r>
      <w:proofErr w:type="spellStart"/>
      <w:r w:rsidRPr="001B304D">
        <w:t>Arcander</w:t>
      </w:r>
      <w:proofErr w:type="spellEnd"/>
      <w:r w:rsidRPr="001B304D">
        <w:t>.</w:t>
      </w:r>
      <w:r w:rsidR="00E2724D" w:rsidRPr="001B304D">
        <w:t xml:space="preserve"> </w:t>
      </w:r>
      <w:r w:rsidR="00E2724D" w:rsidRPr="001B304D">
        <w:rPr>
          <w:i/>
          <w:iCs/>
        </w:rPr>
        <w:t>Novalis: Signs of Revolution</w:t>
      </w:r>
      <w:r w:rsidR="00E2724D" w:rsidRPr="001B304D">
        <w:t>. Durham: Duke University Press</w:t>
      </w:r>
      <w:r w:rsidRPr="001B304D">
        <w:t>, 1995</w:t>
      </w:r>
      <w:r w:rsidR="00E2724D" w:rsidRPr="001B304D">
        <w:t>.</w:t>
      </w:r>
    </w:p>
    <w:p w:rsidR="0035679F" w:rsidRPr="001B304D" w:rsidRDefault="0035679F" w:rsidP="008100A8">
      <w:pPr>
        <w:pStyle w:val="western"/>
        <w:spacing w:before="0" w:beforeAutospacing="0" w:after="0" w:line="480" w:lineRule="auto"/>
        <w:ind w:left="720" w:hanging="720"/>
        <w:jc w:val="both"/>
      </w:pPr>
      <w:r w:rsidRPr="001B304D">
        <w:t xml:space="preserve">Ricoeur, Paul. </w:t>
      </w:r>
      <w:proofErr w:type="gramStart"/>
      <w:r w:rsidRPr="001B304D">
        <w:rPr>
          <w:i/>
          <w:iCs/>
        </w:rPr>
        <w:t>The Symbolism of Evil</w:t>
      </w:r>
      <w:r w:rsidRPr="001B304D">
        <w:t>.</w:t>
      </w:r>
      <w:proofErr w:type="gramEnd"/>
      <w:r w:rsidRPr="001B304D">
        <w:t xml:space="preserve"> </w:t>
      </w:r>
      <w:proofErr w:type="gramStart"/>
      <w:r w:rsidRPr="001B304D">
        <w:t>Translated by Emerson Buchanan.</w:t>
      </w:r>
      <w:proofErr w:type="gramEnd"/>
      <w:r w:rsidRPr="001B304D">
        <w:t xml:space="preserve"> Boston: Beacon Press</w:t>
      </w:r>
      <w:r w:rsidR="00EB21AC" w:rsidRPr="001B304D">
        <w:t>, 1967</w:t>
      </w:r>
      <w:r w:rsidRPr="001B304D">
        <w:t>.</w:t>
      </w:r>
    </w:p>
    <w:p w:rsidR="001052E3" w:rsidRPr="001B304D" w:rsidRDefault="001052E3" w:rsidP="001052E3">
      <w:pPr>
        <w:spacing w:after="0" w:line="480" w:lineRule="auto"/>
        <w:ind w:left="720" w:hanging="720"/>
        <w:jc w:val="both"/>
        <w:rPr>
          <w:rFonts w:cs="Times New Roman"/>
          <w:sz w:val="24"/>
          <w:szCs w:val="24"/>
        </w:rPr>
      </w:pPr>
      <w:r w:rsidRPr="001B304D">
        <w:rPr>
          <w:rFonts w:cs="Times New Roman"/>
          <w:sz w:val="24"/>
          <w:szCs w:val="24"/>
        </w:rPr>
        <w:t xml:space="preserve">Ricoeur, Paul. </w:t>
      </w:r>
      <w:r w:rsidRPr="001B304D">
        <w:rPr>
          <w:rFonts w:cs="Times New Roman"/>
          <w:i/>
          <w:sz w:val="24"/>
          <w:szCs w:val="24"/>
        </w:rPr>
        <w:t>Freud and Philosophy: An Essay in Interpretation</w:t>
      </w:r>
      <w:r w:rsidRPr="001B304D">
        <w:rPr>
          <w:rFonts w:cs="Times New Roman"/>
          <w:sz w:val="24"/>
          <w:szCs w:val="24"/>
        </w:rPr>
        <w:t xml:space="preserve">. </w:t>
      </w:r>
      <w:proofErr w:type="gramStart"/>
      <w:r w:rsidRPr="001B304D">
        <w:rPr>
          <w:rFonts w:cs="Times New Roman"/>
          <w:sz w:val="24"/>
          <w:szCs w:val="24"/>
        </w:rPr>
        <w:t>Translated by Denis Savage.</w:t>
      </w:r>
      <w:proofErr w:type="gramEnd"/>
      <w:r w:rsidRPr="001B304D">
        <w:rPr>
          <w:rFonts w:cs="Times New Roman"/>
          <w:sz w:val="24"/>
          <w:szCs w:val="24"/>
        </w:rPr>
        <w:t xml:space="preserve"> New Haven: Yale University Press, 1970.</w:t>
      </w:r>
    </w:p>
    <w:p w:rsidR="0035679F" w:rsidRPr="001B304D" w:rsidRDefault="0035679F" w:rsidP="008100A8">
      <w:pPr>
        <w:pStyle w:val="western"/>
        <w:spacing w:before="0" w:beforeAutospacing="0" w:after="0" w:line="480" w:lineRule="auto"/>
        <w:ind w:left="720" w:hanging="720"/>
        <w:jc w:val="both"/>
      </w:pPr>
      <w:r w:rsidRPr="001B304D">
        <w:t xml:space="preserve">Ricoeur, Paul. </w:t>
      </w:r>
      <w:proofErr w:type="gramStart"/>
      <w:r w:rsidRPr="001B304D">
        <w:rPr>
          <w:i/>
          <w:iCs/>
        </w:rPr>
        <w:t>The Conflict of Interpretations</w:t>
      </w:r>
      <w:r w:rsidRPr="001B304D">
        <w:t>.</w:t>
      </w:r>
      <w:proofErr w:type="gramEnd"/>
      <w:r w:rsidRPr="001B304D">
        <w:t xml:space="preserve"> </w:t>
      </w:r>
      <w:proofErr w:type="gramStart"/>
      <w:r w:rsidRPr="001B304D">
        <w:t xml:space="preserve">Translated by Don </w:t>
      </w:r>
      <w:proofErr w:type="spellStart"/>
      <w:r w:rsidRPr="001B304D">
        <w:t>Ihde</w:t>
      </w:r>
      <w:proofErr w:type="spellEnd"/>
      <w:r w:rsidRPr="001B304D">
        <w:t>.</w:t>
      </w:r>
      <w:proofErr w:type="gramEnd"/>
      <w:r w:rsidRPr="001B304D">
        <w:t xml:space="preserve"> Evanston: </w:t>
      </w:r>
      <w:proofErr w:type="spellStart"/>
      <w:r w:rsidRPr="001B304D">
        <w:t>Northwestern</w:t>
      </w:r>
      <w:proofErr w:type="spellEnd"/>
      <w:r w:rsidRPr="001B304D">
        <w:t xml:space="preserve"> University Press</w:t>
      </w:r>
      <w:r w:rsidR="00EB21AC" w:rsidRPr="001B304D">
        <w:t>, 1974</w:t>
      </w:r>
      <w:r w:rsidRPr="001B304D">
        <w:t>.</w:t>
      </w:r>
    </w:p>
    <w:p w:rsidR="00E2724D" w:rsidRPr="001B304D" w:rsidRDefault="00E2724D" w:rsidP="008100A8">
      <w:pPr>
        <w:spacing w:after="0" w:line="480" w:lineRule="auto"/>
        <w:ind w:left="720" w:hanging="720"/>
        <w:jc w:val="both"/>
        <w:rPr>
          <w:rFonts w:cs="Times New Roman"/>
          <w:sz w:val="24"/>
          <w:szCs w:val="24"/>
        </w:rPr>
      </w:pPr>
      <w:r w:rsidRPr="001B304D">
        <w:rPr>
          <w:rFonts w:cs="Times New Roman"/>
          <w:sz w:val="24"/>
          <w:szCs w:val="24"/>
        </w:rPr>
        <w:t>Ricoeur,</w:t>
      </w:r>
      <w:r w:rsidR="00EB21AC" w:rsidRPr="001B304D">
        <w:rPr>
          <w:rFonts w:cs="Times New Roman"/>
          <w:sz w:val="24"/>
          <w:szCs w:val="24"/>
        </w:rPr>
        <w:t xml:space="preserve"> Paul.</w:t>
      </w:r>
      <w:r w:rsidRPr="001B304D">
        <w:rPr>
          <w:rFonts w:cs="Times New Roman"/>
          <w:sz w:val="24"/>
          <w:szCs w:val="24"/>
        </w:rPr>
        <w:t xml:space="preserve"> </w:t>
      </w:r>
      <w:proofErr w:type="gramStart"/>
      <w:r w:rsidRPr="001B304D">
        <w:rPr>
          <w:rFonts w:cs="Times New Roman"/>
          <w:i/>
          <w:sz w:val="24"/>
          <w:szCs w:val="24"/>
        </w:rPr>
        <w:t>Critique and Conviction</w:t>
      </w:r>
      <w:r w:rsidR="00EB21AC" w:rsidRPr="001B304D">
        <w:rPr>
          <w:rFonts w:cs="Times New Roman"/>
          <w:sz w:val="24"/>
          <w:szCs w:val="24"/>
        </w:rPr>
        <w:t>.</w:t>
      </w:r>
      <w:proofErr w:type="gramEnd"/>
      <w:r w:rsidR="00EB21AC" w:rsidRPr="001B304D">
        <w:rPr>
          <w:rFonts w:cs="Times New Roman"/>
          <w:sz w:val="24"/>
          <w:szCs w:val="24"/>
        </w:rPr>
        <w:t xml:space="preserve"> </w:t>
      </w:r>
      <w:proofErr w:type="gramStart"/>
      <w:r w:rsidR="00EB21AC" w:rsidRPr="001B304D">
        <w:rPr>
          <w:rFonts w:cs="Times New Roman"/>
          <w:sz w:val="24"/>
          <w:szCs w:val="24"/>
        </w:rPr>
        <w:t>Translated by</w:t>
      </w:r>
      <w:r w:rsidRPr="001B304D">
        <w:rPr>
          <w:rFonts w:cs="Times New Roman"/>
          <w:sz w:val="24"/>
          <w:szCs w:val="24"/>
        </w:rPr>
        <w:t xml:space="preserve"> Kathleen Blame</w:t>
      </w:r>
      <w:r w:rsidR="00EB21AC" w:rsidRPr="001B304D">
        <w:rPr>
          <w:rFonts w:cs="Times New Roman"/>
          <w:sz w:val="24"/>
          <w:szCs w:val="24"/>
        </w:rPr>
        <w:t>y.</w:t>
      </w:r>
      <w:proofErr w:type="gramEnd"/>
      <w:r w:rsidRPr="001B304D">
        <w:rPr>
          <w:rFonts w:cs="Times New Roman"/>
          <w:sz w:val="24"/>
          <w:szCs w:val="24"/>
        </w:rPr>
        <w:t xml:space="preserve"> New York: Columbia UP, 1998.</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shd w:val="clear" w:color="auto" w:fill="FFFFFF"/>
        </w:rPr>
        <w:t>Robinson, And</w:t>
      </w:r>
      <w:r w:rsidR="00EB21AC" w:rsidRPr="001B304D">
        <w:rPr>
          <w:rFonts w:cs="Times New Roman"/>
          <w:sz w:val="24"/>
          <w:szCs w:val="24"/>
          <w:shd w:val="clear" w:color="auto" w:fill="FFFFFF"/>
        </w:rPr>
        <w:t>rew and Christopher Southgate, ‘</w:t>
      </w:r>
      <w:r w:rsidRPr="001B304D">
        <w:rPr>
          <w:rFonts w:cs="Times New Roman"/>
          <w:sz w:val="24"/>
          <w:szCs w:val="24"/>
          <w:shd w:val="clear" w:color="auto" w:fill="FFFFFF"/>
        </w:rPr>
        <w:t xml:space="preserve">Introduction: </w:t>
      </w:r>
      <w:r w:rsidR="00EB21AC" w:rsidRPr="001B304D">
        <w:rPr>
          <w:rFonts w:cs="Times New Roman"/>
          <w:sz w:val="24"/>
          <w:szCs w:val="24"/>
          <w:shd w:val="clear" w:color="auto" w:fill="FFFFFF"/>
        </w:rPr>
        <w:t>Toward a Metaphysic of Meaning.’</w:t>
      </w:r>
      <w:r w:rsidRPr="001B304D">
        <w:rPr>
          <w:rFonts w:cs="Times New Roman"/>
          <w:sz w:val="24"/>
          <w:szCs w:val="24"/>
          <w:shd w:val="clear" w:color="auto" w:fill="FFFFFF"/>
        </w:rPr>
        <w:t> </w:t>
      </w:r>
      <w:proofErr w:type="spellStart"/>
      <w:r w:rsidRPr="001B304D">
        <w:rPr>
          <w:rFonts w:cs="Times New Roman"/>
          <w:i/>
          <w:sz w:val="24"/>
          <w:szCs w:val="24"/>
          <w:shd w:val="clear" w:color="auto" w:fill="FFFFFF"/>
        </w:rPr>
        <w:t>Zygon</w:t>
      </w:r>
      <w:proofErr w:type="spellEnd"/>
      <w:r w:rsidR="00EB21AC" w:rsidRPr="001B304D">
        <w:rPr>
          <w:rFonts w:cs="Times New Roman"/>
          <w:i/>
          <w:sz w:val="24"/>
          <w:szCs w:val="24"/>
          <w:shd w:val="clear" w:color="auto" w:fill="FFFFFF"/>
        </w:rPr>
        <w:t xml:space="preserve"> </w:t>
      </w:r>
      <w:r w:rsidR="00EB21AC" w:rsidRPr="001B304D">
        <w:rPr>
          <w:rFonts w:cs="Times New Roman"/>
          <w:sz w:val="24"/>
          <w:szCs w:val="24"/>
          <w:shd w:val="clear" w:color="auto" w:fill="FFFFFF"/>
        </w:rPr>
        <w:t>45.2 (2010): 339-</w:t>
      </w:r>
      <w:r w:rsidRPr="001B304D">
        <w:rPr>
          <w:rFonts w:cs="Times New Roman"/>
          <w:sz w:val="24"/>
          <w:szCs w:val="24"/>
          <w:shd w:val="clear" w:color="auto" w:fill="FFFFFF"/>
        </w:rPr>
        <w:t>44</w:t>
      </w:r>
      <w:r w:rsidR="00EB21AC" w:rsidRPr="001B304D">
        <w:rPr>
          <w:rFonts w:cs="Times New Roman"/>
          <w:sz w:val="24"/>
          <w:szCs w:val="24"/>
          <w:shd w:val="clear" w:color="auto" w:fill="FFFFFF"/>
        </w:rPr>
        <w:t>.</w:t>
      </w:r>
    </w:p>
    <w:p w:rsidR="0035679F" w:rsidRPr="001B304D" w:rsidRDefault="0035679F" w:rsidP="008100A8">
      <w:pPr>
        <w:spacing w:after="0" w:line="480" w:lineRule="auto"/>
        <w:ind w:left="720" w:hanging="720"/>
        <w:jc w:val="both"/>
        <w:rPr>
          <w:rFonts w:cs="Times New Roman"/>
          <w:sz w:val="24"/>
          <w:szCs w:val="24"/>
        </w:rPr>
      </w:pPr>
      <w:proofErr w:type="gramStart"/>
      <w:r w:rsidRPr="001B304D">
        <w:rPr>
          <w:rFonts w:cs="Times New Roman"/>
          <w:sz w:val="24"/>
          <w:szCs w:val="24"/>
        </w:rPr>
        <w:t>Robinson, Andrew and Christopher Southgate.</w:t>
      </w:r>
      <w:proofErr w:type="gramEnd"/>
      <w:r w:rsidRPr="001B304D">
        <w:rPr>
          <w:rFonts w:cs="Times New Roman"/>
          <w:sz w:val="24"/>
          <w:szCs w:val="24"/>
        </w:rPr>
        <w:t xml:space="preserve"> </w:t>
      </w:r>
      <w:proofErr w:type="gramStart"/>
      <w:r w:rsidRPr="001B304D">
        <w:rPr>
          <w:rFonts w:cs="Times New Roman"/>
          <w:sz w:val="24"/>
          <w:szCs w:val="24"/>
        </w:rPr>
        <w:t>‘Semiotics as a Metaphysical Framework for Christian Theology.’</w:t>
      </w:r>
      <w:proofErr w:type="gramEnd"/>
      <w:r w:rsidRPr="001B304D">
        <w:rPr>
          <w:rFonts w:cs="Times New Roman"/>
          <w:sz w:val="24"/>
          <w:szCs w:val="24"/>
        </w:rPr>
        <w:t xml:space="preserve"> </w:t>
      </w:r>
      <w:proofErr w:type="spellStart"/>
      <w:r w:rsidRPr="001B304D">
        <w:rPr>
          <w:rFonts w:cs="Times New Roman"/>
          <w:i/>
          <w:sz w:val="24"/>
          <w:szCs w:val="24"/>
        </w:rPr>
        <w:t>Zygon</w:t>
      </w:r>
      <w:proofErr w:type="spellEnd"/>
      <w:r w:rsidRPr="001B304D">
        <w:rPr>
          <w:rFonts w:cs="Times New Roman"/>
          <w:sz w:val="24"/>
          <w:szCs w:val="24"/>
        </w:rPr>
        <w:t xml:space="preserve"> 45</w:t>
      </w:r>
      <w:r w:rsidR="00985E3E" w:rsidRPr="001B304D">
        <w:rPr>
          <w:rFonts w:cs="Times New Roman"/>
          <w:sz w:val="24"/>
          <w:szCs w:val="24"/>
        </w:rPr>
        <w:t>.3</w:t>
      </w:r>
      <w:r w:rsidRPr="001B304D">
        <w:rPr>
          <w:rFonts w:cs="Times New Roman"/>
          <w:sz w:val="24"/>
          <w:szCs w:val="24"/>
        </w:rPr>
        <w:t xml:space="preserve"> (2010): 689-712.</w:t>
      </w:r>
    </w:p>
    <w:p w:rsidR="0035679F" w:rsidRPr="001B304D" w:rsidRDefault="0035679F" w:rsidP="008100A8">
      <w:pPr>
        <w:spacing w:after="0" w:line="480" w:lineRule="auto"/>
        <w:ind w:left="720" w:hanging="720"/>
        <w:jc w:val="both"/>
        <w:rPr>
          <w:rFonts w:cs="Times New Roman"/>
          <w:sz w:val="24"/>
          <w:szCs w:val="24"/>
          <w:shd w:val="clear" w:color="auto" w:fill="FFFFFF"/>
        </w:rPr>
      </w:pPr>
      <w:r w:rsidRPr="001B304D">
        <w:rPr>
          <w:rFonts w:cs="Times New Roman"/>
          <w:sz w:val="24"/>
          <w:szCs w:val="24"/>
          <w:shd w:val="clear" w:color="auto" w:fill="FFFFFF"/>
        </w:rPr>
        <w:t>Robinson, Andrew</w:t>
      </w:r>
      <w:r w:rsidR="00985E3E" w:rsidRPr="001B304D">
        <w:rPr>
          <w:rFonts w:cs="Times New Roman"/>
          <w:sz w:val="24"/>
          <w:szCs w:val="24"/>
          <w:shd w:val="clear" w:color="auto" w:fill="FFFFFF"/>
        </w:rPr>
        <w:t>.</w:t>
      </w:r>
      <w:r w:rsidRPr="001B304D">
        <w:rPr>
          <w:rFonts w:cs="Times New Roman"/>
          <w:sz w:val="24"/>
          <w:szCs w:val="24"/>
          <w:shd w:val="clear" w:color="auto" w:fill="FFFFFF"/>
        </w:rPr>
        <w:t xml:space="preserve"> </w:t>
      </w:r>
      <w:r w:rsidRPr="001B304D">
        <w:rPr>
          <w:rFonts w:cs="Times New Roman"/>
          <w:i/>
          <w:sz w:val="24"/>
          <w:szCs w:val="24"/>
          <w:shd w:val="clear" w:color="auto" w:fill="FFFFFF"/>
        </w:rPr>
        <w:t>God and the World of Signs: Trinity, Evolution and the Metaphysical Semiotics of C.S. Peirce</w:t>
      </w:r>
      <w:r w:rsidR="00985E3E" w:rsidRPr="001B304D">
        <w:rPr>
          <w:rFonts w:cs="Times New Roman"/>
          <w:sz w:val="24"/>
          <w:szCs w:val="24"/>
          <w:shd w:val="clear" w:color="auto" w:fill="FFFFFF"/>
        </w:rPr>
        <w:t>.</w:t>
      </w:r>
      <w:r w:rsidRPr="001B304D">
        <w:rPr>
          <w:rFonts w:cs="Times New Roman"/>
          <w:sz w:val="24"/>
          <w:szCs w:val="24"/>
          <w:shd w:val="clear" w:color="auto" w:fill="FFFFFF"/>
        </w:rPr>
        <w:t xml:space="preserve"> Leiden: Brill</w:t>
      </w:r>
      <w:r w:rsidR="00985E3E" w:rsidRPr="001B304D">
        <w:rPr>
          <w:rFonts w:cs="Times New Roman"/>
          <w:sz w:val="24"/>
          <w:szCs w:val="24"/>
          <w:shd w:val="clear" w:color="auto" w:fill="FFFFFF"/>
        </w:rPr>
        <w:t>, 2010</w:t>
      </w:r>
      <w:r w:rsidRPr="001B304D">
        <w:rPr>
          <w:rFonts w:cs="Times New Roman"/>
          <w:sz w:val="24"/>
          <w:szCs w:val="24"/>
          <w:shd w:val="clear" w:color="auto" w:fill="FFFFFF"/>
        </w:rPr>
        <w:t>.</w:t>
      </w:r>
    </w:p>
    <w:p w:rsidR="00F97914" w:rsidRPr="001B304D" w:rsidRDefault="00F97914" w:rsidP="008100A8">
      <w:pPr>
        <w:spacing w:after="0" w:line="480" w:lineRule="auto"/>
        <w:ind w:left="720" w:hanging="720"/>
        <w:jc w:val="both"/>
        <w:rPr>
          <w:sz w:val="24"/>
          <w:szCs w:val="24"/>
        </w:rPr>
      </w:pPr>
      <w:proofErr w:type="gramStart"/>
      <w:r w:rsidRPr="001B304D">
        <w:rPr>
          <w:sz w:val="24"/>
          <w:szCs w:val="24"/>
        </w:rPr>
        <w:t xml:space="preserve">Rowe, W.L. </w:t>
      </w:r>
      <w:r w:rsidRPr="001B304D">
        <w:rPr>
          <w:i/>
          <w:sz w:val="24"/>
          <w:szCs w:val="24"/>
        </w:rPr>
        <w:t>Religious Symbols and God</w:t>
      </w:r>
      <w:r w:rsidRPr="001B304D">
        <w:rPr>
          <w:sz w:val="24"/>
          <w:szCs w:val="24"/>
        </w:rPr>
        <w:t>.</w:t>
      </w:r>
      <w:proofErr w:type="gramEnd"/>
      <w:r w:rsidRPr="001B304D">
        <w:rPr>
          <w:sz w:val="24"/>
          <w:szCs w:val="24"/>
        </w:rPr>
        <w:t xml:space="preserve"> Chicago: University of Chicago Press, 1968.</w:t>
      </w:r>
    </w:p>
    <w:p w:rsidR="0035679F" w:rsidRPr="001B304D" w:rsidRDefault="00CB44EF" w:rsidP="008100A8">
      <w:pPr>
        <w:spacing w:after="0" w:line="480" w:lineRule="auto"/>
        <w:ind w:left="720" w:hanging="720"/>
        <w:jc w:val="both"/>
        <w:rPr>
          <w:rFonts w:cs="Times New Roman"/>
          <w:sz w:val="24"/>
          <w:szCs w:val="24"/>
        </w:rPr>
      </w:pPr>
      <w:r w:rsidRPr="001B304D">
        <w:rPr>
          <w:rFonts w:cs="Times New Roman"/>
          <w:sz w:val="24"/>
          <w:szCs w:val="24"/>
        </w:rPr>
        <w:t>Roy, Olivier</w:t>
      </w:r>
      <w:r w:rsidR="0035679F" w:rsidRPr="001B304D">
        <w:rPr>
          <w:rFonts w:cs="Times New Roman"/>
          <w:sz w:val="24"/>
          <w:szCs w:val="24"/>
        </w:rPr>
        <w:t xml:space="preserve">. </w:t>
      </w:r>
      <w:r w:rsidR="0035679F" w:rsidRPr="001B304D">
        <w:rPr>
          <w:rFonts w:cs="Times New Roman"/>
          <w:i/>
          <w:sz w:val="24"/>
          <w:szCs w:val="24"/>
        </w:rPr>
        <w:t>Secularism Confronts Islam</w:t>
      </w:r>
      <w:r w:rsidR="0035679F" w:rsidRPr="001B304D">
        <w:rPr>
          <w:rFonts w:cs="Times New Roman"/>
          <w:sz w:val="24"/>
          <w:szCs w:val="24"/>
        </w:rPr>
        <w:t>. New York: Columbia University Press, 2007.</w:t>
      </w:r>
    </w:p>
    <w:p w:rsidR="00985E3E" w:rsidRPr="001B304D" w:rsidRDefault="0035679F" w:rsidP="008100A8">
      <w:pPr>
        <w:pStyle w:val="FootnoteText"/>
        <w:spacing w:line="480" w:lineRule="auto"/>
        <w:ind w:left="720" w:hanging="720"/>
        <w:jc w:val="both"/>
        <w:rPr>
          <w:rFonts w:cs="Times New Roman"/>
          <w:sz w:val="24"/>
          <w:szCs w:val="24"/>
        </w:rPr>
      </w:pPr>
      <w:r w:rsidRPr="001B304D">
        <w:rPr>
          <w:rFonts w:cs="Times New Roman"/>
          <w:sz w:val="24"/>
          <w:szCs w:val="24"/>
        </w:rPr>
        <w:t>Sanderson, T</w:t>
      </w:r>
      <w:r w:rsidR="00CB44EF" w:rsidRPr="001B304D">
        <w:rPr>
          <w:rFonts w:cs="Times New Roman"/>
          <w:sz w:val="24"/>
          <w:szCs w:val="24"/>
        </w:rPr>
        <w:t>erry</w:t>
      </w:r>
      <w:r w:rsidRPr="001B304D">
        <w:rPr>
          <w:rFonts w:cs="Times New Roman"/>
          <w:sz w:val="24"/>
          <w:szCs w:val="24"/>
        </w:rPr>
        <w:t xml:space="preserve">.  ‘Christian Bullies Press Their Advantage’, Editorial of the National Secular Society, 24 November 2006, </w:t>
      </w:r>
    </w:p>
    <w:p w:rsidR="0035679F" w:rsidRPr="001B304D" w:rsidRDefault="00282F5B" w:rsidP="008100A8">
      <w:pPr>
        <w:pStyle w:val="FootnoteText"/>
        <w:spacing w:line="480" w:lineRule="auto"/>
        <w:ind w:left="720"/>
        <w:jc w:val="both"/>
        <w:rPr>
          <w:rFonts w:cs="Times New Roman"/>
          <w:sz w:val="24"/>
          <w:szCs w:val="24"/>
        </w:rPr>
      </w:pPr>
      <w:hyperlink r:id="rId15" w:history="1">
        <w:proofErr w:type="gramStart"/>
        <w:r w:rsidR="0035679F" w:rsidRPr="001B304D">
          <w:rPr>
            <w:rStyle w:val="Hyperlink"/>
            <w:color w:val="auto"/>
            <w:sz w:val="24"/>
            <w:szCs w:val="24"/>
          </w:rPr>
          <w:t>http://www.secularism.org.uk/editorialchristianbulliespressth.html</w:t>
        </w:r>
      </w:hyperlink>
      <w:r w:rsidR="0035679F" w:rsidRPr="001B304D">
        <w:rPr>
          <w:rFonts w:cs="Times New Roman"/>
          <w:sz w:val="24"/>
          <w:szCs w:val="24"/>
        </w:rPr>
        <w:t>, date accessed 15 June 2013.</w:t>
      </w:r>
      <w:proofErr w:type="gramEnd"/>
    </w:p>
    <w:p w:rsidR="0035679F" w:rsidRPr="001B304D" w:rsidRDefault="00985E3E" w:rsidP="008100A8">
      <w:pPr>
        <w:pStyle w:val="western"/>
        <w:spacing w:before="0" w:beforeAutospacing="0" w:after="0" w:line="480" w:lineRule="auto"/>
        <w:ind w:left="720" w:hanging="720"/>
        <w:jc w:val="both"/>
      </w:pPr>
      <w:r w:rsidRPr="001B304D">
        <w:rPr>
          <w:iCs/>
        </w:rPr>
        <w:t xml:space="preserve">Schelling, F.W.J. </w:t>
      </w:r>
      <w:r w:rsidR="0035679F" w:rsidRPr="001B304D">
        <w:rPr>
          <w:i/>
          <w:iCs/>
        </w:rPr>
        <w:t>Philosophy of Art</w:t>
      </w:r>
      <w:r w:rsidR="0035679F" w:rsidRPr="001B304D">
        <w:t xml:space="preserve">. </w:t>
      </w:r>
      <w:proofErr w:type="gramStart"/>
      <w:r w:rsidR="0035679F" w:rsidRPr="001B304D">
        <w:t>Translated by D. W. Stott.</w:t>
      </w:r>
      <w:proofErr w:type="gramEnd"/>
      <w:r w:rsidR="0035679F" w:rsidRPr="001B304D">
        <w:t xml:space="preserve"> Minneapolis: Minnesota University Press</w:t>
      </w:r>
      <w:r w:rsidRPr="001B304D">
        <w:t>, 1989</w:t>
      </w:r>
      <w:r w:rsidR="0035679F" w:rsidRPr="001B304D">
        <w:t>.</w:t>
      </w:r>
    </w:p>
    <w:p w:rsidR="0035679F" w:rsidRPr="001B304D" w:rsidRDefault="0035679F" w:rsidP="008100A8">
      <w:pPr>
        <w:pStyle w:val="FootnoteText"/>
        <w:spacing w:line="480" w:lineRule="auto"/>
        <w:ind w:left="720" w:hanging="720"/>
        <w:jc w:val="both"/>
        <w:rPr>
          <w:rFonts w:cs="Times New Roman"/>
          <w:sz w:val="24"/>
          <w:szCs w:val="24"/>
        </w:rPr>
      </w:pPr>
      <w:proofErr w:type="spellStart"/>
      <w:r w:rsidRPr="001B304D">
        <w:rPr>
          <w:rFonts w:cs="Times New Roman"/>
          <w:sz w:val="24"/>
          <w:szCs w:val="24"/>
        </w:rPr>
        <w:t>Schilbrack</w:t>
      </w:r>
      <w:proofErr w:type="spellEnd"/>
      <w:r w:rsidRPr="001B304D">
        <w:rPr>
          <w:rFonts w:cs="Times New Roman"/>
          <w:sz w:val="24"/>
          <w:szCs w:val="24"/>
        </w:rPr>
        <w:t>, K</w:t>
      </w:r>
      <w:r w:rsidR="00CB44EF" w:rsidRPr="001B304D">
        <w:rPr>
          <w:rFonts w:cs="Times New Roman"/>
          <w:sz w:val="24"/>
          <w:szCs w:val="24"/>
        </w:rPr>
        <w:t>evin</w:t>
      </w:r>
      <w:r w:rsidR="00985E3E" w:rsidRPr="001B304D">
        <w:rPr>
          <w:rFonts w:cs="Times New Roman"/>
          <w:sz w:val="24"/>
          <w:szCs w:val="24"/>
        </w:rPr>
        <w:t xml:space="preserve">.  </w:t>
      </w:r>
      <w:proofErr w:type="gramStart"/>
      <w:r w:rsidRPr="001B304D">
        <w:rPr>
          <w:rFonts w:cs="Times New Roman"/>
          <w:i/>
          <w:sz w:val="24"/>
          <w:szCs w:val="24"/>
        </w:rPr>
        <w:t>The Future of the Philosophy of Religion</w:t>
      </w:r>
      <w:r w:rsidR="00985E3E" w:rsidRPr="001B304D">
        <w:rPr>
          <w:rFonts w:cs="Times New Roman"/>
          <w:sz w:val="24"/>
          <w:szCs w:val="24"/>
        </w:rPr>
        <w:t>.</w:t>
      </w:r>
      <w:proofErr w:type="gramEnd"/>
      <w:r w:rsidR="00985E3E" w:rsidRPr="001B304D">
        <w:rPr>
          <w:rFonts w:cs="Times New Roman"/>
          <w:sz w:val="24"/>
          <w:szCs w:val="24"/>
        </w:rPr>
        <w:t xml:space="preserve"> Oxford: Blackwell, 2013.</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Scott-Baumann, A</w:t>
      </w:r>
      <w:r w:rsidR="008D32D0" w:rsidRPr="001B304D">
        <w:rPr>
          <w:rFonts w:cs="Times New Roman"/>
          <w:sz w:val="24"/>
          <w:szCs w:val="24"/>
        </w:rPr>
        <w:t>lison</w:t>
      </w:r>
      <w:r w:rsidRPr="001B304D">
        <w:rPr>
          <w:rFonts w:cs="Times New Roman"/>
          <w:sz w:val="24"/>
          <w:szCs w:val="24"/>
        </w:rPr>
        <w:t>. ‘Teacher education for Muslim women: Intercultural relati</w:t>
      </w:r>
      <w:r w:rsidR="001052E3" w:rsidRPr="001B304D">
        <w:rPr>
          <w:rFonts w:cs="Times New Roman"/>
          <w:sz w:val="24"/>
          <w:szCs w:val="24"/>
        </w:rPr>
        <w:t>onships, method and Philosophy.’</w:t>
      </w:r>
      <w:r w:rsidRPr="001B304D">
        <w:rPr>
          <w:rFonts w:cs="Times New Roman"/>
          <w:sz w:val="24"/>
          <w:szCs w:val="24"/>
        </w:rPr>
        <w:t xml:space="preserve"> </w:t>
      </w:r>
      <w:r w:rsidRPr="001B304D">
        <w:rPr>
          <w:rFonts w:cs="Times New Roman"/>
          <w:i/>
          <w:iCs/>
          <w:sz w:val="24"/>
          <w:szCs w:val="24"/>
        </w:rPr>
        <w:t>Ethnicities</w:t>
      </w:r>
      <w:r w:rsidRPr="001B304D">
        <w:rPr>
          <w:rFonts w:cs="Times New Roman"/>
          <w:iCs/>
          <w:sz w:val="24"/>
          <w:szCs w:val="24"/>
        </w:rPr>
        <w:t>,</w:t>
      </w:r>
      <w:r w:rsidRPr="001B304D">
        <w:rPr>
          <w:rFonts w:cs="Times New Roman"/>
          <w:i/>
          <w:iCs/>
          <w:sz w:val="24"/>
          <w:szCs w:val="24"/>
        </w:rPr>
        <w:t xml:space="preserve"> </w:t>
      </w:r>
      <w:r w:rsidRPr="001B304D">
        <w:rPr>
          <w:rFonts w:cs="Times New Roman"/>
          <w:sz w:val="24"/>
          <w:szCs w:val="24"/>
        </w:rPr>
        <w:t>3.2</w:t>
      </w:r>
      <w:r w:rsidR="00985E3E" w:rsidRPr="001B304D">
        <w:rPr>
          <w:rFonts w:cs="Times New Roman"/>
          <w:sz w:val="24"/>
          <w:szCs w:val="24"/>
        </w:rPr>
        <w:t xml:space="preserve"> (2003):</w:t>
      </w:r>
      <w:r w:rsidRPr="001B304D">
        <w:rPr>
          <w:rFonts w:cs="Times New Roman"/>
          <w:sz w:val="24"/>
          <w:szCs w:val="24"/>
        </w:rPr>
        <w:t xml:space="preserve"> </w:t>
      </w:r>
      <w:r w:rsidRPr="001B304D">
        <w:rPr>
          <w:rStyle w:val="st"/>
          <w:rFonts w:cs="Times New Roman"/>
          <w:sz w:val="24"/>
          <w:szCs w:val="24"/>
        </w:rPr>
        <w:t>243–261.</w:t>
      </w:r>
    </w:p>
    <w:p w:rsidR="0035679F" w:rsidRPr="001B304D" w:rsidRDefault="00985E3E" w:rsidP="008100A8">
      <w:pPr>
        <w:pStyle w:val="western"/>
        <w:spacing w:before="0" w:beforeAutospacing="0" w:after="0" w:line="480" w:lineRule="auto"/>
        <w:ind w:left="720" w:hanging="720"/>
        <w:jc w:val="both"/>
      </w:pPr>
      <w:proofErr w:type="spellStart"/>
      <w:r w:rsidRPr="001B304D">
        <w:t>Seyhan</w:t>
      </w:r>
      <w:proofErr w:type="spellEnd"/>
      <w:r w:rsidRPr="001B304D">
        <w:t xml:space="preserve">, </w:t>
      </w:r>
      <w:proofErr w:type="spellStart"/>
      <w:r w:rsidRPr="001B304D">
        <w:t>Azade</w:t>
      </w:r>
      <w:proofErr w:type="spellEnd"/>
      <w:r w:rsidRPr="001B304D">
        <w:t xml:space="preserve">. </w:t>
      </w:r>
      <w:r w:rsidR="0035679F" w:rsidRPr="001B304D">
        <w:rPr>
          <w:i/>
          <w:iCs/>
        </w:rPr>
        <w:t>Representation and its Discontents: The Critical Legacy of German Romanticism</w:t>
      </w:r>
      <w:r w:rsidR="0035679F" w:rsidRPr="001B304D">
        <w:t>. Berkeley: University of California Press</w:t>
      </w:r>
      <w:r w:rsidRPr="001B304D">
        <w:t>, 1992</w:t>
      </w:r>
      <w:r w:rsidR="0035679F" w:rsidRPr="001B304D">
        <w:t>.</w:t>
      </w:r>
    </w:p>
    <w:p w:rsidR="00215237" w:rsidRPr="001B304D" w:rsidRDefault="00215237" w:rsidP="008100A8">
      <w:pPr>
        <w:pStyle w:val="western"/>
        <w:spacing w:before="0" w:beforeAutospacing="0" w:after="0" w:line="480" w:lineRule="auto"/>
        <w:ind w:left="720" w:hanging="720"/>
        <w:jc w:val="both"/>
      </w:pPr>
      <w:proofErr w:type="gramStart"/>
      <w:r w:rsidRPr="001B304D">
        <w:t xml:space="preserve">Short, T.L. </w:t>
      </w:r>
      <w:r w:rsidRPr="001B304D">
        <w:rPr>
          <w:i/>
        </w:rPr>
        <w:t>Peirce’s Theory of Signs</w:t>
      </w:r>
      <w:r w:rsidRPr="001B304D">
        <w:t>.</w:t>
      </w:r>
      <w:proofErr w:type="gramEnd"/>
      <w:r w:rsidRPr="001B304D">
        <w:t xml:space="preserve"> Cambridge: Cambridge University Press, 2007.</w:t>
      </w:r>
    </w:p>
    <w:p w:rsidR="0035679F" w:rsidRPr="00814CF9" w:rsidRDefault="0035679F" w:rsidP="008100A8">
      <w:pPr>
        <w:spacing w:after="0" w:line="480" w:lineRule="auto"/>
        <w:ind w:left="720" w:hanging="720"/>
        <w:jc w:val="both"/>
        <w:rPr>
          <w:rFonts w:cs="Times New Roman"/>
          <w:sz w:val="24"/>
          <w:szCs w:val="24"/>
        </w:rPr>
      </w:pPr>
      <w:r w:rsidRPr="001B304D">
        <w:rPr>
          <w:rFonts w:eastAsia="Times New Roman" w:cs="Times New Roman"/>
          <w:sz w:val="24"/>
          <w:szCs w:val="24"/>
          <w:lang w:eastAsia="en-GB"/>
        </w:rPr>
        <w:t xml:space="preserve">Shultz, F </w:t>
      </w:r>
      <w:proofErr w:type="spellStart"/>
      <w:r w:rsidRPr="001B304D">
        <w:rPr>
          <w:rFonts w:eastAsia="Times New Roman" w:cs="Times New Roman"/>
          <w:sz w:val="24"/>
          <w:szCs w:val="24"/>
          <w:lang w:eastAsia="en-GB"/>
        </w:rPr>
        <w:t>LeRon</w:t>
      </w:r>
      <w:proofErr w:type="spellEnd"/>
      <w:r w:rsidRPr="001B304D">
        <w:rPr>
          <w:rFonts w:eastAsia="Times New Roman" w:cs="Times New Roman"/>
          <w:sz w:val="24"/>
          <w:szCs w:val="24"/>
          <w:lang w:eastAsia="en-GB"/>
        </w:rPr>
        <w:t xml:space="preserve">. </w:t>
      </w:r>
      <w:proofErr w:type="gramStart"/>
      <w:r w:rsidR="00985E3E" w:rsidRPr="001B304D">
        <w:rPr>
          <w:rFonts w:eastAsia="Times New Roman" w:cs="Times New Roman"/>
          <w:sz w:val="24"/>
          <w:szCs w:val="24"/>
          <w:lang w:eastAsia="en-GB"/>
        </w:rPr>
        <w:t>‘</w:t>
      </w:r>
      <w:r w:rsidRPr="001B304D">
        <w:rPr>
          <w:rFonts w:cs="Times New Roman"/>
          <w:sz w:val="24"/>
          <w:szCs w:val="24"/>
        </w:rPr>
        <w:t>Transforming Theological Symbols.</w:t>
      </w:r>
      <w:r w:rsidR="00985E3E" w:rsidRPr="001B304D">
        <w:rPr>
          <w:rFonts w:cs="Times New Roman"/>
          <w:sz w:val="24"/>
          <w:szCs w:val="24"/>
        </w:rPr>
        <w:t>’</w:t>
      </w:r>
      <w:proofErr w:type="gramEnd"/>
      <w:r w:rsidRPr="001B304D">
        <w:rPr>
          <w:rFonts w:cs="Times New Roman"/>
          <w:sz w:val="24"/>
          <w:szCs w:val="24"/>
        </w:rPr>
        <w:t xml:space="preserve"> </w:t>
      </w:r>
      <w:r w:rsidRPr="00814CF9">
        <w:rPr>
          <w:rFonts w:cs="Times New Roman"/>
          <w:i/>
          <w:sz w:val="24"/>
          <w:szCs w:val="24"/>
        </w:rPr>
        <w:t>Zygon</w:t>
      </w:r>
      <w:r w:rsidR="00985E3E" w:rsidRPr="00814CF9">
        <w:rPr>
          <w:rFonts w:cs="Times New Roman"/>
          <w:sz w:val="24"/>
          <w:szCs w:val="24"/>
        </w:rPr>
        <w:t xml:space="preserve"> </w:t>
      </w:r>
      <w:r w:rsidRPr="00814CF9">
        <w:rPr>
          <w:rFonts w:cs="Times New Roman"/>
          <w:sz w:val="24"/>
          <w:szCs w:val="24"/>
        </w:rPr>
        <w:t>45</w:t>
      </w:r>
      <w:r w:rsidR="00985E3E" w:rsidRPr="00814CF9">
        <w:rPr>
          <w:rFonts w:cs="Times New Roman"/>
          <w:sz w:val="24"/>
          <w:szCs w:val="24"/>
        </w:rPr>
        <w:t>.3 (2010): 713-</w:t>
      </w:r>
      <w:r w:rsidRPr="00814CF9">
        <w:rPr>
          <w:rFonts w:cs="Times New Roman"/>
          <w:sz w:val="24"/>
          <w:szCs w:val="24"/>
        </w:rPr>
        <w:t>32</w:t>
      </w:r>
      <w:r w:rsidR="00985E3E" w:rsidRPr="00814CF9">
        <w:rPr>
          <w:rFonts w:cs="Times New Roman"/>
          <w:sz w:val="24"/>
          <w:szCs w:val="24"/>
        </w:rPr>
        <w:t>.</w:t>
      </w:r>
    </w:p>
    <w:p w:rsidR="0035679F" w:rsidRPr="001B304D" w:rsidRDefault="0035679F" w:rsidP="008100A8">
      <w:pPr>
        <w:pStyle w:val="western"/>
        <w:spacing w:before="0" w:beforeAutospacing="0" w:after="0" w:line="480" w:lineRule="auto"/>
        <w:ind w:left="720" w:hanging="720"/>
        <w:jc w:val="both"/>
        <w:rPr>
          <w:lang w:val="de-DE"/>
        </w:rPr>
      </w:pPr>
      <w:r w:rsidRPr="001B304D">
        <w:rPr>
          <w:lang w:val="de-DE"/>
        </w:rPr>
        <w:t>Sørensen, Bengt Algot</w:t>
      </w:r>
      <w:r w:rsidR="001052E3" w:rsidRPr="001B304D">
        <w:rPr>
          <w:lang w:val="de-DE"/>
        </w:rPr>
        <w:t>.</w:t>
      </w:r>
      <w:r w:rsidRPr="001B304D">
        <w:rPr>
          <w:lang w:val="de-DE"/>
        </w:rPr>
        <w:t xml:space="preserve"> </w:t>
      </w:r>
      <w:r w:rsidRPr="001B304D">
        <w:rPr>
          <w:i/>
          <w:iCs/>
          <w:lang w:val="de-DE"/>
        </w:rPr>
        <w:t>Symbol und Symbolismus in den ästhetischen Theorien des 18. Jahrhunderts und der deutschen Romantik</w:t>
      </w:r>
      <w:r w:rsidRPr="001B304D">
        <w:rPr>
          <w:lang w:val="de-DE"/>
        </w:rPr>
        <w:t>. Kopenhagen: Munksgaard</w:t>
      </w:r>
      <w:r w:rsidR="00985E3E" w:rsidRPr="001B304D">
        <w:rPr>
          <w:lang w:val="de-DE"/>
        </w:rPr>
        <w:t>, 1963</w:t>
      </w:r>
      <w:r w:rsidRPr="001B304D">
        <w:rPr>
          <w:lang w:val="de-DE"/>
        </w:rPr>
        <w:t>.</w:t>
      </w:r>
    </w:p>
    <w:p w:rsidR="00F97914" w:rsidRPr="001B304D" w:rsidRDefault="00F97914" w:rsidP="008100A8">
      <w:pPr>
        <w:pStyle w:val="western"/>
        <w:spacing w:before="0" w:beforeAutospacing="0" w:after="0" w:line="480" w:lineRule="auto"/>
        <w:ind w:left="720" w:hanging="720"/>
        <w:jc w:val="both"/>
      </w:pPr>
      <w:r w:rsidRPr="001B304D">
        <w:rPr>
          <w:lang w:val="de-DE"/>
        </w:rPr>
        <w:t xml:space="preserve">Soskice, Janet M. </w:t>
      </w:r>
      <w:r w:rsidRPr="001B304D">
        <w:rPr>
          <w:i/>
          <w:iCs/>
          <w:lang w:val="de-DE"/>
        </w:rPr>
        <w:t>Metaphor and Religious Language</w:t>
      </w:r>
      <w:r w:rsidRPr="001B304D">
        <w:rPr>
          <w:lang w:val="de-DE"/>
        </w:rPr>
        <w:t xml:space="preserve">. </w:t>
      </w:r>
      <w:r w:rsidRPr="001B304D">
        <w:t>Oxford: Oxford University Press, 1984.</w:t>
      </w:r>
    </w:p>
    <w:p w:rsidR="0035679F" w:rsidRPr="001B304D" w:rsidRDefault="0035679F" w:rsidP="008100A8">
      <w:pPr>
        <w:pStyle w:val="FootnoteText"/>
        <w:spacing w:line="480" w:lineRule="auto"/>
        <w:ind w:left="720" w:hanging="720"/>
        <w:jc w:val="both"/>
        <w:rPr>
          <w:rFonts w:cs="Times New Roman"/>
          <w:sz w:val="24"/>
          <w:szCs w:val="24"/>
        </w:rPr>
      </w:pPr>
      <w:r w:rsidRPr="001B304D">
        <w:rPr>
          <w:rFonts w:cs="Times New Roman"/>
          <w:sz w:val="24"/>
          <w:szCs w:val="24"/>
        </w:rPr>
        <w:t>Squires, N</w:t>
      </w:r>
      <w:r w:rsidR="00C856FA" w:rsidRPr="001B304D">
        <w:rPr>
          <w:rFonts w:cs="Times New Roman"/>
          <w:sz w:val="24"/>
          <w:szCs w:val="24"/>
        </w:rPr>
        <w:t>ick</w:t>
      </w:r>
      <w:r w:rsidR="00985E3E" w:rsidRPr="001B304D">
        <w:rPr>
          <w:rFonts w:cs="Times New Roman"/>
          <w:sz w:val="24"/>
          <w:szCs w:val="24"/>
        </w:rPr>
        <w:t xml:space="preserve">. </w:t>
      </w:r>
      <w:r w:rsidRPr="001B304D">
        <w:rPr>
          <w:rFonts w:cs="Times New Roman"/>
          <w:sz w:val="24"/>
          <w:szCs w:val="24"/>
        </w:rPr>
        <w:t xml:space="preserve">‘Cardinal drops out after calling UK “Third World”’, </w:t>
      </w:r>
      <w:r w:rsidRPr="001B304D">
        <w:rPr>
          <w:rFonts w:cs="Times New Roman"/>
          <w:i/>
          <w:sz w:val="24"/>
          <w:szCs w:val="24"/>
        </w:rPr>
        <w:t>The Daily Telegraph</w:t>
      </w:r>
      <w:r w:rsidRPr="001B304D">
        <w:rPr>
          <w:rFonts w:cs="Times New Roman"/>
          <w:sz w:val="24"/>
          <w:szCs w:val="24"/>
        </w:rPr>
        <w:t xml:space="preserve"> (London, 15 September 2010), </w:t>
      </w:r>
      <w:hyperlink r:id="rId16" w:history="1">
        <w:r w:rsidRPr="001B304D">
          <w:rPr>
            <w:rStyle w:val="Hyperlink"/>
            <w:color w:val="auto"/>
            <w:sz w:val="24"/>
            <w:szCs w:val="24"/>
          </w:rPr>
          <w:t>http://www.telegraph.co.uk/news/religion/the-pope/8004493/Pope-visit-Cardinal-drops-out-after-calling-UK-Third-World.html</w:t>
        </w:r>
      </w:hyperlink>
      <w:r w:rsidRPr="001B304D">
        <w:rPr>
          <w:rFonts w:cs="Times New Roman"/>
          <w:sz w:val="24"/>
          <w:szCs w:val="24"/>
        </w:rPr>
        <w:t>, date accessed 15 June 2013.</w:t>
      </w:r>
    </w:p>
    <w:p w:rsidR="00F97914" w:rsidRPr="001B304D" w:rsidRDefault="00F97914" w:rsidP="008100A8">
      <w:pPr>
        <w:spacing w:after="0" w:line="480" w:lineRule="auto"/>
        <w:ind w:left="720" w:hanging="720"/>
        <w:jc w:val="both"/>
        <w:rPr>
          <w:sz w:val="24"/>
          <w:szCs w:val="24"/>
        </w:rPr>
      </w:pPr>
      <w:proofErr w:type="spellStart"/>
      <w:r w:rsidRPr="001B304D">
        <w:rPr>
          <w:sz w:val="24"/>
          <w:szCs w:val="24"/>
        </w:rPr>
        <w:t>Stiver</w:t>
      </w:r>
      <w:proofErr w:type="spellEnd"/>
      <w:r w:rsidRPr="001B304D">
        <w:rPr>
          <w:sz w:val="24"/>
          <w:szCs w:val="24"/>
        </w:rPr>
        <w:t xml:space="preserve">, Dan. </w:t>
      </w:r>
      <w:r w:rsidRPr="001B304D">
        <w:rPr>
          <w:i/>
          <w:iCs/>
          <w:sz w:val="24"/>
          <w:szCs w:val="24"/>
        </w:rPr>
        <w:t>The Philosophy of Religious Language: Sign, Symbol and Story</w:t>
      </w:r>
      <w:r w:rsidRPr="001B304D">
        <w:rPr>
          <w:sz w:val="24"/>
          <w:szCs w:val="24"/>
        </w:rPr>
        <w:t>. Oxford: Blackwell, 1996.</w:t>
      </w:r>
    </w:p>
    <w:p w:rsidR="00E2724D" w:rsidRPr="001B304D" w:rsidRDefault="00985E3E" w:rsidP="008100A8">
      <w:pPr>
        <w:spacing w:after="0" w:line="480" w:lineRule="auto"/>
        <w:ind w:left="720" w:hanging="720"/>
        <w:jc w:val="both"/>
        <w:rPr>
          <w:rFonts w:cs="Times New Roman"/>
          <w:sz w:val="24"/>
          <w:szCs w:val="24"/>
        </w:rPr>
      </w:pPr>
      <w:r w:rsidRPr="001B304D">
        <w:rPr>
          <w:rFonts w:cs="Times New Roman"/>
          <w:sz w:val="24"/>
          <w:szCs w:val="24"/>
        </w:rPr>
        <w:t>Tillich, Paul</w:t>
      </w:r>
      <w:r w:rsidR="00E2724D" w:rsidRPr="001B304D">
        <w:rPr>
          <w:rFonts w:cs="Times New Roman"/>
          <w:sz w:val="24"/>
          <w:szCs w:val="24"/>
        </w:rPr>
        <w:t xml:space="preserve">. </w:t>
      </w:r>
      <w:r w:rsidR="00E2724D" w:rsidRPr="001B304D">
        <w:rPr>
          <w:rFonts w:cs="Times New Roman"/>
          <w:i/>
          <w:iCs/>
          <w:sz w:val="24"/>
          <w:szCs w:val="24"/>
        </w:rPr>
        <w:t>The Construction of the History of Religion in Schelling’s Positive Philosophy: Its Presuppositions and Principles</w:t>
      </w:r>
      <w:r w:rsidR="00E2724D" w:rsidRPr="001B304D">
        <w:rPr>
          <w:rFonts w:cs="Times New Roman"/>
          <w:sz w:val="24"/>
          <w:szCs w:val="24"/>
        </w:rPr>
        <w:t xml:space="preserve">. Lewisburg: </w:t>
      </w:r>
      <w:proofErr w:type="spellStart"/>
      <w:r w:rsidR="00E2724D" w:rsidRPr="001B304D">
        <w:rPr>
          <w:rFonts w:cs="Times New Roman"/>
          <w:sz w:val="24"/>
          <w:szCs w:val="24"/>
        </w:rPr>
        <w:t>Bucknell</w:t>
      </w:r>
      <w:proofErr w:type="spellEnd"/>
      <w:r w:rsidR="00E2724D" w:rsidRPr="001B304D">
        <w:rPr>
          <w:rFonts w:cs="Times New Roman"/>
          <w:sz w:val="24"/>
          <w:szCs w:val="24"/>
        </w:rPr>
        <w:t xml:space="preserve"> U</w:t>
      </w:r>
      <w:r w:rsidRPr="001B304D">
        <w:rPr>
          <w:rFonts w:cs="Times New Roman"/>
          <w:sz w:val="24"/>
          <w:szCs w:val="24"/>
        </w:rPr>
        <w:t xml:space="preserve">niversity </w:t>
      </w:r>
      <w:r w:rsidR="00E2724D" w:rsidRPr="001B304D">
        <w:rPr>
          <w:rFonts w:cs="Times New Roman"/>
          <w:sz w:val="24"/>
          <w:szCs w:val="24"/>
        </w:rPr>
        <w:t>P</w:t>
      </w:r>
      <w:r w:rsidRPr="001B304D">
        <w:rPr>
          <w:rFonts w:cs="Times New Roman"/>
          <w:sz w:val="24"/>
          <w:szCs w:val="24"/>
        </w:rPr>
        <w:t>ress, 1974</w:t>
      </w:r>
      <w:r w:rsidR="00E2724D" w:rsidRPr="001B304D">
        <w:rPr>
          <w:rFonts w:cs="Times New Roman"/>
          <w:sz w:val="24"/>
          <w:szCs w:val="24"/>
        </w:rPr>
        <w:t>.</w:t>
      </w:r>
    </w:p>
    <w:p w:rsidR="00E2724D" w:rsidRPr="001B304D" w:rsidRDefault="00985E3E" w:rsidP="008100A8">
      <w:pPr>
        <w:spacing w:after="0" w:line="480" w:lineRule="auto"/>
        <w:ind w:left="720" w:hanging="720"/>
        <w:jc w:val="both"/>
        <w:rPr>
          <w:rFonts w:cs="Times New Roman"/>
          <w:sz w:val="24"/>
          <w:szCs w:val="24"/>
        </w:rPr>
      </w:pPr>
      <w:r w:rsidRPr="001B304D">
        <w:rPr>
          <w:rFonts w:cs="Times New Roman"/>
          <w:sz w:val="24"/>
          <w:szCs w:val="24"/>
        </w:rPr>
        <w:t>Tillich, Paul.</w:t>
      </w:r>
      <w:r w:rsidR="00E2724D" w:rsidRPr="001B304D">
        <w:rPr>
          <w:rFonts w:cs="Times New Roman"/>
          <w:sz w:val="24"/>
          <w:szCs w:val="24"/>
        </w:rPr>
        <w:t xml:space="preserve"> </w:t>
      </w:r>
      <w:proofErr w:type="gramStart"/>
      <w:r w:rsidR="00E2724D" w:rsidRPr="001B304D">
        <w:rPr>
          <w:rFonts w:cs="Times New Roman"/>
          <w:i/>
          <w:iCs/>
          <w:sz w:val="24"/>
          <w:szCs w:val="24"/>
        </w:rPr>
        <w:t>Mysticism and Guilt-Consciousness in Schelling’s Philosophical Development</w:t>
      </w:r>
      <w:r w:rsidR="00E2724D" w:rsidRPr="001B304D">
        <w:rPr>
          <w:rFonts w:cs="Times New Roman"/>
          <w:sz w:val="24"/>
          <w:szCs w:val="24"/>
        </w:rPr>
        <w:t>.</w:t>
      </w:r>
      <w:proofErr w:type="gramEnd"/>
      <w:r w:rsidR="00E2724D" w:rsidRPr="001B304D">
        <w:rPr>
          <w:rFonts w:cs="Times New Roman"/>
          <w:sz w:val="24"/>
          <w:szCs w:val="24"/>
        </w:rPr>
        <w:t xml:space="preserve"> Lewisburg: </w:t>
      </w:r>
      <w:proofErr w:type="spellStart"/>
      <w:r w:rsidR="00E2724D" w:rsidRPr="001B304D">
        <w:rPr>
          <w:rFonts w:cs="Times New Roman"/>
          <w:sz w:val="24"/>
          <w:szCs w:val="24"/>
        </w:rPr>
        <w:t>Bucknell</w:t>
      </w:r>
      <w:proofErr w:type="spellEnd"/>
      <w:r w:rsidR="00E2724D" w:rsidRPr="001B304D">
        <w:rPr>
          <w:rFonts w:cs="Times New Roman"/>
          <w:sz w:val="24"/>
          <w:szCs w:val="24"/>
        </w:rPr>
        <w:t xml:space="preserve"> U</w:t>
      </w:r>
      <w:r w:rsidRPr="001B304D">
        <w:rPr>
          <w:rFonts w:cs="Times New Roman"/>
          <w:sz w:val="24"/>
          <w:szCs w:val="24"/>
        </w:rPr>
        <w:t xml:space="preserve">niversity </w:t>
      </w:r>
      <w:r w:rsidR="00E2724D" w:rsidRPr="001B304D">
        <w:rPr>
          <w:rFonts w:cs="Times New Roman"/>
          <w:sz w:val="24"/>
          <w:szCs w:val="24"/>
        </w:rPr>
        <w:t>P</w:t>
      </w:r>
      <w:r w:rsidRPr="001B304D">
        <w:rPr>
          <w:rFonts w:cs="Times New Roman"/>
          <w:sz w:val="24"/>
          <w:szCs w:val="24"/>
        </w:rPr>
        <w:t>ress, 1974</w:t>
      </w:r>
      <w:r w:rsidR="00E2724D" w:rsidRPr="001B304D">
        <w:rPr>
          <w:rFonts w:cs="Times New Roman"/>
          <w:sz w:val="24"/>
          <w:szCs w:val="24"/>
        </w:rPr>
        <w:t>.</w:t>
      </w:r>
    </w:p>
    <w:p w:rsidR="0035679F" w:rsidRPr="001B304D" w:rsidRDefault="0035679F" w:rsidP="008100A8">
      <w:pPr>
        <w:pStyle w:val="FootnoteText"/>
        <w:spacing w:line="480" w:lineRule="auto"/>
        <w:ind w:left="720" w:hanging="720"/>
        <w:jc w:val="both"/>
        <w:rPr>
          <w:rFonts w:cs="Times New Roman"/>
          <w:sz w:val="24"/>
          <w:szCs w:val="24"/>
        </w:rPr>
      </w:pPr>
      <w:r w:rsidRPr="001B304D">
        <w:rPr>
          <w:rFonts w:cs="Times New Roman"/>
          <w:sz w:val="24"/>
          <w:szCs w:val="24"/>
        </w:rPr>
        <w:lastRenderedPageBreak/>
        <w:t>Tillich, P</w:t>
      </w:r>
      <w:r w:rsidR="00CB44EF" w:rsidRPr="001B304D">
        <w:rPr>
          <w:rFonts w:cs="Times New Roman"/>
          <w:sz w:val="24"/>
          <w:szCs w:val="24"/>
        </w:rPr>
        <w:t>aul</w:t>
      </w:r>
      <w:r w:rsidRPr="001B304D">
        <w:rPr>
          <w:rFonts w:cs="Times New Roman"/>
          <w:sz w:val="24"/>
          <w:szCs w:val="24"/>
        </w:rPr>
        <w:t xml:space="preserve">. </w:t>
      </w:r>
      <w:r w:rsidRPr="001B304D">
        <w:rPr>
          <w:rFonts w:cs="Times New Roman"/>
          <w:i/>
          <w:iCs/>
          <w:sz w:val="24"/>
          <w:szCs w:val="24"/>
        </w:rPr>
        <w:t>Main Works</w:t>
      </w:r>
      <w:r w:rsidRPr="001B304D">
        <w:rPr>
          <w:rFonts w:cs="Times New Roman"/>
          <w:iCs/>
          <w:sz w:val="24"/>
          <w:szCs w:val="24"/>
        </w:rPr>
        <w:t>,</w:t>
      </w:r>
      <w:r w:rsidRPr="001B304D">
        <w:rPr>
          <w:rFonts w:cs="Times New Roman"/>
          <w:i/>
          <w:iCs/>
          <w:sz w:val="24"/>
          <w:szCs w:val="24"/>
        </w:rPr>
        <w:t xml:space="preserve"> </w:t>
      </w:r>
      <w:r w:rsidR="00985E3E" w:rsidRPr="001B304D">
        <w:rPr>
          <w:rFonts w:cs="Times New Roman"/>
          <w:sz w:val="24"/>
          <w:szCs w:val="24"/>
        </w:rPr>
        <w:t>edited by John</w:t>
      </w:r>
      <w:r w:rsidRPr="001B304D">
        <w:rPr>
          <w:rFonts w:cs="Times New Roman"/>
          <w:sz w:val="24"/>
          <w:szCs w:val="24"/>
        </w:rPr>
        <w:t xml:space="preserve"> Clayton</w:t>
      </w:r>
      <w:r w:rsidR="00985E3E" w:rsidRPr="001B304D">
        <w:rPr>
          <w:rFonts w:cs="Times New Roman"/>
          <w:sz w:val="24"/>
          <w:szCs w:val="24"/>
        </w:rPr>
        <w:t xml:space="preserve">. New York: De </w:t>
      </w:r>
      <w:proofErr w:type="spellStart"/>
      <w:r w:rsidR="00985E3E" w:rsidRPr="001B304D">
        <w:rPr>
          <w:rFonts w:cs="Times New Roman"/>
          <w:sz w:val="24"/>
          <w:szCs w:val="24"/>
        </w:rPr>
        <w:t>Gruyter</w:t>
      </w:r>
      <w:proofErr w:type="spellEnd"/>
      <w:r w:rsidR="00985E3E" w:rsidRPr="001B304D">
        <w:rPr>
          <w:rFonts w:cs="Times New Roman"/>
          <w:sz w:val="24"/>
          <w:szCs w:val="24"/>
        </w:rPr>
        <w:t>, 1987</w:t>
      </w:r>
      <w:r w:rsidRPr="001B304D">
        <w:rPr>
          <w:rFonts w:cs="Times New Roman"/>
          <w:sz w:val="24"/>
          <w:szCs w:val="24"/>
        </w:rPr>
        <w:t>.</w:t>
      </w:r>
    </w:p>
    <w:p w:rsidR="00C9017F" w:rsidRPr="001B304D" w:rsidRDefault="00985E3E" w:rsidP="008100A8">
      <w:pPr>
        <w:spacing w:after="0" w:line="480" w:lineRule="auto"/>
        <w:ind w:left="720" w:hanging="720"/>
        <w:jc w:val="both"/>
        <w:rPr>
          <w:rFonts w:cs="Times New Roman"/>
          <w:sz w:val="24"/>
          <w:szCs w:val="24"/>
        </w:rPr>
      </w:pPr>
      <w:r w:rsidRPr="001B304D">
        <w:rPr>
          <w:rFonts w:cs="Times New Roman"/>
          <w:sz w:val="24"/>
          <w:szCs w:val="24"/>
        </w:rPr>
        <w:t xml:space="preserve">Tindall, William York. </w:t>
      </w:r>
      <w:proofErr w:type="gramStart"/>
      <w:r w:rsidR="00C9017F" w:rsidRPr="001B304D">
        <w:rPr>
          <w:rFonts w:cs="Times New Roman"/>
          <w:i/>
          <w:sz w:val="24"/>
          <w:szCs w:val="24"/>
        </w:rPr>
        <w:t>The Literary Symbol</w:t>
      </w:r>
      <w:r w:rsidR="00C9017F" w:rsidRPr="001B304D">
        <w:rPr>
          <w:rFonts w:cs="Times New Roman"/>
          <w:sz w:val="24"/>
          <w:szCs w:val="24"/>
        </w:rPr>
        <w:t>.</w:t>
      </w:r>
      <w:proofErr w:type="gramEnd"/>
      <w:r w:rsidR="00C9017F" w:rsidRPr="001B304D">
        <w:rPr>
          <w:rFonts w:cs="Times New Roman"/>
          <w:sz w:val="24"/>
          <w:szCs w:val="24"/>
        </w:rPr>
        <w:t xml:space="preserve"> Bloomington: Indiana University Press</w:t>
      </w:r>
      <w:r w:rsidRPr="001B304D">
        <w:rPr>
          <w:rFonts w:cs="Times New Roman"/>
          <w:sz w:val="24"/>
          <w:szCs w:val="24"/>
        </w:rPr>
        <w:t>, 1955</w:t>
      </w:r>
      <w:r w:rsidR="00C9017F" w:rsidRPr="001B304D">
        <w:rPr>
          <w:rFonts w:cs="Times New Roman"/>
          <w:sz w:val="24"/>
          <w:szCs w:val="24"/>
        </w:rPr>
        <w:t>.</w:t>
      </w:r>
    </w:p>
    <w:p w:rsidR="00E2724D" w:rsidRPr="001B304D" w:rsidRDefault="00E2724D" w:rsidP="008100A8">
      <w:pPr>
        <w:spacing w:after="0" w:line="480" w:lineRule="auto"/>
        <w:ind w:left="720" w:hanging="720"/>
        <w:jc w:val="both"/>
        <w:rPr>
          <w:rFonts w:cs="Times New Roman"/>
          <w:sz w:val="24"/>
          <w:szCs w:val="24"/>
          <w:lang w:val="de-DE"/>
        </w:rPr>
      </w:pPr>
      <w:proofErr w:type="spellStart"/>
      <w:r w:rsidRPr="001B304D">
        <w:rPr>
          <w:rFonts w:cs="Times New Roman"/>
          <w:sz w:val="24"/>
          <w:szCs w:val="24"/>
        </w:rPr>
        <w:t>Titzmann</w:t>
      </w:r>
      <w:proofErr w:type="spellEnd"/>
      <w:r w:rsidRPr="001B304D">
        <w:rPr>
          <w:rFonts w:cs="Times New Roman"/>
          <w:sz w:val="24"/>
          <w:szCs w:val="24"/>
        </w:rPr>
        <w:t>,</w:t>
      </w:r>
      <w:r w:rsidR="00985E3E" w:rsidRPr="001B304D">
        <w:rPr>
          <w:rFonts w:cs="Times New Roman"/>
          <w:sz w:val="24"/>
          <w:szCs w:val="24"/>
        </w:rPr>
        <w:t xml:space="preserve"> Michael. </w:t>
      </w:r>
      <w:r w:rsidRPr="001B304D">
        <w:rPr>
          <w:rFonts w:cs="Times New Roman"/>
          <w:i/>
          <w:sz w:val="24"/>
          <w:szCs w:val="24"/>
          <w:lang w:val="de-DE"/>
        </w:rPr>
        <w:t>Strukturwandel der philosophischen Asthetik, 1800-1880: Der Symbolbegriff als Paradigma</w:t>
      </w:r>
      <w:r w:rsidR="001052E3" w:rsidRPr="001B304D">
        <w:rPr>
          <w:rFonts w:cs="Times New Roman"/>
          <w:sz w:val="24"/>
          <w:szCs w:val="24"/>
          <w:lang w:val="de-DE"/>
        </w:rPr>
        <w:t>.</w:t>
      </w:r>
      <w:r w:rsidRPr="001B304D">
        <w:rPr>
          <w:rFonts w:cs="Times New Roman"/>
          <w:sz w:val="24"/>
          <w:szCs w:val="24"/>
          <w:lang w:val="de-DE"/>
        </w:rPr>
        <w:t xml:space="preserve"> </w:t>
      </w:r>
      <w:r w:rsidR="00985E3E" w:rsidRPr="001B304D">
        <w:rPr>
          <w:rFonts w:cs="Times New Roman"/>
          <w:sz w:val="24"/>
          <w:szCs w:val="24"/>
          <w:lang w:val="de-DE"/>
        </w:rPr>
        <w:t>München</w:t>
      </w:r>
      <w:r w:rsidRPr="001B304D">
        <w:rPr>
          <w:rFonts w:cs="Times New Roman"/>
          <w:sz w:val="24"/>
          <w:szCs w:val="24"/>
          <w:lang w:val="de-DE"/>
        </w:rPr>
        <w:t>: Fink</w:t>
      </w:r>
      <w:r w:rsidR="00985E3E" w:rsidRPr="001B304D">
        <w:rPr>
          <w:rFonts w:cs="Times New Roman"/>
          <w:sz w:val="24"/>
          <w:szCs w:val="24"/>
          <w:lang w:val="de-DE"/>
        </w:rPr>
        <w:t>, 1978</w:t>
      </w:r>
      <w:r w:rsidRPr="001B304D">
        <w:rPr>
          <w:rFonts w:cs="Times New Roman"/>
          <w:sz w:val="24"/>
          <w:szCs w:val="24"/>
          <w:lang w:val="de-DE"/>
        </w:rPr>
        <w:t>.</w:t>
      </w:r>
    </w:p>
    <w:p w:rsidR="0035679F" w:rsidRPr="001B304D" w:rsidRDefault="00985E3E" w:rsidP="008100A8">
      <w:pPr>
        <w:pStyle w:val="western"/>
        <w:spacing w:before="0" w:beforeAutospacing="0" w:after="0" w:line="480" w:lineRule="auto"/>
        <w:ind w:left="720" w:hanging="720"/>
        <w:jc w:val="both"/>
        <w:rPr>
          <w:lang w:val="de-DE"/>
        </w:rPr>
      </w:pPr>
      <w:r w:rsidRPr="001B304D">
        <w:rPr>
          <w:lang w:val="de-DE"/>
        </w:rPr>
        <w:t xml:space="preserve">Titzmann, Michael. </w:t>
      </w:r>
      <w:r w:rsidR="0035679F" w:rsidRPr="001B304D">
        <w:rPr>
          <w:lang w:val="de-DE"/>
        </w:rPr>
        <w:t xml:space="preserve">‘Allegorie und Symbol im Denksystem der Goethezeit,’ in Walter Haug (ed.), </w:t>
      </w:r>
      <w:r w:rsidR="0035679F" w:rsidRPr="001B304D">
        <w:rPr>
          <w:i/>
          <w:iCs/>
          <w:lang w:val="de-DE"/>
        </w:rPr>
        <w:t>Formen und Funktionen der Allegorie: Symposium Wolfenbüttel 1978</w:t>
      </w:r>
      <w:r w:rsidR="0035679F" w:rsidRPr="001B304D">
        <w:rPr>
          <w:lang w:val="de-DE"/>
        </w:rPr>
        <w:t>. Stuttgart: Metzlersche</w:t>
      </w:r>
      <w:r w:rsidRPr="001B304D">
        <w:rPr>
          <w:lang w:val="de-DE"/>
        </w:rPr>
        <w:t>, 1979</w:t>
      </w:r>
      <w:r w:rsidR="0035679F" w:rsidRPr="001B304D">
        <w:rPr>
          <w:lang w:val="de-DE"/>
        </w:rPr>
        <w:t>. 642-662.</w:t>
      </w:r>
    </w:p>
    <w:p w:rsidR="0035679F" w:rsidRPr="001B304D" w:rsidRDefault="0035679F" w:rsidP="008100A8">
      <w:pPr>
        <w:pStyle w:val="western"/>
        <w:spacing w:before="0" w:beforeAutospacing="0" w:after="0" w:line="480" w:lineRule="auto"/>
        <w:ind w:left="720" w:hanging="720"/>
        <w:jc w:val="both"/>
      </w:pPr>
      <w:r w:rsidRPr="001B304D">
        <w:t xml:space="preserve">Todorov, </w:t>
      </w:r>
      <w:proofErr w:type="spellStart"/>
      <w:r w:rsidRPr="001B304D">
        <w:t>Tzvet</w:t>
      </w:r>
      <w:r w:rsidR="00985E3E" w:rsidRPr="001B304D">
        <w:t>an</w:t>
      </w:r>
      <w:proofErr w:type="spellEnd"/>
      <w:r w:rsidR="00985E3E" w:rsidRPr="001B304D">
        <w:t xml:space="preserve">. </w:t>
      </w:r>
      <w:proofErr w:type="gramStart"/>
      <w:r w:rsidRPr="001B304D">
        <w:rPr>
          <w:i/>
          <w:iCs/>
        </w:rPr>
        <w:t>Theories of the Symbol</w:t>
      </w:r>
      <w:r w:rsidRPr="001B304D">
        <w:t>.</w:t>
      </w:r>
      <w:proofErr w:type="gramEnd"/>
      <w:r w:rsidRPr="001B304D">
        <w:t xml:space="preserve"> </w:t>
      </w:r>
      <w:proofErr w:type="gramStart"/>
      <w:r w:rsidRPr="001B304D">
        <w:t>Translated by Catherine Porter.</w:t>
      </w:r>
      <w:proofErr w:type="gramEnd"/>
      <w:r w:rsidRPr="001B304D">
        <w:t xml:space="preserve"> Ithaca: Cornell University Press</w:t>
      </w:r>
      <w:r w:rsidR="00985E3E" w:rsidRPr="001B304D">
        <w:t>, 1982</w:t>
      </w:r>
      <w:r w:rsidRPr="001B304D">
        <w:t>.</w:t>
      </w:r>
    </w:p>
    <w:p w:rsidR="0035679F" w:rsidRPr="001B304D" w:rsidRDefault="00985E3E" w:rsidP="008100A8">
      <w:pPr>
        <w:pStyle w:val="western"/>
        <w:spacing w:before="0" w:beforeAutospacing="0" w:after="0" w:line="480" w:lineRule="auto"/>
        <w:ind w:left="720" w:hanging="720"/>
        <w:jc w:val="both"/>
      </w:pPr>
      <w:r w:rsidRPr="001B304D">
        <w:t xml:space="preserve">Todorov, </w:t>
      </w:r>
      <w:proofErr w:type="spellStart"/>
      <w:r w:rsidRPr="001B304D">
        <w:t>Tzvetan</w:t>
      </w:r>
      <w:proofErr w:type="spellEnd"/>
      <w:r w:rsidRPr="001B304D">
        <w:t xml:space="preserve">. </w:t>
      </w:r>
      <w:proofErr w:type="gramStart"/>
      <w:r w:rsidR="0035679F" w:rsidRPr="001B304D">
        <w:rPr>
          <w:i/>
          <w:iCs/>
        </w:rPr>
        <w:t>Symbolism and Interpretation</w:t>
      </w:r>
      <w:r w:rsidR="0035679F" w:rsidRPr="001B304D">
        <w:t>.</w:t>
      </w:r>
      <w:proofErr w:type="gramEnd"/>
      <w:r w:rsidR="0035679F" w:rsidRPr="001B304D">
        <w:t xml:space="preserve"> </w:t>
      </w:r>
      <w:proofErr w:type="gramStart"/>
      <w:r w:rsidR="0035679F" w:rsidRPr="001B304D">
        <w:t>Translated by Catherine Porter.</w:t>
      </w:r>
      <w:proofErr w:type="gramEnd"/>
      <w:r w:rsidR="0035679F" w:rsidRPr="001B304D">
        <w:t xml:space="preserve"> London: Routledge</w:t>
      </w:r>
      <w:r w:rsidRPr="001B304D">
        <w:t>, 1983</w:t>
      </w:r>
      <w:r w:rsidR="0035679F" w:rsidRPr="001B304D">
        <w:t>.</w:t>
      </w:r>
    </w:p>
    <w:p w:rsidR="0035679F" w:rsidRPr="001B304D" w:rsidRDefault="0035679F" w:rsidP="008100A8">
      <w:pPr>
        <w:pStyle w:val="FootnoteText"/>
        <w:spacing w:line="480" w:lineRule="auto"/>
        <w:ind w:left="720" w:hanging="720"/>
        <w:jc w:val="both"/>
        <w:rPr>
          <w:rFonts w:cs="Times New Roman"/>
          <w:sz w:val="24"/>
          <w:szCs w:val="24"/>
        </w:rPr>
      </w:pPr>
      <w:proofErr w:type="spellStart"/>
      <w:r w:rsidRPr="001B304D">
        <w:rPr>
          <w:rFonts w:cs="Times New Roman"/>
          <w:sz w:val="24"/>
          <w:szCs w:val="24"/>
        </w:rPr>
        <w:t>Trigg</w:t>
      </w:r>
      <w:proofErr w:type="spellEnd"/>
      <w:r w:rsidRPr="001B304D">
        <w:rPr>
          <w:rFonts w:cs="Times New Roman"/>
          <w:sz w:val="24"/>
          <w:szCs w:val="24"/>
        </w:rPr>
        <w:t>, R</w:t>
      </w:r>
      <w:r w:rsidR="00CB44EF" w:rsidRPr="001B304D">
        <w:rPr>
          <w:rFonts w:cs="Times New Roman"/>
          <w:sz w:val="24"/>
          <w:szCs w:val="24"/>
        </w:rPr>
        <w:t>oger</w:t>
      </w:r>
      <w:r w:rsidR="00985E3E" w:rsidRPr="001B304D">
        <w:rPr>
          <w:rFonts w:cs="Times New Roman"/>
          <w:sz w:val="24"/>
          <w:szCs w:val="24"/>
        </w:rPr>
        <w:t>.</w:t>
      </w:r>
      <w:r w:rsidRPr="001B304D">
        <w:rPr>
          <w:rFonts w:cs="Times New Roman"/>
          <w:sz w:val="24"/>
          <w:szCs w:val="24"/>
        </w:rPr>
        <w:t xml:space="preserve"> </w:t>
      </w:r>
      <w:r w:rsidRPr="001B304D">
        <w:rPr>
          <w:rFonts w:cs="Times New Roman"/>
          <w:i/>
          <w:sz w:val="24"/>
          <w:szCs w:val="24"/>
        </w:rPr>
        <w:t xml:space="preserve">Religion in Public Life: Must Faith </w:t>
      </w:r>
      <w:proofErr w:type="gramStart"/>
      <w:r w:rsidRPr="001B304D">
        <w:rPr>
          <w:rFonts w:cs="Times New Roman"/>
          <w:i/>
          <w:sz w:val="24"/>
          <w:szCs w:val="24"/>
        </w:rPr>
        <w:t>be</w:t>
      </w:r>
      <w:proofErr w:type="gramEnd"/>
      <w:r w:rsidRPr="001B304D">
        <w:rPr>
          <w:rFonts w:cs="Times New Roman"/>
          <w:i/>
          <w:sz w:val="24"/>
          <w:szCs w:val="24"/>
        </w:rPr>
        <w:t xml:space="preserve"> Privatized? </w:t>
      </w:r>
      <w:r w:rsidR="00985E3E" w:rsidRPr="001B304D">
        <w:rPr>
          <w:rFonts w:cs="Times New Roman"/>
          <w:sz w:val="24"/>
          <w:szCs w:val="24"/>
        </w:rPr>
        <w:t>Oxford: Oxford University Press, 2007</w:t>
      </w:r>
      <w:r w:rsidRPr="001B304D">
        <w:rPr>
          <w:rFonts w:cs="Times New Roman"/>
          <w:sz w:val="24"/>
          <w:szCs w:val="24"/>
        </w:rPr>
        <w:t>.</w:t>
      </w:r>
    </w:p>
    <w:p w:rsidR="0035679F" w:rsidRPr="001B304D" w:rsidRDefault="0035679F" w:rsidP="008100A8">
      <w:pPr>
        <w:pStyle w:val="FootnoteText"/>
        <w:spacing w:line="480" w:lineRule="auto"/>
        <w:ind w:left="720" w:hanging="720"/>
        <w:jc w:val="both"/>
        <w:rPr>
          <w:rFonts w:cs="Times New Roman"/>
          <w:sz w:val="24"/>
          <w:szCs w:val="24"/>
        </w:rPr>
      </w:pPr>
      <w:proofErr w:type="spellStart"/>
      <w:r w:rsidRPr="001B304D">
        <w:rPr>
          <w:rFonts w:cs="Times New Roman"/>
          <w:sz w:val="24"/>
          <w:szCs w:val="24"/>
        </w:rPr>
        <w:t>Trigg</w:t>
      </w:r>
      <w:proofErr w:type="spellEnd"/>
      <w:r w:rsidRPr="001B304D">
        <w:rPr>
          <w:rFonts w:cs="Times New Roman"/>
          <w:sz w:val="24"/>
          <w:szCs w:val="24"/>
        </w:rPr>
        <w:t>, R</w:t>
      </w:r>
      <w:r w:rsidR="00CB44EF" w:rsidRPr="001B304D">
        <w:rPr>
          <w:rFonts w:cs="Times New Roman"/>
          <w:sz w:val="24"/>
          <w:szCs w:val="24"/>
        </w:rPr>
        <w:t>oger</w:t>
      </w:r>
      <w:r w:rsidR="00985E3E" w:rsidRPr="001B304D">
        <w:rPr>
          <w:rFonts w:cs="Times New Roman"/>
          <w:sz w:val="24"/>
          <w:szCs w:val="24"/>
        </w:rPr>
        <w:t xml:space="preserve">. </w:t>
      </w:r>
      <w:proofErr w:type="gramStart"/>
      <w:r w:rsidRPr="001B304D">
        <w:rPr>
          <w:rFonts w:cs="Times New Roman"/>
          <w:i/>
          <w:sz w:val="24"/>
          <w:szCs w:val="24"/>
        </w:rPr>
        <w:t>Equality, Freedom and Religion</w:t>
      </w:r>
      <w:r w:rsidR="00985E3E" w:rsidRPr="001B304D">
        <w:rPr>
          <w:rFonts w:cs="Times New Roman"/>
          <w:sz w:val="24"/>
          <w:szCs w:val="24"/>
        </w:rPr>
        <w:t>.</w:t>
      </w:r>
      <w:proofErr w:type="gramEnd"/>
      <w:r w:rsidR="00985E3E" w:rsidRPr="001B304D">
        <w:rPr>
          <w:rFonts w:cs="Times New Roman"/>
          <w:sz w:val="24"/>
          <w:szCs w:val="24"/>
        </w:rPr>
        <w:t xml:space="preserve"> </w:t>
      </w:r>
      <w:r w:rsidRPr="001B304D">
        <w:rPr>
          <w:rFonts w:cs="Times New Roman"/>
          <w:sz w:val="24"/>
          <w:szCs w:val="24"/>
        </w:rPr>
        <w:t>O</w:t>
      </w:r>
      <w:r w:rsidR="00985E3E" w:rsidRPr="001B304D">
        <w:rPr>
          <w:rFonts w:cs="Times New Roman"/>
          <w:sz w:val="24"/>
          <w:szCs w:val="24"/>
        </w:rPr>
        <w:t>xford: Oxford University Press, 2012.</w:t>
      </w:r>
    </w:p>
    <w:p w:rsidR="0035679F"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Whistler, D</w:t>
      </w:r>
      <w:r w:rsidR="00CB44EF" w:rsidRPr="001B304D">
        <w:rPr>
          <w:rFonts w:cs="Times New Roman"/>
          <w:sz w:val="24"/>
          <w:szCs w:val="24"/>
        </w:rPr>
        <w:t>aniel</w:t>
      </w:r>
      <w:r w:rsidR="00985E3E" w:rsidRPr="001B304D">
        <w:rPr>
          <w:rFonts w:cs="Times New Roman"/>
          <w:sz w:val="24"/>
          <w:szCs w:val="24"/>
        </w:rPr>
        <w:t xml:space="preserve">.  </w:t>
      </w:r>
      <w:r w:rsidRPr="001B304D">
        <w:rPr>
          <w:rFonts w:cs="Times New Roman"/>
          <w:i/>
          <w:sz w:val="24"/>
          <w:szCs w:val="24"/>
        </w:rPr>
        <w:t>Schelling’s Theory of Symbolic Language</w:t>
      </w:r>
      <w:r w:rsidR="00985E3E" w:rsidRPr="001B304D">
        <w:rPr>
          <w:rFonts w:cs="Times New Roman"/>
          <w:i/>
          <w:sz w:val="24"/>
          <w:szCs w:val="24"/>
        </w:rPr>
        <w:t>: Forming the System of Identity</w:t>
      </w:r>
      <w:r w:rsidR="00985E3E" w:rsidRPr="001B304D">
        <w:rPr>
          <w:rFonts w:cs="Times New Roman"/>
          <w:sz w:val="24"/>
          <w:szCs w:val="24"/>
        </w:rPr>
        <w:t xml:space="preserve">. </w:t>
      </w:r>
      <w:r w:rsidRPr="001B304D">
        <w:rPr>
          <w:rFonts w:cs="Times New Roman"/>
          <w:sz w:val="24"/>
          <w:szCs w:val="24"/>
        </w:rPr>
        <w:t xml:space="preserve">Oxford: Oxford </w:t>
      </w:r>
      <w:r w:rsidR="00985E3E" w:rsidRPr="001B304D">
        <w:rPr>
          <w:rFonts w:cs="Times New Roman"/>
          <w:sz w:val="24"/>
          <w:szCs w:val="24"/>
        </w:rPr>
        <w:t>University Press, 2013</w:t>
      </w:r>
      <w:r w:rsidRPr="001B304D">
        <w:rPr>
          <w:rFonts w:cs="Times New Roman"/>
          <w:sz w:val="24"/>
          <w:szCs w:val="24"/>
        </w:rPr>
        <w:t>.</w:t>
      </w:r>
    </w:p>
    <w:p w:rsidR="00C856FA" w:rsidRPr="001B304D" w:rsidRDefault="0035679F" w:rsidP="008100A8">
      <w:pPr>
        <w:spacing w:after="0" w:line="480" w:lineRule="auto"/>
        <w:ind w:left="720" w:hanging="720"/>
        <w:jc w:val="both"/>
        <w:rPr>
          <w:rFonts w:cs="Times New Roman"/>
          <w:sz w:val="24"/>
          <w:szCs w:val="24"/>
        </w:rPr>
      </w:pPr>
      <w:r w:rsidRPr="001B304D">
        <w:rPr>
          <w:rFonts w:cs="Times New Roman"/>
          <w:sz w:val="24"/>
          <w:szCs w:val="24"/>
        </w:rPr>
        <w:t>Whistler</w:t>
      </w:r>
      <w:r w:rsidR="00985E3E" w:rsidRPr="001B304D">
        <w:rPr>
          <w:rFonts w:cs="Times New Roman"/>
          <w:sz w:val="24"/>
          <w:szCs w:val="24"/>
        </w:rPr>
        <w:t>, Daniel.</w:t>
      </w:r>
      <w:r w:rsidR="00CB44EF" w:rsidRPr="001B304D">
        <w:rPr>
          <w:rFonts w:cs="Times New Roman"/>
          <w:sz w:val="24"/>
          <w:szCs w:val="24"/>
        </w:rPr>
        <w:t xml:space="preserve"> </w:t>
      </w:r>
      <w:proofErr w:type="gramStart"/>
      <w:r w:rsidR="00CB44EF" w:rsidRPr="001B304D">
        <w:rPr>
          <w:rFonts w:cs="Times New Roman"/>
          <w:sz w:val="24"/>
          <w:szCs w:val="24"/>
        </w:rPr>
        <w:t>‘Naturalism and Symbolism</w:t>
      </w:r>
      <w:r w:rsidR="001052E3" w:rsidRPr="001B304D">
        <w:rPr>
          <w:rFonts w:cs="Times New Roman"/>
          <w:sz w:val="24"/>
          <w:szCs w:val="24"/>
        </w:rPr>
        <w:t>.’</w:t>
      </w:r>
      <w:proofErr w:type="gramEnd"/>
      <w:r w:rsidR="00CB44EF" w:rsidRPr="001B304D">
        <w:rPr>
          <w:rFonts w:cs="Times New Roman"/>
          <w:sz w:val="24"/>
          <w:szCs w:val="24"/>
        </w:rPr>
        <w:t xml:space="preserve"> </w:t>
      </w:r>
      <w:proofErr w:type="spellStart"/>
      <w:proofErr w:type="gramStart"/>
      <w:r w:rsidR="00CB44EF" w:rsidRPr="001B304D">
        <w:rPr>
          <w:rFonts w:cs="Times New Roman"/>
          <w:i/>
          <w:sz w:val="24"/>
          <w:szCs w:val="24"/>
        </w:rPr>
        <w:t>Angelaki</w:t>
      </w:r>
      <w:proofErr w:type="spellEnd"/>
      <w:r w:rsidR="00985E3E" w:rsidRPr="001B304D">
        <w:rPr>
          <w:rFonts w:cs="Times New Roman"/>
          <w:sz w:val="24"/>
          <w:szCs w:val="24"/>
        </w:rPr>
        <w:t xml:space="preserve"> 21.4, </w:t>
      </w:r>
      <w:r w:rsidR="00CB44EF" w:rsidRPr="001B304D">
        <w:rPr>
          <w:rFonts w:cs="Times New Roman"/>
          <w:sz w:val="24"/>
          <w:szCs w:val="24"/>
        </w:rPr>
        <w:t>forthcoming</w:t>
      </w:r>
      <w:r w:rsidR="00985E3E" w:rsidRPr="001B304D">
        <w:rPr>
          <w:rFonts w:cs="Times New Roman"/>
          <w:sz w:val="24"/>
          <w:szCs w:val="24"/>
        </w:rPr>
        <w:t xml:space="preserve"> (2016</w:t>
      </w:r>
      <w:r w:rsidR="00CB44EF" w:rsidRPr="001B304D">
        <w:rPr>
          <w:rFonts w:cs="Times New Roman"/>
          <w:sz w:val="24"/>
          <w:szCs w:val="24"/>
        </w:rPr>
        <w:t>).</w:t>
      </w:r>
      <w:proofErr w:type="gramEnd"/>
    </w:p>
    <w:sectPr w:rsidR="00C856FA" w:rsidRPr="001B304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F5B" w:rsidRDefault="00282F5B" w:rsidP="008849A7">
      <w:pPr>
        <w:spacing w:after="0" w:line="240" w:lineRule="auto"/>
      </w:pPr>
      <w:r>
        <w:separator/>
      </w:r>
    </w:p>
  </w:endnote>
  <w:endnote w:type="continuationSeparator" w:id="0">
    <w:p w:rsidR="00282F5B" w:rsidRDefault="00282F5B" w:rsidP="0088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default"/>
  </w:font>
  <w:font w:name="AR PL UKai CN">
    <w:altName w:val="Times New Roman"/>
    <w:charset w:val="01"/>
    <w:family w:val="auto"/>
    <w:pitch w:val="variable"/>
  </w:font>
  <w:font w:name="DejaVu Sans">
    <w:panose1 w:val="020B0603030804020204"/>
    <w:charset w:val="00"/>
    <w:family w:val="swiss"/>
    <w:pitch w:val="variable"/>
    <w:sig w:usb0="E7000EFF" w:usb1="5200FDFF" w:usb2="0A042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Helvetica-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AA" w:rsidRDefault="00762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AA" w:rsidRDefault="00762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AA" w:rsidRDefault="00762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F5B" w:rsidRDefault="00282F5B" w:rsidP="008849A7">
      <w:pPr>
        <w:spacing w:after="0" w:line="240" w:lineRule="auto"/>
      </w:pPr>
      <w:r>
        <w:separator/>
      </w:r>
    </w:p>
  </w:footnote>
  <w:footnote w:type="continuationSeparator" w:id="0">
    <w:p w:rsidR="00282F5B" w:rsidRDefault="00282F5B" w:rsidP="008849A7">
      <w:pPr>
        <w:spacing w:after="0" w:line="240" w:lineRule="auto"/>
      </w:pPr>
      <w:r>
        <w:continuationSeparator/>
      </w:r>
    </w:p>
  </w:footnote>
  <w:footnote w:id="1">
    <w:p w:rsidR="00EB21AC" w:rsidRPr="00DB7EDE" w:rsidRDefault="00EB21AC" w:rsidP="00AD2B4D">
      <w:pPr>
        <w:pStyle w:val="FootnoteText"/>
        <w:jc w:val="both"/>
      </w:pPr>
      <w:r w:rsidRPr="00DB7EDE">
        <w:rPr>
          <w:rStyle w:val="FootnoteReference"/>
        </w:rPr>
        <w:footnoteRef/>
      </w:r>
      <w:r w:rsidRPr="00DB7EDE">
        <w:t xml:space="preserve"> For a discussion of </w:t>
      </w:r>
      <w:r>
        <w:t>these definitions</w:t>
      </w:r>
      <w:r w:rsidRPr="00DB7EDE">
        <w:t>, see Eco</w:t>
      </w:r>
      <w:r>
        <w:t xml:space="preserve"> 130-1,</w:t>
      </w:r>
      <w:r w:rsidRPr="00DB7EDE">
        <w:t xml:space="preserve"> </w:t>
      </w:r>
      <w:proofErr w:type="spellStart"/>
      <w:r w:rsidRPr="00DB7EDE">
        <w:t>Halmi</w:t>
      </w:r>
      <w:proofErr w:type="spellEnd"/>
      <w:r w:rsidRPr="00DB7EDE">
        <w:t xml:space="preserve"> 6.</w:t>
      </w:r>
    </w:p>
  </w:footnote>
  <w:footnote w:id="2">
    <w:p w:rsidR="00EB21AC" w:rsidRPr="0083661C" w:rsidRDefault="00EB21AC" w:rsidP="00AD2B4D">
      <w:pPr>
        <w:spacing w:after="0" w:line="480" w:lineRule="auto"/>
        <w:jc w:val="both"/>
        <w:rPr>
          <w:sz w:val="20"/>
          <w:szCs w:val="20"/>
        </w:rPr>
      </w:pPr>
      <w:r w:rsidRPr="0083661C">
        <w:rPr>
          <w:rStyle w:val="FootnoteReference"/>
          <w:sz w:val="20"/>
          <w:szCs w:val="20"/>
        </w:rPr>
        <w:footnoteRef/>
      </w:r>
      <w:r w:rsidRPr="0083661C">
        <w:rPr>
          <w:sz w:val="20"/>
          <w:szCs w:val="20"/>
        </w:rPr>
        <w:t xml:space="preserve"> For </w:t>
      </w:r>
      <w:r>
        <w:rPr>
          <w:sz w:val="20"/>
          <w:szCs w:val="20"/>
        </w:rPr>
        <w:t xml:space="preserve">an example of </w:t>
      </w:r>
      <w:r w:rsidRPr="0083661C">
        <w:rPr>
          <w:sz w:val="20"/>
          <w:szCs w:val="20"/>
        </w:rPr>
        <w:t xml:space="preserve">recent literature on neoplatonic theories of symbolism, see </w:t>
      </w:r>
      <w:proofErr w:type="spellStart"/>
      <w:r w:rsidR="004F634D">
        <w:rPr>
          <w:sz w:val="20"/>
          <w:szCs w:val="20"/>
        </w:rPr>
        <w:t>Bonfiglioli</w:t>
      </w:r>
      <w:proofErr w:type="spellEnd"/>
      <w:r w:rsidR="004F634D">
        <w:rPr>
          <w:sz w:val="20"/>
          <w:szCs w:val="20"/>
        </w:rPr>
        <w:t xml:space="preserve"> and </w:t>
      </w:r>
      <w:proofErr w:type="spellStart"/>
      <w:r w:rsidR="004F634D">
        <w:rPr>
          <w:sz w:val="20"/>
          <w:szCs w:val="20"/>
        </w:rPr>
        <w:t>Marmo</w:t>
      </w:r>
      <w:proofErr w:type="spellEnd"/>
      <w:r w:rsidRPr="0083661C">
        <w:rPr>
          <w:sz w:val="20"/>
          <w:szCs w:val="20"/>
        </w:rPr>
        <w:t>.</w:t>
      </w:r>
    </w:p>
  </w:footnote>
  <w:footnote w:id="3">
    <w:p w:rsidR="00EB21AC" w:rsidRPr="002B53B0" w:rsidRDefault="00EB21AC" w:rsidP="00AD2B4D">
      <w:pPr>
        <w:spacing w:after="0" w:line="240" w:lineRule="auto"/>
        <w:jc w:val="both"/>
        <w:rPr>
          <w:sz w:val="20"/>
          <w:szCs w:val="20"/>
        </w:rPr>
      </w:pPr>
      <w:r w:rsidRPr="002B53B0">
        <w:rPr>
          <w:rStyle w:val="FootnoteReference"/>
          <w:sz w:val="20"/>
          <w:szCs w:val="20"/>
        </w:rPr>
        <w:footnoteRef/>
      </w:r>
      <w:r w:rsidR="004F634D">
        <w:rPr>
          <w:sz w:val="20"/>
          <w:szCs w:val="20"/>
        </w:rPr>
        <w:t xml:space="preserve"> </w:t>
      </w:r>
      <w:proofErr w:type="spellStart"/>
      <w:r w:rsidR="004F634D">
        <w:rPr>
          <w:sz w:val="20"/>
          <w:szCs w:val="20"/>
        </w:rPr>
        <w:t>Esterhammer’s</w:t>
      </w:r>
      <w:proofErr w:type="spellEnd"/>
      <w:r w:rsidR="004F634D">
        <w:rPr>
          <w:sz w:val="20"/>
          <w:szCs w:val="20"/>
        </w:rPr>
        <w:t xml:space="preserve"> rereading </w:t>
      </w:r>
      <w:r w:rsidRPr="002B53B0">
        <w:rPr>
          <w:sz w:val="20"/>
          <w:szCs w:val="20"/>
        </w:rPr>
        <w:t xml:space="preserve">of romantic philosophies of language as offering theories of performative utterances and </w:t>
      </w:r>
      <w:proofErr w:type="spellStart"/>
      <w:r w:rsidRPr="002B53B0">
        <w:rPr>
          <w:sz w:val="20"/>
          <w:szCs w:val="20"/>
        </w:rPr>
        <w:t>Galland-Szymkowiak</w:t>
      </w:r>
      <w:r>
        <w:rPr>
          <w:sz w:val="20"/>
          <w:szCs w:val="20"/>
        </w:rPr>
        <w:t>’s</w:t>
      </w:r>
      <w:proofErr w:type="spellEnd"/>
      <w:r>
        <w:rPr>
          <w:sz w:val="20"/>
          <w:szCs w:val="20"/>
        </w:rPr>
        <w:t xml:space="preserve"> </w:t>
      </w:r>
      <w:proofErr w:type="spellStart"/>
      <w:r>
        <w:rPr>
          <w:sz w:val="20"/>
          <w:szCs w:val="20"/>
        </w:rPr>
        <w:t>refiguration</w:t>
      </w:r>
      <w:proofErr w:type="spellEnd"/>
      <w:r>
        <w:rPr>
          <w:sz w:val="20"/>
          <w:szCs w:val="20"/>
        </w:rPr>
        <w:t xml:space="preserve"> of the symbol through the lens of temporality</w:t>
      </w:r>
      <w:r w:rsidRPr="002B53B0">
        <w:rPr>
          <w:sz w:val="20"/>
          <w:szCs w:val="20"/>
        </w:rPr>
        <w:t xml:space="preserve"> should also be placed in this category.</w:t>
      </w:r>
    </w:p>
  </w:footnote>
  <w:footnote w:id="4">
    <w:p w:rsidR="00501ABC" w:rsidRPr="00501ABC" w:rsidRDefault="00501ABC">
      <w:pPr>
        <w:pStyle w:val="FootnoteText"/>
        <w:rPr>
          <w:rFonts w:cs="Times New Roman"/>
        </w:rPr>
      </w:pPr>
      <w:r w:rsidRPr="00501ABC">
        <w:rPr>
          <w:rStyle w:val="FootnoteReference"/>
          <w:rFonts w:cs="Times New Roman"/>
        </w:rPr>
        <w:footnoteRef/>
      </w:r>
      <w:r w:rsidRPr="00501ABC">
        <w:rPr>
          <w:rFonts w:cs="Times New Roman"/>
        </w:rPr>
        <w:t xml:space="preserve"> </w:t>
      </w:r>
      <w:r w:rsidRPr="00501ABC">
        <w:rPr>
          <w:rFonts w:cs="Times New Roman"/>
          <w:color w:val="000000"/>
        </w:rPr>
        <w:t xml:space="preserve">This section emerges out of collaborative research with </w:t>
      </w:r>
      <w:r>
        <w:rPr>
          <w:rFonts w:cs="Times New Roman"/>
          <w:color w:val="000000"/>
        </w:rPr>
        <w:t>XXX</w:t>
      </w:r>
      <w:r w:rsidRPr="00501ABC">
        <w:rPr>
          <w:rFonts w:cs="Times New Roman"/>
          <w:color w:val="000000"/>
        </w:rPr>
        <w:t>, and the claims made herein are largely a result of both of our efforts in this field.</w:t>
      </w:r>
    </w:p>
  </w:footnote>
  <w:footnote w:id="5">
    <w:p w:rsidR="00EB21AC" w:rsidRDefault="00EB21AC" w:rsidP="00AD2B4D">
      <w:pPr>
        <w:pStyle w:val="FootnoteText"/>
        <w:jc w:val="both"/>
      </w:pPr>
      <w:r>
        <w:rPr>
          <w:rStyle w:val="FootnoteReference"/>
        </w:rPr>
        <w:footnoteRef/>
      </w:r>
      <w:r>
        <w:t xml:space="preserve"> On this </w:t>
      </w:r>
      <w:r w:rsidR="00E6108A">
        <w:t xml:space="preserve">information, see </w:t>
      </w:r>
      <w:proofErr w:type="spellStart"/>
      <w:r w:rsidR="00E6108A">
        <w:t>McGoldrick</w:t>
      </w:r>
      <w:proofErr w:type="spellEnd"/>
      <w:r>
        <w:t>.</w:t>
      </w:r>
    </w:p>
  </w:footnote>
  <w:footnote w:id="6">
    <w:p w:rsidR="00EB21AC" w:rsidRDefault="00EB21AC" w:rsidP="00AD2B4D">
      <w:pPr>
        <w:pStyle w:val="FootnoteText"/>
        <w:jc w:val="both"/>
      </w:pPr>
      <w:r>
        <w:rPr>
          <w:rStyle w:val="FootnoteReference"/>
        </w:rPr>
        <w:footnoteRef/>
      </w:r>
      <w:r w:rsidR="00C55570">
        <w:t xml:space="preserve"> </w:t>
      </w:r>
      <w:proofErr w:type="spellStart"/>
      <w:r w:rsidR="00C55570">
        <w:t>Schilbrack</w:t>
      </w:r>
      <w:proofErr w:type="spellEnd"/>
      <w:r>
        <w:t xml:space="preserve"> also provides a good recent example of this kind of concern.</w:t>
      </w:r>
    </w:p>
  </w:footnote>
  <w:footnote w:id="7">
    <w:p w:rsidR="00EB21AC" w:rsidRPr="00AB3D60" w:rsidRDefault="00EB21AC" w:rsidP="00AD2B4D">
      <w:pPr>
        <w:pStyle w:val="FootnoteText"/>
        <w:jc w:val="both"/>
      </w:pPr>
      <w:r w:rsidRPr="00AB3D60">
        <w:rPr>
          <w:rStyle w:val="FootnoteCharacters"/>
        </w:rPr>
        <w:footnoteRef/>
      </w:r>
      <w:r>
        <w:t xml:space="preserve"> This claim was, however, rejected by the Appeal Court.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AA" w:rsidRDefault="00762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416582"/>
      <w:docPartObj>
        <w:docPartGallery w:val="Page Numbers (Top of Page)"/>
        <w:docPartUnique/>
      </w:docPartObj>
    </w:sdtPr>
    <w:sdtEndPr>
      <w:rPr>
        <w:noProof/>
        <w:sz w:val="20"/>
        <w:szCs w:val="20"/>
      </w:rPr>
    </w:sdtEndPr>
    <w:sdtContent>
      <w:p w:rsidR="00EB21AC" w:rsidRPr="008849A7" w:rsidRDefault="00EB21AC">
        <w:pPr>
          <w:pStyle w:val="Header"/>
          <w:jc w:val="right"/>
          <w:rPr>
            <w:sz w:val="20"/>
            <w:szCs w:val="20"/>
          </w:rPr>
        </w:pPr>
        <w:r w:rsidRPr="008849A7">
          <w:rPr>
            <w:sz w:val="20"/>
            <w:szCs w:val="20"/>
          </w:rPr>
          <w:fldChar w:fldCharType="begin"/>
        </w:r>
        <w:r w:rsidRPr="008849A7">
          <w:rPr>
            <w:sz w:val="20"/>
            <w:szCs w:val="20"/>
          </w:rPr>
          <w:instrText xml:space="preserve"> PAGE   \* MERGEFORMAT </w:instrText>
        </w:r>
        <w:r w:rsidRPr="008849A7">
          <w:rPr>
            <w:sz w:val="20"/>
            <w:szCs w:val="20"/>
          </w:rPr>
          <w:fldChar w:fldCharType="separate"/>
        </w:r>
        <w:r w:rsidR="00814CF9">
          <w:rPr>
            <w:noProof/>
            <w:sz w:val="20"/>
            <w:szCs w:val="20"/>
          </w:rPr>
          <w:t>27</w:t>
        </w:r>
        <w:r w:rsidRPr="008849A7">
          <w:rPr>
            <w:noProof/>
            <w:sz w:val="20"/>
            <w:szCs w:val="20"/>
          </w:rPr>
          <w:fldChar w:fldCharType="end"/>
        </w:r>
      </w:p>
    </w:sdtContent>
  </w:sdt>
  <w:p w:rsidR="00EB21AC" w:rsidRDefault="00EB21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AA" w:rsidRDefault="00762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46AA"/>
    <w:multiLevelType w:val="multilevel"/>
    <w:tmpl w:val="634486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C5721D"/>
    <w:multiLevelType w:val="multilevel"/>
    <w:tmpl w:val="066E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847488"/>
    <w:multiLevelType w:val="hybridMultilevel"/>
    <w:tmpl w:val="CD9A1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6532A0"/>
    <w:multiLevelType w:val="multilevel"/>
    <w:tmpl w:val="C972B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5588F"/>
    <w:multiLevelType w:val="hybridMultilevel"/>
    <w:tmpl w:val="F7EA8C8A"/>
    <w:lvl w:ilvl="0" w:tplc="1862B3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DB02DF6"/>
    <w:multiLevelType w:val="hybridMultilevel"/>
    <w:tmpl w:val="B7527D8C"/>
    <w:lvl w:ilvl="0" w:tplc="864A68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DCB3AF6"/>
    <w:multiLevelType w:val="hybridMultilevel"/>
    <w:tmpl w:val="08EA59B8"/>
    <w:lvl w:ilvl="0" w:tplc="806057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62"/>
    <w:rsid w:val="00003D31"/>
    <w:rsid w:val="000170E0"/>
    <w:rsid w:val="000421AE"/>
    <w:rsid w:val="000459FA"/>
    <w:rsid w:val="00046D7B"/>
    <w:rsid w:val="00053F0B"/>
    <w:rsid w:val="000867CF"/>
    <w:rsid w:val="00092BD0"/>
    <w:rsid w:val="000A06F1"/>
    <w:rsid w:val="000A51B4"/>
    <w:rsid w:val="000B15CA"/>
    <w:rsid w:val="000E37D2"/>
    <w:rsid w:val="001052E3"/>
    <w:rsid w:val="00131DC1"/>
    <w:rsid w:val="00133B50"/>
    <w:rsid w:val="00147E81"/>
    <w:rsid w:val="00163505"/>
    <w:rsid w:val="00185CC1"/>
    <w:rsid w:val="00195EAD"/>
    <w:rsid w:val="001B304D"/>
    <w:rsid w:val="001C0464"/>
    <w:rsid w:val="001D40E1"/>
    <w:rsid w:val="001F6B54"/>
    <w:rsid w:val="00215237"/>
    <w:rsid w:val="00236AF9"/>
    <w:rsid w:val="00246679"/>
    <w:rsid w:val="00263503"/>
    <w:rsid w:val="00271C10"/>
    <w:rsid w:val="00282F5B"/>
    <w:rsid w:val="0028536D"/>
    <w:rsid w:val="002A6EDD"/>
    <w:rsid w:val="002B53B0"/>
    <w:rsid w:val="002C5E2B"/>
    <w:rsid w:val="002D7123"/>
    <w:rsid w:val="002F35B8"/>
    <w:rsid w:val="00305295"/>
    <w:rsid w:val="00310637"/>
    <w:rsid w:val="003155E5"/>
    <w:rsid w:val="0035679F"/>
    <w:rsid w:val="00357AF0"/>
    <w:rsid w:val="00373B4F"/>
    <w:rsid w:val="003C68CA"/>
    <w:rsid w:val="003D2CE8"/>
    <w:rsid w:val="004318C2"/>
    <w:rsid w:val="004428FC"/>
    <w:rsid w:val="00474278"/>
    <w:rsid w:val="004A1761"/>
    <w:rsid w:val="004E5BD3"/>
    <w:rsid w:val="004F634D"/>
    <w:rsid w:val="005017AF"/>
    <w:rsid w:val="00501ABC"/>
    <w:rsid w:val="005227B5"/>
    <w:rsid w:val="00531981"/>
    <w:rsid w:val="00545DD3"/>
    <w:rsid w:val="00564B80"/>
    <w:rsid w:val="00571153"/>
    <w:rsid w:val="005C2962"/>
    <w:rsid w:val="005D411E"/>
    <w:rsid w:val="005F5C79"/>
    <w:rsid w:val="00626F7C"/>
    <w:rsid w:val="00642B9D"/>
    <w:rsid w:val="00683179"/>
    <w:rsid w:val="00693EAA"/>
    <w:rsid w:val="006978E5"/>
    <w:rsid w:val="006C7DF1"/>
    <w:rsid w:val="006F58B4"/>
    <w:rsid w:val="00700083"/>
    <w:rsid w:val="007013F3"/>
    <w:rsid w:val="00734E4B"/>
    <w:rsid w:val="00740124"/>
    <w:rsid w:val="007625AA"/>
    <w:rsid w:val="007761F6"/>
    <w:rsid w:val="0077700F"/>
    <w:rsid w:val="007A13CD"/>
    <w:rsid w:val="007B50C1"/>
    <w:rsid w:val="008100A8"/>
    <w:rsid w:val="00814CF9"/>
    <w:rsid w:val="0083661C"/>
    <w:rsid w:val="00855764"/>
    <w:rsid w:val="008669E3"/>
    <w:rsid w:val="00873E68"/>
    <w:rsid w:val="008752E9"/>
    <w:rsid w:val="00882761"/>
    <w:rsid w:val="008849A7"/>
    <w:rsid w:val="008C3941"/>
    <w:rsid w:val="008D32D0"/>
    <w:rsid w:val="008E0581"/>
    <w:rsid w:val="008E5C77"/>
    <w:rsid w:val="008F4ADE"/>
    <w:rsid w:val="009052DA"/>
    <w:rsid w:val="00942949"/>
    <w:rsid w:val="00947AFD"/>
    <w:rsid w:val="00951E9D"/>
    <w:rsid w:val="00964FFE"/>
    <w:rsid w:val="009718CE"/>
    <w:rsid w:val="00985E3E"/>
    <w:rsid w:val="009912B9"/>
    <w:rsid w:val="009A33D2"/>
    <w:rsid w:val="009B4BB5"/>
    <w:rsid w:val="00A13041"/>
    <w:rsid w:val="00A35903"/>
    <w:rsid w:val="00A87401"/>
    <w:rsid w:val="00AB0BA8"/>
    <w:rsid w:val="00AB5527"/>
    <w:rsid w:val="00AC2DF3"/>
    <w:rsid w:val="00AC3B51"/>
    <w:rsid w:val="00AD2B4D"/>
    <w:rsid w:val="00AE1455"/>
    <w:rsid w:val="00AE1928"/>
    <w:rsid w:val="00AE3FB9"/>
    <w:rsid w:val="00AF50E1"/>
    <w:rsid w:val="00B41AED"/>
    <w:rsid w:val="00B55B61"/>
    <w:rsid w:val="00B62C0F"/>
    <w:rsid w:val="00B736D9"/>
    <w:rsid w:val="00B74DF9"/>
    <w:rsid w:val="00B763AA"/>
    <w:rsid w:val="00BA142F"/>
    <w:rsid w:val="00BA166F"/>
    <w:rsid w:val="00BA3F28"/>
    <w:rsid w:val="00BD0067"/>
    <w:rsid w:val="00BE0056"/>
    <w:rsid w:val="00BF2D16"/>
    <w:rsid w:val="00C23941"/>
    <w:rsid w:val="00C32C83"/>
    <w:rsid w:val="00C34B62"/>
    <w:rsid w:val="00C41C8D"/>
    <w:rsid w:val="00C437C6"/>
    <w:rsid w:val="00C526E1"/>
    <w:rsid w:val="00C55570"/>
    <w:rsid w:val="00C57AA9"/>
    <w:rsid w:val="00C631C9"/>
    <w:rsid w:val="00C63364"/>
    <w:rsid w:val="00C7778A"/>
    <w:rsid w:val="00C856FA"/>
    <w:rsid w:val="00C9017F"/>
    <w:rsid w:val="00C91374"/>
    <w:rsid w:val="00C9400D"/>
    <w:rsid w:val="00C95CD4"/>
    <w:rsid w:val="00CB44EF"/>
    <w:rsid w:val="00CD1B14"/>
    <w:rsid w:val="00D14B12"/>
    <w:rsid w:val="00D3413D"/>
    <w:rsid w:val="00D57CFB"/>
    <w:rsid w:val="00DA4657"/>
    <w:rsid w:val="00DA590D"/>
    <w:rsid w:val="00DB7EDE"/>
    <w:rsid w:val="00DD1408"/>
    <w:rsid w:val="00DD3306"/>
    <w:rsid w:val="00DE705E"/>
    <w:rsid w:val="00E1035A"/>
    <w:rsid w:val="00E10FE9"/>
    <w:rsid w:val="00E2724D"/>
    <w:rsid w:val="00E351B6"/>
    <w:rsid w:val="00E6108A"/>
    <w:rsid w:val="00E72434"/>
    <w:rsid w:val="00E7601E"/>
    <w:rsid w:val="00EA5073"/>
    <w:rsid w:val="00EB21AC"/>
    <w:rsid w:val="00F17065"/>
    <w:rsid w:val="00F17905"/>
    <w:rsid w:val="00F43C18"/>
    <w:rsid w:val="00F508EB"/>
    <w:rsid w:val="00F81173"/>
    <w:rsid w:val="00F81269"/>
    <w:rsid w:val="00F84742"/>
    <w:rsid w:val="00F97914"/>
    <w:rsid w:val="00FC084D"/>
    <w:rsid w:val="00FC6FDB"/>
    <w:rsid w:val="00FC7280"/>
    <w:rsid w:val="00FD1F1E"/>
    <w:rsid w:val="00FD6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E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32C83"/>
    <w:pPr>
      <w:spacing w:after="0" w:line="240" w:lineRule="auto"/>
    </w:pPr>
    <w:rPr>
      <w:sz w:val="20"/>
      <w:szCs w:val="20"/>
    </w:rPr>
  </w:style>
  <w:style w:type="character" w:customStyle="1" w:styleId="FootnoteTextChar">
    <w:name w:val="Footnote Text Char"/>
    <w:basedOn w:val="DefaultParagraphFont"/>
    <w:link w:val="FootnoteText"/>
    <w:rsid w:val="00C32C83"/>
    <w:rPr>
      <w:rFonts w:ascii="Times New Roman" w:hAnsi="Times New Roman"/>
      <w:sz w:val="20"/>
      <w:szCs w:val="20"/>
    </w:rPr>
  </w:style>
  <w:style w:type="paragraph" w:styleId="ListParagraph">
    <w:name w:val="List Paragraph"/>
    <w:basedOn w:val="Normal"/>
    <w:uiPriority w:val="34"/>
    <w:qFormat/>
    <w:rsid w:val="005C2962"/>
    <w:pPr>
      <w:ind w:left="720"/>
      <w:contextualSpacing/>
    </w:pPr>
  </w:style>
  <w:style w:type="paragraph" w:styleId="Header">
    <w:name w:val="header"/>
    <w:basedOn w:val="Normal"/>
    <w:link w:val="HeaderChar"/>
    <w:uiPriority w:val="99"/>
    <w:unhideWhenUsed/>
    <w:rsid w:val="00884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9A7"/>
    <w:rPr>
      <w:rFonts w:ascii="Times New Roman" w:hAnsi="Times New Roman"/>
    </w:rPr>
  </w:style>
  <w:style w:type="paragraph" w:styleId="Footer">
    <w:name w:val="footer"/>
    <w:basedOn w:val="Normal"/>
    <w:link w:val="FooterChar"/>
    <w:uiPriority w:val="99"/>
    <w:unhideWhenUsed/>
    <w:rsid w:val="00884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9A7"/>
    <w:rPr>
      <w:rFonts w:ascii="Times New Roman" w:hAnsi="Times New Roman"/>
    </w:rPr>
  </w:style>
  <w:style w:type="character" w:customStyle="1" w:styleId="apple-converted-space">
    <w:name w:val="apple-converted-space"/>
    <w:basedOn w:val="DefaultParagraphFont"/>
    <w:rsid w:val="00F81173"/>
  </w:style>
  <w:style w:type="character" w:styleId="FootnoteReference">
    <w:name w:val="footnote reference"/>
    <w:basedOn w:val="DefaultParagraphFont"/>
    <w:uiPriority w:val="99"/>
    <w:unhideWhenUsed/>
    <w:rsid w:val="006F58B4"/>
    <w:rPr>
      <w:vertAlign w:val="superscript"/>
    </w:rPr>
  </w:style>
  <w:style w:type="character" w:customStyle="1" w:styleId="FootnoteCharacters">
    <w:name w:val="Footnote Characters"/>
    <w:rsid w:val="006F58B4"/>
    <w:rPr>
      <w:rFonts w:ascii="Times New Roman" w:hAnsi="Times New Roman" w:cs="Times New Roman"/>
      <w:vertAlign w:val="superscript"/>
    </w:rPr>
  </w:style>
  <w:style w:type="character" w:customStyle="1" w:styleId="WW-FootnoteReference">
    <w:name w:val="WW-Footnote Reference"/>
    <w:rsid w:val="006F58B4"/>
    <w:rPr>
      <w:vertAlign w:val="superscript"/>
    </w:rPr>
  </w:style>
  <w:style w:type="character" w:customStyle="1" w:styleId="WW-FootnoteReference1">
    <w:name w:val="WW-Footnote Reference1"/>
    <w:rsid w:val="006F58B4"/>
    <w:rPr>
      <w:vertAlign w:val="superscript"/>
    </w:rPr>
  </w:style>
  <w:style w:type="character" w:customStyle="1" w:styleId="apple-style-span">
    <w:name w:val="apple-style-span"/>
    <w:rsid w:val="00236AF9"/>
    <w:rPr>
      <w:rFonts w:ascii="Times New Roman" w:hAnsi="Times New Roman" w:cs="Times New Roman"/>
    </w:rPr>
  </w:style>
  <w:style w:type="character" w:styleId="Hyperlink">
    <w:name w:val="Hyperlink"/>
    <w:rsid w:val="00236AF9"/>
    <w:rPr>
      <w:rFonts w:ascii="Times New Roman" w:hAnsi="Times New Roman" w:cs="Times New Roman"/>
      <w:color w:val="0000FF"/>
      <w:u w:val="single"/>
    </w:rPr>
  </w:style>
  <w:style w:type="paragraph" w:styleId="NormalWeb">
    <w:name w:val="Normal (Web)"/>
    <w:basedOn w:val="Normal"/>
    <w:uiPriority w:val="99"/>
    <w:rsid w:val="00236AF9"/>
    <w:pPr>
      <w:spacing w:before="100" w:after="100" w:line="240" w:lineRule="auto"/>
    </w:pPr>
    <w:rPr>
      <w:rFonts w:eastAsia="Times New Roman" w:cs="Times New Roman"/>
      <w:kern w:val="1"/>
      <w:sz w:val="24"/>
      <w:szCs w:val="24"/>
      <w:lang w:eastAsia="ar-SA"/>
    </w:rPr>
  </w:style>
  <w:style w:type="paragraph" w:customStyle="1" w:styleId="western">
    <w:name w:val="western"/>
    <w:basedOn w:val="Normal"/>
    <w:rsid w:val="00236AF9"/>
    <w:pPr>
      <w:spacing w:before="100" w:beforeAutospacing="1" w:after="119" w:line="240" w:lineRule="auto"/>
    </w:pPr>
    <w:rPr>
      <w:rFonts w:eastAsia="Times New Roman" w:cs="Times New Roman"/>
      <w:sz w:val="24"/>
      <w:szCs w:val="24"/>
      <w:lang w:eastAsia="en-GB"/>
    </w:rPr>
  </w:style>
  <w:style w:type="character" w:styleId="EndnoteReference">
    <w:name w:val="endnote reference"/>
    <w:uiPriority w:val="99"/>
    <w:semiHidden/>
    <w:unhideWhenUsed/>
    <w:rsid w:val="00734E4B"/>
    <w:rPr>
      <w:vertAlign w:val="superscript"/>
    </w:rPr>
  </w:style>
  <w:style w:type="paragraph" w:customStyle="1" w:styleId="FootnoteText1">
    <w:name w:val="Footnote Text1"/>
    <w:basedOn w:val="Normal"/>
    <w:rsid w:val="00263503"/>
    <w:pPr>
      <w:widowControl w:val="0"/>
      <w:suppressLineNumbers/>
      <w:suppressAutoHyphens/>
      <w:spacing w:after="0" w:line="100" w:lineRule="atLeast"/>
      <w:ind w:left="283" w:hanging="283"/>
    </w:pPr>
    <w:rPr>
      <w:rFonts w:eastAsia="Times New Roman" w:cs="Times New Roman"/>
      <w:color w:val="000000"/>
      <w:kern w:val="2"/>
      <w:sz w:val="20"/>
      <w:szCs w:val="20"/>
      <w:lang w:eastAsia="zh-CN"/>
    </w:rPr>
  </w:style>
  <w:style w:type="paragraph" w:customStyle="1" w:styleId="sdfootnote-western">
    <w:name w:val="sdfootnote-western"/>
    <w:basedOn w:val="Normal"/>
    <w:rsid w:val="00263503"/>
    <w:pPr>
      <w:spacing w:before="100" w:after="0" w:line="240" w:lineRule="auto"/>
      <w:ind w:left="284" w:hanging="284"/>
    </w:pPr>
    <w:rPr>
      <w:rFonts w:eastAsia="Times New Roman" w:cs="Times New Roman"/>
      <w:color w:val="000000"/>
      <w:kern w:val="2"/>
      <w:sz w:val="20"/>
      <w:szCs w:val="20"/>
      <w:lang w:eastAsia="zh-CN"/>
    </w:rPr>
  </w:style>
  <w:style w:type="paragraph" w:styleId="EndnoteText">
    <w:name w:val="endnote text"/>
    <w:basedOn w:val="Normal"/>
    <w:link w:val="EndnoteTextChar"/>
    <w:uiPriority w:val="99"/>
    <w:semiHidden/>
    <w:unhideWhenUsed/>
    <w:rsid w:val="00DD33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3306"/>
    <w:rPr>
      <w:rFonts w:ascii="Times New Roman" w:hAnsi="Times New Roman"/>
      <w:sz w:val="20"/>
      <w:szCs w:val="20"/>
    </w:rPr>
  </w:style>
  <w:style w:type="character" w:customStyle="1" w:styleId="FootnoteReference1">
    <w:name w:val="Footnote Reference1"/>
    <w:rsid w:val="00F508EB"/>
    <w:rPr>
      <w:vertAlign w:val="superscript"/>
    </w:rPr>
  </w:style>
  <w:style w:type="paragraph" w:styleId="BodyTextIndent2">
    <w:name w:val="Body Text Indent 2"/>
    <w:basedOn w:val="Normal"/>
    <w:link w:val="BodyTextIndent2Char"/>
    <w:rsid w:val="00F508EB"/>
    <w:pPr>
      <w:widowControl w:val="0"/>
      <w:suppressAutoHyphens/>
      <w:spacing w:after="120" w:line="480" w:lineRule="auto"/>
      <w:ind w:left="283"/>
    </w:pPr>
    <w:rPr>
      <w:rFonts w:ascii="Liberation Serif" w:eastAsia="AR PL UKai CN" w:hAnsi="Liberation Serif" w:cs="DejaVu Sans"/>
      <w:kern w:val="1"/>
      <w:sz w:val="24"/>
      <w:szCs w:val="21"/>
      <w:lang w:val="en-US" w:eastAsia="zh-CN" w:bidi="hi-IN"/>
    </w:rPr>
  </w:style>
  <w:style w:type="character" w:customStyle="1" w:styleId="BodyTextIndent2Char">
    <w:name w:val="Body Text Indent 2 Char"/>
    <w:basedOn w:val="DefaultParagraphFont"/>
    <w:link w:val="BodyTextIndent2"/>
    <w:rsid w:val="00F508EB"/>
    <w:rPr>
      <w:rFonts w:ascii="Liberation Serif" w:eastAsia="AR PL UKai CN" w:hAnsi="Liberation Serif" w:cs="DejaVu Sans"/>
      <w:kern w:val="1"/>
      <w:sz w:val="24"/>
      <w:szCs w:val="21"/>
      <w:lang w:val="en-US" w:eastAsia="zh-CN" w:bidi="hi-IN"/>
    </w:rPr>
  </w:style>
  <w:style w:type="character" w:customStyle="1" w:styleId="st">
    <w:name w:val="st"/>
    <w:basedOn w:val="DefaultParagraphFont"/>
    <w:rsid w:val="0035679F"/>
  </w:style>
  <w:style w:type="character" w:customStyle="1" w:styleId="slug-pages">
    <w:name w:val="slug-pages"/>
    <w:basedOn w:val="DefaultParagraphFont"/>
    <w:rsid w:val="00356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E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32C83"/>
    <w:pPr>
      <w:spacing w:after="0" w:line="240" w:lineRule="auto"/>
    </w:pPr>
    <w:rPr>
      <w:sz w:val="20"/>
      <w:szCs w:val="20"/>
    </w:rPr>
  </w:style>
  <w:style w:type="character" w:customStyle="1" w:styleId="FootnoteTextChar">
    <w:name w:val="Footnote Text Char"/>
    <w:basedOn w:val="DefaultParagraphFont"/>
    <w:link w:val="FootnoteText"/>
    <w:rsid w:val="00C32C83"/>
    <w:rPr>
      <w:rFonts w:ascii="Times New Roman" w:hAnsi="Times New Roman"/>
      <w:sz w:val="20"/>
      <w:szCs w:val="20"/>
    </w:rPr>
  </w:style>
  <w:style w:type="paragraph" w:styleId="ListParagraph">
    <w:name w:val="List Paragraph"/>
    <w:basedOn w:val="Normal"/>
    <w:uiPriority w:val="34"/>
    <w:qFormat/>
    <w:rsid w:val="005C2962"/>
    <w:pPr>
      <w:ind w:left="720"/>
      <w:contextualSpacing/>
    </w:pPr>
  </w:style>
  <w:style w:type="paragraph" w:styleId="Header">
    <w:name w:val="header"/>
    <w:basedOn w:val="Normal"/>
    <w:link w:val="HeaderChar"/>
    <w:uiPriority w:val="99"/>
    <w:unhideWhenUsed/>
    <w:rsid w:val="00884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9A7"/>
    <w:rPr>
      <w:rFonts w:ascii="Times New Roman" w:hAnsi="Times New Roman"/>
    </w:rPr>
  </w:style>
  <w:style w:type="paragraph" w:styleId="Footer">
    <w:name w:val="footer"/>
    <w:basedOn w:val="Normal"/>
    <w:link w:val="FooterChar"/>
    <w:uiPriority w:val="99"/>
    <w:unhideWhenUsed/>
    <w:rsid w:val="00884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9A7"/>
    <w:rPr>
      <w:rFonts w:ascii="Times New Roman" w:hAnsi="Times New Roman"/>
    </w:rPr>
  </w:style>
  <w:style w:type="character" w:customStyle="1" w:styleId="apple-converted-space">
    <w:name w:val="apple-converted-space"/>
    <w:basedOn w:val="DefaultParagraphFont"/>
    <w:rsid w:val="00F81173"/>
  </w:style>
  <w:style w:type="character" w:styleId="FootnoteReference">
    <w:name w:val="footnote reference"/>
    <w:basedOn w:val="DefaultParagraphFont"/>
    <w:uiPriority w:val="99"/>
    <w:unhideWhenUsed/>
    <w:rsid w:val="006F58B4"/>
    <w:rPr>
      <w:vertAlign w:val="superscript"/>
    </w:rPr>
  </w:style>
  <w:style w:type="character" w:customStyle="1" w:styleId="FootnoteCharacters">
    <w:name w:val="Footnote Characters"/>
    <w:rsid w:val="006F58B4"/>
    <w:rPr>
      <w:rFonts w:ascii="Times New Roman" w:hAnsi="Times New Roman" w:cs="Times New Roman"/>
      <w:vertAlign w:val="superscript"/>
    </w:rPr>
  </w:style>
  <w:style w:type="character" w:customStyle="1" w:styleId="WW-FootnoteReference">
    <w:name w:val="WW-Footnote Reference"/>
    <w:rsid w:val="006F58B4"/>
    <w:rPr>
      <w:vertAlign w:val="superscript"/>
    </w:rPr>
  </w:style>
  <w:style w:type="character" w:customStyle="1" w:styleId="WW-FootnoteReference1">
    <w:name w:val="WW-Footnote Reference1"/>
    <w:rsid w:val="006F58B4"/>
    <w:rPr>
      <w:vertAlign w:val="superscript"/>
    </w:rPr>
  </w:style>
  <w:style w:type="character" w:customStyle="1" w:styleId="apple-style-span">
    <w:name w:val="apple-style-span"/>
    <w:rsid w:val="00236AF9"/>
    <w:rPr>
      <w:rFonts w:ascii="Times New Roman" w:hAnsi="Times New Roman" w:cs="Times New Roman"/>
    </w:rPr>
  </w:style>
  <w:style w:type="character" w:styleId="Hyperlink">
    <w:name w:val="Hyperlink"/>
    <w:rsid w:val="00236AF9"/>
    <w:rPr>
      <w:rFonts w:ascii="Times New Roman" w:hAnsi="Times New Roman" w:cs="Times New Roman"/>
      <w:color w:val="0000FF"/>
      <w:u w:val="single"/>
    </w:rPr>
  </w:style>
  <w:style w:type="paragraph" w:styleId="NormalWeb">
    <w:name w:val="Normal (Web)"/>
    <w:basedOn w:val="Normal"/>
    <w:uiPriority w:val="99"/>
    <w:rsid w:val="00236AF9"/>
    <w:pPr>
      <w:spacing w:before="100" w:after="100" w:line="240" w:lineRule="auto"/>
    </w:pPr>
    <w:rPr>
      <w:rFonts w:eastAsia="Times New Roman" w:cs="Times New Roman"/>
      <w:kern w:val="1"/>
      <w:sz w:val="24"/>
      <w:szCs w:val="24"/>
      <w:lang w:eastAsia="ar-SA"/>
    </w:rPr>
  </w:style>
  <w:style w:type="paragraph" w:customStyle="1" w:styleId="western">
    <w:name w:val="western"/>
    <w:basedOn w:val="Normal"/>
    <w:rsid w:val="00236AF9"/>
    <w:pPr>
      <w:spacing w:before="100" w:beforeAutospacing="1" w:after="119" w:line="240" w:lineRule="auto"/>
    </w:pPr>
    <w:rPr>
      <w:rFonts w:eastAsia="Times New Roman" w:cs="Times New Roman"/>
      <w:sz w:val="24"/>
      <w:szCs w:val="24"/>
      <w:lang w:eastAsia="en-GB"/>
    </w:rPr>
  </w:style>
  <w:style w:type="character" w:styleId="EndnoteReference">
    <w:name w:val="endnote reference"/>
    <w:uiPriority w:val="99"/>
    <w:semiHidden/>
    <w:unhideWhenUsed/>
    <w:rsid w:val="00734E4B"/>
    <w:rPr>
      <w:vertAlign w:val="superscript"/>
    </w:rPr>
  </w:style>
  <w:style w:type="paragraph" w:customStyle="1" w:styleId="FootnoteText1">
    <w:name w:val="Footnote Text1"/>
    <w:basedOn w:val="Normal"/>
    <w:rsid w:val="00263503"/>
    <w:pPr>
      <w:widowControl w:val="0"/>
      <w:suppressLineNumbers/>
      <w:suppressAutoHyphens/>
      <w:spacing w:after="0" w:line="100" w:lineRule="atLeast"/>
      <w:ind w:left="283" w:hanging="283"/>
    </w:pPr>
    <w:rPr>
      <w:rFonts w:eastAsia="Times New Roman" w:cs="Times New Roman"/>
      <w:color w:val="000000"/>
      <w:kern w:val="2"/>
      <w:sz w:val="20"/>
      <w:szCs w:val="20"/>
      <w:lang w:eastAsia="zh-CN"/>
    </w:rPr>
  </w:style>
  <w:style w:type="paragraph" w:customStyle="1" w:styleId="sdfootnote-western">
    <w:name w:val="sdfootnote-western"/>
    <w:basedOn w:val="Normal"/>
    <w:rsid w:val="00263503"/>
    <w:pPr>
      <w:spacing w:before="100" w:after="0" w:line="240" w:lineRule="auto"/>
      <w:ind w:left="284" w:hanging="284"/>
    </w:pPr>
    <w:rPr>
      <w:rFonts w:eastAsia="Times New Roman" w:cs="Times New Roman"/>
      <w:color w:val="000000"/>
      <w:kern w:val="2"/>
      <w:sz w:val="20"/>
      <w:szCs w:val="20"/>
      <w:lang w:eastAsia="zh-CN"/>
    </w:rPr>
  </w:style>
  <w:style w:type="paragraph" w:styleId="EndnoteText">
    <w:name w:val="endnote text"/>
    <w:basedOn w:val="Normal"/>
    <w:link w:val="EndnoteTextChar"/>
    <w:uiPriority w:val="99"/>
    <w:semiHidden/>
    <w:unhideWhenUsed/>
    <w:rsid w:val="00DD33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3306"/>
    <w:rPr>
      <w:rFonts w:ascii="Times New Roman" w:hAnsi="Times New Roman"/>
      <w:sz w:val="20"/>
      <w:szCs w:val="20"/>
    </w:rPr>
  </w:style>
  <w:style w:type="character" w:customStyle="1" w:styleId="FootnoteReference1">
    <w:name w:val="Footnote Reference1"/>
    <w:rsid w:val="00F508EB"/>
    <w:rPr>
      <w:vertAlign w:val="superscript"/>
    </w:rPr>
  </w:style>
  <w:style w:type="paragraph" w:styleId="BodyTextIndent2">
    <w:name w:val="Body Text Indent 2"/>
    <w:basedOn w:val="Normal"/>
    <w:link w:val="BodyTextIndent2Char"/>
    <w:rsid w:val="00F508EB"/>
    <w:pPr>
      <w:widowControl w:val="0"/>
      <w:suppressAutoHyphens/>
      <w:spacing w:after="120" w:line="480" w:lineRule="auto"/>
      <w:ind w:left="283"/>
    </w:pPr>
    <w:rPr>
      <w:rFonts w:ascii="Liberation Serif" w:eastAsia="AR PL UKai CN" w:hAnsi="Liberation Serif" w:cs="DejaVu Sans"/>
      <w:kern w:val="1"/>
      <w:sz w:val="24"/>
      <w:szCs w:val="21"/>
      <w:lang w:val="en-US" w:eastAsia="zh-CN" w:bidi="hi-IN"/>
    </w:rPr>
  </w:style>
  <w:style w:type="character" w:customStyle="1" w:styleId="BodyTextIndent2Char">
    <w:name w:val="Body Text Indent 2 Char"/>
    <w:basedOn w:val="DefaultParagraphFont"/>
    <w:link w:val="BodyTextIndent2"/>
    <w:rsid w:val="00F508EB"/>
    <w:rPr>
      <w:rFonts w:ascii="Liberation Serif" w:eastAsia="AR PL UKai CN" w:hAnsi="Liberation Serif" w:cs="DejaVu Sans"/>
      <w:kern w:val="1"/>
      <w:sz w:val="24"/>
      <w:szCs w:val="21"/>
      <w:lang w:val="en-US" w:eastAsia="zh-CN" w:bidi="hi-IN"/>
    </w:rPr>
  </w:style>
  <w:style w:type="character" w:customStyle="1" w:styleId="st">
    <w:name w:val="st"/>
    <w:basedOn w:val="DefaultParagraphFont"/>
    <w:rsid w:val="0035679F"/>
  </w:style>
  <w:style w:type="character" w:customStyle="1" w:styleId="slug-pages">
    <w:name w:val="slug-pages"/>
    <w:basedOn w:val="DefaultParagraphFont"/>
    <w:rsid w:val="0035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0964">
      <w:bodyDiv w:val="1"/>
      <w:marLeft w:val="0"/>
      <w:marRight w:val="0"/>
      <w:marTop w:val="0"/>
      <w:marBottom w:val="0"/>
      <w:divBdr>
        <w:top w:val="none" w:sz="0" w:space="0" w:color="auto"/>
        <w:left w:val="none" w:sz="0" w:space="0" w:color="auto"/>
        <w:bottom w:val="none" w:sz="0" w:space="0" w:color="auto"/>
        <w:right w:val="none" w:sz="0" w:space="0" w:color="auto"/>
      </w:divBdr>
    </w:div>
    <w:div w:id="360522413">
      <w:bodyDiv w:val="1"/>
      <w:marLeft w:val="0"/>
      <w:marRight w:val="0"/>
      <w:marTop w:val="0"/>
      <w:marBottom w:val="0"/>
      <w:divBdr>
        <w:top w:val="none" w:sz="0" w:space="0" w:color="auto"/>
        <w:left w:val="none" w:sz="0" w:space="0" w:color="auto"/>
        <w:bottom w:val="none" w:sz="0" w:space="0" w:color="auto"/>
        <w:right w:val="none" w:sz="0" w:space="0" w:color="auto"/>
      </w:divBdr>
    </w:div>
    <w:div w:id="366292849">
      <w:bodyDiv w:val="1"/>
      <w:marLeft w:val="0"/>
      <w:marRight w:val="0"/>
      <w:marTop w:val="0"/>
      <w:marBottom w:val="0"/>
      <w:divBdr>
        <w:top w:val="none" w:sz="0" w:space="0" w:color="auto"/>
        <w:left w:val="none" w:sz="0" w:space="0" w:color="auto"/>
        <w:bottom w:val="none" w:sz="0" w:space="0" w:color="auto"/>
        <w:right w:val="none" w:sz="0" w:space="0" w:color="auto"/>
      </w:divBdr>
    </w:div>
    <w:div w:id="790706552">
      <w:bodyDiv w:val="1"/>
      <w:marLeft w:val="0"/>
      <w:marRight w:val="0"/>
      <w:marTop w:val="0"/>
      <w:marBottom w:val="0"/>
      <w:divBdr>
        <w:top w:val="none" w:sz="0" w:space="0" w:color="auto"/>
        <w:left w:val="none" w:sz="0" w:space="0" w:color="auto"/>
        <w:bottom w:val="none" w:sz="0" w:space="0" w:color="auto"/>
        <w:right w:val="none" w:sz="0" w:space="0" w:color="auto"/>
      </w:divBdr>
    </w:div>
    <w:div w:id="842935296">
      <w:bodyDiv w:val="1"/>
      <w:marLeft w:val="0"/>
      <w:marRight w:val="0"/>
      <w:marTop w:val="0"/>
      <w:marBottom w:val="0"/>
      <w:divBdr>
        <w:top w:val="none" w:sz="0" w:space="0" w:color="auto"/>
        <w:left w:val="none" w:sz="0" w:space="0" w:color="auto"/>
        <w:bottom w:val="none" w:sz="0" w:space="0" w:color="auto"/>
        <w:right w:val="none" w:sz="0" w:space="0" w:color="auto"/>
      </w:divBdr>
    </w:div>
    <w:div w:id="982076258">
      <w:bodyDiv w:val="1"/>
      <w:marLeft w:val="0"/>
      <w:marRight w:val="0"/>
      <w:marTop w:val="0"/>
      <w:marBottom w:val="0"/>
      <w:divBdr>
        <w:top w:val="none" w:sz="0" w:space="0" w:color="auto"/>
        <w:left w:val="none" w:sz="0" w:space="0" w:color="auto"/>
        <w:bottom w:val="none" w:sz="0" w:space="0" w:color="auto"/>
        <w:right w:val="none" w:sz="0" w:space="0" w:color="auto"/>
      </w:divBdr>
    </w:div>
    <w:div w:id="1204824658">
      <w:bodyDiv w:val="1"/>
      <w:marLeft w:val="0"/>
      <w:marRight w:val="0"/>
      <w:marTop w:val="0"/>
      <w:marBottom w:val="0"/>
      <w:divBdr>
        <w:top w:val="none" w:sz="0" w:space="0" w:color="auto"/>
        <w:left w:val="none" w:sz="0" w:space="0" w:color="auto"/>
        <w:bottom w:val="none" w:sz="0" w:space="0" w:color="auto"/>
        <w:right w:val="none" w:sz="0" w:space="0" w:color="auto"/>
      </w:divBdr>
    </w:div>
    <w:div w:id="1218467830">
      <w:bodyDiv w:val="1"/>
      <w:marLeft w:val="0"/>
      <w:marRight w:val="0"/>
      <w:marTop w:val="0"/>
      <w:marBottom w:val="0"/>
      <w:divBdr>
        <w:top w:val="none" w:sz="0" w:space="0" w:color="auto"/>
        <w:left w:val="none" w:sz="0" w:space="0" w:color="auto"/>
        <w:bottom w:val="none" w:sz="0" w:space="0" w:color="auto"/>
        <w:right w:val="none" w:sz="0" w:space="0" w:color="auto"/>
      </w:divBdr>
    </w:div>
    <w:div w:id="1284459972">
      <w:bodyDiv w:val="1"/>
      <w:marLeft w:val="0"/>
      <w:marRight w:val="0"/>
      <w:marTop w:val="0"/>
      <w:marBottom w:val="0"/>
      <w:divBdr>
        <w:top w:val="none" w:sz="0" w:space="0" w:color="auto"/>
        <w:left w:val="none" w:sz="0" w:space="0" w:color="auto"/>
        <w:bottom w:val="none" w:sz="0" w:space="0" w:color="auto"/>
        <w:right w:val="none" w:sz="0" w:space="0" w:color="auto"/>
      </w:divBdr>
    </w:div>
    <w:div w:id="1510438330">
      <w:bodyDiv w:val="1"/>
      <w:marLeft w:val="0"/>
      <w:marRight w:val="0"/>
      <w:marTop w:val="0"/>
      <w:marBottom w:val="0"/>
      <w:divBdr>
        <w:top w:val="none" w:sz="0" w:space="0" w:color="auto"/>
        <w:left w:val="none" w:sz="0" w:space="0" w:color="auto"/>
        <w:bottom w:val="none" w:sz="0" w:space="0" w:color="auto"/>
        <w:right w:val="none" w:sz="0" w:space="0" w:color="auto"/>
      </w:divBdr>
    </w:div>
    <w:div w:id="1637177964">
      <w:bodyDiv w:val="1"/>
      <w:marLeft w:val="0"/>
      <w:marRight w:val="0"/>
      <w:marTop w:val="0"/>
      <w:marBottom w:val="0"/>
      <w:divBdr>
        <w:top w:val="none" w:sz="0" w:space="0" w:color="auto"/>
        <w:left w:val="none" w:sz="0" w:space="0" w:color="auto"/>
        <w:bottom w:val="none" w:sz="0" w:space="0" w:color="auto"/>
        <w:right w:val="none" w:sz="0" w:space="0" w:color="auto"/>
      </w:divBdr>
    </w:div>
    <w:div w:id="1705209083">
      <w:bodyDiv w:val="1"/>
      <w:marLeft w:val="0"/>
      <w:marRight w:val="0"/>
      <w:marTop w:val="0"/>
      <w:marBottom w:val="0"/>
      <w:divBdr>
        <w:top w:val="none" w:sz="0" w:space="0" w:color="auto"/>
        <w:left w:val="none" w:sz="0" w:space="0" w:color="auto"/>
        <w:bottom w:val="none" w:sz="0" w:space="0" w:color="auto"/>
        <w:right w:val="none" w:sz="0" w:space="0" w:color="auto"/>
      </w:divBdr>
    </w:div>
    <w:div w:id="1707634628">
      <w:bodyDiv w:val="1"/>
      <w:marLeft w:val="0"/>
      <w:marRight w:val="0"/>
      <w:marTop w:val="0"/>
      <w:marBottom w:val="0"/>
      <w:divBdr>
        <w:top w:val="none" w:sz="0" w:space="0" w:color="auto"/>
        <w:left w:val="none" w:sz="0" w:space="0" w:color="auto"/>
        <w:bottom w:val="none" w:sz="0" w:space="0" w:color="auto"/>
        <w:right w:val="none" w:sz="0" w:space="0" w:color="auto"/>
      </w:divBdr>
    </w:div>
    <w:div w:id="1797790429">
      <w:bodyDiv w:val="1"/>
      <w:marLeft w:val="0"/>
      <w:marRight w:val="0"/>
      <w:marTop w:val="0"/>
      <w:marBottom w:val="0"/>
      <w:divBdr>
        <w:top w:val="none" w:sz="0" w:space="0" w:color="auto"/>
        <w:left w:val="none" w:sz="0" w:space="0" w:color="auto"/>
        <w:bottom w:val="none" w:sz="0" w:space="0" w:color="auto"/>
        <w:right w:val="none" w:sz="0" w:space="0" w:color="auto"/>
      </w:divBdr>
    </w:div>
    <w:div w:id="1855076451">
      <w:bodyDiv w:val="1"/>
      <w:marLeft w:val="0"/>
      <w:marRight w:val="0"/>
      <w:marTop w:val="0"/>
      <w:marBottom w:val="0"/>
      <w:divBdr>
        <w:top w:val="none" w:sz="0" w:space="0" w:color="auto"/>
        <w:left w:val="none" w:sz="0" w:space="0" w:color="auto"/>
        <w:bottom w:val="none" w:sz="0" w:space="0" w:color="auto"/>
        <w:right w:val="none" w:sz="0" w:space="0" w:color="auto"/>
      </w:divBdr>
    </w:div>
    <w:div w:id="2058384292">
      <w:bodyDiv w:val="1"/>
      <w:marLeft w:val="0"/>
      <w:marRight w:val="0"/>
      <w:marTop w:val="0"/>
      <w:marBottom w:val="0"/>
      <w:divBdr>
        <w:top w:val="none" w:sz="0" w:space="0" w:color="auto"/>
        <w:left w:val="none" w:sz="0" w:space="0" w:color="auto"/>
        <w:bottom w:val="none" w:sz="0" w:space="0" w:color="auto"/>
        <w:right w:val="none" w:sz="0" w:space="0" w:color="auto"/>
      </w:divBdr>
    </w:div>
    <w:div w:id="21414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egraph.co.uk/comment/letters/7528487/The-religious-rights-of-Christians-are-treated-with-disrespect.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telegraph.co.uk/comment/columnists/borisjohnson/9137523/Its-a-huge-mistake-to-forbid-a-tiny-act-of-Christian-worship.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legraph.co.uk/news/religion/the-pope/8004493/Pope-visit-Cardinal-drops-out-after-calling-UK-Third-World.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uk.org/current-affairs/publications/upload/Clearing-the-ground.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ecularism.org.uk/editorialchristianbulliespressth.html" TargetMode="External"/><Relationship Id="rId23" Type="http://schemas.openxmlformats.org/officeDocument/2006/relationships/fontTable" Target="fontTable.xml"/><Relationship Id="rId10" Type="http://schemas.openxmlformats.org/officeDocument/2006/relationships/hyperlink" Target="https://twitter.com/David_Camero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bc.co.uk/news/uk-scotland-17611036" TargetMode="External"/><Relationship Id="rId14" Type="http://schemas.openxmlformats.org/officeDocument/2006/relationships/hyperlink" Target="http://www.secularism.org.uk/uploads/nss-intervention-to-european-court-of-human-right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C9426-2B02-49E1-8583-B8FF4090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7458</Words>
  <Characters>42516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2016-06-22T08:09:00Z</dcterms:created>
  <dcterms:modified xsi:type="dcterms:W3CDTF">2016-07-25T12:34:00Z</dcterms:modified>
</cp:coreProperties>
</file>