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D7" w:rsidRDefault="00FF08FC" w:rsidP="00F156D7">
      <w:pPr>
        <w:rPr>
          <w:rFonts w:cstheme="minorHAnsi"/>
          <w:b/>
        </w:rPr>
      </w:pPr>
      <w:proofErr w:type="gramStart"/>
      <w:r>
        <w:rPr>
          <w:rFonts w:cs="Arial"/>
          <w:b/>
          <w:bCs/>
          <w:color w:val="333333"/>
          <w:sz w:val="30"/>
          <w:szCs w:val="30"/>
          <w:lang w:val="en"/>
        </w:rPr>
        <w:t>AUTOANTIBODIES TO OSTEOPROTEGERIN AND BONE MINERAL DENSITY IN AXIAL SPONDYLOARTHRITIS</w:t>
      </w:r>
      <w:r w:rsidR="00F156D7">
        <w:rPr>
          <w:rFonts w:cstheme="minorHAnsi"/>
          <w:b/>
        </w:rPr>
        <w:t>.</w:t>
      </w:r>
      <w:proofErr w:type="gramEnd"/>
    </w:p>
    <w:p w:rsidR="00F156D7" w:rsidRDefault="00F156D7" w:rsidP="00F156D7">
      <w:pPr>
        <w:rPr>
          <w:rFonts w:cstheme="minorHAnsi"/>
        </w:rPr>
      </w:pPr>
      <w:proofErr w:type="spellStart"/>
      <w:r>
        <w:rPr>
          <w:rFonts w:cstheme="minorHAnsi"/>
        </w:rPr>
        <w:t>Sizheng</w:t>
      </w:r>
      <w:proofErr w:type="spellEnd"/>
      <w:r>
        <w:rPr>
          <w:rFonts w:cstheme="minorHAnsi"/>
        </w:rPr>
        <w:t xml:space="preserve"> Zhao, Barbara Hauser, Micaela R Visconti, Philip L Riches, Stuart H Ralston, Nicola J Goodson</w:t>
      </w:r>
    </w:p>
    <w:p w:rsidR="00F156D7" w:rsidRDefault="00F156D7" w:rsidP="00F156D7">
      <w:pPr>
        <w:rPr>
          <w:lang w:val="en-US"/>
        </w:rPr>
      </w:pPr>
      <w:r>
        <w:rPr>
          <w:b/>
          <w:lang w:val="en-US"/>
        </w:rPr>
        <w:t>Background</w:t>
      </w:r>
      <w:r>
        <w:rPr>
          <w:lang w:val="en-US"/>
        </w:rPr>
        <w:t xml:space="preserve">: </w:t>
      </w:r>
    </w:p>
    <w:p w:rsidR="00F156D7" w:rsidRDefault="00F156D7" w:rsidP="00F156D7">
      <w:pPr>
        <w:rPr>
          <w:lang w:val="en-US"/>
        </w:rPr>
      </w:pPr>
      <w:r>
        <w:rPr>
          <w:lang w:val="en-US"/>
        </w:rPr>
        <w:t xml:space="preserve">Axial </w:t>
      </w:r>
      <w:proofErr w:type="spellStart"/>
      <w:r>
        <w:rPr>
          <w:lang w:val="en-US"/>
        </w:rPr>
        <w:t>spondyloarthritis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axSpA</w:t>
      </w:r>
      <w:proofErr w:type="spellEnd"/>
      <w:r>
        <w:rPr>
          <w:lang w:val="en-US"/>
        </w:rPr>
        <w:t xml:space="preserve">) is simultaneously associated with loss of bone mineral density (BMD) and pathological bone formation as osteophytes. Both may be due to an as yet unclear mechanism of bone-resorption/formation uncoupling. </w:t>
      </w:r>
      <w:proofErr w:type="spellStart"/>
      <w:r>
        <w:rPr>
          <w:lang w:val="en-US"/>
        </w:rPr>
        <w:t>Neutralising</w:t>
      </w:r>
      <w:proofErr w:type="spellEnd"/>
      <w:r>
        <w:rPr>
          <w:lang w:val="en-US"/>
        </w:rPr>
        <w:t xml:space="preserve"> autoantibodies to </w:t>
      </w:r>
      <w:proofErr w:type="spellStart"/>
      <w:r>
        <w:rPr>
          <w:lang w:val="en-US"/>
        </w:rPr>
        <w:t>osteoprotegerin</w:t>
      </w:r>
      <w:proofErr w:type="spellEnd"/>
      <w:r>
        <w:rPr>
          <w:lang w:val="en-US"/>
        </w:rPr>
        <w:t xml:space="preserve"> (OPG-Ab) may play a role; OPG-Abs were associated with lower BMD at the hip but not spine in </w:t>
      </w:r>
      <w:proofErr w:type="spellStart"/>
      <w:r>
        <w:rPr>
          <w:lang w:val="en-US"/>
        </w:rPr>
        <w:t>axSpA</w:t>
      </w:r>
      <w:proofErr w:type="spellEnd"/>
      <w:proofErr w:type="gramStart"/>
      <w:r>
        <w:rPr>
          <w:lang w:val="en-US"/>
        </w:rPr>
        <w:t>.[</w:t>
      </w:r>
      <w:proofErr w:type="gramEnd"/>
      <w:r>
        <w:rPr>
          <w:lang w:val="en-US"/>
        </w:rPr>
        <w:t>ref]</w:t>
      </w:r>
    </w:p>
    <w:p w:rsidR="00F156D7" w:rsidRDefault="00F156D7" w:rsidP="00F156D7">
      <w:pPr>
        <w:rPr>
          <w:rFonts w:cstheme="minorHAnsi"/>
        </w:rPr>
      </w:pPr>
      <w:r>
        <w:rPr>
          <w:rFonts w:cstheme="minorHAnsi"/>
        </w:rPr>
        <w:t xml:space="preserve">Spinal and hip BMD should decrease similarly as duration of disease increases. However subsequent increase in </w:t>
      </w:r>
      <w:proofErr w:type="spellStart"/>
      <w:r>
        <w:rPr>
          <w:rFonts w:cstheme="minorHAnsi"/>
        </w:rPr>
        <w:t>syndesmophytes</w:t>
      </w:r>
      <w:proofErr w:type="spellEnd"/>
      <w:r>
        <w:rPr>
          <w:rFonts w:cstheme="minorHAnsi"/>
        </w:rPr>
        <w:t xml:space="preserve"> artificially inflates BMD measured by </w:t>
      </w:r>
      <w:proofErr w:type="spellStart"/>
      <w:r>
        <w:rPr>
          <w:rFonts w:cstheme="minorHAnsi"/>
        </w:rPr>
        <w:t>antero</w:t>
      </w:r>
      <w:proofErr w:type="spellEnd"/>
      <w:r>
        <w:rPr>
          <w:rFonts w:cstheme="minorHAnsi"/>
        </w:rPr>
        <w:t>-posterior-DEXA.</w:t>
      </w:r>
    </w:p>
    <w:p w:rsidR="00F156D7" w:rsidRDefault="00F156D7" w:rsidP="00F156D7">
      <w:pPr>
        <w:rPr>
          <w:rFonts w:cstheme="minorHAnsi"/>
        </w:rPr>
      </w:pPr>
      <w:r>
        <w:rPr>
          <w:lang w:val="en-US"/>
        </w:rPr>
        <w:t xml:space="preserve">The aim of this study was to see whether OPG-Ab status affect the discrepancy between spinal and hip BMD which may be an indicator of </w:t>
      </w:r>
      <w:proofErr w:type="spellStart"/>
      <w:r>
        <w:rPr>
          <w:lang w:val="en-US"/>
        </w:rPr>
        <w:t>syndesmophyte</w:t>
      </w:r>
      <w:proofErr w:type="spellEnd"/>
      <w:r>
        <w:rPr>
          <w:lang w:val="en-US"/>
        </w:rPr>
        <w:t xml:space="preserve"> formation.</w:t>
      </w:r>
    </w:p>
    <w:p w:rsidR="00F156D7" w:rsidRDefault="00F156D7" w:rsidP="00F156D7">
      <w:pPr>
        <w:rPr>
          <w:rFonts w:cstheme="minorHAnsi"/>
        </w:rPr>
      </w:pPr>
      <w:r>
        <w:rPr>
          <w:rFonts w:cstheme="minorHAnsi"/>
          <w:b/>
        </w:rPr>
        <w:t xml:space="preserve">Methods: </w:t>
      </w:r>
      <w:r>
        <w:rPr>
          <w:rFonts w:cstheme="minorHAnsi"/>
        </w:rPr>
        <w:t xml:space="preserve">Patients with a clinical diagnosis of </w:t>
      </w:r>
      <w:proofErr w:type="spellStart"/>
      <w:r>
        <w:rPr>
          <w:rFonts w:cstheme="minorHAnsi"/>
        </w:rPr>
        <w:t>axSpA</w:t>
      </w:r>
      <w:proofErr w:type="spellEnd"/>
      <w:r>
        <w:rPr>
          <w:rFonts w:cstheme="minorHAnsi"/>
        </w:rPr>
        <w:t xml:space="preserve"> were recruited from routine outpatient clinics at two centres in the UK </w:t>
      </w:r>
      <w:proofErr w:type="gramStart"/>
      <w:r>
        <w:rPr>
          <w:rFonts w:cstheme="minorHAnsi"/>
        </w:rPr>
        <w:t>between 2011-2015</w:t>
      </w:r>
      <w:proofErr w:type="gramEnd"/>
      <w:r>
        <w:rPr>
          <w:rFonts w:cstheme="minorHAnsi"/>
        </w:rPr>
        <w:t xml:space="preserve">. Patient demographics and disease characteristics were recorded. All had BMD assessment using </w:t>
      </w:r>
      <w:proofErr w:type="spellStart"/>
      <w:r>
        <w:rPr>
          <w:rFonts w:cstheme="minorHAnsi"/>
        </w:rPr>
        <w:t>antero</w:t>
      </w:r>
      <w:proofErr w:type="spellEnd"/>
      <w:r>
        <w:rPr>
          <w:rFonts w:cstheme="minorHAnsi"/>
        </w:rPr>
        <w:t>-posterior dual-energy X-ray absorptiometry (AP-DXA). Serum levels of OPG-Ab were measured using an in-house ELISA. Patients were considered to be positive for OPG-Ab if values were ≥13units (3sd above mean in healthy controls).</w:t>
      </w:r>
    </w:p>
    <w:p w:rsidR="00F156D7" w:rsidRDefault="00F156D7" w:rsidP="00F156D7">
      <w:pPr>
        <w:rPr>
          <w:rFonts w:cstheme="minorHAnsi"/>
        </w:rPr>
      </w:pPr>
      <w:r>
        <w:rPr>
          <w:rFonts w:cstheme="minorHAnsi"/>
        </w:rPr>
        <w:t>Duration of disease since diagnosis was divided by the median into long (≥6.5years) and short (&lt;6.5years). The difference in BMD (g/cm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) between spine and hip was calculated and compared between OPG-Ab status and disease duration. We assume that where spinal BMD (g/cm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) is greater than hip, there is likely </w:t>
      </w:r>
      <w:proofErr w:type="spellStart"/>
      <w:r>
        <w:rPr>
          <w:rFonts w:cstheme="minorHAnsi"/>
        </w:rPr>
        <w:t>syndesmophyte</w:t>
      </w:r>
      <w:proofErr w:type="spellEnd"/>
      <w:r>
        <w:rPr>
          <w:rFonts w:cstheme="minorHAnsi"/>
        </w:rPr>
        <w:t xml:space="preserve"> formation. Simple descriptive statistics was performed using Fisher’s and Students T-test.</w:t>
      </w:r>
    </w:p>
    <w:p w:rsidR="00F156D7" w:rsidRDefault="00F156D7" w:rsidP="00F156D7">
      <w:pPr>
        <w:tabs>
          <w:tab w:val="left" w:pos="3952"/>
        </w:tabs>
        <w:rPr>
          <w:rFonts w:cstheme="minorHAnsi"/>
        </w:rPr>
      </w:pPr>
      <w:r>
        <w:rPr>
          <w:rFonts w:cstheme="minorHAnsi"/>
          <w:b/>
        </w:rPr>
        <w:t xml:space="preserve">Results: </w:t>
      </w:r>
      <w:r>
        <w:rPr>
          <w:rFonts w:cstheme="minorHAnsi"/>
        </w:rPr>
        <w:t>We studied 134 patients, of whom 75% were male. The mean age was 47 (SD±15) years and median disease duration from diagnosis was 6.5 years. 16 patients tested positive for OPG-Ab (11.9%).</w:t>
      </w:r>
      <w:bookmarkStart w:id="0" w:name="_GoBack"/>
      <w:bookmarkEnd w:id="0"/>
    </w:p>
    <w:p w:rsidR="00F156D7" w:rsidRDefault="00F156D7" w:rsidP="00F156D7">
      <w:pPr>
        <w:tabs>
          <w:tab w:val="left" w:pos="3952"/>
        </w:tabs>
        <w:rPr>
          <w:rFonts w:cstheme="minorHAnsi"/>
        </w:rPr>
      </w:pPr>
      <w:r>
        <w:rPr>
          <w:rFonts w:cstheme="minorHAnsi"/>
        </w:rPr>
        <w:t>In those with longer disease duration, 100% of OPG-Ab positive patients had higher spinal BMD compared with 65% of negative patients (p=0.026) (table 1). This was not significant in those with shorter disease duration. The difference between spinal and hip BMD increased with disease duration; and in those with longer than 6.5years’ duration, OPG-Ab positivity was associated with greater difference (table 2).</w:t>
      </w:r>
    </w:p>
    <w:p w:rsidR="00F156D7" w:rsidRDefault="00F156D7" w:rsidP="00F156D7">
      <w:pPr>
        <w:tabs>
          <w:tab w:val="left" w:pos="3952"/>
        </w:tabs>
        <w:rPr>
          <w:rFonts w:cstheme="minorHAnsi"/>
        </w:rPr>
      </w:pPr>
      <w:r>
        <w:rPr>
          <w:rFonts w:cstheme="minorHAnsi"/>
          <w:b/>
        </w:rPr>
        <w:t xml:space="preserve">Conclusion: </w:t>
      </w:r>
      <w:r>
        <w:rPr>
          <w:rFonts w:cstheme="minorHAnsi"/>
        </w:rPr>
        <w:t xml:space="preserve">This cross-sectional study demonstrates that in patients with longer disease duration, those positive for OPG-Ab seemed to have higher spinal than hip BMD. This may be a result of increased loss of BMD at the hip with increasing disease duration. Another explanation could be an association between OPG-Ab and formation of </w:t>
      </w:r>
      <w:proofErr w:type="spellStart"/>
      <w:r>
        <w:rPr>
          <w:rFonts w:cstheme="minorHAnsi"/>
        </w:rPr>
        <w:t>syndesmophytes</w:t>
      </w:r>
      <w:proofErr w:type="spellEnd"/>
      <w:r>
        <w:rPr>
          <w:rFonts w:cstheme="minorHAnsi"/>
        </w:rPr>
        <w:t xml:space="preserve">. These findings warrant further studies into the role of OPG-Ab in </w:t>
      </w:r>
      <w:proofErr w:type="spellStart"/>
      <w:r>
        <w:rPr>
          <w:rFonts w:cstheme="minorHAnsi"/>
        </w:rPr>
        <w:t>axSpA</w:t>
      </w:r>
      <w:proofErr w:type="spellEnd"/>
      <w:r>
        <w:rPr>
          <w:rFonts w:cstheme="minorHAnsi"/>
        </w:rPr>
        <w:t>.</w:t>
      </w:r>
    </w:p>
    <w:p w:rsidR="00F156D7" w:rsidRDefault="00F156D7" w:rsidP="00F156D7">
      <w:pPr>
        <w:tabs>
          <w:tab w:val="left" w:pos="3952"/>
        </w:tabs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134"/>
        <w:gridCol w:w="1276"/>
        <w:gridCol w:w="1417"/>
        <w:gridCol w:w="992"/>
      </w:tblGrid>
      <w:tr w:rsidR="00F156D7" w:rsidTr="00F156D7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Table 1 OPG-Ab is associated with higher proportion of patients with greater spine than hip BMD.</w:t>
            </w:r>
          </w:p>
        </w:tc>
      </w:tr>
      <w:tr w:rsidR="00F156D7" w:rsidTr="00F156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OPG-Ab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Bone mineral density g/cm</w:t>
            </w:r>
            <w:r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P-value</w:t>
            </w:r>
          </w:p>
        </w:tc>
      </w:tr>
      <w:tr w:rsidR="00F156D7" w:rsidTr="00F156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Spine ≤ 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Spine &gt; hip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</w:tr>
      <w:tr w:rsidR="00F156D7" w:rsidTr="00F156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Long duration n=68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positive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11 (100%)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7" w:rsidRDefault="00F156D7">
            <w:pPr>
              <w:rPr>
                <w:rFonts w:cstheme="minorHAnsi"/>
              </w:rPr>
            </w:pPr>
          </w:p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0.026</w:t>
            </w:r>
          </w:p>
        </w:tc>
      </w:tr>
      <w:tr w:rsidR="00F156D7" w:rsidTr="00F156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20 (35%)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37 (65%)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</w:tr>
      <w:tr w:rsidR="00F156D7" w:rsidTr="00F156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Short duration n=66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positive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1 (20%)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4 (80%)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7" w:rsidRDefault="00F156D7">
            <w:pPr>
              <w:rPr>
                <w:rFonts w:cstheme="minorHAnsi"/>
              </w:rPr>
            </w:pPr>
          </w:p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0.645</w:t>
            </w:r>
          </w:p>
        </w:tc>
      </w:tr>
      <w:tr w:rsidR="00F156D7" w:rsidTr="00F156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23 (38%)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38 (62%)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</w:tr>
    </w:tbl>
    <w:p w:rsidR="00F156D7" w:rsidRDefault="00F156D7" w:rsidP="00F156D7">
      <w:pPr>
        <w:rPr>
          <w:rFonts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993"/>
      </w:tblGrid>
      <w:tr w:rsidR="00F156D7" w:rsidTr="00F156D7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Table 2 OPG-Ab is associated with greater difference between spine and hip BMD</w:t>
            </w:r>
          </w:p>
        </w:tc>
      </w:tr>
      <w:tr w:rsidR="00F156D7" w:rsidTr="00F156D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OPG-Ab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Mean (</w:t>
            </w:r>
            <w:proofErr w:type="spellStart"/>
            <w:r>
              <w:rPr>
                <w:rFonts w:cstheme="minorHAnsi"/>
              </w:rPr>
              <w:t>sd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P-value</w:t>
            </w:r>
          </w:p>
        </w:tc>
      </w:tr>
      <w:tr w:rsidR="00F156D7" w:rsidTr="00F156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Long duration n=68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positive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0.424 (0.182)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7" w:rsidRDefault="00F156D7">
            <w:pPr>
              <w:rPr>
                <w:rFonts w:cstheme="minorHAnsi"/>
              </w:rPr>
            </w:pPr>
          </w:p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0.003</w:t>
            </w:r>
          </w:p>
        </w:tc>
      </w:tr>
      <w:tr w:rsidR="00F156D7" w:rsidTr="00F156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0.227 (0.189)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</w:tr>
      <w:tr w:rsidR="00F156D7" w:rsidTr="00F156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Short duration n=66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positive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0.158 (0.152)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D7" w:rsidRDefault="00F156D7">
            <w:pPr>
              <w:rPr>
                <w:rFonts w:cstheme="minorHAnsi"/>
              </w:rPr>
            </w:pPr>
          </w:p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0.275</w:t>
            </w:r>
          </w:p>
        </w:tc>
      </w:tr>
      <w:tr w:rsidR="00F156D7" w:rsidTr="00F156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6D7" w:rsidRDefault="00F156D7">
            <w:pPr>
              <w:rPr>
                <w:rFonts w:cstheme="minorHAnsi"/>
              </w:rPr>
            </w:pPr>
            <w:r>
              <w:rPr>
                <w:rFonts w:cstheme="minorHAnsi"/>
              </w:rPr>
              <w:t>0.091 (0.115)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6D7" w:rsidRDefault="00F156D7">
            <w:pPr>
              <w:rPr>
                <w:rFonts w:cstheme="minorHAnsi"/>
              </w:rPr>
            </w:pPr>
          </w:p>
        </w:tc>
      </w:tr>
    </w:tbl>
    <w:p w:rsidR="00F156D7" w:rsidRDefault="00F156D7" w:rsidP="00F156D7">
      <w:pPr>
        <w:rPr>
          <w:rFonts w:cstheme="minorHAnsi"/>
        </w:rPr>
      </w:pPr>
    </w:p>
    <w:p w:rsidR="00F156D7" w:rsidRDefault="00F156D7" w:rsidP="00F156D7">
      <w:pPr>
        <w:rPr>
          <w:rFonts w:cstheme="minorHAnsi"/>
        </w:rPr>
      </w:pPr>
      <w:r>
        <w:rPr>
          <w:rFonts w:cstheme="minorHAnsi"/>
        </w:rPr>
        <w:br w:type="page"/>
      </w:r>
    </w:p>
    <w:p w:rsidR="005434B4" w:rsidRDefault="005434B4"/>
    <w:sectPr w:rsidR="00543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D7"/>
    <w:rsid w:val="005434B4"/>
    <w:rsid w:val="00F156D7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15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6D7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56D7"/>
    <w:rPr>
      <w:sz w:val="16"/>
      <w:szCs w:val="16"/>
    </w:rPr>
  </w:style>
  <w:style w:type="table" w:styleId="TableGrid">
    <w:name w:val="Table Grid"/>
    <w:basedOn w:val="TableNormal"/>
    <w:uiPriority w:val="59"/>
    <w:rsid w:val="00F156D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D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D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15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6D7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56D7"/>
    <w:rPr>
      <w:sz w:val="16"/>
      <w:szCs w:val="16"/>
    </w:rPr>
  </w:style>
  <w:style w:type="table" w:styleId="TableGrid">
    <w:name w:val="Table Grid"/>
    <w:basedOn w:val="TableNormal"/>
    <w:uiPriority w:val="59"/>
    <w:rsid w:val="00F156D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6D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Aintree University Hospital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GOODSON</dc:creator>
  <cp:lastModifiedBy>NIKKI GOODSON</cp:lastModifiedBy>
  <cp:revision>2</cp:revision>
  <dcterms:created xsi:type="dcterms:W3CDTF">2016-08-25T13:22:00Z</dcterms:created>
  <dcterms:modified xsi:type="dcterms:W3CDTF">2016-08-25T13:26:00Z</dcterms:modified>
</cp:coreProperties>
</file>